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5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9" w:lineRule="exact"/>
        <w:rPr>
          <w:sz w:val="24"/>
          <w:szCs w:val="24"/>
          <w:color w:val="auto"/>
        </w:rPr>
      </w:pPr>
    </w:p>
    <w:p>
      <w:pPr>
        <w:ind w:left="3660" w:right="1620" w:hanging="3639"/>
        <w:spacing w:after="0" w:line="407" w:lineRule="auto"/>
        <w:tabs>
          <w:tab w:leader="none" w:pos="48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2023</w:t>
      </w:r>
    </w:p>
    <w:p>
      <w:pPr>
        <w:spacing w:after="0" w:line="284"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31" w:lineRule="exact"/>
        <w:rPr>
          <w:sz w:val="24"/>
          <w:szCs w:val="24"/>
          <w:color w:val="auto"/>
        </w:rPr>
      </w:pPr>
    </w:p>
    <w:p>
      <w:pPr>
        <w:ind w:left="384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17"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001-39787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0" w:lineRule="exact"/>
        <w:rPr>
          <w:sz w:val="24"/>
          <w:szCs w:val="24"/>
          <w:color w:val="auto"/>
        </w:rPr>
      </w:pPr>
    </w:p>
    <w:p>
      <w:pPr>
        <w:jc w:val="center"/>
        <w:ind w:right="40"/>
        <w:spacing w:after="0"/>
        <w:rPr>
          <w:sz w:val="20"/>
          <w:szCs w:val="20"/>
          <w:color w:val="auto"/>
        </w:rPr>
      </w:pPr>
      <w:r>
        <w:rPr>
          <w:rFonts w:ascii="Arial" w:cs="Arial" w:eastAsia="Arial" w:hAnsi="Arial"/>
          <w:sz w:val="43"/>
          <w:szCs w:val="43"/>
          <w:b w:val="1"/>
          <w:bCs w:val="1"/>
          <w:color w:val="auto"/>
        </w:rPr>
        <w:t>BIOATLA,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6" w:lineRule="exact"/>
        <w:rPr>
          <w:sz w:val="24"/>
          <w:szCs w:val="24"/>
          <w:color w:val="auto"/>
        </w:rPr>
      </w:pPr>
    </w:p>
    <w:tbl>
      <w:tblPr>
        <w:tblLayout w:type="fixed"/>
        <w:tblInd w:w="1240" w:type="dxa"/>
        <w:tblCellMar>
          <w:top w:w="0" w:type="dxa"/>
          <w:left w:w="0" w:type="dxa"/>
          <w:bottom w:w="0" w:type="dxa"/>
          <w:right w:w="0" w:type="dxa"/>
        </w:tblCellMar>
      </w:tblPr>
      <w:tr>
        <w:trPr>
          <w:trHeight w:val="234"/>
        </w:trPr>
        <w:tc>
          <w:tcPr>
            <w:tcW w:w="4920" w:type="dxa"/>
            <w:vAlign w:val="bottom"/>
          </w:tcPr>
          <w:p>
            <w:pPr>
              <w:jc w:val="center"/>
              <w:ind w:right="1688"/>
              <w:spacing w:after="0"/>
              <w:rPr>
                <w:sz w:val="20"/>
                <w:szCs w:val="20"/>
                <w:color w:val="auto"/>
              </w:rPr>
            </w:pPr>
            <w:r>
              <w:rPr>
                <w:rFonts w:ascii="Arial" w:cs="Arial" w:eastAsia="Arial" w:hAnsi="Arial"/>
                <w:sz w:val="18"/>
                <w:szCs w:val="18"/>
                <w:b w:val="1"/>
                <w:bCs w:val="1"/>
                <w:color w:val="auto"/>
                <w:w w:val="91"/>
              </w:rPr>
              <w:t>Delaware</w:t>
            </w:r>
          </w:p>
        </w:tc>
        <w:tc>
          <w:tcPr>
            <w:tcW w:w="2760" w:type="dxa"/>
            <w:vAlign w:val="bottom"/>
          </w:tcPr>
          <w:p>
            <w:pPr>
              <w:jc w:val="right"/>
              <w:spacing w:after="0"/>
              <w:rPr>
                <w:sz w:val="20"/>
                <w:szCs w:val="20"/>
                <w:color w:val="auto"/>
              </w:rPr>
            </w:pPr>
            <w:r>
              <w:rPr>
                <w:rFonts w:ascii="Arial" w:cs="Arial" w:eastAsia="Arial" w:hAnsi="Arial"/>
                <w:sz w:val="18"/>
                <w:szCs w:val="18"/>
                <w:b w:val="1"/>
                <w:bCs w:val="1"/>
                <w:color w:val="auto"/>
              </w:rPr>
              <w:t>85-1922320</w:t>
            </w:r>
          </w:p>
        </w:tc>
      </w:tr>
      <w:tr>
        <w:trPr>
          <w:trHeight w:val="148"/>
        </w:trPr>
        <w:tc>
          <w:tcPr>
            <w:tcW w:w="4920" w:type="dxa"/>
            <w:vAlign w:val="bottom"/>
          </w:tcPr>
          <w:p>
            <w:pPr>
              <w:jc w:val="center"/>
              <w:ind w:right="1688"/>
              <w:spacing w:after="0"/>
              <w:rPr>
                <w:sz w:val="20"/>
                <w:szCs w:val="20"/>
                <w:color w:val="auto"/>
              </w:rPr>
            </w:pPr>
            <w:r>
              <w:rPr>
                <w:rFonts w:ascii="Arial" w:cs="Arial" w:eastAsia="Arial" w:hAnsi="Arial"/>
                <w:sz w:val="13"/>
                <w:szCs w:val="13"/>
                <w:b w:val="1"/>
                <w:bCs w:val="1"/>
                <w:color w:val="auto"/>
                <w:w w:val="87"/>
              </w:rPr>
              <w:t>( State or other jurisdiction of</w:t>
            </w:r>
          </w:p>
        </w:tc>
        <w:tc>
          <w:tcPr>
            <w:tcW w:w="2760" w:type="dxa"/>
            <w:vAlign w:val="bottom"/>
          </w:tcPr>
          <w:p>
            <w:pPr>
              <w:jc w:val="center"/>
              <w:ind w:left="1706"/>
              <w:spacing w:after="0"/>
              <w:rPr>
                <w:sz w:val="20"/>
                <w:szCs w:val="20"/>
                <w:color w:val="auto"/>
              </w:rPr>
            </w:pPr>
            <w:r>
              <w:rPr>
                <w:rFonts w:ascii="Arial" w:cs="Arial" w:eastAsia="Arial" w:hAnsi="Arial"/>
                <w:sz w:val="13"/>
                <w:szCs w:val="13"/>
                <w:b w:val="1"/>
                <w:bCs w:val="1"/>
                <w:color w:val="auto"/>
                <w:w w:val="90"/>
              </w:rPr>
              <w:t>(I.R.S. Employer</w:t>
            </w:r>
          </w:p>
        </w:tc>
      </w:tr>
      <w:tr>
        <w:trPr>
          <w:trHeight w:val="171"/>
        </w:trPr>
        <w:tc>
          <w:tcPr>
            <w:tcW w:w="4920" w:type="dxa"/>
            <w:vAlign w:val="bottom"/>
          </w:tcPr>
          <w:p>
            <w:pPr>
              <w:jc w:val="center"/>
              <w:ind w:right="1688"/>
              <w:spacing w:after="0"/>
              <w:rPr>
                <w:sz w:val="20"/>
                <w:szCs w:val="20"/>
                <w:color w:val="auto"/>
              </w:rPr>
            </w:pPr>
            <w:r>
              <w:rPr>
                <w:rFonts w:ascii="Arial" w:cs="Arial" w:eastAsia="Arial" w:hAnsi="Arial"/>
                <w:sz w:val="13"/>
                <w:szCs w:val="13"/>
                <w:b w:val="1"/>
                <w:bCs w:val="1"/>
                <w:color w:val="auto"/>
                <w:w w:val="88"/>
              </w:rPr>
              <w:t>incorporation or organization)</w:t>
            </w:r>
          </w:p>
        </w:tc>
        <w:tc>
          <w:tcPr>
            <w:tcW w:w="2760" w:type="dxa"/>
            <w:vAlign w:val="bottom"/>
          </w:tcPr>
          <w:p>
            <w:pPr>
              <w:jc w:val="center"/>
              <w:ind w:left="1706"/>
              <w:spacing w:after="0"/>
              <w:rPr>
                <w:sz w:val="20"/>
                <w:szCs w:val="20"/>
                <w:color w:val="auto"/>
              </w:rPr>
            </w:pPr>
            <w:r>
              <w:rPr>
                <w:rFonts w:ascii="Arial" w:cs="Arial" w:eastAsia="Arial" w:hAnsi="Arial"/>
                <w:sz w:val="13"/>
                <w:szCs w:val="13"/>
                <w:b w:val="1"/>
                <w:bCs w:val="1"/>
                <w:color w:val="auto"/>
                <w:w w:val="89"/>
              </w:rPr>
              <w:t>Identification No.)</w:t>
            </w:r>
          </w:p>
        </w:tc>
      </w:tr>
      <w:tr>
        <w:trPr>
          <w:trHeight w:val="234"/>
        </w:trPr>
        <w:tc>
          <w:tcPr>
            <w:tcW w:w="4920" w:type="dxa"/>
            <w:vAlign w:val="bottom"/>
          </w:tcPr>
          <w:p>
            <w:pPr>
              <w:jc w:val="center"/>
              <w:ind w:right="1708"/>
              <w:spacing w:after="0"/>
              <w:rPr>
                <w:sz w:val="20"/>
                <w:szCs w:val="20"/>
                <w:color w:val="auto"/>
              </w:rPr>
            </w:pPr>
            <w:r>
              <w:rPr>
                <w:rFonts w:ascii="Arial" w:cs="Arial" w:eastAsia="Arial" w:hAnsi="Arial"/>
                <w:sz w:val="16"/>
                <w:szCs w:val="16"/>
                <w:b w:val="1"/>
                <w:bCs w:val="1"/>
                <w:color w:val="auto"/>
                <w:w w:val="92"/>
              </w:rPr>
              <w:t>11085 Torreyana Road, San Diego, California</w:t>
            </w:r>
          </w:p>
        </w:tc>
        <w:tc>
          <w:tcPr>
            <w:tcW w:w="2760" w:type="dxa"/>
            <w:vAlign w:val="bottom"/>
          </w:tcPr>
          <w:p>
            <w:pPr>
              <w:jc w:val="right"/>
              <w:ind w:right="186"/>
              <w:spacing w:after="0"/>
              <w:rPr>
                <w:sz w:val="20"/>
                <w:szCs w:val="20"/>
                <w:color w:val="auto"/>
              </w:rPr>
            </w:pPr>
            <w:r>
              <w:rPr>
                <w:rFonts w:ascii="Arial" w:cs="Arial" w:eastAsia="Arial" w:hAnsi="Arial"/>
                <w:sz w:val="18"/>
                <w:szCs w:val="18"/>
                <w:b w:val="1"/>
                <w:bCs w:val="1"/>
                <w:color w:val="auto"/>
              </w:rPr>
              <w:t>92121</w:t>
            </w:r>
          </w:p>
        </w:tc>
      </w:tr>
      <w:tr>
        <w:trPr>
          <w:trHeight w:val="173"/>
        </w:trPr>
        <w:tc>
          <w:tcPr>
            <w:tcW w:w="4920" w:type="dxa"/>
            <w:vAlign w:val="bottom"/>
          </w:tcPr>
          <w:p>
            <w:pPr>
              <w:jc w:val="center"/>
              <w:ind w:right="1688"/>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760" w:type="dxa"/>
            <w:vAlign w:val="bottom"/>
          </w:tcPr>
          <w:p>
            <w:pPr>
              <w:jc w:val="center"/>
              <w:ind w:left="1706"/>
              <w:spacing w:after="0"/>
              <w:rPr>
                <w:sz w:val="20"/>
                <w:szCs w:val="20"/>
                <w:color w:val="auto"/>
              </w:rPr>
            </w:pPr>
            <w:r>
              <w:rPr>
                <w:rFonts w:ascii="Arial" w:cs="Arial" w:eastAsia="Arial" w:hAnsi="Arial"/>
                <w:sz w:val="13"/>
                <w:szCs w:val="13"/>
                <w:b w:val="1"/>
                <w:bCs w:val="1"/>
                <w:color w:val="auto"/>
                <w:w w:val="90"/>
              </w:rPr>
              <w:t>(Zip Code)</w:t>
            </w:r>
          </w:p>
        </w:tc>
      </w:tr>
    </w:tbl>
    <w:p>
      <w:pPr>
        <w:spacing w:after="0" w:line="52"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(858) 558-0708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7"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4"/>
                <w:szCs w:val="14"/>
                <w:color w:val="auto"/>
              </w:rPr>
            </w:pPr>
          </w:p>
        </w:tc>
        <w:tc>
          <w:tcPr>
            <w:tcW w:w="5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80" w:type="dxa"/>
            <w:vAlign w:val="bottom"/>
          </w:tcPr>
          <w:p>
            <w:pPr>
              <w:jc w:val="center"/>
              <w:spacing w:after="0"/>
              <w:rPr>
                <w:sz w:val="20"/>
                <w:szCs w:val="20"/>
                <w:color w:val="auto"/>
              </w:rPr>
            </w:pPr>
            <w:r>
              <w:rPr>
                <w:rFonts w:ascii="Arial" w:cs="Arial" w:eastAsia="Arial" w:hAnsi="Arial"/>
                <w:sz w:val="16"/>
                <w:szCs w:val="16"/>
                <w:color w:val="auto"/>
                <w:w w:val="91"/>
              </w:rPr>
              <w:t>Common Stock, $0.0001 par value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rPr>
              <w:t>BCAB</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Arial" w:cs="Arial" w:eastAsia="Arial" w:hAnsi="Arial"/>
                <w:sz w:val="16"/>
                <w:szCs w:val="16"/>
                <w:color w:val="auto"/>
                <w:w w:val="92"/>
              </w:rPr>
              <w:t>The Nasdaq Global Market</w:t>
            </w:r>
          </w:p>
        </w:tc>
        <w:tc>
          <w:tcPr>
            <w:tcW w:w="0" w:type="dxa"/>
            <w:vAlign w:val="bottom"/>
          </w:tcPr>
          <w:p>
            <w:pPr>
              <w:spacing w:after="0"/>
              <w:rPr>
                <w:sz w:val="1"/>
                <w:szCs w:val="1"/>
                <w:color w:val="auto"/>
              </w:rPr>
            </w:pPr>
          </w:p>
        </w:tc>
      </w:tr>
    </w:tbl>
    <w:p>
      <w:pPr>
        <w:spacing w:after="0" w:line="118" w:lineRule="exact"/>
        <w:rPr>
          <w:sz w:val="24"/>
          <w:szCs w:val="24"/>
          <w:color w:val="auto"/>
        </w:rPr>
      </w:pPr>
    </w:p>
    <w:p>
      <w:pPr>
        <w:jc w:val="both"/>
        <w:ind w:firstLine="599"/>
        <w:spacing w:after="0" w:line="21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8" w:lineRule="exact"/>
        <w:rPr>
          <w:sz w:val="24"/>
          <w:szCs w:val="24"/>
          <w:color w:val="auto"/>
        </w:rPr>
      </w:pPr>
    </w:p>
    <w:p>
      <w:pPr>
        <w:ind w:right="100" w:firstLine="599"/>
        <w:spacing w:after="0" w:line="21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8" w:lineRule="exact"/>
        <w:rPr>
          <w:sz w:val="24"/>
          <w:szCs w:val="24"/>
          <w:color w:val="auto"/>
        </w:rPr>
      </w:pPr>
    </w:p>
    <w:p>
      <w:pPr>
        <w:jc w:val="both"/>
        <w:ind w:right="260" w:firstLine="59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1"/>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3"/>
                <w:szCs w:val="23"/>
                <w:color w:val="auto"/>
              </w:rPr>
            </w:pPr>
          </w:p>
        </w:tc>
        <w:tc>
          <w:tcPr>
            <w:tcW w:w="460" w:type="dxa"/>
            <w:vAlign w:val="bottom"/>
          </w:tcPr>
          <w:p>
            <w:pPr>
              <w:spacing w:after="0"/>
              <w:rPr>
                <w:sz w:val="23"/>
                <w:szCs w:val="23"/>
                <w:color w:val="auto"/>
              </w:rPr>
            </w:pPr>
          </w:p>
        </w:tc>
      </w:tr>
    </w:tbl>
    <w:p>
      <w:pPr>
        <w:spacing w:after="0" w:line="146" w:lineRule="exact"/>
        <w:rPr>
          <w:sz w:val="24"/>
          <w:szCs w:val="24"/>
          <w:color w:val="auto"/>
        </w:rPr>
      </w:pPr>
    </w:p>
    <w:p>
      <w:pPr>
        <w:ind w:right="500" w:firstLine="599"/>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600"/>
        <w:spacing w:after="0" w:line="184" w:lineRule="exact"/>
        <w:tabs>
          <w:tab w:leader="none" w:pos="8140" w:val="left"/>
          <w:tab w:leader="none" w:pos="87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24" w:lineRule="exact"/>
        <w:rPr>
          <w:sz w:val="24"/>
          <w:szCs w:val="24"/>
          <w:color w:val="auto"/>
        </w:rPr>
      </w:pPr>
    </w:p>
    <w:p>
      <w:pPr>
        <w:ind w:right="180" w:firstLine="599"/>
        <w:spacing w:after="0" w:line="293" w:lineRule="auto"/>
        <w:rPr>
          <w:sz w:val="20"/>
          <w:szCs w:val="20"/>
          <w:color w:val="auto"/>
        </w:rPr>
      </w:pPr>
      <w:r>
        <w:rPr>
          <w:rFonts w:ascii="Arial" w:cs="Arial" w:eastAsia="Arial" w:hAnsi="Arial"/>
          <w:sz w:val="16"/>
          <w:szCs w:val="16"/>
          <w:color w:val="auto"/>
        </w:rPr>
        <w:t>As of November 1, 2023, the number of shares of the registrant’s common stock outstanding was 47,935,808 and the number of shares of the registrant’s Class B common stock outstanding was 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351155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BIOATLA,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jc w:val="right"/>
              <w:ind w:right="1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8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PART I.</w:t>
            </w:r>
          </w:p>
        </w:tc>
        <w:tc>
          <w:tcPr>
            <w:tcW w:w="9760" w:type="dxa"/>
            <w:vAlign w:val="bottom"/>
            <w:gridSpan w:val="25"/>
            <w:vMerge w:val="restart"/>
          </w:tcPr>
          <w:p>
            <w:pPr>
              <w:spacing w:after="0"/>
              <w:rPr>
                <w:sz w:val="20"/>
                <w:szCs w:val="20"/>
                <w:color w:val="auto"/>
              </w:rPr>
            </w:pPr>
            <w:r>
              <w:rPr>
                <w:rFonts w:ascii="Arial" w:cs="Arial" w:eastAsia="Arial" w:hAnsi="Arial"/>
                <w:sz w:val="16"/>
                <w:szCs w:val="16"/>
                <w:color w:val="0000FF"/>
              </w:rPr>
              <w:t>FINANCIAL INFORMATION</w:t>
            </w: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820" w:type="dxa"/>
            <w:vAlign w:val="bottom"/>
            <w:gridSpan w:val="2"/>
            <w:vMerge w:val="continue"/>
          </w:tcPr>
          <w:p>
            <w:pPr>
              <w:spacing w:after="0"/>
              <w:rPr>
                <w:sz w:val="13"/>
                <w:szCs w:val="13"/>
                <w:color w:val="auto"/>
              </w:rPr>
            </w:pPr>
          </w:p>
        </w:tc>
        <w:tc>
          <w:tcPr>
            <w:tcW w:w="9760" w:type="dxa"/>
            <w:vAlign w:val="bottom"/>
            <w:gridSpan w:val="25"/>
            <w:vMerge w:val="continue"/>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820" w:type="dxa"/>
            <w:vAlign w:val="bottom"/>
            <w:gridSpan w:val="2"/>
          </w:tcPr>
          <w:p>
            <w:pPr>
              <w:ind w:left="20"/>
              <w:spacing w:after="0"/>
              <w:rPr>
                <w:sz w:val="20"/>
                <w:szCs w:val="20"/>
                <w:color w:val="auto"/>
              </w:rPr>
            </w:pPr>
            <w:r>
              <w:rPr>
                <w:rFonts w:ascii="Arial" w:cs="Arial" w:eastAsia="Arial" w:hAnsi="Arial"/>
                <w:sz w:val="16"/>
                <w:szCs w:val="16"/>
                <w:color w:val="auto"/>
              </w:rPr>
              <w:t>Item 1.</w:t>
            </w:r>
          </w:p>
        </w:tc>
        <w:tc>
          <w:tcPr>
            <w:tcW w:w="1400" w:type="dxa"/>
            <w:vAlign w:val="bottom"/>
            <w:tcBorders>
              <w:top w:val="single" w:sz="8" w:color="0000FF"/>
              <w:bottom w:val="single" w:sz="8" w:color="0000FF"/>
            </w:tcBorders>
            <w:gridSpan w:val="9"/>
          </w:tcPr>
          <w:p>
            <w:pPr>
              <w:spacing w:after="0"/>
              <w:rPr>
                <w:sz w:val="20"/>
                <w:szCs w:val="20"/>
                <w:color w:val="auto"/>
              </w:rPr>
            </w:pPr>
            <w:r>
              <w:rPr>
                <w:rFonts w:ascii="Arial" w:cs="Arial" w:eastAsia="Arial" w:hAnsi="Arial"/>
                <w:sz w:val="16"/>
                <w:szCs w:val="16"/>
                <w:color w:val="0000FF"/>
                <w:w w:val="89"/>
              </w:rPr>
              <w:t>Financial Statements:</w:t>
            </w:r>
          </w:p>
        </w:tc>
        <w:tc>
          <w:tcPr>
            <w:tcW w:w="20" w:type="dxa"/>
            <w:vAlign w:val="bottom"/>
            <w:tcBorders>
              <w:top w:val="single" w:sz="8" w:color="0000FF"/>
              <w:bottom w:val="single" w:sz="8" w:color="0000EE"/>
            </w:tcBorders>
          </w:tcPr>
          <w:p>
            <w:pPr>
              <w:spacing w:after="0"/>
              <w:rPr>
                <w:sz w:val="18"/>
                <w:szCs w:val="18"/>
                <w:color w:val="auto"/>
              </w:rPr>
            </w:pPr>
          </w:p>
        </w:tc>
        <w:tc>
          <w:tcPr>
            <w:tcW w:w="600" w:type="dxa"/>
            <w:vAlign w:val="bottom"/>
            <w:tcBorders>
              <w:top w:val="single" w:sz="8" w:color="0000FF"/>
            </w:tcBorders>
            <w:gridSpan w:val="4"/>
          </w:tcPr>
          <w:p>
            <w:pPr>
              <w:spacing w:after="0"/>
              <w:rPr>
                <w:sz w:val="18"/>
                <w:szCs w:val="18"/>
                <w:color w:val="auto"/>
              </w:rPr>
            </w:pPr>
          </w:p>
        </w:tc>
        <w:tc>
          <w:tcPr>
            <w:tcW w:w="7740" w:type="dxa"/>
            <w:vAlign w:val="bottom"/>
            <w:gridSpan w:val="11"/>
          </w:tcPr>
          <w:p>
            <w:pPr>
              <w:spacing w:after="0"/>
              <w:rPr>
                <w:sz w:val="18"/>
                <w:szCs w:val="18"/>
                <w:color w:val="auto"/>
              </w:rPr>
            </w:pP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80" w:type="dxa"/>
            <w:vAlign w:val="bottom"/>
            <w:gridSpan w:val="22"/>
          </w:tcPr>
          <w:p>
            <w:pPr>
              <w:spacing w:after="0"/>
              <w:rPr>
                <w:sz w:val="20"/>
                <w:szCs w:val="20"/>
                <w:color w:val="auto"/>
              </w:rPr>
            </w:pPr>
            <w:r>
              <w:rPr>
                <w:rFonts w:ascii="Arial" w:cs="Arial" w:eastAsia="Arial" w:hAnsi="Arial"/>
                <w:sz w:val="16"/>
                <w:szCs w:val="16"/>
                <w:color w:val="0000FF"/>
              </w:rPr>
              <w:t>Condensed Balance Sheets as of September 30, 2023 (unaudited) and December 31, 2022</w:t>
            </w: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500" w:type="dxa"/>
            <w:vAlign w:val="bottom"/>
            <w:gridSpan w:val="23"/>
          </w:tcPr>
          <w:p>
            <w:pPr>
              <w:spacing w:after="0"/>
              <w:rPr>
                <w:sz w:val="20"/>
                <w:szCs w:val="20"/>
                <w:color w:val="auto"/>
              </w:rPr>
            </w:pPr>
            <w:r>
              <w:rPr>
                <w:rFonts w:ascii="Arial" w:cs="Arial" w:eastAsia="Arial" w:hAnsi="Arial"/>
                <w:sz w:val="16"/>
                <w:szCs w:val="16"/>
                <w:color w:val="0000FF"/>
                <w:w w:val="92"/>
              </w:rPr>
              <w:t>Condensed Statements of Operations and Comprehensive Loss (unaudited) for the three and nine months ended September 30, 2023 and 2022</w:t>
            </w: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500" w:type="dxa"/>
            <w:vAlign w:val="bottom"/>
            <w:gridSpan w:val="23"/>
          </w:tcPr>
          <w:p>
            <w:pPr>
              <w:spacing w:after="0"/>
              <w:rPr>
                <w:sz w:val="20"/>
                <w:szCs w:val="20"/>
                <w:color w:val="auto"/>
              </w:rPr>
            </w:pPr>
            <w:r>
              <w:rPr>
                <w:rFonts w:ascii="Arial" w:cs="Arial" w:eastAsia="Arial" w:hAnsi="Arial"/>
                <w:sz w:val="16"/>
                <w:szCs w:val="16"/>
                <w:color w:val="0000FF"/>
              </w:rPr>
              <w:t>Condensed Statements of Stockholders’ Equity (unaudited) for the three and nine months ended September 30, 2023 and 2022</w:t>
            </w: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900" w:type="dxa"/>
            <w:vAlign w:val="bottom"/>
            <w:tcBorders>
              <w:top w:val="single" w:sz="8" w:color="0000EE"/>
              <w:bottom w:val="single" w:sz="8" w:color="0000FF"/>
            </w:tcBorders>
            <w:gridSpan w:val="19"/>
          </w:tcPr>
          <w:p>
            <w:pPr>
              <w:spacing w:after="0"/>
              <w:rPr>
                <w:sz w:val="20"/>
                <w:szCs w:val="20"/>
                <w:color w:val="auto"/>
              </w:rPr>
            </w:pPr>
            <w:r>
              <w:rPr>
                <w:rFonts w:ascii="Arial" w:cs="Arial" w:eastAsia="Arial" w:hAnsi="Arial"/>
                <w:sz w:val="16"/>
                <w:szCs w:val="16"/>
                <w:color w:val="0000FF"/>
                <w:w w:val="89"/>
              </w:rPr>
              <w:t>Condensed Statements of Cash Flows (unaudited) for the nine months ended September 30, 2023 and 2022</w:t>
            </w:r>
          </w:p>
        </w:tc>
        <w:tc>
          <w:tcPr>
            <w:tcW w:w="1280" w:type="dxa"/>
            <w:vAlign w:val="bottom"/>
            <w:tcBorders>
              <w:top w:val="single" w:sz="8" w:color="0000EE"/>
            </w:tcBorders>
          </w:tcPr>
          <w:p>
            <w:pPr>
              <w:spacing w:after="0"/>
              <w:rPr>
                <w:sz w:val="18"/>
                <w:szCs w:val="18"/>
                <w:color w:val="auto"/>
              </w:rPr>
            </w:pPr>
          </w:p>
        </w:tc>
        <w:tc>
          <w:tcPr>
            <w:tcW w:w="1300" w:type="dxa"/>
            <w:vAlign w:val="bottom"/>
            <w:gridSpan w:val="2"/>
          </w:tcPr>
          <w:p>
            <w:pPr>
              <w:spacing w:after="0"/>
              <w:rPr>
                <w:sz w:val="18"/>
                <w:szCs w:val="18"/>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40" w:type="dxa"/>
            <w:vAlign w:val="bottom"/>
            <w:tcBorders>
              <w:bottom w:val="single" w:sz="8" w:color="0000FF"/>
            </w:tcBorders>
            <w:gridSpan w:val="13"/>
          </w:tcPr>
          <w:p>
            <w:pPr>
              <w:spacing w:after="0"/>
              <w:rPr>
                <w:sz w:val="20"/>
                <w:szCs w:val="20"/>
                <w:color w:val="auto"/>
              </w:rPr>
            </w:pPr>
            <w:r>
              <w:rPr>
                <w:rFonts w:ascii="Arial" w:cs="Arial" w:eastAsia="Arial" w:hAnsi="Arial"/>
                <w:sz w:val="16"/>
                <w:szCs w:val="16"/>
                <w:color w:val="0000FF"/>
                <w:w w:val="88"/>
              </w:rPr>
              <w:t>Notes to Condensed Financial Statements (unaudited)</w:t>
            </w:r>
          </w:p>
        </w:tc>
        <w:tc>
          <w:tcPr>
            <w:tcW w:w="20" w:type="dxa"/>
            <w:vAlign w:val="bottom"/>
            <w:tcBorders>
              <w:bottom w:val="single" w:sz="8" w:color="0000EE"/>
            </w:tcBorders>
          </w:tcPr>
          <w:p>
            <w:pPr>
              <w:spacing w:after="0"/>
              <w:rPr>
                <w:sz w:val="18"/>
                <w:szCs w:val="18"/>
                <w:color w:val="auto"/>
              </w:rPr>
            </w:pPr>
          </w:p>
        </w:tc>
        <w:tc>
          <w:tcPr>
            <w:tcW w:w="6020" w:type="dxa"/>
            <w:vAlign w:val="bottom"/>
            <w:gridSpan w:val="8"/>
          </w:tcPr>
          <w:p>
            <w:pPr>
              <w:spacing w:after="0"/>
              <w:rPr>
                <w:sz w:val="18"/>
                <w:szCs w:val="18"/>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9"/>
        </w:trPr>
        <w:tc>
          <w:tcPr>
            <w:tcW w:w="820" w:type="dxa"/>
            <w:vAlign w:val="bottom"/>
            <w:gridSpan w:val="2"/>
          </w:tcPr>
          <w:p>
            <w:pPr>
              <w:ind w:left="20"/>
              <w:spacing w:after="0"/>
              <w:rPr>
                <w:sz w:val="20"/>
                <w:szCs w:val="20"/>
                <w:color w:val="auto"/>
              </w:rPr>
            </w:pPr>
            <w:r>
              <w:rPr>
                <w:rFonts w:ascii="Arial" w:cs="Arial" w:eastAsia="Arial" w:hAnsi="Arial"/>
                <w:sz w:val="16"/>
                <w:szCs w:val="16"/>
                <w:color w:val="auto"/>
              </w:rPr>
              <w:t>Item 2.</w:t>
            </w:r>
          </w:p>
        </w:tc>
        <w:tc>
          <w:tcPr>
            <w:tcW w:w="5820" w:type="dxa"/>
            <w:vAlign w:val="bottom"/>
            <w:tcBorders>
              <w:bottom w:val="single" w:sz="8" w:color="0000FF"/>
            </w:tcBorders>
            <w:gridSpan w:val="20"/>
          </w:tcPr>
          <w:p>
            <w:pPr>
              <w:spacing w:after="0"/>
              <w:rPr>
                <w:sz w:val="20"/>
                <w:szCs w:val="20"/>
                <w:color w:val="auto"/>
              </w:rPr>
            </w:pPr>
            <w:r>
              <w:rPr>
                <w:rFonts w:ascii="Arial" w:cs="Arial" w:eastAsia="Arial" w:hAnsi="Arial"/>
                <w:sz w:val="16"/>
                <w:szCs w:val="16"/>
                <w:color w:val="0000FF"/>
                <w:w w:val="92"/>
              </w:rPr>
              <w:t>Management’s Discussion and Analysis of Financial Condition and Results of Operations</w:t>
            </w:r>
          </w:p>
        </w:tc>
        <w:tc>
          <w:tcPr>
            <w:tcW w:w="3940" w:type="dxa"/>
            <w:vAlign w:val="bottom"/>
            <w:gridSpan w:val="5"/>
          </w:tcPr>
          <w:p>
            <w:pPr>
              <w:spacing w:after="0"/>
              <w:rPr>
                <w:sz w:val="18"/>
                <w:szCs w:val="18"/>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9"/>
        </w:trPr>
        <w:tc>
          <w:tcPr>
            <w:tcW w:w="820" w:type="dxa"/>
            <w:vAlign w:val="bottom"/>
            <w:gridSpan w:val="2"/>
          </w:tcPr>
          <w:p>
            <w:pPr>
              <w:ind w:left="20"/>
              <w:spacing w:after="0"/>
              <w:rPr>
                <w:sz w:val="20"/>
                <w:szCs w:val="20"/>
                <w:color w:val="auto"/>
              </w:rPr>
            </w:pPr>
            <w:r>
              <w:rPr>
                <w:rFonts w:ascii="Arial" w:cs="Arial" w:eastAsia="Arial" w:hAnsi="Arial"/>
                <w:sz w:val="16"/>
                <w:szCs w:val="16"/>
                <w:color w:val="auto"/>
              </w:rPr>
              <w:t>Item 3.</w:t>
            </w:r>
          </w:p>
        </w:tc>
        <w:tc>
          <w:tcPr>
            <w:tcW w:w="3940" w:type="dxa"/>
            <w:vAlign w:val="bottom"/>
            <w:tcBorders>
              <w:bottom w:val="single" w:sz="8" w:color="0000FF"/>
            </w:tcBorders>
            <w:gridSpan w:val="19"/>
          </w:tcPr>
          <w:p>
            <w:pPr>
              <w:spacing w:after="0"/>
              <w:rPr>
                <w:sz w:val="20"/>
                <w:szCs w:val="20"/>
                <w:color w:val="auto"/>
              </w:rPr>
            </w:pPr>
            <w:r>
              <w:rPr>
                <w:rFonts w:ascii="Arial" w:cs="Arial" w:eastAsia="Arial" w:hAnsi="Arial"/>
                <w:sz w:val="16"/>
                <w:szCs w:val="16"/>
                <w:color w:val="0000FF"/>
                <w:w w:val="93"/>
              </w:rPr>
              <w:t>Quantitative and Qualitative Disclosures About Market Risk</w:t>
            </w:r>
          </w:p>
        </w:tc>
        <w:tc>
          <w:tcPr>
            <w:tcW w:w="5820" w:type="dxa"/>
            <w:vAlign w:val="bottom"/>
            <w:gridSpan w:val="6"/>
          </w:tcPr>
          <w:p>
            <w:pPr>
              <w:spacing w:after="0"/>
              <w:rPr>
                <w:sz w:val="18"/>
                <w:szCs w:val="18"/>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0"/>
        </w:trPr>
        <w:tc>
          <w:tcPr>
            <w:tcW w:w="820" w:type="dxa"/>
            <w:vAlign w:val="bottom"/>
            <w:gridSpan w:val="2"/>
          </w:tcPr>
          <w:p>
            <w:pPr>
              <w:ind w:left="20"/>
              <w:spacing w:after="0"/>
              <w:rPr>
                <w:sz w:val="20"/>
                <w:szCs w:val="20"/>
                <w:color w:val="auto"/>
              </w:rPr>
            </w:pPr>
            <w:r>
              <w:rPr>
                <w:rFonts w:ascii="Arial" w:cs="Arial" w:eastAsia="Arial" w:hAnsi="Arial"/>
                <w:sz w:val="16"/>
                <w:szCs w:val="16"/>
                <w:color w:val="auto"/>
              </w:rPr>
              <w:t>Item 4.</w:t>
            </w:r>
          </w:p>
        </w:tc>
        <w:tc>
          <w:tcPr>
            <w:tcW w:w="1600" w:type="dxa"/>
            <w:vAlign w:val="bottom"/>
            <w:tcBorders>
              <w:bottom w:val="single" w:sz="8" w:color="0000FF"/>
            </w:tcBorders>
            <w:gridSpan w:val="11"/>
          </w:tcPr>
          <w:p>
            <w:pPr>
              <w:spacing w:after="0"/>
              <w:rPr>
                <w:sz w:val="20"/>
                <w:szCs w:val="20"/>
                <w:color w:val="auto"/>
              </w:rPr>
            </w:pPr>
            <w:r>
              <w:rPr>
                <w:rFonts w:ascii="Arial" w:cs="Arial" w:eastAsia="Arial" w:hAnsi="Arial"/>
                <w:sz w:val="16"/>
                <w:szCs w:val="16"/>
                <w:color w:val="0000FF"/>
                <w:w w:val="89"/>
              </w:rPr>
              <w:t>Controls and Procedures</w:t>
            </w:r>
          </w:p>
        </w:tc>
        <w:tc>
          <w:tcPr>
            <w:tcW w:w="20" w:type="dxa"/>
            <w:vAlign w:val="bottom"/>
            <w:tcBorders>
              <w:bottom w:val="single" w:sz="8" w:color="0000EE"/>
            </w:tcBorders>
          </w:tcPr>
          <w:p>
            <w:pPr>
              <w:spacing w:after="0"/>
              <w:rPr>
                <w:sz w:val="18"/>
                <w:szCs w:val="18"/>
                <w:color w:val="auto"/>
              </w:rPr>
            </w:pPr>
          </w:p>
        </w:tc>
        <w:tc>
          <w:tcPr>
            <w:tcW w:w="8140" w:type="dxa"/>
            <w:vAlign w:val="bottom"/>
            <w:gridSpan w:val="13"/>
          </w:tcPr>
          <w:p>
            <w:pPr>
              <w:spacing w:after="0"/>
              <w:rPr>
                <w:sz w:val="18"/>
                <w:szCs w:val="18"/>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9"/>
        </w:trPr>
        <w:tc>
          <w:tcPr>
            <w:tcW w:w="820" w:type="dxa"/>
            <w:vAlign w:val="bottom"/>
            <w:gridSpan w:val="2"/>
          </w:tcPr>
          <w:p>
            <w:pPr>
              <w:ind w:left="20"/>
              <w:spacing w:after="0"/>
              <w:rPr>
                <w:sz w:val="20"/>
                <w:szCs w:val="20"/>
                <w:color w:val="auto"/>
              </w:rPr>
            </w:pPr>
            <w:r>
              <w:rPr>
                <w:rFonts w:ascii="Arial" w:cs="Arial" w:eastAsia="Arial" w:hAnsi="Arial"/>
                <w:sz w:val="16"/>
                <w:szCs w:val="16"/>
                <w:b w:val="1"/>
                <w:bCs w:val="1"/>
                <w:color w:val="auto"/>
              </w:rPr>
              <w:t>PART II.</w:t>
            </w:r>
          </w:p>
        </w:tc>
        <w:tc>
          <w:tcPr>
            <w:tcW w:w="1700" w:type="dxa"/>
            <w:vAlign w:val="bottom"/>
            <w:tcBorders>
              <w:bottom w:val="single" w:sz="8" w:color="0000FF"/>
            </w:tcBorders>
            <w:gridSpan w:val="13"/>
          </w:tcPr>
          <w:p>
            <w:pPr>
              <w:spacing w:after="0"/>
              <w:rPr>
                <w:sz w:val="20"/>
                <w:szCs w:val="20"/>
                <w:color w:val="auto"/>
              </w:rPr>
            </w:pPr>
            <w:r>
              <w:rPr>
                <w:rFonts w:ascii="Arial" w:cs="Arial" w:eastAsia="Arial" w:hAnsi="Arial"/>
                <w:sz w:val="16"/>
                <w:szCs w:val="16"/>
                <w:color w:val="0000FF"/>
                <w:w w:val="97"/>
              </w:rPr>
              <w:t>OTHER INFORMATION</w:t>
            </w:r>
          </w:p>
        </w:tc>
        <w:tc>
          <w:tcPr>
            <w:tcW w:w="8060" w:type="dxa"/>
            <w:vAlign w:val="bottom"/>
            <w:gridSpan w:val="12"/>
          </w:tcPr>
          <w:p>
            <w:pPr>
              <w:spacing w:after="0"/>
              <w:rPr>
                <w:sz w:val="18"/>
                <w:szCs w:val="18"/>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0"/>
        </w:trPr>
        <w:tc>
          <w:tcPr>
            <w:tcW w:w="820" w:type="dxa"/>
            <w:vAlign w:val="bottom"/>
            <w:gridSpan w:val="2"/>
          </w:tcPr>
          <w:p>
            <w:pPr>
              <w:ind w:left="20"/>
              <w:spacing w:after="0"/>
              <w:rPr>
                <w:sz w:val="20"/>
                <w:szCs w:val="20"/>
                <w:color w:val="auto"/>
              </w:rPr>
            </w:pPr>
            <w:r>
              <w:rPr>
                <w:rFonts w:ascii="Arial" w:cs="Arial" w:eastAsia="Arial" w:hAnsi="Arial"/>
                <w:sz w:val="16"/>
                <w:szCs w:val="16"/>
                <w:color w:val="auto"/>
              </w:rPr>
              <w:t>Item 1.</w:t>
            </w:r>
          </w:p>
        </w:tc>
        <w:tc>
          <w:tcPr>
            <w:tcW w:w="1200" w:type="dxa"/>
            <w:vAlign w:val="bottom"/>
            <w:tcBorders>
              <w:bottom w:val="single" w:sz="8" w:color="0000FF"/>
            </w:tcBorders>
            <w:gridSpan w:val="8"/>
          </w:tcPr>
          <w:p>
            <w:pPr>
              <w:spacing w:after="0"/>
              <w:rPr>
                <w:sz w:val="20"/>
                <w:szCs w:val="20"/>
                <w:color w:val="auto"/>
              </w:rPr>
            </w:pPr>
            <w:r>
              <w:rPr>
                <w:rFonts w:ascii="Arial" w:cs="Arial" w:eastAsia="Arial" w:hAnsi="Arial"/>
                <w:sz w:val="16"/>
                <w:szCs w:val="16"/>
                <w:color w:val="0000FF"/>
                <w:w w:val="89"/>
              </w:rPr>
              <w:t>Legal Proceedings</w:t>
            </w:r>
          </w:p>
        </w:tc>
        <w:tc>
          <w:tcPr>
            <w:tcW w:w="8560" w:type="dxa"/>
            <w:vAlign w:val="bottom"/>
            <w:gridSpan w:val="17"/>
          </w:tcPr>
          <w:p>
            <w:pPr>
              <w:spacing w:after="0"/>
              <w:rPr>
                <w:sz w:val="18"/>
                <w:szCs w:val="18"/>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9"/>
        </w:trPr>
        <w:tc>
          <w:tcPr>
            <w:tcW w:w="820" w:type="dxa"/>
            <w:vAlign w:val="bottom"/>
            <w:gridSpan w:val="2"/>
          </w:tcPr>
          <w:p>
            <w:pPr>
              <w:ind w:left="20"/>
              <w:spacing w:after="0"/>
              <w:rPr>
                <w:sz w:val="20"/>
                <w:szCs w:val="20"/>
                <w:color w:val="auto"/>
              </w:rPr>
            </w:pPr>
            <w:r>
              <w:rPr>
                <w:rFonts w:ascii="Arial" w:cs="Arial" w:eastAsia="Arial" w:hAnsi="Arial"/>
                <w:sz w:val="16"/>
                <w:szCs w:val="16"/>
                <w:color w:val="auto"/>
              </w:rPr>
              <w:t>Item 1A.</w:t>
            </w:r>
          </w:p>
        </w:tc>
        <w:tc>
          <w:tcPr>
            <w:tcW w:w="82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w w:val="89"/>
              </w:rPr>
              <w:t>Risk Factors</w:t>
            </w:r>
          </w:p>
        </w:tc>
        <w:tc>
          <w:tcPr>
            <w:tcW w:w="20" w:type="dxa"/>
            <w:vAlign w:val="bottom"/>
            <w:tcBorders>
              <w:bottom w:val="single" w:sz="8" w:color="0000EE"/>
            </w:tcBorders>
          </w:tcPr>
          <w:p>
            <w:pPr>
              <w:spacing w:after="0"/>
              <w:rPr>
                <w:sz w:val="18"/>
                <w:szCs w:val="18"/>
                <w:color w:val="auto"/>
              </w:rPr>
            </w:pPr>
          </w:p>
        </w:tc>
        <w:tc>
          <w:tcPr>
            <w:tcW w:w="8920" w:type="dxa"/>
            <w:vAlign w:val="bottom"/>
            <w:gridSpan w:val="19"/>
          </w:tcPr>
          <w:p>
            <w:pPr>
              <w:spacing w:after="0"/>
              <w:rPr>
                <w:sz w:val="18"/>
                <w:szCs w:val="18"/>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9"/>
        </w:trPr>
        <w:tc>
          <w:tcPr>
            <w:tcW w:w="820" w:type="dxa"/>
            <w:vAlign w:val="bottom"/>
            <w:gridSpan w:val="2"/>
          </w:tcPr>
          <w:p>
            <w:pPr>
              <w:ind w:left="20"/>
              <w:spacing w:after="0"/>
              <w:rPr>
                <w:sz w:val="20"/>
                <w:szCs w:val="20"/>
                <w:color w:val="auto"/>
              </w:rPr>
            </w:pPr>
            <w:r>
              <w:rPr>
                <w:rFonts w:ascii="Arial" w:cs="Arial" w:eastAsia="Arial" w:hAnsi="Arial"/>
                <w:sz w:val="16"/>
                <w:szCs w:val="16"/>
                <w:color w:val="auto"/>
              </w:rPr>
              <w:t>Item 2.</w:t>
            </w:r>
          </w:p>
        </w:tc>
        <w:tc>
          <w:tcPr>
            <w:tcW w:w="3920" w:type="dxa"/>
            <w:vAlign w:val="bottom"/>
            <w:tcBorders>
              <w:bottom w:val="single" w:sz="8" w:color="0000FF"/>
            </w:tcBorders>
            <w:gridSpan w:val="18"/>
          </w:tcPr>
          <w:p>
            <w:pPr>
              <w:spacing w:after="0"/>
              <w:rPr>
                <w:sz w:val="20"/>
                <w:szCs w:val="20"/>
                <w:color w:val="auto"/>
              </w:rPr>
            </w:pPr>
            <w:r>
              <w:rPr>
                <w:rFonts w:ascii="Arial" w:cs="Arial" w:eastAsia="Arial" w:hAnsi="Arial"/>
                <w:sz w:val="16"/>
                <w:szCs w:val="16"/>
                <w:color w:val="0000FF"/>
                <w:w w:val="90"/>
              </w:rPr>
              <w:t>Unregistered Sales of Equity Securities and Use of Proceeds</w:t>
            </w:r>
          </w:p>
        </w:tc>
        <w:tc>
          <w:tcPr>
            <w:tcW w:w="5840" w:type="dxa"/>
            <w:vAlign w:val="bottom"/>
            <w:gridSpan w:val="7"/>
          </w:tcPr>
          <w:p>
            <w:pPr>
              <w:spacing w:after="0"/>
              <w:rPr>
                <w:sz w:val="18"/>
                <w:szCs w:val="18"/>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0"/>
        </w:trPr>
        <w:tc>
          <w:tcPr>
            <w:tcW w:w="820" w:type="dxa"/>
            <w:vAlign w:val="bottom"/>
            <w:gridSpan w:val="2"/>
          </w:tcPr>
          <w:p>
            <w:pPr>
              <w:ind w:left="20"/>
              <w:spacing w:after="0"/>
              <w:rPr>
                <w:sz w:val="20"/>
                <w:szCs w:val="20"/>
                <w:color w:val="auto"/>
              </w:rPr>
            </w:pPr>
            <w:r>
              <w:rPr>
                <w:rFonts w:ascii="Arial" w:cs="Arial" w:eastAsia="Arial" w:hAnsi="Arial"/>
                <w:sz w:val="16"/>
                <w:szCs w:val="16"/>
                <w:color w:val="auto"/>
              </w:rPr>
              <w:t>Item 3.</w:t>
            </w:r>
          </w:p>
        </w:tc>
        <w:tc>
          <w:tcPr>
            <w:tcW w:w="2100" w:type="dxa"/>
            <w:vAlign w:val="bottom"/>
            <w:tcBorders>
              <w:bottom w:val="single" w:sz="8" w:color="0000FF"/>
            </w:tcBorders>
            <w:gridSpan w:val="15"/>
          </w:tcPr>
          <w:p>
            <w:pPr>
              <w:spacing w:after="0"/>
              <w:rPr>
                <w:sz w:val="20"/>
                <w:szCs w:val="20"/>
                <w:color w:val="auto"/>
              </w:rPr>
            </w:pPr>
            <w:r>
              <w:rPr>
                <w:rFonts w:ascii="Arial" w:cs="Arial" w:eastAsia="Arial" w:hAnsi="Arial"/>
                <w:sz w:val="16"/>
                <w:szCs w:val="16"/>
                <w:color w:val="0000FF"/>
                <w:w w:val="91"/>
              </w:rPr>
              <w:t>Defaults Upon Senior Securities</w:t>
            </w:r>
          </w:p>
        </w:tc>
        <w:tc>
          <w:tcPr>
            <w:tcW w:w="7660" w:type="dxa"/>
            <w:vAlign w:val="bottom"/>
            <w:gridSpan w:val="10"/>
          </w:tcPr>
          <w:p>
            <w:pPr>
              <w:spacing w:after="0"/>
              <w:rPr>
                <w:sz w:val="18"/>
                <w:szCs w:val="18"/>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9"/>
        </w:trPr>
        <w:tc>
          <w:tcPr>
            <w:tcW w:w="820" w:type="dxa"/>
            <w:vAlign w:val="bottom"/>
            <w:gridSpan w:val="2"/>
          </w:tcPr>
          <w:p>
            <w:pPr>
              <w:ind w:left="20"/>
              <w:spacing w:after="0"/>
              <w:rPr>
                <w:sz w:val="20"/>
                <w:szCs w:val="20"/>
                <w:color w:val="auto"/>
              </w:rPr>
            </w:pPr>
            <w:r>
              <w:rPr>
                <w:rFonts w:ascii="Arial" w:cs="Arial" w:eastAsia="Arial" w:hAnsi="Arial"/>
                <w:sz w:val="16"/>
                <w:szCs w:val="16"/>
                <w:color w:val="auto"/>
              </w:rPr>
              <w:t>Item 4.</w:t>
            </w:r>
          </w:p>
        </w:tc>
        <w:tc>
          <w:tcPr>
            <w:tcW w:w="1600" w:type="dxa"/>
            <w:vAlign w:val="bottom"/>
            <w:tcBorders>
              <w:bottom w:val="single" w:sz="8" w:color="0000FF"/>
            </w:tcBorders>
            <w:gridSpan w:val="11"/>
          </w:tcPr>
          <w:p>
            <w:pPr>
              <w:spacing w:after="0"/>
              <w:rPr>
                <w:sz w:val="20"/>
                <w:szCs w:val="20"/>
                <w:color w:val="auto"/>
              </w:rPr>
            </w:pPr>
            <w:r>
              <w:rPr>
                <w:rFonts w:ascii="Arial" w:cs="Arial" w:eastAsia="Arial" w:hAnsi="Arial"/>
                <w:sz w:val="16"/>
                <w:szCs w:val="16"/>
                <w:color w:val="0000FF"/>
                <w:w w:val="92"/>
              </w:rPr>
              <w:t>Mine Safety Disclosures</w:t>
            </w:r>
          </w:p>
        </w:tc>
        <w:tc>
          <w:tcPr>
            <w:tcW w:w="8160" w:type="dxa"/>
            <w:vAlign w:val="bottom"/>
            <w:gridSpan w:val="14"/>
          </w:tcPr>
          <w:p>
            <w:pPr>
              <w:spacing w:after="0"/>
              <w:rPr>
                <w:sz w:val="18"/>
                <w:szCs w:val="18"/>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9"/>
        </w:trPr>
        <w:tc>
          <w:tcPr>
            <w:tcW w:w="820" w:type="dxa"/>
            <w:vAlign w:val="bottom"/>
            <w:gridSpan w:val="2"/>
          </w:tcPr>
          <w:p>
            <w:pPr>
              <w:ind w:left="20"/>
              <w:spacing w:after="0"/>
              <w:rPr>
                <w:sz w:val="20"/>
                <w:szCs w:val="20"/>
                <w:color w:val="auto"/>
              </w:rPr>
            </w:pPr>
            <w:r>
              <w:rPr>
                <w:rFonts w:ascii="Arial" w:cs="Arial" w:eastAsia="Arial" w:hAnsi="Arial"/>
                <w:sz w:val="16"/>
                <w:szCs w:val="16"/>
                <w:color w:val="auto"/>
              </w:rPr>
              <w:t>Item 5.</w:t>
            </w:r>
          </w:p>
        </w:tc>
        <w:tc>
          <w:tcPr>
            <w:tcW w:w="9760" w:type="dxa"/>
            <w:vAlign w:val="bottom"/>
            <w:gridSpan w:val="25"/>
          </w:tcPr>
          <w:p>
            <w:pPr>
              <w:spacing w:after="0"/>
              <w:rPr>
                <w:sz w:val="20"/>
                <w:szCs w:val="20"/>
                <w:color w:val="auto"/>
              </w:rPr>
            </w:pPr>
            <w:r>
              <w:rPr>
                <w:rFonts w:ascii="Arial" w:cs="Arial" w:eastAsia="Arial" w:hAnsi="Arial"/>
                <w:sz w:val="16"/>
                <w:szCs w:val="16"/>
                <w:color w:val="0000FF"/>
              </w:rPr>
              <w:t>Other Information</w:t>
            </w: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0"/>
        </w:trPr>
        <w:tc>
          <w:tcPr>
            <w:tcW w:w="820" w:type="dxa"/>
            <w:vAlign w:val="bottom"/>
            <w:gridSpan w:val="2"/>
          </w:tcPr>
          <w:p>
            <w:pPr>
              <w:ind w:left="20"/>
              <w:spacing w:after="0"/>
              <w:rPr>
                <w:sz w:val="20"/>
                <w:szCs w:val="20"/>
                <w:color w:val="auto"/>
              </w:rPr>
            </w:pPr>
            <w:r>
              <w:rPr>
                <w:rFonts w:ascii="Arial" w:cs="Arial" w:eastAsia="Arial" w:hAnsi="Arial"/>
                <w:sz w:val="16"/>
                <w:szCs w:val="16"/>
                <w:color w:val="auto"/>
              </w:rPr>
              <w:t>Item 6.</w:t>
            </w:r>
          </w:p>
        </w:tc>
        <w:tc>
          <w:tcPr>
            <w:tcW w:w="54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6"/>
                <w:szCs w:val="16"/>
                <w:color w:val="0000FF"/>
                <w:w w:val="92"/>
              </w:rPr>
              <w:t>Exhibits</w:t>
            </w:r>
          </w:p>
        </w:tc>
        <w:tc>
          <w:tcPr>
            <w:tcW w:w="640" w:type="dxa"/>
            <w:vAlign w:val="bottom"/>
            <w:tcBorders>
              <w:top w:val="single" w:sz="8" w:color="0000FF"/>
            </w:tcBorders>
            <w:gridSpan w:val="3"/>
          </w:tcPr>
          <w:p>
            <w:pPr>
              <w:spacing w:after="0"/>
              <w:rPr>
                <w:sz w:val="18"/>
                <w:szCs w:val="18"/>
                <w:color w:val="auto"/>
              </w:rPr>
            </w:pPr>
          </w:p>
        </w:tc>
        <w:tc>
          <w:tcPr>
            <w:tcW w:w="8580" w:type="dxa"/>
            <w:vAlign w:val="bottom"/>
            <w:gridSpan w:val="18"/>
          </w:tcPr>
          <w:p>
            <w:pPr>
              <w:spacing w:after="0"/>
              <w:rPr>
                <w:sz w:val="18"/>
                <w:szCs w:val="18"/>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9"/>
        </w:trPr>
        <w:tc>
          <w:tcPr>
            <w:tcW w:w="10580" w:type="dxa"/>
            <w:vAlign w:val="bottom"/>
            <w:gridSpan w:val="27"/>
          </w:tcPr>
          <w:p>
            <w:pPr>
              <w:ind w:left="20"/>
              <w:spacing w:after="0"/>
              <w:rPr>
                <w:sz w:val="20"/>
                <w:szCs w:val="20"/>
                <w:color w:val="auto"/>
              </w:rPr>
            </w:pPr>
            <w:r>
              <w:rPr>
                <w:rFonts w:ascii="Arial" w:cs="Arial" w:eastAsia="Arial" w:hAnsi="Arial"/>
                <w:sz w:val="16"/>
                <w:szCs w:val="16"/>
                <w:color w:val="0000FF"/>
              </w:rPr>
              <w:t>SIGNATURES</w:t>
            </w: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595"/>
        </w:trPr>
        <w:tc>
          <w:tcPr>
            <w:tcW w:w="20" w:type="dxa"/>
            <w:vAlign w:val="bottom"/>
            <w:tcBorders>
              <w:bottom w:val="single" w:sz="8" w:color="9A9A9A"/>
            </w:tcBorders>
          </w:tcPr>
          <w:p>
            <w:pPr>
              <w:spacing w:after="0"/>
              <w:rPr>
                <w:sz w:val="24"/>
                <w:szCs w:val="24"/>
                <w:color w:val="auto"/>
              </w:rPr>
            </w:pPr>
          </w:p>
        </w:tc>
        <w:tc>
          <w:tcPr>
            <w:tcW w:w="80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BioAtla,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 and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4"/>
                <w:szCs w:val="14"/>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December 31,</w:t>
            </w:r>
          </w:p>
        </w:tc>
      </w:tr>
      <w:tr>
        <w:trPr>
          <w:trHeight w:val="185"/>
        </w:trPr>
        <w:tc>
          <w:tcPr>
            <w:tcW w:w="8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9"/>
              </w:rPr>
              <w:t>2023</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169"/>
        </w:trPr>
        <w:tc>
          <w:tcPr>
            <w:tcW w:w="8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12"/>
              <w:spacing w:after="0"/>
              <w:rPr>
                <w:sz w:val="20"/>
                <w:szCs w:val="20"/>
                <w:color w:val="auto"/>
              </w:rPr>
            </w:pPr>
            <w:r>
              <w:rPr>
                <w:rFonts w:ascii="Arial" w:cs="Arial" w:eastAsia="Arial" w:hAnsi="Arial"/>
                <w:sz w:val="14"/>
                <w:szCs w:val="14"/>
                <w:b w:val="1"/>
                <w:bCs w:val="1"/>
                <w:color w:val="auto"/>
                <w:w w:val="94"/>
              </w:rPr>
              <w:t>(unaudited)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82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82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82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141,282</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215,507</w:t>
            </w:r>
          </w:p>
        </w:tc>
        <w:tc>
          <w:tcPr>
            <w:tcW w:w="100" w:type="dxa"/>
            <w:vAlign w:val="bottom"/>
            <w:shd w:val="clear" w:color="auto" w:fill="CFF0FC"/>
          </w:tcPr>
          <w:p>
            <w:pPr>
              <w:spacing w:after="0"/>
              <w:rPr>
                <w:sz w:val="21"/>
                <w:szCs w:val="21"/>
                <w:color w:val="auto"/>
              </w:rPr>
            </w:pPr>
          </w:p>
        </w:tc>
      </w:tr>
      <w:tr>
        <w:trPr>
          <w:trHeight w:val="237"/>
        </w:trPr>
        <w:tc>
          <w:tcPr>
            <w:tcW w:w="820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6,229</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4,924</w:t>
            </w:r>
          </w:p>
        </w:tc>
        <w:tc>
          <w:tcPr>
            <w:tcW w:w="100" w:type="dxa"/>
            <w:vAlign w:val="bottom"/>
          </w:tcPr>
          <w:p>
            <w:pPr>
              <w:spacing w:after="0"/>
              <w:rPr>
                <w:sz w:val="20"/>
                <w:szCs w:val="20"/>
                <w:color w:val="auto"/>
              </w:rPr>
            </w:pPr>
          </w:p>
        </w:tc>
      </w:tr>
      <w:tr>
        <w:trPr>
          <w:trHeight w:val="243"/>
        </w:trPr>
        <w:tc>
          <w:tcPr>
            <w:tcW w:w="8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147,511</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220,431</w:t>
            </w:r>
          </w:p>
        </w:tc>
        <w:tc>
          <w:tcPr>
            <w:tcW w:w="100" w:type="dxa"/>
            <w:vAlign w:val="bottom"/>
            <w:shd w:val="clear" w:color="auto" w:fill="CFF0FC"/>
          </w:tcPr>
          <w:p>
            <w:pPr>
              <w:spacing w:after="0"/>
              <w:rPr>
                <w:sz w:val="21"/>
                <w:szCs w:val="21"/>
                <w:color w:val="auto"/>
              </w:rPr>
            </w:pPr>
          </w:p>
        </w:tc>
      </w:tr>
      <w:tr>
        <w:trPr>
          <w:trHeight w:val="237"/>
        </w:trPr>
        <w:tc>
          <w:tcPr>
            <w:tcW w:w="820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1,965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2,728</w:t>
            </w:r>
          </w:p>
        </w:tc>
        <w:tc>
          <w:tcPr>
            <w:tcW w:w="100" w:type="dxa"/>
            <w:vAlign w:val="bottom"/>
          </w:tcPr>
          <w:p>
            <w:pPr>
              <w:spacing w:after="0"/>
              <w:rPr>
                <w:sz w:val="20"/>
                <w:szCs w:val="20"/>
                <w:color w:val="auto"/>
              </w:rPr>
            </w:pPr>
          </w:p>
        </w:tc>
      </w:tr>
      <w:tr>
        <w:trPr>
          <w:trHeight w:val="249"/>
        </w:trPr>
        <w:tc>
          <w:tcPr>
            <w:tcW w:w="8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right-of-use asset, net</w:t>
            </w: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1,732</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2,423</w:t>
            </w:r>
          </w:p>
        </w:tc>
        <w:tc>
          <w:tcPr>
            <w:tcW w:w="100" w:type="dxa"/>
            <w:vAlign w:val="bottom"/>
            <w:shd w:val="clear" w:color="auto" w:fill="CFF0FC"/>
          </w:tcPr>
          <w:p>
            <w:pPr>
              <w:spacing w:after="0"/>
              <w:rPr>
                <w:sz w:val="21"/>
                <w:szCs w:val="21"/>
                <w:color w:val="auto"/>
              </w:rPr>
            </w:pPr>
          </w:p>
        </w:tc>
      </w:tr>
      <w:tr>
        <w:trPr>
          <w:trHeight w:val="237"/>
        </w:trPr>
        <w:tc>
          <w:tcPr>
            <w:tcW w:w="820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0"/>
                <w:szCs w:val="20"/>
                <w:color w:val="auto"/>
              </w:rPr>
            </w:pPr>
          </w:p>
        </w:tc>
      </w:tr>
      <w:tr>
        <w:trPr>
          <w:trHeight w:val="276"/>
        </w:trPr>
        <w:tc>
          <w:tcPr>
            <w:tcW w:w="8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151,362</w:t>
            </w:r>
          </w:p>
        </w:tc>
        <w:tc>
          <w:tcPr>
            <w:tcW w:w="2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225,736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6"/>
        </w:trPr>
        <w:tc>
          <w:tcPr>
            <w:tcW w:w="820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8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8200" w:type="dxa"/>
            <w:vAlign w:val="bottom"/>
          </w:tcPr>
          <w:p>
            <w:pPr>
              <w:ind w:left="20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34,006</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21,610</w:t>
            </w:r>
          </w:p>
        </w:tc>
        <w:tc>
          <w:tcPr>
            <w:tcW w:w="100" w:type="dxa"/>
            <w:vAlign w:val="bottom"/>
          </w:tcPr>
          <w:p>
            <w:pPr>
              <w:spacing w:after="0"/>
              <w:rPr>
                <w:sz w:val="20"/>
                <w:szCs w:val="20"/>
                <w:color w:val="auto"/>
              </w:rPr>
            </w:pPr>
          </w:p>
        </w:tc>
      </w:tr>
      <w:tr>
        <w:trPr>
          <w:trHeight w:val="243"/>
        </w:trPr>
        <w:tc>
          <w:tcPr>
            <w:tcW w:w="82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Operating lease liabilities</w:t>
            </w:r>
          </w:p>
        </w:tc>
        <w:tc>
          <w:tcPr>
            <w:tcW w:w="2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1,596</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820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35,602</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23,131</w:t>
            </w:r>
          </w:p>
        </w:tc>
        <w:tc>
          <w:tcPr>
            <w:tcW w:w="100" w:type="dxa"/>
            <w:vAlign w:val="bottom"/>
          </w:tcPr>
          <w:p>
            <w:pPr>
              <w:spacing w:after="0"/>
              <w:rPr>
                <w:sz w:val="20"/>
                <w:szCs w:val="20"/>
                <w:color w:val="auto"/>
              </w:rPr>
            </w:pPr>
          </w:p>
        </w:tc>
      </w:tr>
      <w:tr>
        <w:trPr>
          <w:trHeight w:val="249"/>
        </w:trPr>
        <w:tc>
          <w:tcPr>
            <w:tcW w:w="8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liabilities, less current portion</w:t>
            </w: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1,251</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2,460</w:t>
            </w:r>
          </w:p>
        </w:tc>
        <w:tc>
          <w:tcPr>
            <w:tcW w:w="100" w:type="dxa"/>
            <w:vAlign w:val="bottom"/>
            <w:shd w:val="clear" w:color="auto" w:fill="CFF0FC"/>
          </w:tcPr>
          <w:p>
            <w:pPr>
              <w:spacing w:after="0"/>
              <w:rPr>
                <w:sz w:val="21"/>
                <w:szCs w:val="21"/>
                <w:color w:val="auto"/>
              </w:rPr>
            </w:pPr>
          </w:p>
        </w:tc>
      </w:tr>
      <w:tr>
        <w:trPr>
          <w:trHeight w:val="237"/>
        </w:trPr>
        <w:tc>
          <w:tcPr>
            <w:tcW w:w="8200" w:type="dxa"/>
            <w:vAlign w:val="bottom"/>
          </w:tcPr>
          <w:p>
            <w:pPr>
              <w:ind w:left="20"/>
              <w:spacing w:after="0"/>
              <w:rPr>
                <w:sz w:val="20"/>
                <w:szCs w:val="20"/>
                <w:color w:val="auto"/>
              </w:rPr>
            </w:pPr>
            <w:r>
              <w:rPr>
                <w:rFonts w:ascii="Arial" w:cs="Arial" w:eastAsia="Arial" w:hAnsi="Arial"/>
                <w:sz w:val="18"/>
                <w:szCs w:val="18"/>
                <w:color w:val="auto"/>
              </w:rPr>
              <w:t>Liability to licensor</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19,806</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19,806</w:t>
            </w:r>
          </w:p>
        </w:tc>
        <w:tc>
          <w:tcPr>
            <w:tcW w:w="100" w:type="dxa"/>
            <w:vAlign w:val="bottom"/>
          </w:tcPr>
          <w:p>
            <w:pPr>
              <w:spacing w:after="0"/>
              <w:rPr>
                <w:sz w:val="20"/>
                <w:szCs w:val="20"/>
                <w:color w:val="auto"/>
              </w:rPr>
            </w:pPr>
          </w:p>
        </w:tc>
      </w:tr>
      <w:tr>
        <w:trPr>
          <w:trHeight w:val="243"/>
        </w:trPr>
        <w:tc>
          <w:tcPr>
            <w:tcW w:w="8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56,659</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45,397</w:t>
            </w:r>
          </w:p>
        </w:tc>
        <w:tc>
          <w:tcPr>
            <w:tcW w:w="100" w:type="dxa"/>
            <w:vAlign w:val="bottom"/>
            <w:shd w:val="clear" w:color="auto" w:fill="CFF0FC"/>
          </w:tcPr>
          <w:p>
            <w:pPr>
              <w:spacing w:after="0"/>
              <w:rPr>
                <w:sz w:val="21"/>
                <w:szCs w:val="21"/>
                <w:color w:val="auto"/>
              </w:rPr>
            </w:pPr>
          </w:p>
        </w:tc>
      </w:tr>
      <w:tr>
        <w:trPr>
          <w:trHeight w:val="237"/>
        </w:trPr>
        <w:tc>
          <w:tcPr>
            <w:tcW w:w="8200" w:type="dxa"/>
            <w:vAlign w:val="bottom"/>
          </w:tcPr>
          <w:p>
            <w:pPr>
              <w:ind w:left="20"/>
              <w:spacing w:after="0"/>
              <w:rPr>
                <w:sz w:val="20"/>
                <w:szCs w:val="20"/>
                <w:color w:val="auto"/>
              </w:rPr>
            </w:pPr>
            <w:r>
              <w:rPr>
                <w:rFonts w:ascii="Arial" w:cs="Arial" w:eastAsia="Arial" w:hAnsi="Arial"/>
                <w:sz w:val="18"/>
                <w:szCs w:val="18"/>
                <w:color w:val="auto"/>
              </w:rPr>
              <w:t>Commitments and contingencies (Note 5)</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8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5"/>
        </w:trPr>
        <w:tc>
          <w:tcPr>
            <w:tcW w:w="8200" w:type="dxa"/>
            <w:vAlign w:val="bottom"/>
          </w:tcPr>
          <w:p>
            <w:pPr>
              <w:ind w:left="200"/>
              <w:spacing w:after="0"/>
              <w:rPr>
                <w:sz w:val="20"/>
                <w:szCs w:val="20"/>
                <w:color w:val="auto"/>
              </w:rPr>
            </w:pPr>
            <w:r>
              <w:rPr>
                <w:rFonts w:ascii="Arial" w:cs="Arial" w:eastAsia="Arial" w:hAnsi="Arial"/>
                <w:sz w:val="18"/>
                <w:szCs w:val="18"/>
                <w:color w:val="auto"/>
              </w:rPr>
              <w:t>Preferred stock, $0.0001 par value; 200,000,000 shares authorized at September 30, 2023</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00" w:type="dxa"/>
            <w:vAlign w:val="bottom"/>
          </w:tcPr>
          <w:p>
            <w:pPr>
              <w:ind w:left="340"/>
              <w:spacing w:after="0"/>
              <w:rPr>
                <w:sz w:val="20"/>
                <w:szCs w:val="20"/>
                <w:color w:val="auto"/>
              </w:rPr>
            </w:pPr>
            <w:r>
              <w:rPr>
                <w:rFonts w:ascii="Arial" w:cs="Arial" w:eastAsia="Arial" w:hAnsi="Arial"/>
                <w:sz w:val="18"/>
                <w:szCs w:val="18"/>
                <w:color w:val="auto"/>
              </w:rPr>
              <w:t>and December 31, 2022; 0 shares issued and outstanding at September 30, 2023</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8200" w:type="dxa"/>
            <w:vAlign w:val="bottom"/>
          </w:tcPr>
          <w:p>
            <w:pPr>
              <w:ind w:left="340"/>
              <w:spacing w:after="0"/>
              <w:rPr>
                <w:sz w:val="20"/>
                <w:szCs w:val="20"/>
                <w:color w:val="auto"/>
              </w:rPr>
            </w:pPr>
            <w:r>
              <w:rPr>
                <w:rFonts w:ascii="Arial" w:cs="Arial" w:eastAsia="Arial" w:hAnsi="Arial"/>
                <w:sz w:val="18"/>
                <w:szCs w:val="18"/>
                <w:color w:val="auto"/>
              </w:rPr>
              <w:t>and December 31, 2022</w:t>
            </w:r>
          </w:p>
        </w:tc>
        <w:tc>
          <w:tcPr>
            <w:tcW w:w="20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2"/>
        </w:trPr>
        <w:tc>
          <w:tcPr>
            <w:tcW w:w="82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Common stock, $0.0001 par value; 350,000,000 shares authorized at</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6"/>
        </w:trPr>
        <w:tc>
          <w:tcPr>
            <w:tcW w:w="8200" w:type="dxa"/>
            <w:vAlign w:val="bottom"/>
            <w:shd w:val="clear" w:color="auto" w:fill="CFF0FC"/>
          </w:tcPr>
          <w:p>
            <w:pPr>
              <w:ind w:left="340"/>
              <w:spacing w:after="0"/>
              <w:rPr>
                <w:sz w:val="20"/>
                <w:szCs w:val="20"/>
                <w:color w:val="auto"/>
              </w:rPr>
            </w:pPr>
            <w:r>
              <w:rPr>
                <w:rFonts w:ascii="Arial" w:cs="Arial" w:eastAsia="Arial" w:hAnsi="Arial"/>
                <w:sz w:val="18"/>
                <w:szCs w:val="18"/>
                <w:color w:val="auto"/>
              </w:rPr>
              <w:t>September 30, 2023 and December 31, 2022; 47,907,395 and 46,336,166</w:t>
            </w: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4"/>
        </w:trPr>
        <w:tc>
          <w:tcPr>
            <w:tcW w:w="8200" w:type="dxa"/>
            <w:vAlign w:val="bottom"/>
            <w:shd w:val="clear" w:color="auto" w:fill="CFF0FC"/>
          </w:tcPr>
          <w:p>
            <w:pPr>
              <w:ind w:left="340"/>
              <w:spacing w:after="0"/>
              <w:rPr>
                <w:sz w:val="20"/>
                <w:szCs w:val="20"/>
                <w:color w:val="auto"/>
              </w:rPr>
            </w:pPr>
            <w:r>
              <w:rPr>
                <w:rFonts w:ascii="Arial" w:cs="Arial" w:eastAsia="Arial" w:hAnsi="Arial"/>
                <w:sz w:val="18"/>
                <w:szCs w:val="18"/>
                <w:color w:val="auto"/>
              </w:rPr>
              <w:t>shares issued and outstanding at September 30, 2023 and December 31, 2022</w:t>
            </w: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21"/>
                <w:szCs w:val="21"/>
                <w:color w:val="auto"/>
              </w:rPr>
            </w:pPr>
          </w:p>
        </w:tc>
      </w:tr>
      <w:tr>
        <w:trPr>
          <w:trHeight w:val="215"/>
        </w:trPr>
        <w:tc>
          <w:tcPr>
            <w:tcW w:w="8200" w:type="dxa"/>
            <w:vAlign w:val="bottom"/>
          </w:tcPr>
          <w:p>
            <w:pPr>
              <w:ind w:left="200"/>
              <w:spacing w:after="0"/>
              <w:rPr>
                <w:sz w:val="20"/>
                <w:szCs w:val="20"/>
                <w:color w:val="auto"/>
              </w:rPr>
            </w:pPr>
            <w:r>
              <w:rPr>
                <w:rFonts w:ascii="Arial" w:cs="Arial" w:eastAsia="Arial" w:hAnsi="Arial"/>
                <w:sz w:val="18"/>
                <w:szCs w:val="18"/>
                <w:color w:val="auto"/>
              </w:rPr>
              <w:t>Class B common stock, $0.0001 par value; 15,368,569 shares authorized at</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00" w:type="dxa"/>
            <w:vAlign w:val="bottom"/>
          </w:tcPr>
          <w:p>
            <w:pPr>
              <w:ind w:left="340"/>
              <w:spacing w:after="0"/>
              <w:rPr>
                <w:sz w:val="20"/>
                <w:szCs w:val="20"/>
                <w:color w:val="auto"/>
              </w:rPr>
            </w:pPr>
            <w:r>
              <w:rPr>
                <w:rFonts w:ascii="Arial" w:cs="Arial" w:eastAsia="Arial" w:hAnsi="Arial"/>
                <w:sz w:val="18"/>
                <w:szCs w:val="18"/>
                <w:color w:val="auto"/>
              </w:rPr>
              <w:t>September 30, 2023 and December 31, 2022; 0 and 1,211,959 shares issued and</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8200" w:type="dxa"/>
            <w:vAlign w:val="bottom"/>
          </w:tcPr>
          <w:p>
            <w:pPr>
              <w:ind w:left="340"/>
              <w:spacing w:after="0"/>
              <w:rPr>
                <w:sz w:val="20"/>
                <w:szCs w:val="20"/>
                <w:color w:val="auto"/>
              </w:rPr>
            </w:pPr>
            <w:r>
              <w:rPr>
                <w:rFonts w:ascii="Arial" w:cs="Arial" w:eastAsia="Arial" w:hAnsi="Arial"/>
                <w:sz w:val="18"/>
                <w:szCs w:val="18"/>
                <w:color w:val="auto"/>
              </w:rPr>
              <w:t>outstanding at September 30, 2023 and December 31, 2022</w:t>
            </w:r>
          </w:p>
        </w:tc>
        <w:tc>
          <w:tcPr>
            <w:tcW w:w="20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82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484,036</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473,135</w:t>
            </w:r>
          </w:p>
        </w:tc>
        <w:tc>
          <w:tcPr>
            <w:tcW w:w="100" w:type="dxa"/>
            <w:vAlign w:val="bottom"/>
            <w:shd w:val="clear" w:color="auto" w:fill="CFF0FC"/>
          </w:tcPr>
          <w:p>
            <w:pPr>
              <w:spacing w:after="0"/>
              <w:rPr>
                <w:sz w:val="21"/>
                <w:szCs w:val="21"/>
                <w:color w:val="auto"/>
              </w:rPr>
            </w:pPr>
          </w:p>
        </w:tc>
      </w:tr>
      <w:tr>
        <w:trPr>
          <w:trHeight w:val="237"/>
        </w:trPr>
        <w:tc>
          <w:tcPr>
            <w:tcW w:w="820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(389,338 )</w:t>
            </w:r>
          </w:p>
        </w:tc>
        <w:tc>
          <w:tcPr>
            <w:tcW w:w="16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(292,801 )</w:t>
            </w:r>
          </w:p>
        </w:tc>
      </w:tr>
      <w:tr>
        <w:trPr>
          <w:trHeight w:val="237"/>
        </w:trPr>
        <w:tc>
          <w:tcPr>
            <w:tcW w:w="8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94,703</w:t>
            </w:r>
          </w:p>
        </w:tc>
        <w:tc>
          <w:tcPr>
            <w:tcW w:w="2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180,339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820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151,362</w:t>
            </w:r>
          </w:p>
        </w:tc>
        <w:tc>
          <w:tcPr>
            <w:tcW w:w="2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225,736</w:t>
            </w:r>
          </w:p>
        </w:tc>
        <w:tc>
          <w:tcPr>
            <w:tcW w:w="100" w:type="dxa"/>
            <w:vAlign w:val="bottom"/>
          </w:tcPr>
          <w:p>
            <w:pPr>
              <w:spacing w:after="0"/>
              <w:rPr>
                <w:sz w:val="20"/>
                <w:szCs w:val="20"/>
                <w:color w:val="auto"/>
              </w:rPr>
            </w:pPr>
          </w:p>
        </w:tc>
      </w:tr>
      <w:tr>
        <w:trPr>
          <w:trHeight w:val="20"/>
        </w:trPr>
        <w:tc>
          <w:tcPr>
            <w:tcW w:w="8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-3531235</wp:posOffset>
            </wp:positionV>
            <wp:extent cx="99441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94410" cy="18034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-2888615</wp:posOffset>
            </wp:positionV>
            <wp:extent cx="6858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-2888615</wp:posOffset>
            </wp:positionV>
            <wp:extent cx="6858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-187960</wp:posOffset>
            </wp:positionV>
            <wp:extent cx="68580"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jc w:val="center"/>
        <w:ind w:right="80"/>
        <w:spacing w:after="0"/>
        <w:rPr>
          <w:sz w:val="20"/>
          <w:szCs w:val="20"/>
          <w:color w:val="auto"/>
        </w:rPr>
      </w:pPr>
      <w:r>
        <w:rPr>
          <w:rFonts w:ascii="Arial" w:cs="Arial" w:eastAsia="Arial" w:hAnsi="Arial"/>
          <w:sz w:val="18"/>
          <w:szCs w:val="18"/>
          <w:i w:val="1"/>
          <w:iCs w:val="1"/>
          <w:color w:val="auto"/>
        </w:rPr>
        <w:t>See accompanying notes.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ind w:right="-179"/>
        <w:spacing w:after="0"/>
        <w:rPr>
          <w:sz w:val="20"/>
          <w:szCs w:val="20"/>
          <w:color w:val="auto"/>
        </w:rPr>
      </w:pPr>
      <w:r>
        <w:rPr>
          <w:rFonts w:ascii="Arial" w:cs="Arial" w:eastAsia="Arial" w:hAnsi="Arial"/>
          <w:sz w:val="18"/>
          <w:szCs w:val="18"/>
          <w:b w:val="1"/>
          <w:bCs w:val="1"/>
          <w:color w:val="auto"/>
        </w:rPr>
        <w:t>BioAtla,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 Condensed Statements of Operations and Comprehensive Loss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20" w:type="dxa"/>
            <w:vAlign w:val="bottom"/>
            <w:gridSpan w:val="5"/>
          </w:tcPr>
          <w:p>
            <w:pPr>
              <w:jc w:val="right"/>
              <w:ind w:right="430"/>
              <w:spacing w:after="0"/>
              <w:rPr>
                <w:sz w:val="20"/>
                <w:szCs w:val="20"/>
                <w:color w:val="auto"/>
              </w:rPr>
            </w:pPr>
            <w:r>
              <w:rPr>
                <w:rFonts w:ascii="Arial" w:cs="Arial" w:eastAsia="Arial" w:hAnsi="Arial"/>
                <w:sz w:val="14"/>
                <w:szCs w:val="14"/>
                <w:b w:val="1"/>
                <w:bCs w:val="1"/>
                <w:color w:val="auto"/>
                <w:w w:val="95"/>
              </w:rPr>
              <w:t>Three Months Ended September 30,</w:t>
            </w:r>
          </w:p>
        </w:tc>
        <w:tc>
          <w:tcPr>
            <w:tcW w:w="200" w:type="dxa"/>
            <w:vAlign w:val="bottom"/>
          </w:tcPr>
          <w:p>
            <w:pPr>
              <w:spacing w:after="0"/>
              <w:rPr>
                <w:sz w:val="16"/>
                <w:szCs w:val="16"/>
                <w:color w:val="auto"/>
              </w:rPr>
            </w:pPr>
          </w:p>
        </w:tc>
        <w:tc>
          <w:tcPr>
            <w:tcW w:w="2620" w:type="dxa"/>
            <w:vAlign w:val="bottom"/>
            <w:gridSpan w:val="5"/>
          </w:tcPr>
          <w:p>
            <w:pPr>
              <w:jc w:val="right"/>
              <w:ind w:right="310"/>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69"/>
        </w:trPr>
        <w:tc>
          <w:tcPr>
            <w:tcW w:w="52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00" w:type="dxa"/>
            <w:vAlign w:val="bottom"/>
          </w:tcPr>
          <w:p>
            <w:pPr>
              <w:ind w:left="200"/>
              <w:spacing w:after="0"/>
              <w:rPr>
                <w:sz w:val="20"/>
                <w:szCs w:val="20"/>
                <w:color w:val="auto"/>
              </w:rPr>
            </w:pPr>
            <w:r>
              <w:rPr>
                <w:rFonts w:ascii="Arial" w:cs="Arial" w:eastAsia="Arial" w:hAnsi="Arial"/>
                <w:sz w:val="18"/>
                <w:szCs w:val="18"/>
                <w:color w:val="auto"/>
              </w:rPr>
              <w:t>Research and development expense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28,400</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19,839</w:t>
            </w:r>
          </w:p>
        </w:tc>
        <w:tc>
          <w:tcPr>
            <w:tcW w:w="2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81,057</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57,473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 expense</w:t>
            </w:r>
          </w:p>
        </w:tc>
        <w:tc>
          <w:tcPr>
            <w:tcW w:w="18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6,620</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6,340</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20,094</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22,107</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20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35,020</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26,179</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101,151</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79,580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(35,020</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(26,179</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(101,151</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(79,580</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52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2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1,734</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4,674</w:t>
            </w: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00" w:type="dxa"/>
            <w:vAlign w:val="bottom"/>
          </w:tcPr>
          <w:p>
            <w:pPr>
              <w:ind w:left="200"/>
              <w:spacing w:after="0"/>
              <w:rPr>
                <w:sz w:val="20"/>
                <w:szCs w:val="20"/>
                <w:color w:val="auto"/>
              </w:rPr>
            </w:pPr>
            <w:r>
              <w:rPr>
                <w:rFonts w:ascii="Arial" w:cs="Arial" w:eastAsia="Arial" w:hAnsi="Arial"/>
                <w:sz w:val="18"/>
                <w:szCs w:val="18"/>
                <w:color w:val="auto"/>
              </w:rPr>
              <w:t>Other income (expense)</w:t>
            </w:r>
          </w:p>
        </w:tc>
        <w:tc>
          <w:tcPr>
            <w:tcW w:w="18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(39 )</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(60 )</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other income</w:t>
            </w: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1,695</w:t>
            </w:r>
          </w:p>
        </w:tc>
        <w:tc>
          <w:tcPr>
            <w:tcW w:w="1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4,614</w:t>
            </w:r>
          </w:p>
        </w:tc>
        <w:tc>
          <w:tcPr>
            <w:tcW w:w="1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641</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200" w:type="dxa"/>
            <w:vAlign w:val="bottom"/>
          </w:tcPr>
          <w:p>
            <w:pPr>
              <w:ind w:left="20"/>
              <w:spacing w:after="0"/>
              <w:rPr>
                <w:sz w:val="20"/>
                <w:szCs w:val="20"/>
                <w:color w:val="auto"/>
              </w:rPr>
            </w:pPr>
            <w:r>
              <w:rPr>
                <w:rFonts w:ascii="Arial" w:cs="Arial" w:eastAsia="Arial" w:hAnsi="Arial"/>
                <w:sz w:val="18"/>
                <w:szCs w:val="18"/>
                <w:color w:val="auto"/>
              </w:rPr>
              <w:t>Net loss and comprehensive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3"/>
          </w:tcPr>
          <w:p>
            <w:pPr>
              <w:jc w:val="right"/>
              <w:ind w:right="110"/>
              <w:spacing w:after="0"/>
              <w:rPr>
                <w:sz w:val="20"/>
                <w:szCs w:val="20"/>
                <w:color w:val="auto"/>
              </w:rPr>
            </w:pPr>
            <w:r>
              <w:rPr>
                <w:rFonts w:ascii="Arial" w:cs="Arial" w:eastAsia="Arial" w:hAnsi="Arial"/>
                <w:sz w:val="18"/>
                <w:szCs w:val="18"/>
                <w:color w:val="auto"/>
              </w:rPr>
              <w:t>(33,325 ) $</w:t>
            </w:r>
          </w:p>
        </w:tc>
        <w:tc>
          <w:tcPr>
            <w:tcW w:w="1260" w:type="dxa"/>
            <w:vAlign w:val="bottom"/>
            <w:gridSpan w:val="2"/>
          </w:tcPr>
          <w:p>
            <w:pPr>
              <w:jc w:val="right"/>
              <w:ind w:right="90"/>
              <w:spacing w:after="0"/>
              <w:rPr>
                <w:sz w:val="20"/>
                <w:szCs w:val="20"/>
                <w:color w:val="auto"/>
              </w:rPr>
            </w:pPr>
            <w:r>
              <w:rPr>
                <w:rFonts w:ascii="Arial" w:cs="Arial" w:eastAsia="Arial" w:hAnsi="Arial"/>
                <w:sz w:val="18"/>
                <w:szCs w:val="18"/>
                <w:color w:val="auto"/>
              </w:rPr>
              <w:t>(25,779 )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gridSpan w:val="3"/>
          </w:tcPr>
          <w:p>
            <w:pPr>
              <w:jc w:val="right"/>
              <w:ind w:right="90"/>
              <w:spacing w:after="0"/>
              <w:rPr>
                <w:sz w:val="20"/>
                <w:szCs w:val="20"/>
                <w:color w:val="auto"/>
              </w:rPr>
            </w:pPr>
            <w:r>
              <w:rPr>
                <w:rFonts w:ascii="Arial" w:cs="Arial" w:eastAsia="Arial" w:hAnsi="Arial"/>
                <w:sz w:val="18"/>
                <w:szCs w:val="18"/>
                <w:color w:val="auto"/>
              </w:rPr>
              <w:t>(96,537 ) $</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(78,939 )</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 per common share, basic and diluted</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(0.70</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(0.69</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2"/>
        </w:trPr>
        <w:tc>
          <w:tcPr>
            <w:tcW w:w="5200" w:type="dxa"/>
            <w:vAlign w:val="bottom"/>
          </w:tcPr>
          <w:p>
            <w:pPr>
              <w:ind w:left="20"/>
              <w:spacing w:after="0" w:line="202" w:lineRule="exact"/>
              <w:rPr>
                <w:sz w:val="20"/>
                <w:szCs w:val="20"/>
                <w:color w:val="auto"/>
              </w:rPr>
            </w:pPr>
            <w:r>
              <w:rPr>
                <w:rFonts w:ascii="Arial" w:cs="Arial" w:eastAsia="Arial" w:hAnsi="Arial"/>
                <w:sz w:val="18"/>
                <w:szCs w:val="18"/>
                <w:color w:val="auto"/>
                <w:w w:val="96"/>
              </w:rPr>
              <w:t>Weighted-average shares of common stock outstanding, basic and</w:t>
            </w:r>
          </w:p>
        </w:tc>
        <w:tc>
          <w:tcPr>
            <w:tcW w:w="18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47,834,122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37,516,769</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47,707,259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37,420,531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Pr>
          <w:p>
            <w:pPr>
              <w:ind w:left="20"/>
              <w:spacing w:after="0" w:line="203" w:lineRule="exact"/>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-1610995</wp:posOffset>
            </wp:positionV>
            <wp:extent cx="7683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-1610995</wp:posOffset>
            </wp:positionV>
            <wp:extent cx="6858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-1610995</wp:posOffset>
            </wp:positionV>
            <wp:extent cx="6858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-1610995</wp:posOffset>
            </wp:positionV>
            <wp:extent cx="6858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-659130</wp:posOffset>
            </wp:positionV>
            <wp:extent cx="76835"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-659130</wp:posOffset>
            </wp:positionV>
            <wp:extent cx="68580"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-659130</wp:posOffset>
            </wp:positionV>
            <wp:extent cx="68580" cy="188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-659130</wp:posOffset>
            </wp:positionV>
            <wp:extent cx="68580"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-316230</wp:posOffset>
            </wp:positionV>
            <wp:extent cx="2854325" cy="3168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54325" cy="316865"/>
                    </a:xfrm>
                    <a:prstGeom prst="rect">
                      <a:avLst/>
                    </a:prstGeom>
                    <a:noFill/>
                  </pic:spPr>
                </pic:pic>
              </a:graphicData>
            </a:graphic>
          </wp:anchor>
        </w:drawing>
      </w:r>
    </w:p>
    <w:p>
      <w:pPr>
        <w:spacing w:after="0" w:line="182"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See accompanying notes.</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337" w:right="55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BioAtla,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Condensed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13"/>
          </w:tcPr>
          <w:p>
            <w:pPr>
              <w:jc w:val="right"/>
              <w:ind w:right="380"/>
              <w:spacing w:after="0"/>
              <w:rPr>
                <w:sz w:val="20"/>
                <w:szCs w:val="20"/>
                <w:color w:val="auto"/>
              </w:rPr>
            </w:pPr>
            <w:r>
              <w:rPr>
                <w:rFonts w:ascii="Arial" w:cs="Arial" w:eastAsia="Arial" w:hAnsi="Arial"/>
                <w:sz w:val="14"/>
                <w:szCs w:val="14"/>
                <w:b w:val="1"/>
                <w:bCs w:val="1"/>
                <w:color w:val="auto"/>
                <w:w w:val="99"/>
              </w:rPr>
              <w:t>Three Months Ended September 30, 2023</w:t>
            </w:r>
          </w:p>
        </w:tc>
        <w:tc>
          <w:tcPr>
            <w:tcW w:w="1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3"/>
            <w:vMerge w:val="restart"/>
          </w:tcPr>
          <w:p>
            <w:pPr>
              <w:jc w:val="right"/>
              <w:ind w:right="42"/>
              <w:spacing w:after="0"/>
              <w:rPr>
                <w:sz w:val="20"/>
                <w:szCs w:val="20"/>
                <w:color w:val="auto"/>
              </w:rPr>
            </w:pPr>
            <w:r>
              <w:rPr>
                <w:rFonts w:ascii="Arial" w:cs="Arial" w:eastAsia="Arial" w:hAnsi="Arial"/>
                <w:sz w:val="14"/>
                <w:szCs w:val="14"/>
                <w:b w:val="1"/>
                <w:bCs w:val="1"/>
                <w:color w:val="auto"/>
                <w:w w:val="93"/>
              </w:rPr>
              <w:t>Common Stock</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jc w:val="right"/>
              <w:ind w:right="502"/>
              <w:spacing w:after="0" w:line="149" w:lineRule="exact"/>
              <w:rPr>
                <w:sz w:val="20"/>
                <w:szCs w:val="20"/>
                <w:color w:val="auto"/>
              </w:rPr>
            </w:pPr>
            <w:r>
              <w:rPr>
                <w:rFonts w:ascii="Arial" w:cs="Arial" w:eastAsia="Arial" w:hAnsi="Arial"/>
                <w:sz w:val="14"/>
                <w:szCs w:val="14"/>
                <w:b w:val="1"/>
                <w:bCs w:val="1"/>
                <w:color w:val="auto"/>
                <w:w w:val="93"/>
              </w:rPr>
              <w:t>Class B</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1000" w:type="dxa"/>
            <w:vAlign w:val="bottom"/>
            <w:gridSpan w:val="5"/>
            <w:vMerge w:val="restart"/>
          </w:tcPr>
          <w:p>
            <w:pPr>
              <w:jc w:val="right"/>
              <w:ind w:right="140"/>
              <w:spacing w:after="0"/>
              <w:rPr>
                <w:sz w:val="20"/>
                <w:szCs w:val="20"/>
                <w:color w:val="auto"/>
              </w:rPr>
            </w:pPr>
            <w:r>
              <w:rPr>
                <w:rFonts w:ascii="Arial" w:cs="Arial" w:eastAsia="Arial" w:hAnsi="Arial"/>
                <w:sz w:val="14"/>
                <w:szCs w:val="14"/>
                <w:b w:val="1"/>
                <w:bCs w:val="1"/>
                <w:color w:val="auto"/>
                <w:w w:val="95"/>
              </w:rPr>
              <w:t>Accumulated</w:t>
            </w:r>
          </w:p>
        </w:tc>
        <w:tc>
          <w:tcPr>
            <w:tcW w:w="300" w:type="dxa"/>
            <w:vAlign w:val="bottom"/>
          </w:tcPr>
          <w:p>
            <w:pPr>
              <w:spacing w:after="0"/>
              <w:rPr>
                <w:sz w:val="12"/>
                <w:szCs w:val="12"/>
                <w:color w:val="auto"/>
              </w:rPr>
            </w:pPr>
          </w:p>
        </w:tc>
        <w:tc>
          <w:tcPr>
            <w:tcW w:w="72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6"/>
        </w:trPr>
        <w:tc>
          <w:tcPr>
            <w:tcW w:w="40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Borders>
              <w:bottom w:val="single" w:sz="8" w:color="auto"/>
            </w:tcBorders>
            <w:gridSpan w:val="5"/>
          </w:tcPr>
          <w:p>
            <w:pPr>
              <w:jc w:val="right"/>
              <w:ind w:right="242"/>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4"/>
          </w:tcPr>
          <w:p>
            <w:pPr>
              <w:ind w:left="120"/>
              <w:spacing w:after="0"/>
              <w:rPr>
                <w:sz w:val="20"/>
                <w:szCs w:val="20"/>
                <w:color w:val="auto"/>
              </w:rPr>
            </w:pPr>
            <w:r>
              <w:rPr>
                <w:rFonts w:ascii="Arial" w:cs="Arial" w:eastAsia="Arial" w:hAnsi="Arial"/>
                <w:sz w:val="14"/>
                <w:szCs w:val="14"/>
                <w:b w:val="1"/>
                <w:bCs w:val="1"/>
                <w:color w:val="auto"/>
              </w:rPr>
              <w:t>Paid-in</w:t>
            </w:r>
          </w:p>
        </w:tc>
        <w:tc>
          <w:tcPr>
            <w:tcW w:w="1000" w:type="dxa"/>
            <w:vAlign w:val="bottom"/>
            <w:gridSpan w:val="5"/>
            <w:vMerge w:val="continue"/>
          </w:tcPr>
          <w:p>
            <w:pPr>
              <w:spacing w:after="0"/>
              <w:rPr>
                <w:sz w:val="15"/>
                <w:szCs w:val="15"/>
                <w:color w:val="auto"/>
              </w:rPr>
            </w:pPr>
          </w:p>
        </w:tc>
        <w:tc>
          <w:tcPr>
            <w:tcW w:w="10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69"/>
        </w:trPr>
        <w:tc>
          <w:tcPr>
            <w:tcW w:w="40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202"/>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8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98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Deficit</w:t>
            </w:r>
          </w:p>
        </w:tc>
        <w:tc>
          <w:tcPr>
            <w:tcW w:w="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1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Balance at June 30, 2023</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w w:val="99"/>
              </w:rPr>
              <w:t>47,803,306</w:t>
            </w:r>
          </w:p>
        </w:tc>
        <w:tc>
          <w:tcPr>
            <w:tcW w:w="60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ind w:left="80"/>
              <w:spacing w:after="0"/>
              <w:rPr>
                <w:sz w:val="20"/>
                <w:szCs w:val="20"/>
                <w:color w:val="auto"/>
              </w:rPr>
            </w:pPr>
            <w:r>
              <w:rPr>
                <w:rFonts w:ascii="Arial" w:cs="Arial" w:eastAsia="Arial" w:hAnsi="Arial"/>
                <w:sz w:val="16"/>
                <w:szCs w:val="16"/>
                <w:color w:val="auto"/>
                <w:w w:val="99"/>
              </w:rPr>
              <w:t>—</w:t>
            </w:r>
          </w:p>
        </w:tc>
        <w:tc>
          <w:tcPr>
            <w:tcW w:w="820" w:type="dxa"/>
            <w:vAlign w:val="bottom"/>
            <w:gridSpan w:val="2"/>
            <w:shd w:val="clear" w:color="auto" w:fill="CFF0FC"/>
          </w:tcPr>
          <w:p>
            <w:pPr>
              <w:jc w:val="right"/>
              <w:ind w:right="542"/>
              <w:spacing w:after="0"/>
              <w:rPr>
                <w:sz w:val="20"/>
                <w:szCs w:val="20"/>
                <w:color w:val="auto"/>
              </w:rPr>
            </w:pPr>
            <w:r>
              <w:rPr>
                <w:rFonts w:ascii="Arial" w:cs="Arial" w:eastAsia="Arial" w:hAnsi="Arial"/>
                <w:sz w:val="16"/>
                <w:szCs w:val="16"/>
                <w:color w:val="auto"/>
              </w:rPr>
              <w:t>$</w:t>
            </w:r>
          </w:p>
        </w:tc>
        <w:tc>
          <w:tcPr>
            <w:tcW w:w="30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480,524</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1140" w:type="dxa"/>
            <w:vAlign w:val="bottom"/>
            <w:gridSpan w:val="5"/>
            <w:shd w:val="clear" w:color="auto" w:fill="CFF0FC"/>
          </w:tcPr>
          <w:p>
            <w:pPr>
              <w:jc w:val="right"/>
              <w:ind w:right="121"/>
              <w:spacing w:after="0"/>
              <w:rPr>
                <w:sz w:val="20"/>
                <w:szCs w:val="20"/>
                <w:color w:val="auto"/>
              </w:rPr>
            </w:pPr>
            <w:r>
              <w:rPr>
                <w:rFonts w:ascii="Arial" w:cs="Arial" w:eastAsia="Arial" w:hAnsi="Arial"/>
                <w:sz w:val="16"/>
                <w:szCs w:val="16"/>
                <w:color w:val="auto"/>
              </w:rPr>
              <w:t>(356,013 ) $</w:t>
            </w:r>
          </w:p>
        </w:tc>
        <w:tc>
          <w:tcPr>
            <w:tcW w:w="6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124,516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60" w:type="dxa"/>
            <w:vAlign w:val="bottom"/>
            <w:gridSpan w:val="2"/>
          </w:tcPr>
          <w:p>
            <w:pPr>
              <w:ind w:left="20"/>
              <w:spacing w:after="0"/>
              <w:rPr>
                <w:sz w:val="20"/>
                <w:szCs w:val="20"/>
                <w:color w:val="auto"/>
              </w:rPr>
            </w:pPr>
            <w:r>
              <w:rPr>
                <w:rFonts w:ascii="Arial" w:cs="Arial" w:eastAsia="Arial" w:hAnsi="Arial"/>
                <w:sz w:val="16"/>
                <w:szCs w:val="16"/>
                <w:color w:val="auto"/>
              </w:rPr>
              <w:t>Stock-based compensation expense</w:t>
            </w:r>
          </w:p>
        </w:tc>
        <w:tc>
          <w:tcPr>
            <w:tcW w:w="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ind w:left="8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gridSpan w:val="3"/>
          </w:tcPr>
          <w:p>
            <w:pPr>
              <w:ind w:lef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6"/>
                <w:szCs w:val="16"/>
                <w:color w:val="auto"/>
                <w:w w:val="99"/>
              </w:rPr>
              <w:t>3,517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w w:val="87"/>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4"/>
              </w:rPr>
              <w:t>3,517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w w:val="97"/>
              </w:rPr>
              <w:t>Issuance of common stock under equity incentive plans, net</w:t>
            </w:r>
          </w:p>
        </w:tc>
        <w:tc>
          <w:tcPr>
            <w:tcW w:w="3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1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of shares withheld for taxes</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88,428</w:t>
            </w: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ind w:left="8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w w:val="87"/>
              </w:rPr>
              <w:t>—</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160" w:type="dxa"/>
            <w:vAlign w:val="bottom"/>
            <w:gridSpan w:val="2"/>
          </w:tcPr>
          <w:p>
            <w:pPr>
              <w:ind w:left="20"/>
              <w:spacing w:after="0"/>
              <w:rPr>
                <w:sz w:val="20"/>
                <w:szCs w:val="20"/>
                <w:color w:val="auto"/>
              </w:rPr>
            </w:pPr>
            <w:r>
              <w:rPr>
                <w:rFonts w:ascii="Arial" w:cs="Arial" w:eastAsia="Arial" w:hAnsi="Arial"/>
                <w:sz w:val="16"/>
                <w:szCs w:val="16"/>
                <w:color w:val="auto"/>
              </w:rPr>
              <w:t>Issuance of common stock for Employee Stock Purchase</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20"/>
              <w:spacing w:after="0"/>
              <w:rPr>
                <w:sz w:val="20"/>
                <w:szCs w:val="20"/>
                <w:color w:val="auto"/>
              </w:rPr>
            </w:pPr>
            <w:r>
              <w:rPr>
                <w:rFonts w:ascii="Arial" w:cs="Arial" w:eastAsia="Arial" w:hAnsi="Arial"/>
                <w:sz w:val="16"/>
                <w:szCs w:val="16"/>
                <w:color w:val="auto"/>
              </w:rPr>
              <w:t>Plan</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gridSpan w:val="3"/>
          </w:tcPr>
          <w:p>
            <w:pPr>
              <w:ind w:lef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w w:val="87"/>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1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Issuance of common stock for director compensation</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15,661</w:t>
            </w:r>
          </w:p>
        </w:tc>
        <w:tc>
          <w:tcPr>
            <w:tcW w:w="1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ind w:left="8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30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w w:val="87"/>
              </w:rPr>
              <w:t>—</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160" w:type="dxa"/>
            <w:vAlign w:val="bottom"/>
            <w:gridSpan w:val="2"/>
          </w:tcPr>
          <w:p>
            <w:pPr>
              <w:ind w:left="20"/>
              <w:spacing w:after="0"/>
              <w:rPr>
                <w:sz w:val="20"/>
                <w:szCs w:val="20"/>
                <w:color w:val="auto"/>
              </w:rPr>
            </w:pPr>
            <w:r>
              <w:rPr>
                <w:rFonts w:ascii="Arial" w:cs="Arial" w:eastAsia="Arial" w:hAnsi="Arial"/>
                <w:sz w:val="16"/>
                <w:szCs w:val="16"/>
                <w:color w:val="auto"/>
              </w:rPr>
              <w:t>Taxes related to net share settlement of equity awards</w:t>
            </w:r>
          </w:p>
        </w:tc>
        <w:tc>
          <w:tcPr>
            <w:tcW w:w="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ind w:left="8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gridSpan w:val="3"/>
          </w:tcPr>
          <w:p>
            <w:pPr>
              <w:ind w:lef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6"/>
                <w:szCs w:val="16"/>
                <w:color w:val="auto"/>
              </w:rPr>
              <w:t>(46 )</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w w:val="87"/>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6"/>
                <w:szCs w:val="16"/>
                <w:color w:val="auto"/>
              </w:rPr>
              <w:t>(46 )</w:t>
            </w: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ind w:left="8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gridSpan w:val="4"/>
            <w:shd w:val="clear" w:color="auto" w:fill="CFF0FC"/>
          </w:tcPr>
          <w:p>
            <w:pPr>
              <w:jc w:val="right"/>
              <w:ind w:right="40"/>
              <w:spacing w:after="0"/>
              <w:rPr>
                <w:sz w:val="20"/>
                <w:szCs w:val="20"/>
                <w:color w:val="auto"/>
              </w:rPr>
            </w:pPr>
            <w:r>
              <w:rPr>
                <w:rFonts w:ascii="Arial" w:cs="Arial" w:eastAsia="Arial" w:hAnsi="Arial"/>
                <w:sz w:val="16"/>
                <w:szCs w:val="16"/>
                <w:color w:val="auto"/>
              </w:rPr>
              <w:t>(33,325 )</w:t>
            </w:r>
          </w:p>
        </w:tc>
        <w:tc>
          <w:tcPr>
            <w:tcW w:w="300" w:type="dxa"/>
            <w:vAlign w:val="bottom"/>
            <w:shd w:val="clear" w:color="auto" w:fill="CFF0FC"/>
          </w:tcPr>
          <w:p>
            <w:pPr>
              <w:spacing w:after="0"/>
              <w:rPr>
                <w:sz w:val="19"/>
                <w:szCs w:val="19"/>
                <w:color w:val="auto"/>
              </w:rPr>
            </w:pPr>
          </w:p>
        </w:tc>
        <w:tc>
          <w:tcPr>
            <w:tcW w:w="720" w:type="dxa"/>
            <w:vAlign w:val="bottom"/>
            <w:gridSpan w:val="4"/>
            <w:shd w:val="clear" w:color="auto" w:fill="CFF0FC"/>
          </w:tcPr>
          <w:p>
            <w:pPr>
              <w:jc w:val="right"/>
              <w:ind w:right="40"/>
              <w:spacing w:after="0"/>
              <w:rPr>
                <w:sz w:val="20"/>
                <w:szCs w:val="20"/>
                <w:color w:val="auto"/>
              </w:rPr>
            </w:pPr>
            <w:r>
              <w:rPr>
                <w:rFonts w:ascii="Arial" w:cs="Arial" w:eastAsia="Arial" w:hAnsi="Arial"/>
                <w:sz w:val="16"/>
                <w:szCs w:val="16"/>
                <w:color w:val="auto"/>
              </w:rPr>
              <w:t>(33,325 )</w:t>
            </w:r>
          </w:p>
        </w:tc>
        <w:tc>
          <w:tcPr>
            <w:tcW w:w="0" w:type="dxa"/>
            <w:vAlign w:val="bottom"/>
          </w:tcPr>
          <w:p>
            <w:pPr>
              <w:spacing w:after="0"/>
              <w:rPr>
                <w:sz w:val="1"/>
                <w:szCs w:val="1"/>
                <w:color w:val="auto"/>
              </w:rPr>
            </w:pPr>
          </w:p>
        </w:tc>
      </w:tr>
      <w:tr>
        <w:trPr>
          <w:trHeight w:val="23"/>
        </w:trPr>
        <w:tc>
          <w:tcPr>
            <w:tcW w:w="400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000" w:type="dxa"/>
            <w:vAlign w:val="bottom"/>
          </w:tcPr>
          <w:p>
            <w:pPr>
              <w:ind w:left="20"/>
              <w:spacing w:after="0"/>
              <w:rPr>
                <w:sz w:val="20"/>
                <w:szCs w:val="20"/>
                <w:color w:val="auto"/>
              </w:rPr>
            </w:pPr>
            <w:r>
              <w:rPr>
                <w:rFonts w:ascii="Arial" w:cs="Arial" w:eastAsia="Arial" w:hAnsi="Arial"/>
                <w:sz w:val="16"/>
                <w:szCs w:val="16"/>
                <w:color w:val="auto"/>
              </w:rPr>
              <w:t>Balance at September 30, 2023</w:t>
            </w:r>
          </w:p>
        </w:tc>
        <w:tc>
          <w:tcPr>
            <w:tcW w:w="1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w w:val="99"/>
              </w:rPr>
              <w:t>47,907,395</w:t>
            </w:r>
          </w:p>
        </w:tc>
        <w:tc>
          <w:tcPr>
            <w:tcW w:w="140" w:type="dxa"/>
            <w:vAlign w:val="bottom"/>
          </w:tcPr>
          <w:p>
            <w:pPr>
              <w:spacing w:after="0"/>
              <w:rPr>
                <w:sz w:val="19"/>
                <w:szCs w:val="19"/>
                <w:color w:val="auto"/>
              </w:rPr>
            </w:pPr>
          </w:p>
        </w:tc>
        <w:tc>
          <w:tcPr>
            <w:tcW w:w="460" w:type="dxa"/>
            <w:vAlign w:val="bottom"/>
          </w:tcPr>
          <w:p>
            <w:pPr>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ind w:left="8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9"/>
                <w:szCs w:val="19"/>
                <w:color w:val="auto"/>
              </w:rPr>
            </w:pPr>
          </w:p>
        </w:tc>
        <w:tc>
          <w:tcPr>
            <w:tcW w:w="720" w:type="dxa"/>
            <w:vAlign w:val="bottom"/>
          </w:tcPr>
          <w:p>
            <w:pPr>
              <w:jc w:val="right"/>
              <w:ind w:right="542"/>
              <w:spacing w:after="0"/>
              <w:rPr>
                <w:sz w:val="20"/>
                <w:szCs w:val="20"/>
                <w:color w:val="auto"/>
              </w:rPr>
            </w:pPr>
            <w:r>
              <w:rPr>
                <w:rFonts w:ascii="Arial" w:cs="Arial" w:eastAsia="Arial" w:hAnsi="Arial"/>
                <w:sz w:val="16"/>
                <w:szCs w:val="16"/>
                <w:color w:val="auto"/>
                <w:w w:val="89"/>
              </w:rPr>
              <w:t>$</w:t>
            </w:r>
          </w:p>
        </w:tc>
        <w:tc>
          <w:tcPr>
            <w:tcW w:w="200" w:type="dxa"/>
            <w:vAlign w:val="bottom"/>
            <w:gridSpan w:val="2"/>
          </w:tcPr>
          <w:p>
            <w:pPr>
              <w:ind w:left="2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3"/>
          </w:tcPr>
          <w:p>
            <w:pPr>
              <w:jc w:val="right"/>
              <w:spacing w:after="0"/>
              <w:rPr>
                <w:sz w:val="20"/>
                <w:szCs w:val="20"/>
                <w:color w:val="auto"/>
              </w:rPr>
            </w:pPr>
            <w:r>
              <w:rPr>
                <w:rFonts w:ascii="Arial" w:cs="Arial" w:eastAsia="Arial" w:hAnsi="Arial"/>
                <w:sz w:val="16"/>
                <w:szCs w:val="16"/>
                <w:color w:val="auto"/>
              </w:rPr>
              <w:t>484,036</w:t>
            </w:r>
          </w:p>
        </w:tc>
        <w:tc>
          <w:tcPr>
            <w:tcW w:w="12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140" w:type="dxa"/>
            <w:vAlign w:val="bottom"/>
            <w:gridSpan w:val="5"/>
          </w:tcPr>
          <w:p>
            <w:pPr>
              <w:jc w:val="right"/>
              <w:ind w:right="121"/>
              <w:spacing w:after="0"/>
              <w:rPr>
                <w:sz w:val="20"/>
                <w:szCs w:val="20"/>
                <w:color w:val="auto"/>
              </w:rPr>
            </w:pPr>
            <w:r>
              <w:rPr>
                <w:rFonts w:ascii="Arial" w:cs="Arial" w:eastAsia="Arial" w:hAnsi="Arial"/>
                <w:sz w:val="16"/>
                <w:szCs w:val="16"/>
                <w:color w:val="auto"/>
              </w:rPr>
              <w:t>(389,338 ) $</w:t>
            </w:r>
          </w:p>
        </w:tc>
        <w:tc>
          <w:tcPr>
            <w:tcW w:w="620" w:type="dxa"/>
            <w:vAlign w:val="bottom"/>
            <w:gridSpan w:val="3"/>
          </w:tcPr>
          <w:p>
            <w:pPr>
              <w:jc w:val="right"/>
              <w:spacing w:after="0"/>
              <w:rPr>
                <w:sz w:val="20"/>
                <w:szCs w:val="20"/>
                <w:color w:val="auto"/>
              </w:rPr>
            </w:pPr>
            <w:r>
              <w:rPr>
                <w:rFonts w:ascii="Arial" w:cs="Arial" w:eastAsia="Arial" w:hAnsi="Arial"/>
                <w:sz w:val="16"/>
                <w:szCs w:val="16"/>
                <w:color w:val="auto"/>
              </w:rPr>
              <w:t>94,703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3"/>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6"/>
        </w:trPr>
        <w:tc>
          <w:tcPr>
            <w:tcW w:w="4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13"/>
          </w:tcPr>
          <w:p>
            <w:pPr>
              <w:jc w:val="right"/>
              <w:ind w:right="140"/>
              <w:spacing w:after="0"/>
              <w:rPr>
                <w:sz w:val="20"/>
                <w:szCs w:val="20"/>
                <w:color w:val="auto"/>
              </w:rPr>
            </w:pPr>
            <w:r>
              <w:rPr>
                <w:rFonts w:ascii="Arial" w:cs="Arial" w:eastAsia="Arial" w:hAnsi="Arial"/>
                <w:sz w:val="14"/>
                <w:szCs w:val="14"/>
                <w:b w:val="1"/>
                <w:bCs w:val="1"/>
                <w:color w:val="auto"/>
              </w:rPr>
              <w:t>Three Months Ended September 30, 2022</w:t>
            </w: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rPr>
              <w:t>Class B</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5"/>
            <w:vMerge w:val="restart"/>
          </w:tcPr>
          <w:p>
            <w:pPr>
              <w:jc w:val="right"/>
              <w:ind w:right="300"/>
              <w:spacing w:after="0"/>
              <w:rPr>
                <w:sz w:val="20"/>
                <w:szCs w:val="20"/>
                <w:color w:val="auto"/>
              </w:rPr>
            </w:pPr>
            <w:r>
              <w:rPr>
                <w:rFonts w:ascii="Arial" w:cs="Arial" w:eastAsia="Arial" w:hAnsi="Arial"/>
                <w:sz w:val="14"/>
                <w:szCs w:val="14"/>
                <w:b w:val="1"/>
                <w:bCs w:val="1"/>
                <w:color w:val="auto"/>
              </w:rPr>
              <w:t>Additional</w:t>
            </w:r>
          </w:p>
        </w:tc>
        <w:tc>
          <w:tcPr>
            <w:tcW w:w="5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4"/>
              </w:rPr>
              <w:t>Accumul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center"/>
              <w:ind w:right="20"/>
              <w:spacing w:after="0" w:line="139"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4"/>
            <w:vMerge w:val="restart"/>
          </w:tcPr>
          <w:p>
            <w:pPr>
              <w:spacing w:after="0"/>
              <w:rPr>
                <w:sz w:val="20"/>
                <w:szCs w:val="20"/>
                <w:color w:val="auto"/>
              </w:rPr>
            </w:pPr>
            <w:r>
              <w:rPr>
                <w:rFonts w:ascii="Arial" w:cs="Arial" w:eastAsia="Arial" w:hAnsi="Arial"/>
                <w:sz w:val="14"/>
                <w:szCs w:val="14"/>
                <w:b w:val="1"/>
                <w:bCs w:val="1"/>
                <w:color w:val="auto"/>
                <w:w w:val="93"/>
              </w:rPr>
              <w:t>Common Stock</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5"/>
            <w:vMerge w:val="continue"/>
          </w:tcPr>
          <w:p>
            <w:pPr>
              <w:spacing w:after="0"/>
              <w:rPr>
                <w:sz w:val="12"/>
                <w:szCs w:val="12"/>
                <w:color w:val="auto"/>
              </w:rPr>
            </w:pPr>
          </w:p>
        </w:tc>
        <w:tc>
          <w:tcPr>
            <w:tcW w:w="5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tcPr>
          <w:p>
            <w:pPr>
              <w:jc w:val="center"/>
              <w:ind w:right="120"/>
              <w:spacing w:after="0" w:line="145" w:lineRule="exact"/>
              <w:rPr>
                <w:sz w:val="20"/>
                <w:szCs w:val="20"/>
                <w:color w:val="auto"/>
              </w:rPr>
            </w:pPr>
            <w:r>
              <w:rPr>
                <w:rFonts w:ascii="Arial" w:cs="Arial" w:eastAsia="Arial" w:hAnsi="Arial"/>
                <w:sz w:val="14"/>
                <w:szCs w:val="14"/>
                <w:b w:val="1"/>
                <w:bCs w:val="1"/>
                <w:color w:val="auto"/>
                <w:w w:val="89"/>
              </w:rPr>
              <w:t>Stockh</w:t>
            </w:r>
          </w:p>
        </w:tc>
        <w:tc>
          <w:tcPr>
            <w:tcW w:w="0" w:type="dxa"/>
            <w:vAlign w:val="bottom"/>
          </w:tcPr>
          <w:p>
            <w:pPr>
              <w:spacing w:after="0"/>
              <w:rPr>
                <w:sz w:val="1"/>
                <w:szCs w:val="1"/>
                <w:color w:val="auto"/>
              </w:rPr>
            </w:pPr>
          </w:p>
        </w:tc>
      </w:tr>
      <w:tr>
        <w:trPr>
          <w:trHeight w:val="176"/>
        </w:trPr>
        <w:tc>
          <w:tcPr>
            <w:tcW w:w="4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4"/>
            <w:vMerge w:val="continue"/>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Common Stock</w:t>
            </w:r>
          </w:p>
        </w:tc>
        <w:tc>
          <w:tcPr>
            <w:tcW w:w="3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Paid-in</w:t>
            </w:r>
          </w:p>
        </w:tc>
        <w:tc>
          <w:tcPr>
            <w:tcW w:w="580" w:type="dxa"/>
            <w:vAlign w:val="bottom"/>
            <w:gridSpan w:val="3"/>
          </w:tcPr>
          <w:p>
            <w:pPr>
              <w:jc w:val="right"/>
              <w:ind w:right="81"/>
              <w:spacing w:after="0"/>
              <w:rPr>
                <w:sz w:val="20"/>
                <w:szCs w:val="20"/>
                <w:color w:val="auto"/>
              </w:rPr>
            </w:pPr>
            <w:r>
              <w:rPr>
                <w:rFonts w:ascii="Arial" w:cs="Arial" w:eastAsia="Arial" w:hAnsi="Arial"/>
                <w:sz w:val="14"/>
                <w:szCs w:val="14"/>
                <w:b w:val="1"/>
                <w:bCs w:val="1"/>
                <w:color w:val="auto"/>
              </w:rPr>
              <w:t>ated</w:t>
            </w:r>
          </w:p>
        </w:tc>
        <w:tc>
          <w:tcPr>
            <w:tcW w:w="100" w:type="dxa"/>
            <w:vAlign w:val="bottom"/>
          </w:tcPr>
          <w:p>
            <w:pPr>
              <w:spacing w:after="0"/>
              <w:rPr>
                <w:sz w:val="15"/>
                <w:szCs w:val="15"/>
                <w:color w:val="auto"/>
              </w:rPr>
            </w:pPr>
          </w:p>
        </w:tc>
        <w:tc>
          <w:tcPr>
            <w:tcW w:w="6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olders’</w:t>
            </w:r>
          </w:p>
        </w:tc>
        <w:tc>
          <w:tcPr>
            <w:tcW w:w="0" w:type="dxa"/>
            <w:vAlign w:val="bottom"/>
          </w:tcPr>
          <w:p>
            <w:pPr>
              <w:spacing w:after="0"/>
              <w:rPr>
                <w:sz w:val="1"/>
                <w:szCs w:val="1"/>
                <w:color w:val="auto"/>
              </w:rPr>
            </w:pPr>
          </w:p>
        </w:tc>
      </w:tr>
      <w:tr>
        <w:trPr>
          <w:trHeight w:val="169"/>
        </w:trPr>
        <w:tc>
          <w:tcPr>
            <w:tcW w:w="4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3"/>
          </w:tcPr>
          <w:p>
            <w:pPr>
              <w:jc w:val="right"/>
              <w:ind w:right="262"/>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000" w:type="dxa"/>
            <w:vAlign w:val="bottom"/>
            <w:gridSpan w:val="3"/>
          </w:tcPr>
          <w:p>
            <w:pPr>
              <w:jc w:val="right"/>
              <w:ind w:right="162"/>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tcPr>
          <w:p>
            <w:pPr>
              <w:jc w:val="right"/>
              <w:ind w:right="242"/>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11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Capital</w:t>
            </w:r>
          </w:p>
        </w:tc>
        <w:tc>
          <w:tcPr>
            <w:tcW w:w="580" w:type="dxa"/>
            <w:vAlign w:val="bottom"/>
            <w:gridSpan w:val="3"/>
          </w:tcPr>
          <w:p>
            <w:pPr>
              <w:jc w:val="right"/>
              <w:ind w:right="21"/>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6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0"/>
        </w:trPr>
        <w:tc>
          <w:tcPr>
            <w:tcW w:w="41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Balance at June 30, 2022</w:t>
            </w:r>
          </w:p>
        </w:tc>
        <w:tc>
          <w:tcPr>
            <w:tcW w:w="320" w:type="dxa"/>
            <w:vAlign w:val="bottom"/>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6"/>
                <w:szCs w:val="16"/>
                <w:color w:val="auto"/>
              </w:rPr>
              <w:t>(239,4</w:t>
            </w:r>
          </w:p>
        </w:tc>
        <w:tc>
          <w:tcPr>
            <w:tcW w:w="10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4"/>
              </w:rPr>
              <w:t>164,9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gridSpan w:val="4"/>
            <w:shd w:val="clear" w:color="auto" w:fill="CFF0FC"/>
          </w:tcPr>
          <w:p>
            <w:pPr>
              <w:jc w:val="right"/>
              <w:spacing w:after="0"/>
              <w:rPr>
                <w:sz w:val="20"/>
                <w:szCs w:val="20"/>
                <w:color w:val="auto"/>
              </w:rPr>
            </w:pPr>
            <w:r>
              <w:rPr>
                <w:rFonts w:ascii="Arial" w:cs="Arial" w:eastAsia="Arial" w:hAnsi="Arial"/>
                <w:sz w:val="16"/>
                <w:szCs w:val="16"/>
                <w:color w:val="auto"/>
              </w:rPr>
              <w:t>35,993,458</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1,492,059</w:t>
            </w:r>
          </w:p>
        </w:tc>
        <w:tc>
          <w:tcPr>
            <w:tcW w:w="300" w:type="dxa"/>
            <w:vAlign w:val="bottom"/>
            <w:gridSpan w:val="3"/>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ind w:left="200"/>
              <w:spacing w:after="0"/>
              <w:rPr>
                <w:sz w:val="20"/>
                <w:szCs w:val="20"/>
                <w:color w:val="auto"/>
              </w:rPr>
            </w:pPr>
            <w:r>
              <w:rPr>
                <w:rFonts w:ascii="Arial" w:cs="Arial" w:eastAsia="Arial" w:hAnsi="Arial"/>
                <w:sz w:val="16"/>
                <w:szCs w:val="16"/>
                <w:color w:val="auto"/>
                <w:w w:val="87"/>
              </w:rPr>
              <w:t>—</w:t>
            </w:r>
          </w:p>
        </w:tc>
        <w:tc>
          <w:tcPr>
            <w:tcW w:w="420" w:type="dxa"/>
            <w:vAlign w:val="bottom"/>
            <w:gridSpan w:val="2"/>
            <w:shd w:val="clear" w:color="auto" w:fill="CFF0FC"/>
          </w:tcPr>
          <w:p>
            <w:pPr>
              <w:jc w:val="right"/>
              <w:ind w:right="124"/>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w w:val="96"/>
              </w:rPr>
              <w:t>404,427</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5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79 ) $</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60" w:type="dxa"/>
            <w:vAlign w:val="bottom"/>
            <w:gridSpan w:val="2"/>
          </w:tcPr>
          <w:p>
            <w:pPr>
              <w:ind w:left="20"/>
              <w:spacing w:after="0"/>
              <w:rPr>
                <w:sz w:val="20"/>
                <w:szCs w:val="20"/>
                <w:color w:val="auto"/>
              </w:rPr>
            </w:pPr>
            <w:r>
              <w:rPr>
                <w:rFonts w:ascii="Arial" w:cs="Arial" w:eastAsia="Arial" w:hAnsi="Arial"/>
                <w:sz w:val="16"/>
                <w:szCs w:val="16"/>
                <w:color w:val="auto"/>
              </w:rPr>
              <w:t>Stock-based compensation expense</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ind w:left="200"/>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99"/>
              </w:rPr>
              <w:t>3,588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4"/>
              </w:rPr>
              <w:t>3,588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w w:val="93"/>
              </w:rPr>
              <w:t>Issuance of common stock under equity incentive plans, net of</w:t>
            </w:r>
          </w:p>
        </w:tc>
        <w:tc>
          <w:tcPr>
            <w:tcW w:w="3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1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shares withheld for taxes</w:t>
            </w:r>
          </w:p>
        </w:tc>
        <w:tc>
          <w:tcPr>
            <w:tcW w:w="3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91,759</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ind w:left="200"/>
              <w:spacing w:after="0"/>
              <w:rPr>
                <w:sz w:val="20"/>
                <w:szCs w:val="20"/>
                <w:color w:val="auto"/>
              </w:rPr>
            </w:pPr>
            <w:r>
              <w:rPr>
                <w:rFonts w:ascii="Arial" w:cs="Arial" w:eastAsia="Arial" w:hAnsi="Arial"/>
                <w:sz w:val="16"/>
                <w:szCs w:val="16"/>
                <w:color w:val="auto"/>
                <w:w w:val="87"/>
              </w:rPr>
              <w:t>—</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4160" w:type="dxa"/>
            <w:vAlign w:val="bottom"/>
            <w:gridSpan w:val="2"/>
          </w:tcPr>
          <w:p>
            <w:pPr>
              <w:ind w:left="20"/>
              <w:spacing w:after="0"/>
              <w:rPr>
                <w:sz w:val="20"/>
                <w:szCs w:val="20"/>
                <w:color w:val="auto"/>
              </w:rPr>
            </w:pPr>
            <w:r>
              <w:rPr>
                <w:rFonts w:ascii="Arial" w:cs="Arial" w:eastAsia="Arial" w:hAnsi="Arial"/>
                <w:sz w:val="16"/>
                <w:szCs w:val="16"/>
                <w:color w:val="auto"/>
              </w:rPr>
              <w:t>Taxes related to net share settlement of equity awards</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ind w:left="200"/>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auto"/>
              </w:rPr>
              <w:t>(127 )</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6"/>
                <w:szCs w:val="16"/>
                <w:color w:val="auto"/>
              </w:rPr>
              <w:t>(127 )</w:t>
            </w:r>
          </w:p>
        </w:tc>
        <w:tc>
          <w:tcPr>
            <w:tcW w:w="0" w:type="dxa"/>
            <w:vAlign w:val="bottom"/>
          </w:tcPr>
          <w:p>
            <w:pPr>
              <w:spacing w:after="0"/>
              <w:rPr>
                <w:sz w:val="1"/>
                <w:szCs w:val="1"/>
                <w:color w:val="auto"/>
              </w:rPr>
            </w:pPr>
          </w:p>
        </w:tc>
      </w:tr>
      <w:tr>
        <w:trPr>
          <w:trHeight w:val="239"/>
        </w:trPr>
        <w:tc>
          <w:tcPr>
            <w:tcW w:w="41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Conversion of Class B Common Stock</w:t>
            </w:r>
          </w:p>
        </w:tc>
        <w:tc>
          <w:tcPr>
            <w:tcW w:w="3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280,100</w:t>
            </w: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gridSpan w:val="3"/>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94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(280,100 )</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ind w:left="200"/>
              <w:spacing w:after="0"/>
              <w:rPr>
                <w:sz w:val="20"/>
                <w:szCs w:val="20"/>
                <w:color w:val="auto"/>
              </w:rPr>
            </w:pPr>
            <w:r>
              <w:rPr>
                <w:rFonts w:ascii="Arial" w:cs="Arial" w:eastAsia="Arial" w:hAnsi="Arial"/>
                <w:sz w:val="16"/>
                <w:szCs w:val="16"/>
                <w:color w:val="auto"/>
                <w:w w:val="87"/>
              </w:rPr>
              <w:t>—</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160" w:type="dxa"/>
            <w:vAlign w:val="bottom"/>
            <w:gridSpan w:val="2"/>
          </w:tcPr>
          <w:p>
            <w:pPr>
              <w:ind w:left="20"/>
              <w:spacing w:after="0"/>
              <w:rPr>
                <w:sz w:val="20"/>
                <w:szCs w:val="20"/>
                <w:color w:val="auto"/>
              </w:rPr>
            </w:pPr>
            <w:r>
              <w:rPr>
                <w:rFonts w:ascii="Arial" w:cs="Arial" w:eastAsia="Arial" w:hAnsi="Arial"/>
                <w:sz w:val="16"/>
                <w:szCs w:val="16"/>
                <w:color w:val="auto"/>
              </w:rPr>
              <w:t>Net loss</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3"/>
          </w:tcPr>
          <w:p>
            <w:pPr>
              <w:jc w:val="right"/>
              <w:spacing w:after="0"/>
              <w:rPr>
                <w:sz w:val="20"/>
                <w:szCs w:val="20"/>
                <w:color w:val="auto"/>
              </w:rPr>
            </w:pPr>
            <w:r>
              <w:rPr>
                <w:rFonts w:ascii="Arial" w:cs="Arial" w:eastAsia="Arial" w:hAnsi="Arial"/>
                <w:sz w:val="16"/>
                <w:szCs w:val="16"/>
                <w:color w:val="auto"/>
              </w:rPr>
              <w:t>(25,77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ind w:left="200"/>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9 )</w:t>
            </w:r>
          </w:p>
        </w:tc>
        <w:tc>
          <w:tcPr>
            <w:tcW w:w="10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6"/>
                <w:szCs w:val="16"/>
                <w:color w:val="auto"/>
              </w:rPr>
              <w:t>79 )</w:t>
            </w:r>
          </w:p>
        </w:tc>
        <w:tc>
          <w:tcPr>
            <w:tcW w:w="0" w:type="dxa"/>
            <w:vAlign w:val="bottom"/>
          </w:tcPr>
          <w:p>
            <w:pPr>
              <w:spacing w:after="0"/>
              <w:rPr>
                <w:sz w:val="1"/>
                <w:szCs w:val="1"/>
                <w:color w:val="auto"/>
              </w:rPr>
            </w:pPr>
          </w:p>
        </w:tc>
      </w:tr>
      <w:tr>
        <w:trPr>
          <w:trHeight w:val="206"/>
        </w:trPr>
        <w:tc>
          <w:tcPr>
            <w:tcW w:w="41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Balance at September 30, 2022</w:t>
            </w:r>
          </w:p>
        </w:tc>
        <w:tc>
          <w:tcPr>
            <w:tcW w:w="320" w:type="dxa"/>
            <w:vAlign w:val="bottom"/>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6"/>
                <w:szCs w:val="16"/>
                <w:color w:val="auto"/>
              </w:rPr>
              <w:t>(265,2</w:t>
            </w:r>
          </w:p>
        </w:tc>
        <w:tc>
          <w:tcPr>
            <w:tcW w:w="10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4"/>
              </w:rPr>
              <w:t>142,6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36,365,317</w:t>
            </w: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100"/>
              <w:spacing w:after="0"/>
              <w:rPr>
                <w:sz w:val="20"/>
                <w:szCs w:val="20"/>
                <w:color w:val="auto"/>
              </w:rPr>
            </w:pPr>
            <w:r>
              <w:rPr>
                <w:rFonts w:ascii="Arial" w:cs="Arial" w:eastAsia="Arial" w:hAnsi="Arial"/>
                <w:sz w:val="16"/>
                <w:szCs w:val="16"/>
                <w:color w:val="auto"/>
                <w:w w:val="89"/>
              </w:rPr>
              <w:t>$</w:t>
            </w: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1,211,959</w:t>
            </w:r>
          </w:p>
        </w:tc>
        <w:tc>
          <w:tcPr>
            <w:tcW w:w="120" w:type="dxa"/>
            <w:vAlign w:val="bottom"/>
            <w:shd w:val="clear" w:color="auto" w:fill="CFF0FC"/>
          </w:tcPr>
          <w:p>
            <w:pPr>
              <w:spacing w:after="0"/>
              <w:rPr>
                <w:sz w:val="20"/>
                <w:szCs w:val="20"/>
                <w:color w:val="auto"/>
              </w:rPr>
            </w:pPr>
          </w:p>
        </w:tc>
        <w:tc>
          <w:tcPr>
            <w:tcW w:w="1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ind w:left="200"/>
              <w:spacing w:after="0"/>
              <w:rPr>
                <w:sz w:val="20"/>
                <w:szCs w:val="20"/>
                <w:color w:val="auto"/>
              </w:rPr>
            </w:pPr>
            <w:r>
              <w:rPr>
                <w:rFonts w:ascii="Arial" w:cs="Arial" w:eastAsia="Arial" w:hAnsi="Arial"/>
                <w:sz w:val="16"/>
                <w:szCs w:val="16"/>
                <w:color w:val="auto"/>
                <w:w w:val="87"/>
              </w:rPr>
              <w:t>—</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24"/>
              <w:spacing w:after="0"/>
              <w:rPr>
                <w:sz w:val="20"/>
                <w:szCs w:val="20"/>
                <w:color w:val="auto"/>
              </w:rPr>
            </w:pPr>
            <w:r>
              <w:rPr>
                <w:rFonts w:ascii="Arial" w:cs="Arial" w:eastAsia="Arial" w:hAnsi="Arial"/>
                <w:sz w:val="16"/>
                <w:szCs w:val="16"/>
                <w:color w:val="auto"/>
                <w:w w:val="89"/>
              </w:rPr>
              <w:t>$</w:t>
            </w:r>
          </w:p>
        </w:tc>
        <w:tc>
          <w:tcPr>
            <w:tcW w:w="120" w:type="dxa"/>
            <w:vAlign w:val="bottom"/>
            <w:shd w:val="clear" w:color="auto" w:fill="CFF0FC"/>
          </w:tcPr>
          <w:p>
            <w:pPr>
              <w:spacing w:after="0"/>
              <w:rPr>
                <w:sz w:val="20"/>
                <w:szCs w:val="20"/>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w w:val="96"/>
              </w:rPr>
              <w:t>407,888</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5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58 ) $</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-2802255</wp:posOffset>
            </wp:positionV>
            <wp:extent cx="76835" cy="1797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-2802255</wp:posOffset>
            </wp:positionV>
            <wp:extent cx="77470" cy="1797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-2802255</wp:posOffset>
            </wp:positionV>
            <wp:extent cx="68580" cy="1797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-2802255</wp:posOffset>
            </wp:positionV>
            <wp:extent cx="68580" cy="1797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-2802255</wp:posOffset>
            </wp:positionV>
            <wp:extent cx="68580" cy="1797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-2802255</wp:posOffset>
            </wp:positionV>
            <wp:extent cx="68580" cy="1797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-2802255</wp:posOffset>
            </wp:positionV>
            <wp:extent cx="68580" cy="1797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-24765</wp:posOffset>
            </wp:positionV>
            <wp:extent cx="774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-7620</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-24765</wp:posOffset>
            </wp:positionV>
            <wp:extent cx="774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-7620</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-24765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-7620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-24765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-7620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-24765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-7620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-24765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-7620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BioAtla,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Condensed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8"/>
          </w:tcPr>
          <w:p>
            <w:pPr>
              <w:jc w:val="right"/>
              <w:ind w:right="420"/>
              <w:spacing w:after="0"/>
              <w:rPr>
                <w:sz w:val="20"/>
                <w:szCs w:val="20"/>
                <w:color w:val="auto"/>
              </w:rPr>
            </w:pPr>
            <w:r>
              <w:rPr>
                <w:rFonts w:ascii="Arial" w:cs="Arial" w:eastAsia="Arial" w:hAnsi="Arial"/>
                <w:sz w:val="14"/>
                <w:szCs w:val="14"/>
                <w:b w:val="1"/>
                <w:bCs w:val="1"/>
                <w:color w:val="auto"/>
              </w:rPr>
              <w:t>Nine Months Ended September 30, 2023</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980" w:type="dxa"/>
            <w:vAlign w:val="bottom"/>
            <w:gridSpan w:val="4"/>
            <w:vMerge w:val="restart"/>
          </w:tcPr>
          <w:p>
            <w:pPr>
              <w:jc w:val="right"/>
              <w:ind w:right="44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2"/>
                <w:szCs w:val="12"/>
                <w:color w:val="auto"/>
              </w:rPr>
            </w:pPr>
          </w:p>
        </w:tc>
        <w:tc>
          <w:tcPr>
            <w:tcW w:w="1800" w:type="dxa"/>
            <w:vAlign w:val="bottom"/>
            <w:gridSpan w:val="3"/>
          </w:tcPr>
          <w:p>
            <w:pPr>
              <w:jc w:val="center"/>
              <w:ind w:left="102"/>
              <w:spacing w:after="0" w:line="149" w:lineRule="exact"/>
              <w:rPr>
                <w:sz w:val="20"/>
                <w:szCs w:val="20"/>
                <w:color w:val="auto"/>
              </w:rPr>
            </w:pPr>
            <w:r>
              <w:rPr>
                <w:rFonts w:ascii="Arial" w:cs="Arial" w:eastAsia="Arial" w:hAnsi="Arial"/>
                <w:sz w:val="14"/>
                <w:szCs w:val="14"/>
                <w:b w:val="1"/>
                <w:bCs w:val="1"/>
                <w:color w:val="auto"/>
                <w:w w:val="89"/>
              </w:rPr>
              <w:t>Class B</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0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5"/>
        </w:trPr>
        <w:tc>
          <w:tcPr>
            <w:tcW w:w="4000" w:type="dxa"/>
            <w:vAlign w:val="bottom"/>
          </w:tcPr>
          <w:p>
            <w:pPr>
              <w:spacing w:after="0"/>
              <w:rPr>
                <w:sz w:val="15"/>
                <w:szCs w:val="15"/>
                <w:color w:val="auto"/>
              </w:rPr>
            </w:pPr>
          </w:p>
        </w:tc>
        <w:tc>
          <w:tcPr>
            <w:tcW w:w="1980" w:type="dxa"/>
            <w:vAlign w:val="bottom"/>
            <w:tcBorders>
              <w:bottom w:val="single" w:sz="8" w:color="auto"/>
            </w:tcBorders>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Borders>
              <w:bottom w:val="single" w:sz="8" w:color="auto"/>
            </w:tcBorders>
            <w:gridSpan w:val="3"/>
          </w:tcPr>
          <w:p>
            <w:pPr>
              <w:jc w:val="center"/>
              <w:ind w:left="122"/>
              <w:spacing w:after="0"/>
              <w:rPr>
                <w:sz w:val="20"/>
                <w:szCs w:val="20"/>
                <w:color w:val="auto"/>
              </w:rPr>
            </w:pPr>
            <w:r>
              <w:rPr>
                <w:rFonts w:ascii="Arial" w:cs="Arial" w:eastAsia="Arial" w:hAnsi="Arial"/>
                <w:sz w:val="14"/>
                <w:szCs w:val="14"/>
                <w:b w:val="1"/>
                <w:bCs w:val="1"/>
                <w:color w:val="auto"/>
                <w:w w:val="93"/>
              </w:rPr>
              <w:t>Common Stock</w:t>
            </w:r>
          </w:p>
        </w:tc>
        <w:tc>
          <w:tcPr>
            <w:tcW w:w="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Paid-in</w:t>
            </w:r>
          </w:p>
        </w:tc>
        <w:tc>
          <w:tcPr>
            <w:tcW w:w="1000" w:type="dxa"/>
            <w:vAlign w:val="bottom"/>
            <w:gridSpan w:val="3"/>
            <w:vMerge w:val="continue"/>
          </w:tcPr>
          <w:p>
            <w:pPr>
              <w:spacing w:after="0"/>
              <w:rPr>
                <w:sz w:val="15"/>
                <w:szCs w:val="15"/>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69"/>
        </w:trPr>
        <w:tc>
          <w:tcPr>
            <w:tcW w:w="4000" w:type="dxa"/>
            <w:vAlign w:val="bottom"/>
          </w:tcPr>
          <w:p>
            <w:pPr>
              <w:spacing w:after="0"/>
              <w:rPr>
                <w:sz w:val="14"/>
                <w:szCs w:val="14"/>
                <w:color w:val="auto"/>
              </w:rPr>
            </w:pPr>
          </w:p>
        </w:tc>
        <w:tc>
          <w:tcPr>
            <w:tcW w:w="98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4"/>
                <w:szCs w:val="14"/>
                <w:color w:val="auto"/>
              </w:rPr>
            </w:pPr>
          </w:p>
        </w:tc>
        <w:tc>
          <w:tcPr>
            <w:tcW w:w="98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8"/>
              </w:rPr>
              <w:t>Deficit</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3"/>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at December 31, 2022</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46,336,166</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1,211,959</w:t>
            </w: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42"/>
              <w:spacing w:after="0"/>
              <w:rPr>
                <w:sz w:val="20"/>
                <w:szCs w:val="20"/>
                <w:color w:val="auto"/>
              </w:rPr>
            </w:pPr>
            <w:r>
              <w:rPr>
                <w:rFonts w:ascii="Arial" w:cs="Arial" w:eastAsia="Arial" w:hAnsi="Arial"/>
                <w:sz w:val="16"/>
                <w:szCs w:val="16"/>
                <w:color w:val="auto"/>
                <w:w w:val="89"/>
              </w:rPr>
              <w:t>$</w:t>
            </w: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w w:val="99"/>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473,135</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gridSpan w:val="3"/>
            <w:shd w:val="clear" w:color="auto" w:fill="CFF0FC"/>
          </w:tcPr>
          <w:p>
            <w:pPr>
              <w:jc w:val="right"/>
              <w:ind w:right="8"/>
              <w:spacing w:after="0"/>
              <w:rPr>
                <w:sz w:val="20"/>
                <w:szCs w:val="20"/>
                <w:color w:val="auto"/>
              </w:rPr>
            </w:pPr>
            <w:r>
              <w:rPr>
                <w:rFonts w:ascii="Arial" w:cs="Arial" w:eastAsia="Arial" w:hAnsi="Arial"/>
                <w:sz w:val="16"/>
                <w:szCs w:val="16"/>
                <w:color w:val="auto"/>
              </w:rPr>
              <w:t>(292,801 ) $</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180,339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0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10,806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10,806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ind w:left="20"/>
              <w:spacing w:after="0"/>
              <w:rPr>
                <w:sz w:val="20"/>
                <w:szCs w:val="20"/>
                <w:color w:val="auto"/>
              </w:rPr>
            </w:pPr>
            <w:r>
              <w:rPr>
                <w:rFonts w:ascii="Arial" w:cs="Arial" w:eastAsia="Arial" w:hAnsi="Arial"/>
                <w:sz w:val="16"/>
                <w:szCs w:val="16"/>
                <w:color w:val="auto"/>
                <w:w w:val="93"/>
              </w:rPr>
              <w:t>Issuance of common stock under equity incentive plans, net</w:t>
            </w: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of shares withheld for taxes</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268,009</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000" w:type="dxa"/>
            <w:vAlign w:val="bottom"/>
          </w:tcPr>
          <w:p>
            <w:pPr>
              <w:ind w:left="20"/>
              <w:spacing w:after="0"/>
              <w:rPr>
                <w:sz w:val="20"/>
                <w:szCs w:val="20"/>
                <w:color w:val="auto"/>
              </w:rPr>
            </w:pPr>
            <w:r>
              <w:rPr>
                <w:rFonts w:ascii="Arial" w:cs="Arial" w:eastAsia="Arial" w:hAnsi="Arial"/>
                <w:sz w:val="16"/>
                <w:szCs w:val="16"/>
                <w:color w:val="auto"/>
                <w:w w:val="97"/>
              </w:rPr>
              <w:t>Issuance of common stock for Employee Stock Purchase</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20"/>
              <w:spacing w:after="0"/>
              <w:rPr>
                <w:sz w:val="20"/>
                <w:szCs w:val="20"/>
                <w:color w:val="auto"/>
              </w:rPr>
            </w:pPr>
            <w:r>
              <w:rPr>
                <w:rFonts w:ascii="Arial" w:cs="Arial" w:eastAsia="Arial" w:hAnsi="Arial"/>
                <w:sz w:val="16"/>
                <w:szCs w:val="16"/>
                <w:color w:val="auto"/>
              </w:rPr>
              <w:t>Plan</w:t>
            </w:r>
          </w:p>
        </w:tc>
        <w:tc>
          <w:tcPr>
            <w:tcW w:w="980" w:type="dxa"/>
            <w:vAlign w:val="bottom"/>
          </w:tcPr>
          <w:p>
            <w:pPr>
              <w:jc w:val="right"/>
              <w:spacing w:after="0"/>
              <w:rPr>
                <w:sz w:val="20"/>
                <w:szCs w:val="20"/>
                <w:color w:val="auto"/>
              </w:rPr>
            </w:pPr>
            <w:r>
              <w:rPr>
                <w:rFonts w:ascii="Arial" w:cs="Arial" w:eastAsia="Arial" w:hAnsi="Arial"/>
                <w:sz w:val="16"/>
                <w:szCs w:val="16"/>
                <w:color w:val="auto"/>
              </w:rPr>
              <w:t>56,793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Issuance of common stock for director compensation</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34,468</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spacing w:after="0"/>
              <w:rPr>
                <w:sz w:val="20"/>
                <w:szCs w:val="20"/>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000" w:type="dxa"/>
            <w:vAlign w:val="bottom"/>
          </w:tcPr>
          <w:p>
            <w:pPr>
              <w:ind w:left="20"/>
              <w:spacing w:after="0"/>
              <w:rPr>
                <w:sz w:val="20"/>
                <w:szCs w:val="20"/>
                <w:color w:val="auto"/>
              </w:rPr>
            </w:pPr>
            <w:r>
              <w:rPr>
                <w:rFonts w:ascii="Arial" w:cs="Arial" w:eastAsia="Arial" w:hAnsi="Arial"/>
                <w:sz w:val="16"/>
                <w:szCs w:val="16"/>
                <w:color w:val="auto"/>
              </w:rPr>
              <w:t>Taxes related to net share settlement of equity awards</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(173 )</w:t>
            </w:r>
          </w:p>
        </w:tc>
        <w:tc>
          <w:tcPr>
            <w:tcW w:w="16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(173 )</w:t>
            </w:r>
          </w:p>
        </w:tc>
        <w:tc>
          <w:tcPr>
            <w:tcW w:w="0" w:type="dxa"/>
            <w:vAlign w:val="bottom"/>
          </w:tcPr>
          <w:p>
            <w:pPr>
              <w:spacing w:after="0"/>
              <w:rPr>
                <w:sz w:val="1"/>
                <w:szCs w:val="1"/>
                <w:color w:val="auto"/>
              </w:rPr>
            </w:pPr>
          </w:p>
        </w:tc>
      </w:tr>
      <w:tr>
        <w:trPr>
          <w:trHeight w:val="239"/>
        </w:trPr>
        <w:tc>
          <w:tcPr>
            <w:tcW w:w="4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Conversion of Class B common stock</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1,211,959</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(1,211,959 )</w:t>
            </w:r>
          </w:p>
        </w:tc>
        <w:tc>
          <w:tcPr>
            <w:tcW w:w="720" w:type="dxa"/>
            <w:vAlign w:val="bottom"/>
            <w:shd w:val="clear" w:color="auto" w:fill="CFF0FC"/>
          </w:tcPr>
          <w:p>
            <w:pPr>
              <w:spacing w:after="0"/>
              <w:rPr>
                <w:sz w:val="20"/>
                <w:szCs w:val="20"/>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4000" w:type="dxa"/>
            <w:vAlign w:val="bottom"/>
          </w:tcPr>
          <w:p>
            <w:pPr>
              <w:ind w:left="20"/>
              <w:spacing w:after="0"/>
              <w:rPr>
                <w:sz w:val="20"/>
                <w:szCs w:val="20"/>
                <w:color w:val="auto"/>
              </w:rPr>
            </w:pPr>
            <w:r>
              <w:rPr>
                <w:rFonts w:ascii="Arial" w:cs="Arial" w:eastAsia="Arial" w:hAnsi="Arial"/>
                <w:sz w:val="16"/>
                <w:szCs w:val="16"/>
                <w:color w:val="auto"/>
              </w:rPr>
              <w:t>Net loss</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(96,537 )</w:t>
            </w:r>
          </w:p>
        </w:tc>
        <w:tc>
          <w:tcPr>
            <w:tcW w:w="1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(96,537 )</w:t>
            </w:r>
          </w:p>
        </w:tc>
        <w:tc>
          <w:tcPr>
            <w:tcW w:w="0" w:type="dxa"/>
            <w:vAlign w:val="bottom"/>
          </w:tcPr>
          <w:p>
            <w:pPr>
              <w:spacing w:after="0"/>
              <w:rPr>
                <w:sz w:val="1"/>
                <w:szCs w:val="1"/>
                <w:color w:val="auto"/>
              </w:rPr>
            </w:pPr>
          </w:p>
        </w:tc>
      </w:tr>
      <w:tr>
        <w:trPr>
          <w:trHeight w:val="23"/>
        </w:trPr>
        <w:tc>
          <w:tcPr>
            <w:tcW w:w="40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at September 30, 2023</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47,907,395</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jc w:val="right"/>
              <w:ind w:right="542"/>
              <w:spacing w:after="0"/>
              <w:rPr>
                <w:sz w:val="20"/>
                <w:szCs w:val="20"/>
                <w:color w:val="auto"/>
              </w:rPr>
            </w:pPr>
            <w:r>
              <w:rPr>
                <w:rFonts w:ascii="Arial" w:cs="Arial" w:eastAsia="Arial" w:hAnsi="Arial"/>
                <w:sz w:val="16"/>
                <w:szCs w:val="16"/>
                <w:color w:val="auto"/>
                <w:w w:val="89"/>
              </w:rPr>
              <w:t>$</w:t>
            </w: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484,036</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gridSpan w:val="3"/>
            <w:shd w:val="clear" w:color="auto" w:fill="CFF0FC"/>
          </w:tcPr>
          <w:p>
            <w:pPr>
              <w:jc w:val="right"/>
              <w:ind w:right="8"/>
              <w:spacing w:after="0"/>
              <w:rPr>
                <w:sz w:val="20"/>
                <w:szCs w:val="20"/>
                <w:color w:val="auto"/>
              </w:rPr>
            </w:pPr>
            <w:r>
              <w:rPr>
                <w:rFonts w:ascii="Arial" w:cs="Arial" w:eastAsia="Arial" w:hAnsi="Arial"/>
                <w:sz w:val="16"/>
                <w:szCs w:val="16"/>
                <w:color w:val="auto"/>
              </w:rPr>
              <w:t>(389,338 ) $</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94,703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40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8"/>
          </w:tcPr>
          <w:p>
            <w:pPr>
              <w:jc w:val="right"/>
              <w:ind w:right="420"/>
              <w:spacing w:after="0"/>
              <w:rPr>
                <w:sz w:val="20"/>
                <w:szCs w:val="20"/>
                <w:color w:val="auto"/>
              </w:rPr>
            </w:pPr>
            <w:r>
              <w:rPr>
                <w:rFonts w:ascii="Arial" w:cs="Arial" w:eastAsia="Arial" w:hAnsi="Arial"/>
                <w:sz w:val="14"/>
                <w:szCs w:val="14"/>
                <w:b w:val="1"/>
                <w:bCs w:val="1"/>
                <w:color w:val="auto"/>
              </w:rPr>
              <w:t>Nine Months Ended September 30, 2022</w:t>
            </w: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980" w:type="dxa"/>
            <w:vAlign w:val="bottom"/>
            <w:gridSpan w:val="4"/>
            <w:vMerge w:val="restart"/>
          </w:tcPr>
          <w:p>
            <w:pPr>
              <w:jc w:val="right"/>
              <w:ind w:right="44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2"/>
                <w:szCs w:val="12"/>
                <w:color w:val="auto"/>
              </w:rPr>
            </w:pPr>
          </w:p>
        </w:tc>
        <w:tc>
          <w:tcPr>
            <w:tcW w:w="1800" w:type="dxa"/>
            <w:vAlign w:val="bottom"/>
            <w:gridSpan w:val="3"/>
          </w:tcPr>
          <w:p>
            <w:pPr>
              <w:jc w:val="center"/>
              <w:ind w:left="102"/>
              <w:spacing w:after="0" w:line="149" w:lineRule="exact"/>
              <w:rPr>
                <w:sz w:val="20"/>
                <w:szCs w:val="20"/>
                <w:color w:val="auto"/>
              </w:rPr>
            </w:pPr>
            <w:r>
              <w:rPr>
                <w:rFonts w:ascii="Arial" w:cs="Arial" w:eastAsia="Arial" w:hAnsi="Arial"/>
                <w:sz w:val="14"/>
                <w:szCs w:val="14"/>
                <w:b w:val="1"/>
                <w:bCs w:val="1"/>
                <w:color w:val="auto"/>
                <w:w w:val="89"/>
              </w:rPr>
              <w:t>Class B</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0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5"/>
        </w:trPr>
        <w:tc>
          <w:tcPr>
            <w:tcW w:w="4000" w:type="dxa"/>
            <w:vAlign w:val="bottom"/>
          </w:tcPr>
          <w:p>
            <w:pPr>
              <w:spacing w:after="0"/>
              <w:rPr>
                <w:sz w:val="15"/>
                <w:szCs w:val="15"/>
                <w:color w:val="auto"/>
              </w:rPr>
            </w:pPr>
          </w:p>
        </w:tc>
        <w:tc>
          <w:tcPr>
            <w:tcW w:w="1980" w:type="dxa"/>
            <w:vAlign w:val="bottom"/>
            <w:tcBorders>
              <w:bottom w:val="single" w:sz="8" w:color="auto"/>
            </w:tcBorders>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Borders>
              <w:bottom w:val="single" w:sz="8" w:color="auto"/>
            </w:tcBorders>
            <w:gridSpan w:val="3"/>
          </w:tcPr>
          <w:p>
            <w:pPr>
              <w:jc w:val="center"/>
              <w:ind w:left="122"/>
              <w:spacing w:after="0"/>
              <w:rPr>
                <w:sz w:val="20"/>
                <w:szCs w:val="20"/>
                <w:color w:val="auto"/>
              </w:rPr>
            </w:pPr>
            <w:r>
              <w:rPr>
                <w:rFonts w:ascii="Arial" w:cs="Arial" w:eastAsia="Arial" w:hAnsi="Arial"/>
                <w:sz w:val="14"/>
                <w:szCs w:val="14"/>
                <w:b w:val="1"/>
                <w:bCs w:val="1"/>
                <w:color w:val="auto"/>
                <w:w w:val="93"/>
              </w:rPr>
              <w:t>Common Stock</w:t>
            </w:r>
          </w:p>
        </w:tc>
        <w:tc>
          <w:tcPr>
            <w:tcW w:w="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Paid-in</w:t>
            </w:r>
          </w:p>
        </w:tc>
        <w:tc>
          <w:tcPr>
            <w:tcW w:w="1000" w:type="dxa"/>
            <w:vAlign w:val="bottom"/>
            <w:gridSpan w:val="3"/>
            <w:vMerge w:val="continue"/>
          </w:tcPr>
          <w:p>
            <w:pPr>
              <w:spacing w:after="0"/>
              <w:rPr>
                <w:sz w:val="15"/>
                <w:szCs w:val="15"/>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69"/>
        </w:trPr>
        <w:tc>
          <w:tcPr>
            <w:tcW w:w="4000" w:type="dxa"/>
            <w:vAlign w:val="bottom"/>
          </w:tcPr>
          <w:p>
            <w:pPr>
              <w:spacing w:after="0"/>
              <w:rPr>
                <w:sz w:val="14"/>
                <w:szCs w:val="14"/>
                <w:color w:val="auto"/>
              </w:rPr>
            </w:pPr>
          </w:p>
        </w:tc>
        <w:tc>
          <w:tcPr>
            <w:tcW w:w="98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4"/>
                <w:szCs w:val="14"/>
                <w:color w:val="auto"/>
              </w:rPr>
            </w:pPr>
          </w:p>
        </w:tc>
        <w:tc>
          <w:tcPr>
            <w:tcW w:w="98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8"/>
              </w:rPr>
              <w:t>Deficit</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3"/>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at December 31, 2021</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35,799,233</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1,492,059</w:t>
            </w: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42"/>
              <w:spacing w:after="0"/>
              <w:rPr>
                <w:sz w:val="20"/>
                <w:szCs w:val="20"/>
                <w:color w:val="auto"/>
              </w:rPr>
            </w:pPr>
            <w:r>
              <w:rPr>
                <w:rFonts w:ascii="Arial" w:cs="Arial" w:eastAsia="Arial" w:hAnsi="Arial"/>
                <w:sz w:val="16"/>
                <w:szCs w:val="16"/>
                <w:color w:val="auto"/>
                <w:w w:val="89"/>
              </w:rPr>
              <w:t>$</w:t>
            </w: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w w:val="99"/>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397,136</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gridSpan w:val="3"/>
            <w:shd w:val="clear" w:color="auto" w:fill="CFF0FC"/>
          </w:tcPr>
          <w:p>
            <w:pPr>
              <w:jc w:val="right"/>
              <w:ind w:right="8"/>
              <w:spacing w:after="0"/>
              <w:rPr>
                <w:sz w:val="20"/>
                <w:szCs w:val="20"/>
                <w:color w:val="auto"/>
              </w:rPr>
            </w:pPr>
            <w:r>
              <w:rPr>
                <w:rFonts w:ascii="Arial" w:cs="Arial" w:eastAsia="Arial" w:hAnsi="Arial"/>
                <w:sz w:val="16"/>
                <w:szCs w:val="16"/>
                <w:color w:val="auto"/>
              </w:rPr>
              <w:t>(186,319 ) $</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210,821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0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11,062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11,062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ind w:left="20"/>
              <w:spacing w:after="0"/>
              <w:rPr>
                <w:sz w:val="20"/>
                <w:szCs w:val="20"/>
                <w:color w:val="auto"/>
              </w:rPr>
            </w:pPr>
            <w:r>
              <w:rPr>
                <w:rFonts w:ascii="Arial" w:cs="Arial" w:eastAsia="Arial" w:hAnsi="Arial"/>
                <w:sz w:val="16"/>
                <w:szCs w:val="16"/>
                <w:color w:val="auto"/>
                <w:w w:val="93"/>
              </w:rPr>
              <w:t>Issuance of common stock under equity incentive plans, net</w:t>
            </w: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of shares withheld for taxes</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276,502</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000" w:type="dxa"/>
            <w:vAlign w:val="bottom"/>
          </w:tcPr>
          <w:p>
            <w:pPr>
              <w:ind w:left="20"/>
              <w:spacing w:after="0"/>
              <w:rPr>
                <w:sz w:val="20"/>
                <w:szCs w:val="20"/>
                <w:color w:val="auto"/>
              </w:rPr>
            </w:pPr>
            <w:r>
              <w:rPr>
                <w:rFonts w:ascii="Arial" w:cs="Arial" w:eastAsia="Arial" w:hAnsi="Arial"/>
                <w:sz w:val="16"/>
                <w:szCs w:val="16"/>
                <w:color w:val="auto"/>
                <w:w w:val="97"/>
              </w:rPr>
              <w:t>Issuance of common stock for Employee Stock Purchase</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20"/>
              <w:spacing w:after="0"/>
              <w:rPr>
                <w:sz w:val="20"/>
                <w:szCs w:val="20"/>
                <w:color w:val="auto"/>
              </w:rPr>
            </w:pPr>
            <w:r>
              <w:rPr>
                <w:rFonts w:ascii="Arial" w:cs="Arial" w:eastAsia="Arial" w:hAnsi="Arial"/>
                <w:sz w:val="16"/>
                <w:szCs w:val="16"/>
                <w:color w:val="auto"/>
              </w:rPr>
              <w:t>Plan</w:t>
            </w:r>
          </w:p>
        </w:tc>
        <w:tc>
          <w:tcPr>
            <w:tcW w:w="980" w:type="dxa"/>
            <w:vAlign w:val="bottom"/>
          </w:tcPr>
          <w:p>
            <w:pPr>
              <w:jc w:val="right"/>
              <w:spacing w:after="0"/>
              <w:rPr>
                <w:sz w:val="20"/>
                <w:szCs w:val="20"/>
                <w:color w:val="auto"/>
              </w:rPr>
            </w:pPr>
            <w:r>
              <w:rPr>
                <w:rFonts w:ascii="Arial" w:cs="Arial" w:eastAsia="Arial" w:hAnsi="Arial"/>
                <w:sz w:val="16"/>
                <w:szCs w:val="16"/>
                <w:color w:val="auto"/>
              </w:rPr>
              <w:t>9,482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Taxes related to net share settlement of equity awards</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spacing w:after="0"/>
              <w:rPr>
                <w:sz w:val="20"/>
                <w:szCs w:val="20"/>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(329 )</w:t>
            </w:r>
          </w:p>
        </w:tc>
        <w:tc>
          <w:tcPr>
            <w:tcW w:w="16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(329 )</w:t>
            </w:r>
          </w:p>
        </w:tc>
        <w:tc>
          <w:tcPr>
            <w:tcW w:w="0" w:type="dxa"/>
            <w:vAlign w:val="bottom"/>
          </w:tcPr>
          <w:p>
            <w:pPr>
              <w:spacing w:after="0"/>
              <w:rPr>
                <w:sz w:val="1"/>
                <w:szCs w:val="1"/>
                <w:color w:val="auto"/>
              </w:rPr>
            </w:pPr>
          </w:p>
        </w:tc>
      </w:tr>
      <w:tr>
        <w:trPr>
          <w:trHeight w:val="220"/>
        </w:trPr>
        <w:tc>
          <w:tcPr>
            <w:tcW w:w="4000" w:type="dxa"/>
            <w:vAlign w:val="bottom"/>
          </w:tcPr>
          <w:p>
            <w:pPr>
              <w:ind w:left="20"/>
              <w:spacing w:after="0"/>
              <w:rPr>
                <w:sz w:val="20"/>
                <w:szCs w:val="20"/>
                <w:color w:val="auto"/>
              </w:rPr>
            </w:pPr>
            <w:r>
              <w:rPr>
                <w:rFonts w:ascii="Arial" w:cs="Arial" w:eastAsia="Arial" w:hAnsi="Arial"/>
                <w:sz w:val="16"/>
                <w:szCs w:val="16"/>
                <w:color w:val="auto"/>
              </w:rPr>
              <w:t>Conversion of Class B common stock</w:t>
            </w:r>
          </w:p>
        </w:tc>
        <w:tc>
          <w:tcPr>
            <w:tcW w:w="980" w:type="dxa"/>
            <w:vAlign w:val="bottom"/>
          </w:tcPr>
          <w:p>
            <w:pPr>
              <w:jc w:val="right"/>
              <w:spacing w:after="0"/>
              <w:rPr>
                <w:sz w:val="20"/>
                <w:szCs w:val="20"/>
                <w:color w:val="auto"/>
              </w:rPr>
            </w:pPr>
            <w:r>
              <w:rPr>
                <w:rFonts w:ascii="Arial" w:cs="Arial" w:eastAsia="Arial" w:hAnsi="Arial"/>
                <w:sz w:val="16"/>
                <w:szCs w:val="16"/>
                <w:color w:val="auto"/>
              </w:rPr>
              <w:t>280,100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3"/>
          </w:tcPr>
          <w:p>
            <w:pPr>
              <w:jc w:val="right"/>
              <w:ind w:right="40"/>
              <w:spacing w:after="0"/>
              <w:rPr>
                <w:sz w:val="20"/>
                <w:szCs w:val="20"/>
                <w:color w:val="auto"/>
              </w:rPr>
            </w:pPr>
            <w:r>
              <w:rPr>
                <w:rFonts w:ascii="Arial" w:cs="Arial" w:eastAsia="Arial" w:hAnsi="Arial"/>
                <w:sz w:val="16"/>
                <w:szCs w:val="16"/>
                <w:color w:val="auto"/>
              </w:rPr>
              <w:t>(280,100 )</w:t>
            </w:r>
          </w:p>
        </w:tc>
        <w:tc>
          <w:tcPr>
            <w:tcW w:w="7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(78,939 )</w:t>
            </w: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(78,939 )</w:t>
            </w:r>
          </w:p>
        </w:tc>
        <w:tc>
          <w:tcPr>
            <w:tcW w:w="0" w:type="dxa"/>
            <w:vAlign w:val="bottom"/>
          </w:tcPr>
          <w:p>
            <w:pPr>
              <w:spacing w:after="0"/>
              <w:rPr>
                <w:sz w:val="1"/>
                <w:szCs w:val="1"/>
                <w:color w:val="auto"/>
              </w:rPr>
            </w:pPr>
          </w:p>
        </w:tc>
      </w:tr>
      <w:tr>
        <w:trPr>
          <w:trHeight w:val="23"/>
        </w:trPr>
        <w:tc>
          <w:tcPr>
            <w:tcW w:w="4000" w:type="dxa"/>
            <w:vAlign w:val="bottom"/>
            <w:shd w:val="clear" w:color="auto" w:fill="CFF0FC"/>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000" w:type="dxa"/>
            <w:vAlign w:val="bottom"/>
          </w:tcPr>
          <w:p>
            <w:pPr>
              <w:ind w:left="20"/>
              <w:spacing w:after="0"/>
              <w:rPr>
                <w:sz w:val="20"/>
                <w:szCs w:val="20"/>
                <w:color w:val="auto"/>
              </w:rPr>
            </w:pPr>
            <w:r>
              <w:rPr>
                <w:rFonts w:ascii="Arial" w:cs="Arial" w:eastAsia="Arial" w:hAnsi="Arial"/>
                <w:sz w:val="16"/>
                <w:szCs w:val="16"/>
                <w:color w:val="auto"/>
              </w:rPr>
              <w:t>Balance at September 30, 2022</w:t>
            </w:r>
          </w:p>
        </w:tc>
        <w:tc>
          <w:tcPr>
            <w:tcW w:w="980" w:type="dxa"/>
            <w:vAlign w:val="bottom"/>
          </w:tcPr>
          <w:p>
            <w:pPr>
              <w:jc w:val="right"/>
              <w:spacing w:after="0"/>
              <w:rPr>
                <w:sz w:val="20"/>
                <w:szCs w:val="20"/>
                <w:color w:val="auto"/>
              </w:rPr>
            </w:pPr>
            <w:r>
              <w:rPr>
                <w:rFonts w:ascii="Arial" w:cs="Arial" w:eastAsia="Arial" w:hAnsi="Arial"/>
                <w:sz w:val="16"/>
                <w:szCs w:val="16"/>
                <w:color w:val="auto"/>
              </w:rPr>
              <w:t>36,365,317</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1,211,959</w:t>
            </w:r>
          </w:p>
        </w:tc>
        <w:tc>
          <w:tcPr>
            <w:tcW w:w="100" w:type="dxa"/>
            <w:vAlign w:val="bottom"/>
          </w:tcPr>
          <w:p>
            <w:pPr>
              <w:spacing w:after="0"/>
              <w:rPr>
                <w:sz w:val="19"/>
                <w:szCs w:val="19"/>
                <w:color w:val="auto"/>
              </w:rPr>
            </w:pPr>
          </w:p>
        </w:tc>
        <w:tc>
          <w:tcPr>
            <w:tcW w:w="720" w:type="dxa"/>
            <w:vAlign w:val="bottom"/>
          </w:tcPr>
          <w:p>
            <w:pPr>
              <w:jc w:val="right"/>
              <w:ind w:right="542"/>
              <w:spacing w:after="0"/>
              <w:rPr>
                <w:sz w:val="20"/>
                <w:szCs w:val="20"/>
                <w:color w:val="auto"/>
              </w:rPr>
            </w:pPr>
            <w:r>
              <w:rPr>
                <w:rFonts w:ascii="Arial" w:cs="Arial" w:eastAsia="Arial" w:hAnsi="Arial"/>
                <w:sz w:val="16"/>
                <w:szCs w:val="16"/>
                <w:color w:val="auto"/>
                <w:w w:val="89"/>
              </w:rPr>
              <w:t>$</w:t>
            </w:r>
          </w:p>
        </w:tc>
        <w:tc>
          <w:tcPr>
            <w:tcW w:w="200" w:type="dxa"/>
            <w:vAlign w:val="bottom"/>
          </w:tcPr>
          <w:p>
            <w:pPr>
              <w:ind w:left="2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407,888</w:t>
            </w:r>
          </w:p>
        </w:tc>
        <w:tc>
          <w:tcPr>
            <w:tcW w:w="12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gridSpan w:val="3"/>
          </w:tcPr>
          <w:p>
            <w:pPr>
              <w:jc w:val="right"/>
              <w:ind w:right="8"/>
              <w:spacing w:after="0"/>
              <w:rPr>
                <w:sz w:val="20"/>
                <w:szCs w:val="20"/>
                <w:color w:val="auto"/>
              </w:rPr>
            </w:pPr>
            <w:r>
              <w:rPr>
                <w:rFonts w:ascii="Arial" w:cs="Arial" w:eastAsia="Arial" w:hAnsi="Arial"/>
                <w:sz w:val="16"/>
                <w:szCs w:val="16"/>
                <w:color w:val="auto"/>
              </w:rPr>
              <w:t>(265,258 ) $</w:t>
            </w:r>
          </w:p>
        </w:tc>
        <w:tc>
          <w:tcPr>
            <w:tcW w:w="740" w:type="dxa"/>
            <w:vAlign w:val="bottom"/>
          </w:tcPr>
          <w:p>
            <w:pPr>
              <w:jc w:val="right"/>
              <w:spacing w:after="0"/>
              <w:rPr>
                <w:sz w:val="20"/>
                <w:szCs w:val="20"/>
                <w:color w:val="auto"/>
              </w:rPr>
            </w:pPr>
            <w:r>
              <w:rPr>
                <w:rFonts w:ascii="Arial" w:cs="Arial" w:eastAsia="Arial" w:hAnsi="Arial"/>
                <w:sz w:val="16"/>
                <w:szCs w:val="16"/>
                <w:color w:val="auto"/>
              </w:rPr>
              <w:t>142,634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-2382520</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-2365375</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-2382520</wp:posOffset>
            </wp:positionV>
            <wp:extent cx="77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-2365375</wp:posOffset>
            </wp:positionV>
            <wp:extent cx="77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-2382520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-2365375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-2382520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-2365375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-2382520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-2365375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-2382520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-2365375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-2382520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-2365375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-179705</wp:posOffset>
            </wp:positionV>
            <wp:extent cx="76835" cy="1803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18034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-179705</wp:posOffset>
            </wp:positionV>
            <wp:extent cx="77470" cy="1803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18034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-179705</wp:posOffset>
            </wp:positionV>
            <wp:extent cx="68580" cy="1803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-179705</wp:posOffset>
            </wp:positionV>
            <wp:extent cx="68580" cy="1803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-179705</wp:posOffset>
            </wp:positionV>
            <wp:extent cx="68580" cy="1803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-179705</wp:posOffset>
            </wp:positionV>
            <wp:extent cx="68580" cy="1803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1803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18034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BioAtla,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27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74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w w:val="91"/>
              </w:rPr>
              <w:t>(96,537 )</w:t>
            </w:r>
          </w:p>
        </w:tc>
        <w:tc>
          <w:tcPr>
            <w:tcW w:w="920" w:type="dxa"/>
            <w:vAlign w:val="bottom"/>
          </w:tcPr>
          <w:p>
            <w:pPr>
              <w:jc w:val="right"/>
              <w:ind w:right="734"/>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1"/>
              </w:rPr>
              <w:t>(78,939 )</w:t>
            </w:r>
          </w:p>
        </w:tc>
        <w:tc>
          <w:tcPr>
            <w:tcW w:w="0" w:type="dxa"/>
            <w:vAlign w:val="bottom"/>
          </w:tcPr>
          <w:p>
            <w:pPr>
              <w:spacing w:after="0"/>
              <w:rPr>
                <w:sz w:val="1"/>
                <w:szCs w:val="1"/>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853</w:t>
            </w: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Loss on disposal of property and equipment</w:t>
            </w:r>
          </w:p>
        </w:tc>
        <w:tc>
          <w:tcPr>
            <w:tcW w:w="9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10,806</w:t>
            </w: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11,062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40" w:type="dxa"/>
            <w:vAlign w:val="bottom"/>
          </w:tcPr>
          <w:p>
            <w:pPr>
              <w:ind w:left="380"/>
              <w:spacing w:after="0"/>
              <w:rPr>
                <w:sz w:val="20"/>
                <w:szCs w:val="20"/>
                <w:color w:val="auto"/>
              </w:rPr>
            </w:pPr>
            <w:r>
              <w:rPr>
                <w:rFonts w:ascii="Arial" w:cs="Arial" w:eastAsia="Arial" w:hAnsi="Arial"/>
                <w:sz w:val="18"/>
                <w:szCs w:val="18"/>
                <w:color w:val="auto"/>
              </w:rPr>
              <w:t>Prepaid expenses and other assets</w:t>
            </w:r>
          </w:p>
        </w:tc>
        <w:tc>
          <w:tcPr>
            <w:tcW w:w="960" w:type="dxa"/>
            <w:vAlign w:val="bottom"/>
          </w:tcPr>
          <w:p>
            <w:pPr>
              <w:spacing w:after="0"/>
              <w:rPr>
                <w:sz w:val="20"/>
                <w:szCs w:val="20"/>
                <w:color w:val="auto"/>
              </w:rPr>
            </w:pP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rPr>
              <w:t>(1,305 )</w:t>
            </w:r>
          </w:p>
        </w:tc>
        <w:tc>
          <w:tcPr>
            <w:tcW w:w="9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(2,876 )</w:t>
            </w:r>
          </w:p>
        </w:tc>
        <w:tc>
          <w:tcPr>
            <w:tcW w:w="0" w:type="dxa"/>
            <w:vAlign w:val="bottom"/>
          </w:tcPr>
          <w:p>
            <w:pPr>
              <w:spacing w:after="0"/>
              <w:rPr>
                <w:sz w:val="1"/>
                <w:szCs w:val="1"/>
                <w:color w:val="auto"/>
              </w:rPr>
            </w:pPr>
          </w:p>
        </w:tc>
      </w:tr>
      <w:tr>
        <w:trPr>
          <w:trHeight w:val="249"/>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Accounts payable and accrued expenses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12,533</w:t>
            </w:r>
          </w:p>
        </w:tc>
        <w:tc>
          <w:tcPr>
            <w:tcW w:w="3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40" w:type="dxa"/>
            <w:vAlign w:val="bottom"/>
          </w:tcPr>
          <w:p>
            <w:pPr>
              <w:ind w:left="380"/>
              <w:spacing w:after="0"/>
              <w:rPr>
                <w:sz w:val="20"/>
                <w:szCs w:val="20"/>
                <w:color w:val="auto"/>
              </w:rPr>
            </w:pPr>
            <w:r>
              <w:rPr>
                <w:rFonts w:ascii="Arial" w:cs="Arial" w:eastAsia="Arial" w:hAnsi="Arial"/>
                <w:sz w:val="18"/>
                <w:szCs w:val="18"/>
                <w:color w:val="auto"/>
              </w:rPr>
              <w:t>Right-of-use assets and lease liabilities, net</w:t>
            </w:r>
          </w:p>
        </w:tc>
        <w:tc>
          <w:tcPr>
            <w:tcW w:w="960" w:type="dxa"/>
            <w:vAlign w:val="bottom"/>
          </w:tcPr>
          <w:p>
            <w:pPr>
              <w:spacing w:after="0"/>
              <w:rPr>
                <w:sz w:val="20"/>
                <w:szCs w:val="20"/>
                <w:color w:val="auto"/>
              </w:rPr>
            </w:pP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rPr>
              <w:t>(443 )</w:t>
            </w:r>
          </w:p>
        </w:tc>
        <w:tc>
          <w:tcPr>
            <w:tcW w:w="9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(373 )</w:t>
            </w:r>
          </w:p>
        </w:tc>
        <w:tc>
          <w:tcPr>
            <w:tcW w:w="0" w:type="dxa"/>
            <w:vAlign w:val="bottom"/>
          </w:tcPr>
          <w:p>
            <w:pPr>
              <w:spacing w:after="0"/>
              <w:rPr>
                <w:sz w:val="1"/>
                <w:szCs w:val="1"/>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tcBorders>
              <w:top w:val="single" w:sz="8" w:color="auto"/>
            </w:tcBorders>
            <w:shd w:val="clear" w:color="auto" w:fill="CFF0FC"/>
          </w:tcPr>
          <w:p>
            <w:pPr>
              <w:spacing w:after="0"/>
              <w:rPr>
                <w:sz w:val="21"/>
                <w:szCs w:val="21"/>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(74,093</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FF0FC"/>
          </w:tcPr>
          <w:p>
            <w:pPr>
              <w:spacing w:after="0"/>
              <w:rPr>
                <w:sz w:val="21"/>
                <w:szCs w:val="21"/>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(66,073</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9"/>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Purchases of property and equipment</w:t>
            </w:r>
          </w:p>
        </w:tc>
        <w:tc>
          <w:tcPr>
            <w:tcW w:w="9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(90 )</w:t>
            </w:r>
          </w:p>
        </w:tc>
        <w:tc>
          <w:tcPr>
            <w:tcW w:w="92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(237 )</w:t>
            </w:r>
          </w:p>
        </w:tc>
        <w:tc>
          <w:tcPr>
            <w:tcW w:w="0" w:type="dxa"/>
            <w:vAlign w:val="bottom"/>
          </w:tcPr>
          <w:p>
            <w:pPr>
              <w:spacing w:after="0"/>
              <w:rPr>
                <w:sz w:val="1"/>
                <w:szCs w:val="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Proceeds from sale of property and equipment</w:t>
            </w:r>
          </w:p>
        </w:tc>
        <w:tc>
          <w:tcPr>
            <w:tcW w:w="960" w:type="dxa"/>
            <w:vAlign w:val="bottom"/>
          </w:tcPr>
          <w:p>
            <w:pPr>
              <w:spacing w:after="0"/>
              <w:rPr>
                <w:sz w:val="20"/>
                <w:szCs w:val="20"/>
                <w:color w:val="auto"/>
              </w:rPr>
            </w:pPr>
          </w:p>
        </w:tc>
        <w:tc>
          <w:tcPr>
            <w:tcW w:w="9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Borders>
              <w:top w:val="single" w:sz="8" w:color="auto"/>
            </w:tcBorders>
            <w:shd w:val="clear" w:color="auto" w:fill="CFF0FC"/>
          </w:tcPr>
          <w:p>
            <w:pPr>
              <w:spacing w:after="0"/>
              <w:rPr>
                <w:sz w:val="21"/>
                <w:szCs w:val="21"/>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FF0FC"/>
          </w:tcPr>
          <w:p>
            <w:pPr>
              <w:spacing w:after="0"/>
              <w:rPr>
                <w:sz w:val="21"/>
                <w:szCs w:val="21"/>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9"/>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issuance of common stock under Employee Stock Purchase Plan</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3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Payments for taxes related to net settlement of equity awards</w:t>
            </w:r>
          </w:p>
        </w:tc>
        <w:tc>
          <w:tcPr>
            <w:tcW w:w="960" w:type="dxa"/>
            <w:vAlign w:val="bottom"/>
          </w:tcPr>
          <w:p>
            <w:pPr>
              <w:spacing w:after="0"/>
              <w:rPr>
                <w:sz w:val="20"/>
                <w:szCs w:val="20"/>
                <w:color w:val="auto"/>
              </w:rPr>
            </w:pP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rPr>
              <w:t>(229 )</w:t>
            </w:r>
          </w:p>
        </w:tc>
        <w:tc>
          <w:tcPr>
            <w:tcW w:w="9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(571 )</w:t>
            </w:r>
          </w:p>
        </w:tc>
        <w:tc>
          <w:tcPr>
            <w:tcW w:w="0" w:type="dxa"/>
            <w:vAlign w:val="bottom"/>
          </w:tcPr>
          <w:p>
            <w:pPr>
              <w:spacing w:after="0"/>
              <w:rPr>
                <w:sz w:val="1"/>
                <w:szCs w:val="1"/>
                <w:color w:val="auto"/>
              </w:rPr>
            </w:pPr>
          </w:p>
        </w:tc>
      </w:tr>
      <w:tr>
        <w:trPr>
          <w:trHeight w:val="237"/>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used in financing activities</w:t>
            </w:r>
          </w:p>
        </w:tc>
        <w:tc>
          <w:tcPr>
            <w:tcW w:w="960" w:type="dxa"/>
            <w:vAlign w:val="bottom"/>
            <w:tcBorders>
              <w:top w:val="single" w:sz="8" w:color="auto"/>
              <w:bottom w:val="single" w:sz="8" w:color="auto"/>
            </w:tcBorders>
            <w:shd w:val="clear" w:color="auto" w:fill="CFF0FC"/>
          </w:tcPr>
          <w:p>
            <w:pPr>
              <w:spacing w:after="0"/>
              <w:rPr>
                <w:sz w:val="20"/>
                <w:szCs w:val="20"/>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FF0FC"/>
          </w:tcPr>
          <w:p>
            <w:pPr>
              <w:spacing w:after="0"/>
              <w:rPr>
                <w:sz w:val="20"/>
                <w:szCs w:val="20"/>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960" w:type="dxa"/>
            <w:vAlign w:val="bottom"/>
          </w:tcPr>
          <w:p>
            <w:pPr>
              <w:spacing w:after="0"/>
              <w:rPr>
                <w:sz w:val="20"/>
                <w:szCs w:val="20"/>
                <w:color w:val="auto"/>
              </w:rPr>
            </w:pP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w w:val="91"/>
              </w:rPr>
              <w:t>(74,225 )</w:t>
            </w:r>
          </w:p>
        </w:tc>
        <w:tc>
          <w:tcPr>
            <w:tcW w:w="9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1"/>
              </w:rPr>
              <w:t>(66,859 )</w:t>
            </w:r>
          </w:p>
        </w:tc>
        <w:tc>
          <w:tcPr>
            <w:tcW w:w="0" w:type="dxa"/>
            <w:vAlign w:val="bottom"/>
          </w:tcPr>
          <w:p>
            <w:pPr>
              <w:spacing w:after="0"/>
              <w:rPr>
                <w:sz w:val="1"/>
                <w:szCs w:val="1"/>
                <w:color w:val="auto"/>
              </w:rPr>
            </w:pPr>
          </w:p>
        </w:tc>
      </w:tr>
      <w:tr>
        <w:trPr>
          <w:trHeight w:val="243"/>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96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215,507</w:t>
            </w:r>
          </w:p>
        </w:tc>
        <w:tc>
          <w:tcPr>
            <w:tcW w:w="30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244,979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96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141,282</w:t>
            </w:r>
          </w:p>
        </w:tc>
        <w:tc>
          <w:tcPr>
            <w:tcW w:w="300" w:type="dxa"/>
            <w:vAlign w:val="bottom"/>
          </w:tcPr>
          <w:p>
            <w:pPr>
              <w:spacing w:after="0"/>
              <w:rPr>
                <w:sz w:val="20"/>
                <w:szCs w:val="20"/>
                <w:color w:val="auto"/>
              </w:rPr>
            </w:pPr>
          </w:p>
        </w:tc>
        <w:tc>
          <w:tcPr>
            <w:tcW w:w="92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178,120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Property and equipment additions included in accounts payable and accrued expenses</w:t>
            </w: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34"/>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Tax related to net settlement of equity awards included in accounts payable and</w:t>
            </w:r>
          </w:p>
        </w:tc>
        <w:tc>
          <w:tcPr>
            <w:tcW w:w="960" w:type="dxa"/>
            <w:vAlign w:val="bottom"/>
            <w:vMerge w:val="restart"/>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FF0FC"/>
          </w:tcPr>
          <w:p>
            <w:pPr>
              <w:spacing w:after="0"/>
              <w:rPr>
                <w:sz w:val="17"/>
                <w:szCs w:val="17"/>
                <w:color w:val="auto"/>
              </w:rPr>
            </w:pPr>
          </w:p>
        </w:tc>
        <w:tc>
          <w:tcPr>
            <w:tcW w:w="920" w:type="dxa"/>
            <w:vAlign w:val="bottom"/>
            <w:vMerge w:val="restart"/>
            <w:shd w:val="clear" w:color="auto" w:fill="CFF0FC"/>
          </w:tcPr>
          <w:p>
            <w:pPr>
              <w:jc w:val="right"/>
              <w:ind w:right="734"/>
              <w:spacing w:after="0"/>
              <w:rPr>
                <w:sz w:val="20"/>
                <w:szCs w:val="20"/>
                <w:color w:val="auto"/>
              </w:rPr>
            </w:pPr>
            <w:r>
              <w:rPr>
                <w:rFonts w:ascii="Arial" w:cs="Arial" w:eastAsia="Arial" w:hAnsi="Arial"/>
                <w:sz w:val="18"/>
                <w:szCs w:val="18"/>
                <w:color w:val="auto"/>
                <w:w w:val="79"/>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740" w:type="dxa"/>
            <w:vAlign w:val="bottom"/>
            <w:tcBorders>
              <w:bottom w:val="single" w:sz="8" w:color="CFF0FC"/>
            </w:tcBorders>
            <w:shd w:val="clear" w:color="auto" w:fill="CFF0FC"/>
          </w:tcPr>
          <w:p>
            <w:pPr>
              <w:ind w:left="160"/>
              <w:spacing w:after="0" w:line="203" w:lineRule="exact"/>
              <w:rPr>
                <w:sz w:val="20"/>
                <w:szCs w:val="20"/>
                <w:color w:val="auto"/>
              </w:rPr>
            </w:pPr>
            <w:r>
              <w:rPr>
                <w:rFonts w:ascii="Arial" w:cs="Arial" w:eastAsia="Arial" w:hAnsi="Arial"/>
                <w:sz w:val="18"/>
                <w:szCs w:val="18"/>
                <w:color w:val="auto"/>
              </w:rPr>
              <w:t>accrued expenses</w:t>
            </w:r>
          </w:p>
        </w:tc>
        <w:tc>
          <w:tcPr>
            <w:tcW w:w="960" w:type="dxa"/>
            <w:vAlign w:val="bottom"/>
            <w:tcBorders>
              <w:bottom w:val="single" w:sz="8" w:color="auto"/>
            </w:tcBorders>
            <w:vMerge w:val="continue"/>
            <w:shd w:val="clear" w:color="auto" w:fill="CFF0FC"/>
          </w:tcPr>
          <w:p>
            <w:pPr>
              <w:spacing w:after="0"/>
              <w:rPr>
                <w:sz w:val="21"/>
                <w:szCs w:val="21"/>
                <w:color w:val="auto"/>
              </w:rPr>
            </w:pPr>
          </w:p>
        </w:tc>
        <w:tc>
          <w:tcPr>
            <w:tcW w:w="600" w:type="dxa"/>
            <w:vAlign w:val="bottom"/>
            <w:tcBorders>
              <w:bottom w:val="single" w:sz="8" w:color="auto"/>
            </w:tcBorders>
            <w:vMerge w:val="continue"/>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auto"/>
            </w:tcBorders>
            <w:vMerge w:val="continue"/>
            <w:shd w:val="clear" w:color="auto" w:fill="CFF0FC"/>
          </w:tcPr>
          <w:p>
            <w:pPr>
              <w:spacing w:after="0"/>
              <w:rPr>
                <w:sz w:val="21"/>
                <w:szCs w:val="21"/>
                <w:color w:val="auto"/>
              </w:rPr>
            </w:pPr>
          </w:p>
        </w:tc>
        <w:tc>
          <w:tcPr>
            <w:tcW w:w="62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-1130935</wp:posOffset>
            </wp:positionV>
            <wp:extent cx="68580" cy="1631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-1130935</wp:posOffset>
            </wp:positionV>
            <wp:extent cx="68580" cy="1631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-814070</wp:posOffset>
            </wp:positionV>
            <wp:extent cx="68580" cy="1885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-814070</wp:posOffset>
            </wp:positionV>
            <wp:extent cx="68580" cy="1885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BioAtla,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117"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BioAtla, LLC was formed in Delaware in March 2007 and was converted to a Delaware corporation in July 2020 and renamed BioAtla, Inc. (the “Company”). The Company has a proprietary platform for creating biologics, including its conditionally active biologics (“CAB” or “CABs”). CABs have been designed to be active only under certain conditions found in diseased tissue, while remaining inactive in normal tissue. The Company is currently in clinical development of its two lead CAB antibody drug conjugates targeting AXL and ROR2 receptors, its CAB immune-oncology antibody targeting CTLA-4 and its CAB BiSpecific targeting EpCAM.</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140" w:firstLine="509"/>
        <w:spacing w:after="0" w:line="271" w:lineRule="auto"/>
        <w:rPr>
          <w:sz w:val="20"/>
          <w:szCs w:val="20"/>
          <w:color w:val="auto"/>
        </w:rPr>
      </w:pPr>
      <w:r>
        <w:rPr>
          <w:rFonts w:ascii="Arial" w:cs="Arial" w:eastAsia="Arial" w:hAnsi="Arial"/>
          <w:sz w:val="17"/>
          <w:szCs w:val="17"/>
          <w:color w:val="auto"/>
        </w:rPr>
        <w:t>The unaudited condensed financial statements as of September 30, 2023, and for the three and nine months ended September 30, 2023 and 2022, have been prepared in accordance with the rules and regulations of the Securities and Exchange Commission (“SEC”), and with accounting principles generally accepted in the United States (“GAAP”) applicable to interim financial statements. These unaudited condensed financial statements have been prepared on the same basis as the audited financial statements and include all adjustments, consisting of only normal recurring accruals, which in the opinion of management are necessary to present fairly the Company’s financial position as of the interim date and results of operations for the interim periods presented. Interim results are not necessarily indicative of results for a full year or future periods. These unaudited condensed financial statements should be read in conjunction with the Company’s audited financial statements for the year ended December 31, 2022, included in its Annual Report on Form 10-K filed with the SEC on March 23, 2023.</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117" w:lineRule="exact"/>
        <w:rPr>
          <w:sz w:val="20"/>
          <w:szCs w:val="20"/>
          <w:color w:val="auto"/>
        </w:rPr>
      </w:pPr>
    </w:p>
    <w:p>
      <w:pPr>
        <w:ind w:right="60" w:firstLine="509"/>
        <w:spacing w:after="0" w:line="273" w:lineRule="auto"/>
        <w:rPr>
          <w:sz w:val="20"/>
          <w:szCs w:val="20"/>
          <w:color w:val="auto"/>
        </w:rPr>
      </w:pPr>
      <w:r>
        <w:rPr>
          <w:rFonts w:ascii="Arial" w:cs="Arial" w:eastAsia="Arial" w:hAnsi="Arial"/>
          <w:sz w:val="17"/>
          <w:szCs w:val="17"/>
          <w:color w:val="auto"/>
        </w:rPr>
        <w:t>The Company has incurred cumulative operating losses and negative cash flows from operations since its inception and expects to continue to incur significant expenses and operating losses for the foreseeable future as it continues development of its product candidates. As of September 30, 2023, the Company had an accumulated deficit of $389.3 million. The Company plans to continue to fund its losses from operations and capital funding needs through public or private equity or debt financings, or other sources. If the Company is not able to secure adequate additional funding, the Company may be forced to make reductions in spending, extend payment terms with suppliers, liquidate assets where possible, or suspend or curtail planned programs. Any of these actions could materially harm the Company’s business, results of operations and future prospects.</w:t>
      </w:r>
    </w:p>
    <w:p>
      <w:pPr>
        <w:spacing w:after="0" w:line="70" w:lineRule="exact"/>
        <w:rPr>
          <w:sz w:val="20"/>
          <w:szCs w:val="20"/>
          <w:color w:val="auto"/>
        </w:rPr>
      </w:pPr>
    </w:p>
    <w:p>
      <w:pPr>
        <w:jc w:val="both"/>
        <w:ind w:right="280" w:firstLine="509"/>
        <w:spacing w:after="0" w:line="311" w:lineRule="auto"/>
        <w:rPr>
          <w:sz w:val="20"/>
          <w:szCs w:val="20"/>
          <w:color w:val="auto"/>
        </w:rPr>
      </w:pPr>
      <w:r>
        <w:rPr>
          <w:rFonts w:ascii="Arial" w:cs="Arial" w:eastAsia="Arial" w:hAnsi="Arial"/>
          <w:sz w:val="16"/>
          <w:szCs w:val="16"/>
          <w:color w:val="auto"/>
        </w:rPr>
        <w:t>In January 2023, the Company entered into an Open Market Sale Agreement (the “Sales Agreement”) with Jefferies LLC pursuant to which the Company may, from time to time at its sole discretion, sell shares of the Company’s common stock, with aggregate gross sales proceeds of up to $100.0 million. The Company has not sold any shares of its common stock under the Sales Agreement as of September 30, 2023.</w:t>
      </w:r>
    </w:p>
    <w:p>
      <w:pPr>
        <w:spacing w:after="0" w:line="149" w:lineRule="exact"/>
        <w:rPr>
          <w:sz w:val="20"/>
          <w:szCs w:val="20"/>
          <w:color w:val="auto"/>
        </w:rPr>
      </w:pPr>
    </w:p>
    <w:p>
      <w:pPr>
        <w:ind w:right="220" w:firstLine="509"/>
        <w:spacing w:after="0" w:line="273" w:lineRule="auto"/>
        <w:rPr>
          <w:sz w:val="20"/>
          <w:szCs w:val="20"/>
          <w:color w:val="auto"/>
        </w:rPr>
      </w:pPr>
      <w:r>
        <w:rPr>
          <w:rFonts w:ascii="Arial" w:cs="Arial" w:eastAsia="Arial" w:hAnsi="Arial"/>
          <w:sz w:val="17"/>
          <w:szCs w:val="17"/>
          <w:color w:val="auto"/>
        </w:rPr>
        <w:t>Management is required to perform a two-step analysis of the Company’s ability to continue as a going concern. Management must first evaluate whether there are conditions and events that raise substantial doubt about the Company’s ability to continue as a going concern (Step 1). If management concludes that substantial doubt is raised, management is also required to consider whether its plans alleviate that doubt (Step 2). Management’s assessment included the preparation of cash flow forecasts resulting in management’s conclusion that there is not substantial doubt about the Company’s ability to continue as a going concern as its current cash and cash equivalents will be sufficient to fund the Company’s operations for a period of at least one year from the issuance date of these unaudited condensed financial statements.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The preparation of the Company’s condensed financial statements requires it to make estimates and assumptions that impact the reported amounts of assets, liabilities, revenues and expenses and the disclosure of contingent assets and liabilities in the Company’s condensed financial statements and accompanying notes. The most significant estimates in the Company’s condensed financial statements relate to accruals for research and development costs, and equity-based compensation.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revenue and expenses that are not readily apparent from other sources. Actual results may differ materially and adversely from these estimates. To the extent there are material differences between the estimates and actual results, the Company’s future results of operations will be affected.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Company considers all highly liquid investments with original maturities of 90 days or less at the date of purchase to be cash equivalents. Cash equivalents consist of highly rated securities including U.S. Government and U.S. Treasury money market funds, which are unrestricted as to withdrawal or use. The cash and cash equivalents balance as of September 30, 2023 and 2022 includes $0.1 million and $0, respectively, invested in U.S. Government and U.S. Treasury money market funds.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Risk</w:t>
      </w:r>
    </w:p>
    <w:p>
      <w:pPr>
        <w:spacing w:after="0" w:line="117" w:lineRule="exact"/>
        <w:rPr>
          <w:sz w:val="20"/>
          <w:szCs w:val="20"/>
          <w:color w:val="auto"/>
        </w:rPr>
      </w:pPr>
    </w:p>
    <w:p>
      <w:pPr>
        <w:ind w:right="100" w:firstLine="509"/>
        <w:spacing w:after="0" w:line="257" w:lineRule="auto"/>
        <w:rPr>
          <w:sz w:val="20"/>
          <w:szCs w:val="20"/>
          <w:color w:val="auto"/>
        </w:rPr>
      </w:pPr>
      <w:r>
        <w:rPr>
          <w:rFonts w:ascii="Arial" w:cs="Arial" w:eastAsia="Arial" w:hAnsi="Arial"/>
          <w:sz w:val="18"/>
          <w:szCs w:val="18"/>
          <w:color w:val="auto"/>
        </w:rPr>
        <w:t>Financial instruments that potentially subject the Company to a significant concentration of credit risk consist primarily of cash and cash equivalents. The Company maintains deposits in federally insured financial institutions in excess of federally insured limits and may invest cash that is not required for immediate operating needs in highly liquid instruments that bear minimal risk. The Company has not experienced any losses in such accounts and management believes that the Company is not exposed to significant credit risk due to the financial position of the depository institutions in which those deposits are held.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Stock-based compensation expense represents the grant date fair value of equity awards, consisting of stock options, restricted stock units (“RSUs”) and employee stock purchase plan rights, over the requisite service period of the awards (usually the vesting period) on a straight-line basis. The Company estimates the fair value of stock option grants and employee stock purchase plan rights using the Black-Scholes option pricing model. Prior to the Company’s IPO, the fair value of RSUs was based on the estimated fair value of the underlying common stock on the date of grant and, subsequent to the Company’s IPO, the fair value is based on the closing sales price of the Company’s common stock on the date of grant. Equity award forfeitures are recognized as they occur.</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The Company determines if an arrangement is a lease at inception. An arrangement is or contains a lease if it conveys the right to control the use of an identified asset for a period of time in exchange for consideration. If a lease is identified, classification is determined at lease commencement. Operating lease liabilities are recognized at the present value of the future lease payments at the lease commencement date. The Company’s leases do not provide an implicit interest rate and therefore the Company estimates its incremental borrowing rate to discount lease payments. The incremental borrowing rate reflects the interest rate that the Company would have to pay to borrow on a collateralized basis an amount equal to the lease payments in a similar economic environment over a similar term. Operating lease right-of-use (“ROU”) assets are based on the corresponding lease liability adjusted for any lease payments made at or before commencement, initial direct costs, and lease incentives. Renewals or early terminations are not accounted for unless the Company is reasonably certain to exercise these options. Operating lease expense is recognized and the ROU asset is amortized on a straight-line basis over the lease term. Variable lease costs are not included in the calculation of the ROU asset and the related lease liability and are recognized as incurred.</w:t>
      </w:r>
    </w:p>
    <w:p>
      <w:pPr>
        <w:spacing w:after="0" w:line="58" w:lineRule="exact"/>
        <w:rPr>
          <w:sz w:val="20"/>
          <w:szCs w:val="20"/>
          <w:color w:val="auto"/>
        </w:rPr>
      </w:pPr>
    </w:p>
    <w:p>
      <w:pPr>
        <w:jc w:val="both"/>
        <w:ind w:right="200" w:firstLine="509"/>
        <w:spacing w:after="0" w:line="263" w:lineRule="auto"/>
        <w:rPr>
          <w:sz w:val="20"/>
          <w:szCs w:val="20"/>
          <w:color w:val="auto"/>
        </w:rPr>
      </w:pPr>
      <w:r>
        <w:rPr>
          <w:rFonts w:ascii="Arial" w:cs="Arial" w:eastAsia="Arial" w:hAnsi="Arial"/>
          <w:sz w:val="18"/>
          <w:szCs w:val="18"/>
          <w:color w:val="auto"/>
        </w:rPr>
        <w:t>The Company has a single lease agreement with lease and non-lease components, which are accounted for as a single lease component. Payments for short-term leases, defined as leases with a term of twelve months or less, are expensed on a straight-line basis over the lease term. The Company does not currently have any short-term leases.</w:t>
      </w:r>
    </w:p>
    <w:p>
      <w:pPr>
        <w:spacing w:after="0" w:line="76" w:lineRule="exact"/>
        <w:rPr>
          <w:sz w:val="20"/>
          <w:szCs w:val="20"/>
          <w:color w:val="auto"/>
        </w:rPr>
      </w:pPr>
    </w:p>
    <w:p>
      <w:pPr>
        <w:ind w:right="420" w:firstLine="509"/>
        <w:spacing w:after="0" w:line="277" w:lineRule="auto"/>
        <w:rPr>
          <w:sz w:val="20"/>
          <w:szCs w:val="20"/>
          <w:color w:val="auto"/>
        </w:rPr>
      </w:pPr>
      <w:r>
        <w:rPr>
          <w:rFonts w:ascii="Arial" w:cs="Arial" w:eastAsia="Arial" w:hAnsi="Arial"/>
          <w:sz w:val="18"/>
          <w:szCs w:val="18"/>
          <w:color w:val="auto"/>
        </w:rPr>
        <w:t>Operating leases are included in operating lease right-of-use assets, operating lease liabilities, and operating lease liabilities, non-current on the Company’s balance sheets. The Company does not have any finance leases.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jc w:val="both"/>
        <w:ind w:right="20" w:firstLine="509"/>
        <w:spacing w:after="0" w:line="263" w:lineRule="auto"/>
        <w:rPr>
          <w:sz w:val="20"/>
          <w:szCs w:val="20"/>
          <w:color w:val="auto"/>
        </w:rPr>
      </w:pPr>
      <w:r>
        <w:rPr>
          <w:rFonts w:ascii="Arial" w:cs="Arial" w:eastAsia="Arial" w:hAnsi="Arial"/>
          <w:sz w:val="18"/>
          <w:szCs w:val="18"/>
          <w:color w:val="auto"/>
        </w:rPr>
        <w:t>Comprehensive loss is defined as a change in equity during a period from transactions and other events and circumstances from non-owner sources. There have been no items qualifying as other comprehensive loss and, therefore, for all periods presented, the Company’s comprehensive loss was the same as its reported net loss.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right="200" w:firstLine="509"/>
        <w:spacing w:after="0" w:line="253" w:lineRule="auto"/>
        <w:rPr>
          <w:sz w:val="20"/>
          <w:szCs w:val="20"/>
          <w:color w:val="auto"/>
        </w:rPr>
      </w:pPr>
      <w:r>
        <w:rPr>
          <w:rFonts w:ascii="Arial" w:cs="Arial" w:eastAsia="Arial" w:hAnsi="Arial"/>
          <w:sz w:val="18"/>
          <w:szCs w:val="18"/>
          <w:color w:val="auto"/>
        </w:rPr>
        <w:t>Basic net loss per common share is computed by dividing the net loss by the weighted-average number of common shares outstanding for the period, without consideration for potentially dilutive securities. Diluted net loss per share is computed by dividing the net loss by the weighted-average number of common shares and dilutive common stock equivalents outstanding for the period determined using the treasury-stock method. Dilutive common stock equivalents are comprised of RSUs, common stock options outstanding under the Company’s stock option plan, and contingently issuable shares under the BioAtla, Inc. Employee Stock Purchase Plan (the “ESPP”).</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 w:name="page10"/>
    <w:bookmarkEnd w:id="9"/>
    <w:p>
      <w:pPr>
        <w:ind w:right="340" w:firstLine="509"/>
        <w:spacing w:after="0" w:line="277" w:lineRule="auto"/>
        <w:rPr>
          <w:sz w:val="20"/>
          <w:szCs w:val="20"/>
          <w:color w:val="auto"/>
        </w:rPr>
      </w:pPr>
      <w:r>
        <w:rPr>
          <w:rFonts w:ascii="Arial" w:cs="Arial" w:eastAsia="Arial" w:hAnsi="Arial"/>
          <w:sz w:val="18"/>
          <w:szCs w:val="18"/>
          <w:color w:val="auto"/>
        </w:rPr>
        <w:t>Potentially dilutive securities not included in the calculation of diluted net loss per common share because to do so would be anti-dilutive are as follows (in common stock equivalents):</w:t>
      </w:r>
    </w:p>
    <w:p>
      <w:pPr>
        <w:spacing w:after="0" w:line="256"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As of September 30,</w:t>
      </w:r>
    </w:p>
    <w:p>
      <w:pPr>
        <w:spacing w:after="0" w:line="24" w:lineRule="exact"/>
        <w:rPr>
          <w:sz w:val="20"/>
          <w:szCs w:val="20"/>
          <w:color w:val="auto"/>
        </w:rPr>
      </w:pPr>
    </w:p>
    <w:tbl>
      <w:tblPr>
        <w:tblLayout w:type="fixed"/>
        <w:tblInd w:w="1080" w:type="dxa"/>
        <w:tblCellMar>
          <w:top w:w="0" w:type="dxa"/>
          <w:left w:w="0" w:type="dxa"/>
          <w:bottom w:w="0" w:type="dxa"/>
          <w:right w:w="0" w:type="dxa"/>
        </w:tblCellMar>
      </w:tblPr>
      <w:tr>
        <w:trPr>
          <w:trHeight w:val="169"/>
        </w:trPr>
        <w:tc>
          <w:tcPr>
            <w:tcW w:w="4860" w:type="dxa"/>
            <w:vAlign w:val="bottom"/>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80" w:type="dxa"/>
            <w:vAlign w:val="bottom"/>
            <w:tcBorders>
              <w:top w:val="single" w:sz="8" w:color="auto"/>
            </w:tcBorders>
          </w:tcPr>
          <w:p>
            <w:pPr>
              <w:spacing w:after="0"/>
              <w:rPr>
                <w:sz w:val="14"/>
                <w:szCs w:val="14"/>
                <w:color w:val="auto"/>
              </w:rPr>
            </w:pPr>
          </w:p>
        </w:tc>
        <w:tc>
          <w:tcPr>
            <w:tcW w:w="2240" w:type="dxa"/>
            <w:vAlign w:val="bottom"/>
            <w:tcBorders>
              <w:top w:val="single" w:sz="8" w:color="auto"/>
            </w:tcBorders>
            <w:gridSpan w:val="2"/>
          </w:tcPr>
          <w:p>
            <w:pPr>
              <w:jc w:val="right"/>
              <w:ind w:right="770"/>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4"/>
                <w:szCs w:val="14"/>
                <w:color w:val="auto"/>
              </w:rPr>
            </w:pPr>
          </w:p>
        </w:tc>
      </w:tr>
      <w:tr>
        <w:trPr>
          <w:trHeight w:val="237"/>
        </w:trPr>
        <w:tc>
          <w:tcPr>
            <w:tcW w:w="4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Common stock options</w:t>
            </w:r>
          </w:p>
        </w:tc>
        <w:tc>
          <w:tcPr>
            <w:tcW w:w="114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6,362,386</w:t>
            </w:r>
          </w:p>
        </w:tc>
        <w:tc>
          <w:tcPr>
            <w:tcW w:w="240" w:type="dxa"/>
            <w:vAlign w:val="bottom"/>
            <w:shd w:val="clear" w:color="auto" w:fill="CFF0FC"/>
          </w:tcPr>
          <w:p>
            <w:pPr>
              <w:spacing w:after="0"/>
              <w:rPr>
                <w:sz w:val="20"/>
                <w:szCs w:val="20"/>
                <w:color w:val="auto"/>
              </w:rPr>
            </w:pPr>
          </w:p>
        </w:tc>
        <w:tc>
          <w:tcPr>
            <w:tcW w:w="2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2,718,930</w:t>
            </w:r>
          </w:p>
        </w:tc>
        <w:tc>
          <w:tcPr>
            <w:tcW w:w="80" w:type="dxa"/>
            <w:vAlign w:val="bottom"/>
            <w:shd w:val="clear" w:color="auto" w:fill="CFF0FC"/>
          </w:tcPr>
          <w:p>
            <w:pPr>
              <w:spacing w:after="0"/>
              <w:rPr>
                <w:sz w:val="20"/>
                <w:szCs w:val="20"/>
                <w:color w:val="auto"/>
              </w:rPr>
            </w:pPr>
          </w:p>
        </w:tc>
      </w:tr>
      <w:tr>
        <w:trPr>
          <w:trHeight w:val="237"/>
        </w:trPr>
        <w:tc>
          <w:tcPr>
            <w:tcW w:w="6000" w:type="dxa"/>
            <w:vAlign w:val="bottom"/>
            <w:gridSpan w:val="2"/>
          </w:tcPr>
          <w:p>
            <w:pPr>
              <w:ind w:left="20"/>
              <w:spacing w:after="0"/>
              <w:rPr>
                <w:sz w:val="20"/>
                <w:szCs w:val="20"/>
                <w:color w:val="auto"/>
              </w:rPr>
            </w:pPr>
            <w:r>
              <w:rPr>
                <w:rFonts w:ascii="Arial" w:cs="Arial" w:eastAsia="Arial" w:hAnsi="Arial"/>
                <w:sz w:val="18"/>
                <w:szCs w:val="18"/>
                <w:color w:val="auto"/>
              </w:rPr>
              <w:t>Restricted stock units</w:t>
            </w:r>
          </w:p>
        </w:tc>
        <w:tc>
          <w:tcPr>
            <w:tcW w:w="780" w:type="dxa"/>
            <w:vAlign w:val="bottom"/>
          </w:tcPr>
          <w:p>
            <w:pPr>
              <w:jc w:val="right"/>
              <w:spacing w:after="0"/>
              <w:rPr>
                <w:sz w:val="20"/>
                <w:szCs w:val="20"/>
                <w:color w:val="auto"/>
              </w:rPr>
            </w:pPr>
            <w:r>
              <w:rPr>
                <w:rFonts w:ascii="Arial" w:cs="Arial" w:eastAsia="Arial" w:hAnsi="Arial"/>
                <w:sz w:val="18"/>
                <w:szCs w:val="18"/>
                <w:color w:val="auto"/>
              </w:rPr>
              <w:t>161,219</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629,007</w:t>
            </w:r>
          </w:p>
        </w:tc>
        <w:tc>
          <w:tcPr>
            <w:tcW w:w="80" w:type="dxa"/>
            <w:vAlign w:val="bottom"/>
          </w:tcPr>
          <w:p>
            <w:pPr>
              <w:spacing w:after="0"/>
              <w:rPr>
                <w:sz w:val="20"/>
                <w:szCs w:val="20"/>
                <w:color w:val="auto"/>
              </w:rPr>
            </w:pPr>
          </w:p>
        </w:tc>
      </w:tr>
      <w:tr>
        <w:trPr>
          <w:trHeight w:val="243"/>
        </w:trPr>
        <w:tc>
          <w:tcPr>
            <w:tcW w:w="4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ESPP shares</w:t>
            </w:r>
          </w:p>
        </w:tc>
        <w:tc>
          <w:tcPr>
            <w:tcW w:w="11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124,969</w:t>
            </w:r>
          </w:p>
        </w:tc>
        <w:tc>
          <w:tcPr>
            <w:tcW w:w="240" w:type="dxa"/>
            <w:vAlign w:val="bottom"/>
            <w:tcBorders>
              <w:bottom w:val="single" w:sz="8" w:color="CFF0FC"/>
            </w:tcBorders>
            <w:shd w:val="clear" w:color="auto" w:fill="CFF0FC"/>
          </w:tcPr>
          <w:p>
            <w:pPr>
              <w:spacing w:after="0"/>
              <w:rPr>
                <w:sz w:val="21"/>
                <w:szCs w:val="21"/>
                <w:color w:val="auto"/>
              </w:rPr>
            </w:pPr>
          </w:p>
        </w:tc>
        <w:tc>
          <w:tcPr>
            <w:tcW w:w="2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115,783</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60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6,648,574</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3,463,720</w:t>
            </w:r>
          </w:p>
        </w:tc>
        <w:tc>
          <w:tcPr>
            <w:tcW w:w="80" w:type="dxa"/>
            <w:vAlign w:val="bottom"/>
          </w:tcPr>
          <w:p>
            <w:pPr>
              <w:spacing w:after="0"/>
              <w:rPr>
                <w:sz w:val="20"/>
                <w:szCs w:val="20"/>
                <w:color w:val="auto"/>
              </w:rPr>
            </w:pPr>
          </w:p>
        </w:tc>
      </w:tr>
      <w:tr>
        <w:trPr>
          <w:trHeight w:val="20"/>
        </w:trPr>
        <w:tc>
          <w:tcPr>
            <w:tcW w:w="48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-187960</wp:posOffset>
            </wp:positionV>
            <wp:extent cx="59690" cy="1885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-187960</wp:posOffset>
            </wp:positionV>
            <wp:extent cx="51435" cy="1885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auto"/>
        </w:rPr>
        <w:t>There were no new accounting standards that had a material impact on the Company’s financial statements during the three or nine months ended September 30, 2023, and there were no other new accounting standards or pronouncements that were issued but not yet effective as of September 30, 2023 that the Company expects to have a material impact on its financial statements.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Balance Sheet Details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218"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4"/>
                <w:szCs w:val="14"/>
                <w:color w:val="auto"/>
              </w:rPr>
            </w:pPr>
          </w:p>
        </w:tc>
        <w:tc>
          <w:tcPr>
            <w:tcW w:w="1160" w:type="dxa"/>
            <w:vAlign w:val="bottom"/>
            <w:gridSpan w:val="4"/>
          </w:tcPr>
          <w:p>
            <w:pPr>
              <w:ind w:lef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6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2023</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20" w:type="dxa"/>
            <w:vAlign w:val="bottom"/>
          </w:tcPr>
          <w:p>
            <w:pPr>
              <w:spacing w:after="0"/>
              <w:rPr>
                <w:sz w:val="20"/>
                <w:szCs w:val="20"/>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Prepaid research and development</w:t>
            </w:r>
          </w:p>
        </w:tc>
        <w:tc>
          <w:tcPr>
            <w:tcW w:w="8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5,143</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4,385</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2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Prepaid insurance</w:t>
            </w: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5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prepaid expenses and current assets</w:t>
            </w:r>
          </w:p>
        </w:tc>
        <w:tc>
          <w:tcPr>
            <w:tcW w:w="8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2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Total</w:t>
            </w:r>
          </w:p>
        </w:tc>
        <w:tc>
          <w:tcPr>
            <w:tcW w:w="8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6,229</w:t>
            </w:r>
          </w:p>
        </w:tc>
        <w:tc>
          <w:tcPr>
            <w:tcW w:w="2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Arial" w:cs="Arial" w:eastAsia="Arial" w:hAnsi="Arial"/>
                <w:sz w:val="18"/>
                <w:szCs w:val="18"/>
                <w:color w:val="auto"/>
              </w:rPr>
              <w:t>Property and equipment consist of the following (in thousands):</w:t>
            </w:r>
          </w:p>
        </w:tc>
        <w:tc>
          <w:tcPr>
            <w:tcW w:w="8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92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6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900" w:type="dxa"/>
            <w:vAlign w:val="bottom"/>
            <w:gridSpan w:val="2"/>
          </w:tcPr>
          <w:p>
            <w:pPr>
              <w:jc w:val="center"/>
              <w:ind w:left="197"/>
              <w:spacing w:after="0"/>
              <w:rPr>
                <w:sz w:val="20"/>
                <w:szCs w:val="20"/>
                <w:color w:val="auto"/>
              </w:rPr>
            </w:pPr>
            <w:r>
              <w:rPr>
                <w:rFonts w:ascii="Arial" w:cs="Arial" w:eastAsia="Arial" w:hAnsi="Arial"/>
                <w:sz w:val="14"/>
                <w:szCs w:val="14"/>
                <w:b w:val="1"/>
                <w:bCs w:val="1"/>
                <w:color w:val="auto"/>
                <w:w w:val="92"/>
              </w:rPr>
              <w:t>Useful life</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8"/>
              </w:rPr>
              <w:t>September 30,</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6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900" w:type="dxa"/>
            <w:vAlign w:val="bottom"/>
            <w:tcBorders>
              <w:bottom w:val="single" w:sz="8" w:color="auto"/>
            </w:tcBorders>
            <w:gridSpan w:val="2"/>
          </w:tcPr>
          <w:p>
            <w:pPr>
              <w:jc w:val="center"/>
              <w:ind w:left="177"/>
              <w:spacing w:after="0"/>
              <w:rPr>
                <w:sz w:val="20"/>
                <w:szCs w:val="20"/>
                <w:color w:val="auto"/>
              </w:rPr>
            </w:pPr>
            <w:r>
              <w:rPr>
                <w:rFonts w:ascii="Arial" w:cs="Arial" w:eastAsia="Arial" w:hAnsi="Arial"/>
                <w:sz w:val="14"/>
                <w:szCs w:val="14"/>
                <w:b w:val="1"/>
                <w:bCs w:val="1"/>
                <w:color w:val="auto"/>
                <w:w w:val="95"/>
              </w:rPr>
              <w:t>(years)</w:t>
            </w:r>
          </w:p>
        </w:tc>
        <w:tc>
          <w:tcPr>
            <w:tcW w:w="2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20" w:type="dxa"/>
            <w:vAlign w:val="bottom"/>
          </w:tcPr>
          <w:p>
            <w:pPr>
              <w:spacing w:after="0"/>
              <w:rPr>
                <w:sz w:val="20"/>
                <w:szCs w:val="20"/>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Furniture, fixtures and office equipment</w:t>
            </w:r>
          </w:p>
        </w:tc>
        <w:tc>
          <w:tcPr>
            <w:tcW w:w="880" w:type="dxa"/>
            <w:vAlign w:val="bottom"/>
            <w:shd w:val="clear" w:color="auto" w:fill="CFF0FC"/>
          </w:tcPr>
          <w:p>
            <w:pPr>
              <w:jc w:val="center"/>
              <w:ind w:left="197"/>
              <w:spacing w:after="0"/>
              <w:rPr>
                <w:sz w:val="20"/>
                <w:szCs w:val="20"/>
                <w:color w:val="auto"/>
              </w:rPr>
            </w:pPr>
            <w:r>
              <w:rPr>
                <w:rFonts w:ascii="Arial" w:cs="Arial" w:eastAsia="Arial" w:hAnsi="Arial"/>
                <w:sz w:val="18"/>
                <w:szCs w:val="18"/>
                <w:color w:val="auto"/>
                <w:w w:val="88"/>
              </w:rPr>
              <w:t>3 - 7</w:t>
            </w: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2,147</w:t>
            </w:r>
          </w:p>
        </w:tc>
        <w:tc>
          <w:tcPr>
            <w:tcW w:w="1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2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Laboratory equipment</w:t>
            </w:r>
          </w:p>
        </w:tc>
        <w:tc>
          <w:tcPr>
            <w:tcW w:w="880" w:type="dxa"/>
            <w:vAlign w:val="bottom"/>
          </w:tcPr>
          <w:p>
            <w:pPr>
              <w:jc w:val="center"/>
              <w:ind w:left="197"/>
              <w:spacing w:after="0"/>
              <w:rPr>
                <w:sz w:val="20"/>
                <w:szCs w:val="20"/>
                <w:color w:val="auto"/>
              </w:rPr>
            </w:pPr>
            <w:r>
              <w:rPr>
                <w:rFonts w:ascii="Arial" w:cs="Arial" w:eastAsia="Arial" w:hAnsi="Arial"/>
                <w:sz w:val="18"/>
                <w:szCs w:val="18"/>
                <w:color w:val="auto"/>
                <w:w w:val="79"/>
              </w:rPr>
              <w:t>5</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2,349</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2,265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20" w:type="dxa"/>
            <w:vAlign w:val="bottom"/>
          </w:tcPr>
          <w:p>
            <w:pPr>
              <w:spacing w:after="0"/>
              <w:rPr>
                <w:sz w:val="21"/>
                <w:szCs w:val="21"/>
                <w:color w:val="auto"/>
              </w:rPr>
            </w:pPr>
          </w:p>
        </w:tc>
        <w:tc>
          <w:tcPr>
            <w:tcW w:w="5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880" w:type="dxa"/>
            <w:vAlign w:val="bottom"/>
            <w:tcBorders>
              <w:bottom w:val="single" w:sz="8" w:color="CFF0FC"/>
            </w:tcBorders>
            <w:shd w:val="clear" w:color="auto" w:fill="CFF0FC"/>
          </w:tcPr>
          <w:p>
            <w:pPr>
              <w:jc w:val="center"/>
              <w:ind w:left="197"/>
              <w:spacing w:after="0"/>
              <w:rPr>
                <w:sz w:val="20"/>
                <w:szCs w:val="20"/>
                <w:color w:val="auto"/>
              </w:rPr>
            </w:pPr>
            <w:r>
              <w:rPr>
                <w:rFonts w:ascii="Arial" w:cs="Arial" w:eastAsia="Arial" w:hAnsi="Arial"/>
                <w:sz w:val="18"/>
                <w:szCs w:val="18"/>
                <w:color w:val="auto"/>
                <w:w w:val="88"/>
              </w:rPr>
              <w:t>2 - 3</w:t>
            </w:r>
          </w:p>
        </w:tc>
        <w:tc>
          <w:tcPr>
            <w:tcW w:w="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3,687</w:t>
            </w:r>
          </w:p>
        </w:tc>
        <w:tc>
          <w:tcPr>
            <w:tcW w:w="16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3,687</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8,183</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8,092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8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(6,218 )</w:t>
            </w: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(5,364 )</w:t>
            </w:r>
          </w:p>
        </w:tc>
        <w:tc>
          <w:tcPr>
            <w:tcW w:w="0" w:type="dxa"/>
            <w:vAlign w:val="bottom"/>
          </w:tcPr>
          <w:p>
            <w:pPr>
              <w:spacing w:after="0"/>
              <w:rPr>
                <w:sz w:val="1"/>
                <w:szCs w:val="1"/>
                <w:color w:val="auto"/>
              </w:rPr>
            </w:pPr>
          </w:p>
        </w:tc>
      </w:tr>
      <w:tr>
        <w:trPr>
          <w:trHeight w:val="236"/>
        </w:trPr>
        <w:tc>
          <w:tcPr>
            <w:tcW w:w="620" w:type="dxa"/>
            <w:vAlign w:val="bottom"/>
          </w:tcPr>
          <w:p>
            <w:pPr>
              <w:spacing w:after="0"/>
              <w:rPr>
                <w:sz w:val="20"/>
                <w:szCs w:val="20"/>
                <w:color w:val="auto"/>
              </w:rPr>
            </w:pPr>
          </w:p>
        </w:tc>
        <w:tc>
          <w:tcPr>
            <w:tcW w:w="530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CFF0FC"/>
            </w:tcBorders>
          </w:tcPr>
          <w:p>
            <w:pPr>
              <w:spacing w:after="0"/>
              <w:rPr>
                <w:sz w:val="20"/>
                <w:szCs w:val="20"/>
                <w:color w:val="auto"/>
              </w:rPr>
            </w:pPr>
          </w:p>
        </w:tc>
        <w:tc>
          <w:tcPr>
            <w:tcW w:w="20" w:type="dxa"/>
            <w:vAlign w:val="bottom"/>
            <w:tcBorders>
              <w:top w:val="single" w:sz="8" w:color="CFF0FC"/>
            </w:tcBorders>
          </w:tcPr>
          <w:p>
            <w:pPr>
              <w:spacing w:after="0"/>
              <w:rPr>
                <w:sz w:val="20"/>
                <w:szCs w:val="20"/>
                <w:color w:val="auto"/>
              </w:rPr>
            </w:pPr>
          </w:p>
        </w:tc>
        <w:tc>
          <w:tcPr>
            <w:tcW w:w="400" w:type="dxa"/>
            <w:vAlign w:val="bottom"/>
            <w:tcBorders>
              <w:top w:val="single" w:sz="8" w:color="CFF0FC"/>
            </w:tcBorders>
            <w:gridSpan w:val="2"/>
          </w:tcPr>
          <w:p>
            <w:pPr>
              <w:spacing w:after="0"/>
              <w:rPr>
                <w:sz w:val="20"/>
                <w:szCs w:val="20"/>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1,965</w:t>
            </w:r>
          </w:p>
        </w:tc>
        <w:tc>
          <w:tcPr>
            <w:tcW w:w="160" w:type="dxa"/>
            <w:vAlign w:val="bottom"/>
            <w:tcBorders>
              <w:top w:val="single" w:sz="8" w:color="CFF0FC"/>
            </w:tcBorders>
          </w:tcPr>
          <w:p>
            <w:pPr>
              <w:spacing w:after="0"/>
              <w:rPr>
                <w:sz w:val="20"/>
                <w:szCs w:val="20"/>
                <w:color w:val="auto"/>
              </w:rPr>
            </w:pPr>
          </w:p>
        </w:tc>
        <w:tc>
          <w:tcPr>
            <w:tcW w:w="4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2,728</w:t>
            </w:r>
          </w:p>
        </w:tc>
        <w:tc>
          <w:tcPr>
            <w:tcW w:w="8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Arial" w:cs="Arial" w:eastAsia="Arial" w:hAnsi="Arial"/>
                <w:sz w:val="18"/>
                <w:szCs w:val="18"/>
                <w:color w:val="auto"/>
                <w:w w:val="92"/>
              </w:rPr>
              <w:t>Accounts payable and accrued expenses consist of the following (in thousands):</w:t>
            </w: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592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6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24"/>
                <w:szCs w:val="24"/>
                <w:color w:val="auto"/>
              </w:rPr>
            </w:pPr>
          </w:p>
        </w:tc>
        <w:tc>
          <w:tcPr>
            <w:tcW w:w="1160" w:type="dxa"/>
            <w:vAlign w:val="bottom"/>
            <w:gridSpan w:val="4"/>
          </w:tcPr>
          <w:p>
            <w:pPr>
              <w:ind w:lef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6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2023</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20" w:type="dxa"/>
            <w:vAlign w:val="bottom"/>
          </w:tcPr>
          <w:p>
            <w:pPr>
              <w:spacing w:after="0"/>
              <w:rPr>
                <w:sz w:val="20"/>
                <w:szCs w:val="20"/>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8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6,293</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4,231</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2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Accrued compensation</w:t>
            </w: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2,967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3,451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20" w:type="dxa"/>
            <w:vAlign w:val="bottom"/>
          </w:tcPr>
          <w:p>
            <w:pPr>
              <w:spacing w:after="0"/>
              <w:rPr>
                <w:sz w:val="21"/>
                <w:szCs w:val="21"/>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Accrued research and development</w:t>
            </w:r>
          </w:p>
        </w:tc>
        <w:tc>
          <w:tcPr>
            <w:tcW w:w="8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24,204</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12,649</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2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Other accrued expenses</w:t>
            </w:r>
          </w:p>
        </w:tc>
        <w:tc>
          <w:tcPr>
            <w:tcW w:w="8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20" w:type="dxa"/>
            <w:vAlign w:val="bottom"/>
          </w:tcPr>
          <w:p>
            <w:pPr>
              <w:spacing w:after="0"/>
              <w:rPr>
                <w:sz w:val="24"/>
                <w:szCs w:val="24"/>
                <w:color w:val="auto"/>
              </w:rPr>
            </w:pPr>
          </w:p>
        </w:tc>
        <w:tc>
          <w:tcPr>
            <w:tcW w:w="5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auto"/>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spacing w:after="0"/>
              <w:rPr>
                <w:sz w:val="24"/>
                <w:szCs w:val="2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34,006</w:t>
            </w:r>
          </w:p>
        </w:tc>
        <w:tc>
          <w:tcPr>
            <w:tcW w:w="2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Borders>
              <w:bottom w:val="single" w:sz="8" w:color="auto"/>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spacing w:after="0"/>
              <w:rPr>
                <w:sz w:val="24"/>
                <w:szCs w:val="2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21,610</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-3256915</wp:posOffset>
            </wp:positionV>
            <wp:extent cx="59690" cy="1885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-3256915</wp:posOffset>
            </wp:positionV>
            <wp:extent cx="51435" cy="1885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-1962150</wp:posOffset>
            </wp:positionV>
            <wp:extent cx="51435" cy="1631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 cy="1631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-1962150</wp:posOffset>
            </wp:positionV>
            <wp:extent cx="51435" cy="1631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 cy="16319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-1645285</wp:posOffset>
            </wp:positionV>
            <wp:extent cx="51435" cy="1885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-1645285</wp:posOffset>
            </wp:positionV>
            <wp:extent cx="51435" cy="1885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-24765</wp:posOffset>
            </wp:positionV>
            <wp:extent cx="5969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-7620</wp:posOffset>
            </wp:positionV>
            <wp:extent cx="596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The carrying amounts of the Company’s current financial assets and current financial liabilities, including cash and cash equivalents, are considered to be representative of their respective fair values because of the short-term nature of those instruments.</w:t>
      </w:r>
    </w:p>
    <w:p>
      <w:pPr>
        <w:spacing w:after="0" w:line="170" w:lineRule="exact"/>
        <w:rPr>
          <w:sz w:val="20"/>
          <w:szCs w:val="20"/>
          <w:color w:val="auto"/>
        </w:rPr>
      </w:pPr>
    </w:p>
    <w:p>
      <w:pPr>
        <w:ind w:firstLine="509"/>
        <w:spacing w:after="0" w:line="285" w:lineRule="auto"/>
        <w:rPr>
          <w:sz w:val="20"/>
          <w:szCs w:val="20"/>
          <w:color w:val="auto"/>
        </w:rPr>
      </w:pPr>
      <w:r>
        <w:rPr>
          <w:rFonts w:ascii="Arial" w:cs="Arial" w:eastAsia="Arial" w:hAnsi="Arial"/>
          <w:sz w:val="16"/>
          <w:szCs w:val="16"/>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0" w:name="page11"/>
    <w:bookmarkEnd w:id="10"/>
    <w:p>
      <w:pPr>
        <w:ind w:left="520"/>
        <w:spacing w:after="0"/>
        <w:rPr>
          <w:sz w:val="20"/>
          <w:szCs w:val="20"/>
          <w:color w:val="auto"/>
        </w:rPr>
      </w:pPr>
      <w:r>
        <w:rPr>
          <w:rFonts w:ascii="Arial" w:cs="Arial" w:eastAsia="Arial" w:hAnsi="Arial"/>
          <w:sz w:val="18"/>
          <w:szCs w:val="18"/>
          <w:color w:val="auto"/>
        </w:rPr>
        <w:t>Level 1: Observable inputs such as quoted prices in active markets.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2: Inputs, other than the quoted prices in active markets that are observable either directly or indirectly.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Level 3: Unobservable inputs in which there is little or no market data, which require the reporting entity to develop its own assumptions.</w:t>
      </w:r>
    </w:p>
    <w:p>
      <w:pPr>
        <w:spacing w:after="0" w:line="23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September 30, 2023 and December 31, 2022, the Company had $0.1 million and $0, respectively, invested in U.S. Government and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Treasury money market funds which are recorded as cash equivalents and represent a Level 1 measurement within the fair value hierarchy.</w:t>
      </w:r>
    </w:p>
    <w:p>
      <w:pPr>
        <w:spacing w:after="0" w:line="211" w:lineRule="exact"/>
        <w:rPr>
          <w:sz w:val="20"/>
          <w:szCs w:val="20"/>
          <w:color w:val="auto"/>
        </w:rPr>
      </w:pPr>
    </w:p>
    <w:p>
      <w:pPr>
        <w:ind w:right="420" w:firstLine="509"/>
        <w:spacing w:after="0" w:line="277" w:lineRule="auto"/>
        <w:rPr>
          <w:sz w:val="20"/>
          <w:szCs w:val="20"/>
          <w:color w:val="auto"/>
        </w:rPr>
      </w:pPr>
      <w:r>
        <w:rPr>
          <w:rFonts w:ascii="Arial" w:cs="Arial" w:eastAsia="Arial" w:hAnsi="Arial"/>
          <w:sz w:val="18"/>
          <w:szCs w:val="18"/>
          <w:color w:val="auto"/>
        </w:rPr>
        <w:t>None of the Company’s non-financial assets and liabilities are recorded at fair value on a non-recurring basis. No transfers between levels have occurred during the periods presented.</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Leases</w:t>
      </w:r>
    </w:p>
    <w:p>
      <w:pPr>
        <w:spacing w:after="0" w:line="121" w:lineRule="exact"/>
        <w:rPr>
          <w:sz w:val="20"/>
          <w:szCs w:val="20"/>
          <w:color w:val="auto"/>
        </w:rPr>
      </w:pPr>
    </w:p>
    <w:p>
      <w:pPr>
        <w:jc w:val="both"/>
        <w:ind w:right="320" w:firstLine="509"/>
        <w:spacing w:after="0" w:line="286" w:lineRule="auto"/>
        <w:rPr>
          <w:sz w:val="20"/>
          <w:szCs w:val="20"/>
          <w:color w:val="auto"/>
        </w:rPr>
      </w:pPr>
      <w:r>
        <w:rPr>
          <w:rFonts w:ascii="Arial" w:cs="Arial" w:eastAsia="Arial" w:hAnsi="Arial"/>
          <w:sz w:val="17"/>
          <w:szCs w:val="17"/>
          <w:color w:val="auto"/>
        </w:rPr>
        <w:t>The Company has a single operating lease for its corporate headquarters and laboratory space in San Diego, California. The lease expires in July 2025 and the Company has an option to extend the term of the lease for an additional five years. Additionally, the lease includes certain rent abatement, rent escalations, tenant improvement allowances and additional charges for common area maintenance and other costs.</w:t>
      </w:r>
    </w:p>
    <w:p>
      <w:pPr>
        <w:spacing w:after="0" w:line="13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lease expense included in the Company’s statements of operations and loss include (in thousands):</w:t>
      </w:r>
    </w:p>
    <w:p>
      <w:pPr>
        <w:spacing w:after="0" w:line="284" w:lineRule="exact"/>
        <w:rPr>
          <w:sz w:val="20"/>
          <w:szCs w:val="20"/>
          <w:color w:val="auto"/>
        </w:rPr>
      </w:pPr>
    </w:p>
    <w:tbl>
      <w:tblPr>
        <w:tblLayout w:type="fixed"/>
        <w:tblInd w:w="860" w:type="dxa"/>
        <w:tblCellMar>
          <w:top w:w="0" w:type="dxa"/>
          <w:left w:w="0" w:type="dxa"/>
          <w:bottom w:w="0" w:type="dxa"/>
          <w:right w:w="0" w:type="dxa"/>
        </w:tblCellMar>
      </w:tblPr>
      <w:tr>
        <w:trPr>
          <w:trHeight w:val="185"/>
        </w:trPr>
        <w:tc>
          <w:tcPr>
            <w:tcW w:w="264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Three Months Ended September 30,</w:t>
            </w:r>
          </w:p>
        </w:tc>
        <w:tc>
          <w:tcPr>
            <w:tcW w:w="4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475"/>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16"/>
                <w:szCs w:val="16"/>
                <w:color w:val="auto"/>
              </w:rPr>
            </w:pPr>
          </w:p>
        </w:tc>
      </w:tr>
      <w:tr>
        <w:trPr>
          <w:trHeight w:val="210"/>
        </w:trPr>
        <w:tc>
          <w:tcPr>
            <w:tcW w:w="2640" w:type="dxa"/>
            <w:vAlign w:val="bottom"/>
          </w:tcPr>
          <w:p>
            <w:pPr>
              <w:spacing w:after="0"/>
              <w:rPr>
                <w:sz w:val="18"/>
                <w:szCs w:val="18"/>
                <w:color w:val="auto"/>
              </w:rPr>
            </w:pPr>
          </w:p>
        </w:tc>
        <w:tc>
          <w:tcPr>
            <w:tcW w:w="1060" w:type="dxa"/>
            <w:vAlign w:val="bottom"/>
          </w:tcPr>
          <w:p>
            <w:pPr>
              <w:jc w:val="right"/>
              <w:ind w:right="87"/>
              <w:spacing w:after="0"/>
              <w:rPr>
                <w:sz w:val="20"/>
                <w:szCs w:val="20"/>
                <w:color w:val="auto"/>
              </w:rPr>
            </w:pPr>
            <w:r>
              <w:rPr>
                <w:rFonts w:ascii="Arial" w:cs="Arial" w:eastAsia="Arial" w:hAnsi="Arial"/>
                <w:sz w:val="14"/>
                <w:szCs w:val="14"/>
                <w:b w:val="1"/>
                <w:bCs w:val="1"/>
                <w:color w:val="auto"/>
              </w:rPr>
              <w:t>2023</w:t>
            </w:r>
          </w:p>
        </w:tc>
        <w:tc>
          <w:tcPr>
            <w:tcW w:w="460" w:type="dxa"/>
            <w:vAlign w:val="bottom"/>
          </w:tcPr>
          <w:p>
            <w:pPr>
              <w:spacing w:after="0"/>
              <w:rPr>
                <w:sz w:val="18"/>
                <w:szCs w:val="18"/>
                <w:color w:val="auto"/>
              </w:rPr>
            </w:pPr>
          </w:p>
        </w:tc>
        <w:tc>
          <w:tcPr>
            <w:tcW w:w="136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537"/>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8"/>
                <w:szCs w:val="18"/>
                <w:color w:val="auto"/>
              </w:rPr>
            </w:pPr>
          </w:p>
        </w:tc>
      </w:tr>
      <w:tr>
        <w:trPr>
          <w:trHeight w:val="236"/>
        </w:trPr>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expense</w:t>
            </w:r>
          </w:p>
        </w:tc>
        <w:tc>
          <w:tcPr>
            <w:tcW w:w="1060" w:type="dxa"/>
            <w:vAlign w:val="bottom"/>
            <w:tcBorders>
              <w:top w:val="single" w:sz="8" w:color="auto"/>
            </w:tcBorders>
            <w:shd w:val="clear" w:color="auto" w:fill="CFF0FC"/>
          </w:tcPr>
          <w:p>
            <w:pPr>
              <w:jc w:val="right"/>
              <w:ind w:right="90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280" w:type="dxa"/>
            <w:vAlign w:val="bottom"/>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26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782</w:t>
            </w:r>
          </w:p>
        </w:tc>
        <w:tc>
          <w:tcPr>
            <w:tcW w:w="24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782</w:t>
            </w:r>
          </w:p>
        </w:tc>
        <w:tc>
          <w:tcPr>
            <w:tcW w:w="100" w:type="dxa"/>
            <w:vAlign w:val="bottom"/>
            <w:shd w:val="clear" w:color="auto" w:fill="CFF0FC"/>
          </w:tcPr>
          <w:p>
            <w:pPr>
              <w:spacing w:after="0"/>
              <w:rPr>
                <w:sz w:val="20"/>
                <w:szCs w:val="20"/>
                <w:color w:val="auto"/>
              </w:rPr>
            </w:pPr>
          </w:p>
        </w:tc>
      </w:tr>
      <w:tr>
        <w:trPr>
          <w:trHeight w:val="237"/>
        </w:trPr>
        <w:tc>
          <w:tcPr>
            <w:tcW w:w="2640" w:type="dxa"/>
            <w:vAlign w:val="bottom"/>
          </w:tcPr>
          <w:p>
            <w:pPr>
              <w:spacing w:after="0"/>
              <w:rPr>
                <w:sz w:val="20"/>
                <w:szCs w:val="20"/>
                <w:color w:val="auto"/>
              </w:rPr>
            </w:pPr>
            <w:r>
              <w:rPr>
                <w:rFonts w:ascii="Arial" w:cs="Arial" w:eastAsia="Arial" w:hAnsi="Arial"/>
                <w:sz w:val="18"/>
                <w:szCs w:val="18"/>
                <w:color w:val="auto"/>
              </w:rPr>
              <w:t>Variable lease expense</w:t>
            </w:r>
          </w:p>
        </w:tc>
        <w:tc>
          <w:tcPr>
            <w:tcW w:w="10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28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0"/>
                <w:szCs w:val="20"/>
                <w:color w:val="auto"/>
              </w:rPr>
            </w:pPr>
          </w:p>
        </w:tc>
      </w:tr>
      <w:tr>
        <w:trPr>
          <w:trHeight w:val="277"/>
        </w:trPr>
        <w:tc>
          <w:tcPr>
            <w:tcW w:w="2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expense, net</w:t>
            </w:r>
          </w:p>
        </w:tc>
        <w:tc>
          <w:tcPr>
            <w:tcW w:w="1060" w:type="dxa"/>
            <w:vAlign w:val="bottom"/>
            <w:tcBorders>
              <w:bottom w:val="single" w:sz="8" w:color="auto"/>
            </w:tcBorders>
            <w:shd w:val="clear" w:color="auto" w:fill="CFF0FC"/>
          </w:tcPr>
          <w:p>
            <w:pPr>
              <w:jc w:val="right"/>
              <w:ind w:right="907"/>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w:t>
            </w:r>
          </w:p>
        </w:tc>
        <w:tc>
          <w:tcPr>
            <w:tcW w:w="28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auto"/>
            </w:tcBorders>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w:t>
            </w: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1,183</w:t>
            </w:r>
          </w:p>
        </w:tc>
        <w:tc>
          <w:tcPr>
            <w:tcW w:w="2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-24765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-7620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-24765</wp:posOffset>
            </wp:positionV>
            <wp:extent cx="603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-7620</wp:posOffset>
            </wp:positionV>
            <wp:extent cx="603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-24765</wp:posOffset>
            </wp:positionV>
            <wp:extent cx="603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-7620</wp:posOffset>
            </wp:positionV>
            <wp:extent cx="603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-24765</wp:posOffset>
            </wp:positionV>
            <wp:extent cx="603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-7620</wp:posOffset>
            </wp:positionV>
            <wp:extent cx="603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8" w:lineRule="exact"/>
        <w:rPr>
          <w:sz w:val="20"/>
          <w:szCs w:val="20"/>
          <w:color w:val="auto"/>
        </w:rPr>
      </w:pPr>
    </w:p>
    <w:p>
      <w:pPr>
        <w:ind w:right="160" w:firstLine="464"/>
        <w:spacing w:after="0" w:line="263" w:lineRule="auto"/>
        <w:rPr>
          <w:sz w:val="20"/>
          <w:szCs w:val="20"/>
          <w:color w:val="auto"/>
        </w:rPr>
      </w:pPr>
      <w:r>
        <w:rPr>
          <w:rFonts w:ascii="Arial" w:cs="Arial" w:eastAsia="Arial" w:hAnsi="Arial"/>
          <w:sz w:val="18"/>
          <w:szCs w:val="18"/>
          <w:color w:val="auto"/>
        </w:rPr>
        <w:t>Variable lease costs are primarily related to payments made to lessors for common area maintenance, property taxes, insurance, and other operating expenses. The Company did not have any short-term leases or finance leases for the three and nine months ended September 30, 2023 and 2022, respectively.</w:t>
      </w:r>
    </w:p>
    <w:p>
      <w:pPr>
        <w:spacing w:after="0" w:line="15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weighted average remaining lease term and weighted average discount rate for operating leases were as follows:</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48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As of September 30,</w:t>
            </w:r>
          </w:p>
        </w:tc>
        <w:tc>
          <w:tcPr>
            <w:tcW w:w="4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0"/>
        </w:trPr>
        <w:tc>
          <w:tcPr>
            <w:tcW w:w="56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2023</w:t>
            </w:r>
          </w:p>
        </w:tc>
        <w:tc>
          <w:tcPr>
            <w:tcW w:w="16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remaining lease term (in years)</w:t>
            </w:r>
          </w:p>
        </w:tc>
        <w:tc>
          <w:tcPr>
            <w:tcW w:w="820" w:type="dxa"/>
            <w:vAlign w:val="bottom"/>
            <w:tcBorders>
              <w:top w:val="single" w:sz="8" w:color="auto"/>
            </w:tcBorders>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w w:val="91"/>
              </w:rPr>
              <w:t>1.75</w:t>
            </w:r>
          </w:p>
        </w:tc>
        <w:tc>
          <w:tcPr>
            <w:tcW w:w="220" w:type="dxa"/>
            <w:vAlign w:val="bottom"/>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460" w:type="dxa"/>
            <w:vAlign w:val="bottom"/>
            <w:tcBorders>
              <w:top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w w:val="85"/>
              </w:rPr>
              <w:t>2.75</w:t>
            </w:r>
          </w:p>
        </w:tc>
        <w:tc>
          <w:tcPr>
            <w:tcW w:w="8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5660" w:type="dxa"/>
            <w:vAlign w:val="bottom"/>
            <w:gridSpan w:val="2"/>
          </w:tcPr>
          <w:p>
            <w:pPr>
              <w:spacing w:after="0"/>
              <w:rPr>
                <w:sz w:val="20"/>
                <w:szCs w:val="20"/>
                <w:color w:val="auto"/>
              </w:rPr>
            </w:pPr>
            <w:r>
              <w:rPr>
                <w:rFonts w:ascii="Arial" w:cs="Arial" w:eastAsia="Arial" w:hAnsi="Arial"/>
                <w:sz w:val="18"/>
                <w:szCs w:val="18"/>
                <w:color w:val="auto"/>
              </w:rPr>
              <w:t>Weighted average discount rate percentage</w:t>
            </w:r>
          </w:p>
        </w:tc>
        <w:tc>
          <w:tcPr>
            <w:tcW w:w="660" w:type="dxa"/>
            <w:vAlign w:val="bottom"/>
            <w:gridSpan w:val="2"/>
          </w:tcPr>
          <w:p>
            <w:pPr>
              <w:ind w:left="100"/>
              <w:spacing w:after="0"/>
              <w:rPr>
                <w:sz w:val="20"/>
                <w:szCs w:val="20"/>
                <w:color w:val="auto"/>
              </w:rPr>
            </w:pPr>
            <w:r>
              <w:rPr>
                <w:rFonts w:ascii="Arial" w:cs="Arial" w:eastAsia="Arial" w:hAnsi="Arial"/>
                <w:sz w:val="18"/>
                <w:szCs w:val="18"/>
                <w:color w:val="auto"/>
                <w:w w:val="96"/>
              </w:rPr>
              <w:t>3.50 %</w:t>
            </w:r>
          </w:p>
        </w:tc>
        <w:tc>
          <w:tcPr>
            <w:tcW w:w="1000" w:type="dxa"/>
            <w:vAlign w:val="bottom"/>
          </w:tcPr>
          <w:p>
            <w:pPr>
              <w:spacing w:after="0"/>
              <w:rPr>
                <w:sz w:val="20"/>
                <w:szCs w:val="20"/>
                <w:color w:val="auto"/>
              </w:rPr>
            </w:pPr>
          </w:p>
        </w:tc>
        <w:tc>
          <w:tcPr>
            <w:tcW w:w="620" w:type="dxa"/>
            <w:vAlign w:val="bottom"/>
            <w:gridSpan w:val="3"/>
          </w:tcPr>
          <w:p>
            <w:pPr>
              <w:ind w:left="140"/>
              <w:spacing w:after="0"/>
              <w:rPr>
                <w:sz w:val="20"/>
                <w:szCs w:val="20"/>
                <w:color w:val="auto"/>
              </w:rPr>
            </w:pPr>
            <w:r>
              <w:rPr>
                <w:rFonts w:ascii="Arial" w:cs="Arial" w:eastAsia="Arial" w:hAnsi="Arial"/>
                <w:sz w:val="18"/>
                <w:szCs w:val="18"/>
                <w:color w:val="auto"/>
                <w:w w:val="82"/>
              </w:rPr>
              <w:t>3.50 %</w:t>
            </w:r>
          </w:p>
        </w:tc>
      </w:tr>
    </w:tbl>
    <w:p>
      <w:pPr>
        <w:spacing w:after="0" w:line="18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Supplemental cash flow information related to leases under which the Company is the lessee was as follows (amounts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4"/>
                <w:szCs w:val="14"/>
                <w:b w:val="1"/>
                <w:bCs w:val="1"/>
                <w:color w:val="auto"/>
                <w:w w:val="96"/>
              </w:rPr>
              <w:t>Three Months Ended September 30,</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259"/>
              <w:spacing w:after="0"/>
              <w:rPr>
                <w:sz w:val="20"/>
                <w:szCs w:val="20"/>
                <w:color w:val="auto"/>
              </w:rPr>
            </w:pPr>
            <w:r>
              <w:rPr>
                <w:rFonts w:ascii="Arial" w:cs="Arial" w:eastAsia="Arial" w:hAnsi="Arial"/>
                <w:sz w:val="14"/>
                <w:szCs w:val="14"/>
                <w:b w:val="1"/>
                <w:bCs w:val="1"/>
                <w:color w:val="auto"/>
                <w:w w:val="96"/>
              </w:rPr>
              <w:t>Nine Months Ended September 30,</w:t>
            </w:r>
          </w:p>
        </w:tc>
        <w:tc>
          <w:tcPr>
            <w:tcW w:w="100" w:type="dxa"/>
            <w:vAlign w:val="bottom"/>
          </w:tcPr>
          <w:p>
            <w:pPr>
              <w:spacing w:after="0"/>
              <w:rPr>
                <w:sz w:val="16"/>
                <w:szCs w:val="16"/>
                <w:color w:val="auto"/>
              </w:rPr>
            </w:pPr>
          </w:p>
        </w:tc>
      </w:tr>
      <w:tr>
        <w:trPr>
          <w:trHeight w:val="210"/>
        </w:trPr>
        <w:tc>
          <w:tcPr>
            <w:tcW w:w="5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8"/>
                <w:szCs w:val="18"/>
                <w:color w:val="auto"/>
              </w:rPr>
            </w:pPr>
          </w:p>
        </w:tc>
      </w:tr>
      <w:tr>
        <w:trPr>
          <w:trHeight w:val="209"/>
        </w:trPr>
        <w:tc>
          <w:tcPr>
            <w:tcW w:w="5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paid for amounts included in the measurement of operating</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1,226</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1,155</w:t>
            </w:r>
          </w:p>
        </w:tc>
        <w:tc>
          <w:tcPr>
            <w:tcW w:w="100" w:type="dxa"/>
            <w:vAlign w:val="bottom"/>
            <w:shd w:val="clear" w:color="auto" w:fill="CFF0FC"/>
          </w:tcPr>
          <w:p>
            <w:pPr>
              <w:spacing w:after="0"/>
              <w:rPr>
                <w:sz w:val="18"/>
                <w:szCs w:val="18"/>
                <w:color w:val="auto"/>
              </w:rPr>
            </w:pPr>
          </w:p>
        </w:tc>
      </w:tr>
      <w:tr>
        <w:trPr>
          <w:trHeight w:val="244"/>
        </w:trPr>
        <w:tc>
          <w:tcPr>
            <w:tcW w:w="5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leases</w:t>
            </w: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bl>
    <w:p>
      <w:pPr>
        <w:spacing w:after="0" w:line="188" w:lineRule="exact"/>
        <w:rPr>
          <w:sz w:val="20"/>
          <w:szCs w:val="20"/>
          <w:color w:val="auto"/>
        </w:rPr>
      </w:pPr>
    </w:p>
    <w:p>
      <w:pPr>
        <w:ind w:right="460" w:firstLine="464"/>
        <w:spacing w:after="0" w:line="277" w:lineRule="auto"/>
        <w:rPr>
          <w:sz w:val="20"/>
          <w:szCs w:val="20"/>
          <w:color w:val="auto"/>
        </w:rPr>
      </w:pPr>
      <w:r>
        <w:rPr>
          <w:rFonts w:ascii="Arial" w:cs="Arial" w:eastAsia="Arial" w:hAnsi="Arial"/>
          <w:sz w:val="18"/>
          <w:szCs w:val="18"/>
          <w:color w:val="auto"/>
        </w:rPr>
        <w:t>As of September 30, 2023, future minimum payments under the Company’s non-cancelable operating lease under ASC 842 were as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60" w:type="dxa"/>
            <w:vAlign w:val="bottom"/>
            <w:gridSpan w:val="3"/>
          </w:tcPr>
          <w:p>
            <w:pPr>
              <w:jc w:val="center"/>
              <w:ind w:right="1980"/>
              <w:spacing w:after="0"/>
              <w:rPr>
                <w:sz w:val="20"/>
                <w:szCs w:val="20"/>
                <w:color w:val="auto"/>
              </w:rPr>
            </w:pPr>
            <w:r>
              <w:rPr>
                <w:rFonts w:ascii="Arial" w:cs="Arial" w:eastAsia="Arial" w:hAnsi="Arial"/>
                <w:sz w:val="14"/>
                <w:szCs w:val="14"/>
                <w:b w:val="1"/>
                <w:bCs w:val="1"/>
                <w:color w:val="auto"/>
                <w:w w:val="96"/>
              </w:rPr>
              <w:t>Operating</w:t>
            </w:r>
          </w:p>
        </w:tc>
      </w:tr>
      <w:tr>
        <w:trPr>
          <w:trHeight w:val="185"/>
        </w:trPr>
        <w:tc>
          <w:tcPr>
            <w:tcW w:w="170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60" w:type="dxa"/>
            <w:vAlign w:val="bottom"/>
            <w:gridSpan w:val="3"/>
          </w:tcPr>
          <w:p>
            <w:pPr>
              <w:jc w:val="center"/>
              <w:ind w:right="1960"/>
              <w:spacing w:after="0"/>
              <w:rPr>
                <w:sz w:val="20"/>
                <w:szCs w:val="20"/>
                <w:color w:val="auto"/>
              </w:rPr>
            </w:pPr>
            <w:r>
              <w:rPr>
                <w:rFonts w:ascii="Arial" w:cs="Arial" w:eastAsia="Arial" w:hAnsi="Arial"/>
                <w:sz w:val="14"/>
                <w:szCs w:val="14"/>
                <w:b w:val="1"/>
                <w:bCs w:val="1"/>
                <w:color w:val="auto"/>
                <w:w w:val="85"/>
              </w:rPr>
              <w:t>lease</w:t>
            </w:r>
          </w:p>
        </w:tc>
      </w:tr>
      <w:tr>
        <w:trPr>
          <w:trHeight w:val="236"/>
        </w:trPr>
        <w:tc>
          <w:tcPr>
            <w:tcW w:w="1700" w:type="dxa"/>
            <w:vAlign w:val="bottom"/>
          </w:tcPr>
          <w:p>
            <w:pPr>
              <w:spacing w:after="0"/>
              <w:rPr>
                <w:sz w:val="20"/>
                <w:szCs w:val="20"/>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Three months ending December 31, 2023</w:t>
            </w:r>
          </w:p>
        </w:tc>
        <w:tc>
          <w:tcPr>
            <w:tcW w:w="30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237"/>
        </w:trPr>
        <w:tc>
          <w:tcPr>
            <w:tcW w:w="170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2024</w:t>
            </w:r>
          </w:p>
        </w:tc>
        <w:tc>
          <w:tcPr>
            <w:tcW w:w="3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1,685</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9"/>
        </w:trPr>
        <w:tc>
          <w:tcPr>
            <w:tcW w:w="1700" w:type="dxa"/>
            <w:vAlign w:val="bottom"/>
          </w:tcPr>
          <w:p>
            <w:pPr>
              <w:spacing w:after="0"/>
              <w:rPr>
                <w:sz w:val="21"/>
                <w:szCs w:val="21"/>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30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7"/>
        </w:trPr>
        <w:tc>
          <w:tcPr>
            <w:tcW w:w="170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Thereafter</w:t>
            </w:r>
          </w:p>
        </w:tc>
        <w:tc>
          <w:tcPr>
            <w:tcW w:w="3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20"/>
                <w:szCs w:val="20"/>
                <w:color w:val="auto"/>
              </w:rPr>
            </w:pPr>
          </w:p>
        </w:tc>
      </w:tr>
      <w:tr>
        <w:trPr>
          <w:trHeight w:val="236"/>
        </w:trPr>
        <w:tc>
          <w:tcPr>
            <w:tcW w:w="1700" w:type="dxa"/>
            <w:vAlign w:val="bottom"/>
          </w:tcPr>
          <w:p>
            <w:pPr>
              <w:spacing w:after="0"/>
              <w:rPr>
                <w:sz w:val="20"/>
                <w:szCs w:val="20"/>
                <w:color w:val="auto"/>
              </w:rPr>
            </w:pPr>
          </w:p>
        </w:tc>
        <w:tc>
          <w:tcPr>
            <w:tcW w:w="3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future lease payments</w:t>
            </w:r>
          </w:p>
        </w:tc>
        <w:tc>
          <w:tcPr>
            <w:tcW w:w="30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2,941</w:t>
            </w:r>
          </w:p>
        </w:tc>
        <w:tc>
          <w:tcPr>
            <w:tcW w:w="80" w:type="dxa"/>
            <w:vAlign w:val="bottom"/>
            <w:tcBorders>
              <w:bottom w:val="single" w:sz="8" w:color="CFF0FC"/>
            </w:tcBorders>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236"/>
        </w:trPr>
        <w:tc>
          <w:tcPr>
            <w:tcW w:w="170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Less: imputed interest</w:t>
            </w:r>
          </w:p>
        </w:tc>
        <w:tc>
          <w:tcPr>
            <w:tcW w:w="3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(94 )</w:t>
            </w:r>
          </w:p>
        </w:tc>
        <w:tc>
          <w:tcPr>
            <w:tcW w:w="1680" w:type="dxa"/>
            <w:vAlign w:val="bottom"/>
          </w:tcPr>
          <w:p>
            <w:pPr>
              <w:spacing w:after="0"/>
              <w:rPr>
                <w:sz w:val="20"/>
                <w:szCs w:val="20"/>
                <w:color w:val="auto"/>
              </w:rPr>
            </w:pPr>
          </w:p>
        </w:tc>
      </w:tr>
      <w:tr>
        <w:trPr>
          <w:trHeight w:val="276"/>
        </w:trPr>
        <w:tc>
          <w:tcPr>
            <w:tcW w:w="1700" w:type="dxa"/>
            <w:vAlign w:val="bottom"/>
          </w:tcPr>
          <w:p>
            <w:pPr>
              <w:spacing w:after="0"/>
              <w:rPr>
                <w:sz w:val="24"/>
                <w:szCs w:val="24"/>
                <w:color w:val="auto"/>
              </w:rPr>
            </w:pPr>
          </w:p>
        </w:tc>
        <w:tc>
          <w:tcPr>
            <w:tcW w:w="3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lease liabilities</w:t>
            </w:r>
          </w:p>
        </w:tc>
        <w:tc>
          <w:tcPr>
            <w:tcW w:w="30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2,847</w:t>
            </w:r>
          </w:p>
        </w:tc>
        <w:tc>
          <w:tcPr>
            <w:tcW w:w="80" w:type="dxa"/>
            <w:vAlign w:val="bottom"/>
            <w:tcBorders>
              <w:bottom w:val="single" w:sz="8" w:color="CFF0FC"/>
            </w:tcBorders>
            <w:shd w:val="clear" w:color="auto" w:fill="CFF0FC"/>
          </w:tcPr>
          <w:p>
            <w:pPr>
              <w:spacing w:after="0"/>
              <w:rPr>
                <w:sz w:val="24"/>
                <w:szCs w:val="24"/>
                <w:color w:val="auto"/>
              </w:rPr>
            </w:pPr>
          </w:p>
        </w:tc>
        <w:tc>
          <w:tcPr>
            <w:tcW w:w="1680" w:type="dxa"/>
            <w:vAlign w:val="bottom"/>
          </w:tcPr>
          <w:p>
            <w:pPr>
              <w:spacing w:after="0"/>
              <w:rPr>
                <w:sz w:val="24"/>
                <w:szCs w:val="24"/>
                <w:color w:val="auto"/>
              </w:rPr>
            </w:pPr>
          </w:p>
        </w:tc>
      </w:tr>
      <w:tr>
        <w:trPr>
          <w:trHeight w:val="419"/>
        </w:trPr>
        <w:tc>
          <w:tcPr>
            <w:tcW w:w="17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020" w:type="dxa"/>
            <w:vAlign w:val="bottom"/>
          </w:tcPr>
          <w:p>
            <w:pPr>
              <w:jc w:val="right"/>
              <w:ind w:right="241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440" w:type="dxa"/>
            <w:vAlign w:val="bottom"/>
            <w:tcBorders>
              <w:bottom w:val="single" w:sz="8" w:color="9A9A9A"/>
            </w:tcBorders>
          </w:tcPr>
          <w:p>
            <w:pPr>
              <w:spacing w:after="0"/>
              <w:rPr>
                <w:sz w:val="10"/>
                <w:szCs w:val="10"/>
                <w:color w:val="auto"/>
              </w:rPr>
            </w:pPr>
          </w:p>
        </w:tc>
        <w:tc>
          <w:tcPr>
            <w:tcW w:w="3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-710565</wp:posOffset>
            </wp:positionV>
            <wp:extent cx="4318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3180" cy="1714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-385445</wp:posOffset>
            </wp:positionV>
            <wp:extent cx="431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-367665</wp:posOffset>
            </wp:positionV>
            <wp:extent cx="431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5. Commitments and Contingencies</w:t>
      </w:r>
    </w:p>
    <w:p>
      <w:pPr>
        <w:spacing w:after="0" w:line="121"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From time to time, the Company may be subject to various claims and suits arising in the ordinary course of business. The Company is not currently a party to any legal proceedings the outcome of which the Company believes, if determined adversely to the Company, would individually or in the aggregate have a material adverse effect on the Company’s business, operating results or financial condition.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Stockholders’ Equity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Equity Incentive Plan</w:t>
      </w:r>
    </w:p>
    <w:p>
      <w:pPr>
        <w:spacing w:after="0" w:line="117"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The Company may grant awards of common stock under the 2020 Equity Incentive Plan (the “2020 Plan”) to the Company’s employees, consultants and non-employee directors pursuant to option awards, stock appreciation rights awards, restricted stock awards, restricted stock unit awards, performance stock awards, performance stock unit awards and other stock-based awards. As of September 30, 2023 and December 31, 2022, the total number of common shares authorized for issuance under the 2020 Plan was 9,196,970 and 7,658,509, respectively. On January 1st of each year, commencing with the first January 1st following the effective date of the 2020 Plan, the shares authorized for issuance under the 2020 Plan shall be increased by a number of shares equal to the lesser of 4% of the total number of shares outstanding on the immediately preceding December 31st and such lesser number of shares determined by the Company’s board of directors. The maximum term of the options granted under the 2020 Plan is no more than ten years. Awards under the 2020 Plan generally vest at 25% one year from the vesting commencement date and ratably each month thereafter for a period of 36 months, subject to continuous service.</w:t>
      </w:r>
    </w:p>
    <w:p>
      <w:pPr>
        <w:spacing w:after="0" w:line="181" w:lineRule="exact"/>
        <w:rPr>
          <w:sz w:val="20"/>
          <w:szCs w:val="20"/>
          <w:color w:val="auto"/>
        </w:rPr>
      </w:pPr>
    </w:p>
    <w:p>
      <w:pPr>
        <w:ind w:right="780" w:firstLine="509"/>
        <w:spacing w:after="0" w:line="277" w:lineRule="auto"/>
        <w:rPr>
          <w:sz w:val="20"/>
          <w:szCs w:val="20"/>
          <w:color w:val="auto"/>
        </w:rPr>
      </w:pPr>
      <w:r>
        <w:rPr>
          <w:rFonts w:ascii="Arial" w:cs="Arial" w:eastAsia="Arial" w:hAnsi="Arial"/>
          <w:sz w:val="18"/>
          <w:szCs w:val="18"/>
          <w:color w:val="auto"/>
        </w:rPr>
        <w:t>Stock-based compensation expense for the three and nine months ended September 30, 2023 and 2022 has been reported in the condensed statements of operations and comprehensive loss as follows (in thousands):</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260" w:type="dxa"/>
            <w:vAlign w:val="bottom"/>
            <w:gridSpan w:val="4"/>
          </w:tcPr>
          <w:p>
            <w:pPr>
              <w:jc w:val="right"/>
              <w:ind w:right="17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4"/>
          </w:tcPr>
          <w:p>
            <w:pPr>
              <w:jc w:val="right"/>
              <w:ind w:right="635"/>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4"/>
                <w:szCs w:val="14"/>
                <w:color w:val="auto"/>
              </w:rPr>
            </w:pPr>
          </w:p>
        </w:tc>
      </w:tr>
      <w:tr>
        <w:trPr>
          <w:trHeight w:val="185"/>
        </w:trPr>
        <w:tc>
          <w:tcPr>
            <w:tcW w:w="334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33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46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379"/>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4"/>
                <w:szCs w:val="14"/>
                <w:color w:val="auto"/>
              </w:rPr>
            </w:pPr>
          </w:p>
        </w:tc>
      </w:tr>
      <w:tr>
        <w:trPr>
          <w:trHeight w:val="237"/>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780" w:type="dxa"/>
            <w:vAlign w:val="bottom"/>
            <w:tcBorders>
              <w:top w:val="single" w:sz="8" w:color="auto"/>
            </w:tcBorders>
            <w:shd w:val="clear" w:color="auto" w:fill="CFF0FC"/>
          </w:tcPr>
          <w:p>
            <w:pPr>
              <w:jc w:val="right"/>
              <w:ind w:right="59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1,321</w:t>
            </w:r>
          </w:p>
        </w:tc>
        <w:tc>
          <w:tcPr>
            <w:tcW w:w="240" w:type="dxa"/>
            <w:vAlign w:val="bottom"/>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1,427</w:t>
            </w:r>
          </w:p>
        </w:tc>
        <w:tc>
          <w:tcPr>
            <w:tcW w:w="20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4,322</w:t>
            </w:r>
          </w:p>
        </w:tc>
        <w:tc>
          <w:tcPr>
            <w:tcW w:w="220" w:type="dxa"/>
            <w:vAlign w:val="bottom"/>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4,125</w:t>
            </w:r>
          </w:p>
        </w:tc>
        <w:tc>
          <w:tcPr>
            <w:tcW w:w="80" w:type="dxa"/>
            <w:vAlign w:val="bottom"/>
            <w:shd w:val="clear" w:color="auto" w:fill="CFF0FC"/>
          </w:tcPr>
          <w:p>
            <w:pPr>
              <w:spacing w:after="0"/>
              <w:rPr>
                <w:sz w:val="20"/>
                <w:szCs w:val="20"/>
                <w:color w:val="auto"/>
              </w:rPr>
            </w:pPr>
          </w:p>
        </w:tc>
      </w:tr>
      <w:tr>
        <w:trPr>
          <w:trHeight w:val="237"/>
        </w:trPr>
        <w:tc>
          <w:tcPr>
            <w:tcW w:w="33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7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2,196</w:t>
            </w:r>
          </w:p>
        </w:tc>
        <w:tc>
          <w:tcPr>
            <w:tcW w:w="24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2,161</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6,484</w:t>
            </w:r>
          </w:p>
        </w:tc>
        <w:tc>
          <w:tcPr>
            <w:tcW w:w="2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6,937</w:t>
            </w:r>
          </w:p>
        </w:tc>
        <w:tc>
          <w:tcPr>
            <w:tcW w:w="80" w:type="dxa"/>
            <w:vAlign w:val="bottom"/>
          </w:tcPr>
          <w:p>
            <w:pPr>
              <w:spacing w:after="0"/>
              <w:rPr>
                <w:sz w:val="20"/>
                <w:szCs w:val="20"/>
                <w:color w:val="auto"/>
              </w:rPr>
            </w:pPr>
          </w:p>
        </w:tc>
      </w:tr>
      <w:tr>
        <w:trPr>
          <w:trHeight w:val="276"/>
        </w:trPr>
        <w:tc>
          <w:tcPr>
            <w:tcW w:w="3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shd w:val="clear" w:color="auto" w:fill="CFF0FC"/>
          </w:tcPr>
          <w:p>
            <w:pPr>
              <w:jc w:val="right"/>
              <w:ind w:right="59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3,517</w:t>
            </w:r>
          </w:p>
        </w:tc>
        <w:tc>
          <w:tcPr>
            <w:tcW w:w="24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3,588</w:t>
            </w:r>
          </w:p>
        </w:tc>
        <w:tc>
          <w:tcPr>
            <w:tcW w:w="2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10,806</w:t>
            </w:r>
          </w:p>
        </w:tc>
        <w:tc>
          <w:tcPr>
            <w:tcW w:w="22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11,062</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-24765</wp:posOffset>
            </wp:positionV>
            <wp:extent cx="6032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-7620</wp:posOffset>
            </wp:positionV>
            <wp:extent cx="603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-24765</wp:posOffset>
            </wp:positionV>
            <wp:extent cx="603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-7620</wp:posOffset>
            </wp:positionV>
            <wp:extent cx="603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-24765</wp:posOffset>
            </wp:positionV>
            <wp:extent cx="5143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-7620</wp:posOffset>
            </wp:positionV>
            <wp:extent cx="514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In December 2022, the Company’s board of directors approved an amendment to the Director Compensation Policy, which allows each director to elect to receive their quarterly director fees in the form of restricted stock in lieu of cash. Two board members elected to receive shares of restricted stock in lieu of cash. For the nine months ended September 30, 2023, the Company issued 34,468 shares of fully vested restricted stock to the two board members. Compensation expense was earned and recognized for these fully vested restricted stock grants in the amount of $27,000 and $80,000 for the three and nine months ended September 30, 2023, respectively.</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RSU activity under the 2020 Plan for the nine months ended September 30, 2023:</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ind w:right="138"/>
              <w:spacing w:after="0"/>
              <w:rPr>
                <w:sz w:val="20"/>
                <w:szCs w:val="20"/>
                <w:color w:val="auto"/>
              </w:rPr>
            </w:pPr>
            <w:r>
              <w:rPr>
                <w:rFonts w:ascii="Arial" w:cs="Arial" w:eastAsia="Arial" w:hAnsi="Arial"/>
                <w:sz w:val="14"/>
                <w:szCs w:val="14"/>
                <w:b w:val="1"/>
                <w:bCs w:val="1"/>
                <w:color w:val="auto"/>
                <w:w w:val="94"/>
              </w:rPr>
              <w:t>Weighted -</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140" w:type="dxa"/>
            <w:vAlign w:val="bottom"/>
          </w:tcPr>
          <w:p>
            <w:pPr>
              <w:spacing w:after="0"/>
              <w:rPr>
                <w:sz w:val="12"/>
                <w:szCs w:val="12"/>
                <w:color w:val="auto"/>
              </w:rPr>
            </w:pPr>
          </w:p>
        </w:tc>
        <w:tc>
          <w:tcPr>
            <w:tcW w:w="152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2"/>
                <w:szCs w:val="12"/>
                <w:color w:val="auto"/>
              </w:rPr>
            </w:pPr>
          </w:p>
        </w:tc>
        <w:tc>
          <w:tcPr>
            <w:tcW w:w="106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0"/>
              </w:rPr>
              <w:t>Average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7"/>
              </w:rPr>
              <w:t>Grant Date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140" w:type="dxa"/>
            <w:vAlign w:val="bottom"/>
          </w:tcPr>
          <w:p>
            <w:pPr>
              <w:spacing w:after="0"/>
              <w:rPr>
                <w:sz w:val="16"/>
                <w:szCs w:val="16"/>
                <w:color w:val="auto"/>
              </w:rPr>
            </w:pPr>
          </w:p>
        </w:tc>
        <w:tc>
          <w:tcPr>
            <w:tcW w:w="15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6"/>
                <w:szCs w:val="16"/>
                <w:color w:val="auto"/>
              </w:rPr>
            </w:pPr>
          </w:p>
        </w:tc>
        <w:tc>
          <w:tcPr>
            <w:tcW w:w="1060" w:type="dxa"/>
            <w:vAlign w:val="bottom"/>
          </w:tcPr>
          <w:p>
            <w:pPr>
              <w:jc w:val="center"/>
              <w:ind w:right="98"/>
              <w:spacing w:after="0"/>
              <w:rPr>
                <w:sz w:val="20"/>
                <w:szCs w:val="20"/>
                <w:color w:val="auto"/>
              </w:rPr>
            </w:pPr>
            <w:r>
              <w:rPr>
                <w:rFonts w:ascii="Arial" w:cs="Arial" w:eastAsia="Arial" w:hAnsi="Arial"/>
                <w:sz w:val="14"/>
                <w:szCs w:val="14"/>
                <w:b w:val="1"/>
                <w:bCs w:val="1"/>
                <w:color w:val="auto"/>
                <w:w w:val="95"/>
              </w:rPr>
              <w:t>Fair Value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Outstanding at December 31, 2022</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510,039</w:t>
            </w:r>
          </w:p>
        </w:tc>
        <w:tc>
          <w:tcPr>
            <w:tcW w:w="2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1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spacing w:after="0"/>
              <w:rPr>
                <w:sz w:val="20"/>
                <w:szCs w:val="20"/>
                <w:color w:val="auto"/>
              </w:rPr>
            </w:pPr>
            <w:r>
              <w:rPr>
                <w:rFonts w:ascii="Arial" w:cs="Arial" w:eastAsia="Arial" w:hAnsi="Arial"/>
                <w:sz w:val="18"/>
                <w:szCs w:val="18"/>
                <w:color w:val="auto"/>
              </w:rPr>
              <w:t>34,468</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1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Vested</w:t>
            </w:r>
          </w:p>
        </w:tc>
        <w:tc>
          <w:tcPr>
            <w:tcW w:w="1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(361,412 )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16.50</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4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(21,876 )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18.00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September 30, 2023</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161,219</w:t>
            </w:r>
          </w:p>
        </w:tc>
        <w:tc>
          <w:tcPr>
            <w:tcW w:w="2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-24765</wp:posOffset>
            </wp:positionV>
            <wp:extent cx="603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603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9" w:lineRule="exact"/>
        <w:rPr>
          <w:sz w:val="20"/>
          <w:szCs w:val="20"/>
          <w:color w:val="auto"/>
        </w:rPr>
      </w:pPr>
    </w:p>
    <w:p>
      <w:pPr>
        <w:ind w:right="280" w:firstLine="509"/>
        <w:spacing w:after="0" w:line="258" w:lineRule="auto"/>
        <w:rPr>
          <w:sz w:val="20"/>
          <w:szCs w:val="20"/>
          <w:color w:val="auto"/>
        </w:rPr>
      </w:pPr>
      <w:r>
        <w:rPr>
          <w:rFonts w:ascii="Arial" w:cs="Arial" w:eastAsia="Arial" w:hAnsi="Arial"/>
          <w:sz w:val="18"/>
          <w:szCs w:val="18"/>
          <w:color w:val="auto"/>
        </w:rPr>
        <w:t>As of September 30, 2023, total unrecognized stock-based compensation expense for RSUs was $2.9 million, which is expected to be recognized over a remaining weighted-average period of approximately 0.8 years.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stock option activity under the 2020 Plan for the nine months ended September 30, 2023:</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restart"/>
          </w:tcPr>
          <w:p>
            <w:pPr>
              <w:jc w:val="center"/>
              <w:ind w:right="117"/>
              <w:spacing w:after="0"/>
              <w:rPr>
                <w:sz w:val="20"/>
                <w:szCs w:val="20"/>
                <w:color w:val="auto"/>
              </w:rPr>
            </w:pPr>
            <w:r>
              <w:rPr>
                <w:rFonts w:ascii="Arial" w:cs="Arial" w:eastAsia="Arial" w:hAnsi="Arial"/>
                <w:sz w:val="14"/>
                <w:szCs w:val="14"/>
                <w:b w:val="1"/>
                <w:bCs w:val="1"/>
                <w:color w:val="auto"/>
                <w:w w:val="92"/>
              </w:rPr>
              <w:t>Weighted -</w:t>
            </w:r>
          </w:p>
        </w:tc>
        <w:tc>
          <w:tcPr>
            <w:tcW w:w="2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 -</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restart"/>
          </w:tcPr>
          <w:p>
            <w:pPr>
              <w:jc w:val="center"/>
              <w:ind w:right="99"/>
              <w:spacing w:after="0"/>
              <w:rPr>
                <w:sz w:val="20"/>
                <w:szCs w:val="20"/>
                <w:color w:val="auto"/>
              </w:rPr>
            </w:pPr>
            <w:r>
              <w:rPr>
                <w:rFonts w:ascii="Arial" w:cs="Arial" w:eastAsia="Arial" w:hAnsi="Arial"/>
                <w:sz w:val="14"/>
                <w:szCs w:val="14"/>
                <w:b w:val="1"/>
                <w:bCs w:val="1"/>
                <w:color w:val="auto"/>
                <w:w w:val="89"/>
              </w:rPr>
              <w:t>Aggregate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4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2"/>
                <w:szCs w:val="12"/>
                <w:color w:val="auto"/>
              </w:rPr>
            </w:pPr>
          </w:p>
        </w:tc>
        <w:tc>
          <w:tcPr>
            <w:tcW w:w="94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86"/>
              </w:rPr>
              <w:t>Exercise</w:t>
            </w:r>
          </w:p>
        </w:tc>
        <w:tc>
          <w:tcPr>
            <w:tcW w:w="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5"/>
              </w:rPr>
              <w:t>Price Per</w:t>
            </w:r>
          </w:p>
        </w:tc>
        <w:tc>
          <w:tcPr>
            <w:tcW w:w="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Term</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9"/>
              </w:rPr>
              <w:t>Intrinsic</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780" w:type="dxa"/>
            <w:vAlign w:val="bottom"/>
          </w:tcPr>
          <w:p>
            <w:pPr>
              <w:spacing w:after="0"/>
              <w:rPr>
                <w:sz w:val="16"/>
                <w:szCs w:val="16"/>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6"/>
                <w:szCs w:val="16"/>
                <w:color w:val="auto"/>
              </w:rPr>
            </w:pPr>
          </w:p>
        </w:tc>
        <w:tc>
          <w:tcPr>
            <w:tcW w:w="940" w:type="dxa"/>
            <w:vAlign w:val="bottom"/>
          </w:tcPr>
          <w:p>
            <w:pPr>
              <w:jc w:val="center"/>
              <w:ind w:right="77"/>
              <w:spacing w:after="0"/>
              <w:rPr>
                <w:sz w:val="20"/>
                <w:szCs w:val="20"/>
                <w:color w:val="auto"/>
              </w:rPr>
            </w:pPr>
            <w:r>
              <w:rPr>
                <w:rFonts w:ascii="Arial" w:cs="Arial" w:eastAsia="Arial" w:hAnsi="Arial"/>
                <w:sz w:val="14"/>
                <w:szCs w:val="14"/>
                <w:b w:val="1"/>
                <w:bCs w:val="1"/>
                <w:color w:val="auto"/>
                <w:w w:val="87"/>
              </w:rPr>
              <w:t>Share</w:t>
            </w:r>
          </w:p>
        </w:tc>
        <w:tc>
          <w:tcPr>
            <w:tcW w:w="2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7"/>
              </w:rPr>
              <w:t>(In Years)</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ind w:right="99"/>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2022</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2,736,918</w:t>
            </w:r>
          </w:p>
        </w:tc>
        <w:tc>
          <w:tcPr>
            <w:tcW w:w="28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13.82</w:t>
            </w:r>
          </w:p>
        </w:tc>
        <w:tc>
          <w:tcPr>
            <w:tcW w:w="220" w:type="dxa"/>
            <w:vAlign w:val="bottom"/>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8.82</w:t>
            </w:r>
          </w:p>
        </w:tc>
        <w:tc>
          <w:tcPr>
            <w:tcW w:w="26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3,636,148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780" w:type="dxa"/>
            <w:vAlign w:val="bottom"/>
          </w:tcPr>
          <w:p>
            <w:pPr>
              <w:ind w:left="200"/>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4,006,395</w:t>
            </w:r>
          </w:p>
        </w:tc>
        <w:tc>
          <w:tcPr>
            <w:tcW w:w="2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3.75</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Exercised</w:t>
            </w: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8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(364,018 )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7.22</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Expired</w:t>
            </w: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(16,909 )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22.44</w:t>
            </w: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Balance at September 30, 2023</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6,362,386</w:t>
            </w:r>
          </w:p>
        </w:tc>
        <w:tc>
          <w:tcPr>
            <w:tcW w:w="28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7.83</w:t>
            </w:r>
          </w:p>
        </w:tc>
        <w:tc>
          <w:tcPr>
            <w:tcW w:w="140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color w:val="auto"/>
              </w:rPr>
              <w:t>8.76</w:t>
            </w:r>
          </w:p>
        </w:tc>
        <w:tc>
          <w:tcPr>
            <w:tcW w:w="26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96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Vested and expected to vest at September 30, 2023</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6,362,386</w:t>
            </w:r>
          </w:p>
        </w:tc>
        <w:tc>
          <w:tcPr>
            <w:tcW w:w="2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7.83</w:t>
            </w:r>
          </w:p>
        </w:tc>
        <w:tc>
          <w:tcPr>
            <w:tcW w:w="14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8.76</w:t>
            </w:r>
          </w:p>
        </w:tc>
        <w:tc>
          <w:tcPr>
            <w:tcW w:w="4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780" w:type="dxa"/>
            <w:vAlign w:val="bottom"/>
          </w:tcPr>
          <w:p>
            <w:pPr>
              <w:ind w:left="20"/>
              <w:spacing w:after="0"/>
              <w:rPr>
                <w:sz w:val="20"/>
                <w:szCs w:val="20"/>
                <w:color w:val="auto"/>
              </w:rPr>
            </w:pPr>
            <w:r>
              <w:rPr>
                <w:rFonts w:ascii="Arial" w:cs="Arial" w:eastAsia="Arial" w:hAnsi="Arial"/>
                <w:sz w:val="18"/>
                <w:szCs w:val="18"/>
                <w:color w:val="auto"/>
              </w:rPr>
              <w:t>Exercisable at September 30, 2023</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1,364,478</w:t>
            </w:r>
          </w:p>
        </w:tc>
        <w:tc>
          <w:tcPr>
            <w:tcW w:w="2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15.60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7.45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-548005</wp:posOffset>
            </wp:positionV>
            <wp:extent cx="76835" cy="1885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-205105</wp:posOffset>
            </wp:positionV>
            <wp:extent cx="76835" cy="2057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205740"/>
                    </a:xfrm>
                    <a:prstGeom prst="rect">
                      <a:avLst/>
                    </a:prstGeom>
                    <a:noFill/>
                  </pic:spPr>
                </pic:pic>
              </a:graphicData>
            </a:graphic>
          </wp:anchor>
        </w:drawing>
      </w:r>
    </w:p>
    <w:p>
      <w:pPr>
        <w:spacing w:after="0" w:line="222"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As of September 30, 2023, total unrecognized stock-based compensation cost for unvested common stock options was $17.6 million, which is expected to be recognized over a remaining weighted-average period of approximately 3.0 years. The weighted-average grant date fair value of stock options granted during the nine months ended September 30, 2023 was $2.62 per share. The total fair value of options vested during the nine months ended September 30, 2023 was $5.7 million.</w:t>
      </w:r>
    </w:p>
    <w:p>
      <w:pPr>
        <w:spacing w:after="0" w:line="79"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On February 26, 2023, the Compensation Committee of the Company’s board of directors approved a modification to the Company’s 2020 Plan to allow vesting of RSUs or stock options, as applicable, subject to the grantee’s continued service to the Company and/or one of its subsidiaries as an employee, non-employee director, or independent contractor. Unvested RSUs totaling 139,730 shares and 574,244 unvested options which would have been forfeited under the original terms of the 2020 Plan will now continue to vest. The Company applied modification accounting to these awards which resulted in a decrease in fair value to these awards. The Company calculated compensation cost for the modified unvested awards of $416,000 related to the RSUs and $962,000 related to the options, and will recognize these amounts over the remaining requisite service periods. The modification also resulted in an increase to the term of 130,699 fully vested options for which $123,000 of incremental compensation cost was immediately recognized on the date of the modification.</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assumptions used in the Black-Scholes option pricing model to determine the fair value of stock option grants were as follows:</w:t>
      </w:r>
    </w:p>
    <w:p>
      <w:pPr>
        <w:spacing w:after="0" w:line="230" w:lineRule="exact"/>
        <w:rPr>
          <w:sz w:val="20"/>
          <w:szCs w:val="20"/>
          <w:color w:val="auto"/>
        </w:rPr>
      </w:pPr>
    </w:p>
    <w:p>
      <w:pPr>
        <w:jc w:val="center"/>
        <w:ind w:left="380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3800"/>
        <w:spacing w:after="0"/>
        <w:rPr>
          <w:sz w:val="20"/>
          <w:szCs w:val="20"/>
          <w:color w:val="auto"/>
        </w:rPr>
      </w:pPr>
      <w:r>
        <w:rPr>
          <w:rFonts w:ascii="Arial" w:cs="Arial" w:eastAsia="Arial" w:hAnsi="Arial"/>
          <w:sz w:val="14"/>
          <w:szCs w:val="14"/>
          <w:b w:val="1"/>
          <w:bCs w:val="1"/>
          <w:color w:val="auto"/>
        </w:rPr>
        <w:t>September 30,</w:t>
      </w:r>
    </w:p>
    <w:p>
      <w:pPr>
        <w:spacing w:after="0" w:line="8" w:lineRule="exact"/>
        <w:rPr>
          <w:sz w:val="20"/>
          <w:szCs w:val="20"/>
          <w:color w:val="auto"/>
        </w:rPr>
      </w:pPr>
    </w:p>
    <w:tbl>
      <w:tblPr>
        <w:tblLayout w:type="fixed"/>
        <w:tblInd w:w="2260" w:type="dxa"/>
        <w:tblCellMar>
          <w:top w:w="0" w:type="dxa"/>
          <w:left w:w="0" w:type="dxa"/>
          <w:bottom w:w="0" w:type="dxa"/>
          <w:right w:w="0" w:type="dxa"/>
        </w:tblCellMar>
      </w:tblPr>
      <w:tr>
        <w:trPr>
          <w:trHeight w:val="169"/>
        </w:trPr>
        <w:tc>
          <w:tcPr>
            <w:tcW w:w="3800" w:type="dxa"/>
            <w:vAlign w:val="bottom"/>
          </w:tcPr>
          <w:p>
            <w:pPr>
              <w:spacing w:after="0"/>
              <w:rPr>
                <w:sz w:val="14"/>
                <w:szCs w:val="14"/>
                <w:color w:val="auto"/>
              </w:rPr>
            </w:pPr>
          </w:p>
        </w:tc>
        <w:tc>
          <w:tcPr>
            <w:tcW w:w="1400" w:type="dxa"/>
            <w:vAlign w:val="bottom"/>
            <w:tcBorders>
              <w:top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2023</w:t>
            </w:r>
          </w:p>
        </w:tc>
        <w:tc>
          <w:tcPr>
            <w:tcW w:w="1540" w:type="dxa"/>
            <w:vAlign w:val="bottom"/>
            <w:tcBorders>
              <w:top w:val="single" w:sz="8" w:color="auto"/>
            </w:tcBorders>
            <w:gridSpan w:val="2"/>
          </w:tcPr>
          <w:p>
            <w:pPr>
              <w:jc w:val="right"/>
              <w:ind w:right="470"/>
              <w:spacing w:after="0"/>
              <w:rPr>
                <w:sz w:val="20"/>
                <w:szCs w:val="20"/>
                <w:color w:val="auto"/>
              </w:rPr>
            </w:pPr>
            <w:r>
              <w:rPr>
                <w:rFonts w:ascii="Arial" w:cs="Arial" w:eastAsia="Arial" w:hAnsi="Arial"/>
                <w:sz w:val="14"/>
                <w:szCs w:val="14"/>
                <w:b w:val="1"/>
                <w:bCs w:val="1"/>
                <w:color w:val="auto"/>
              </w:rPr>
              <w:t>2022</w:t>
            </w:r>
          </w:p>
        </w:tc>
      </w:tr>
      <w:tr>
        <w:trPr>
          <w:trHeight w:val="236"/>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77.9%</w:t>
            </w:r>
          </w:p>
        </w:tc>
        <w:tc>
          <w:tcPr>
            <w:tcW w:w="140" w:type="dxa"/>
            <w:vAlign w:val="bottom"/>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74.8%</w:t>
            </w:r>
          </w:p>
        </w:tc>
      </w:tr>
      <w:tr>
        <w:trPr>
          <w:trHeight w:val="237"/>
        </w:trPr>
        <w:tc>
          <w:tcPr>
            <w:tcW w:w="38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400" w:type="dxa"/>
            <w:vAlign w:val="bottom"/>
          </w:tcPr>
          <w:p>
            <w:pPr>
              <w:jc w:val="right"/>
              <w:spacing w:after="0"/>
              <w:rPr>
                <w:sz w:val="20"/>
                <w:szCs w:val="20"/>
                <w:color w:val="auto"/>
              </w:rPr>
            </w:pPr>
            <w:r>
              <w:rPr>
                <w:rFonts w:ascii="Arial" w:cs="Arial" w:eastAsia="Arial" w:hAnsi="Arial"/>
                <w:sz w:val="18"/>
                <w:szCs w:val="18"/>
                <w:color w:val="auto"/>
              </w:rPr>
              <w:t>3.88%</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2.05%</w:t>
            </w:r>
          </w:p>
        </w:tc>
      </w:tr>
      <w:tr>
        <w:trPr>
          <w:trHeight w:val="249"/>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w:t>
            </w: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Expected term</w:t>
            </w:r>
          </w:p>
        </w:tc>
        <w:tc>
          <w:tcPr>
            <w:tcW w:w="1400" w:type="dxa"/>
            <w:vAlign w:val="bottom"/>
          </w:tcPr>
          <w:p>
            <w:pPr>
              <w:jc w:val="right"/>
              <w:spacing w:after="0"/>
              <w:rPr>
                <w:sz w:val="20"/>
                <w:szCs w:val="20"/>
                <w:color w:val="auto"/>
              </w:rPr>
            </w:pPr>
            <w:r>
              <w:rPr>
                <w:rFonts w:ascii="Arial" w:cs="Arial" w:eastAsia="Arial" w:hAnsi="Arial"/>
                <w:sz w:val="18"/>
                <w:szCs w:val="18"/>
                <w:color w:val="auto"/>
              </w:rPr>
              <w:t>6.05 years</w:t>
            </w: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6.04 years</w:t>
            </w:r>
          </w:p>
        </w:tc>
      </w:tr>
    </w:tbl>
    <w:p>
      <w:pPr>
        <w:spacing w:after="0" w:line="241" w:lineRule="exact"/>
        <w:rPr>
          <w:sz w:val="20"/>
          <w:szCs w:val="20"/>
          <w:color w:val="auto"/>
        </w:rPr>
      </w:pPr>
    </w:p>
    <w:p>
      <w:pPr>
        <w:ind w:right="420" w:firstLine="509"/>
        <w:spacing w:after="0" w:line="263"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As the Company’s common stock does not have a significant trading history, the expected volatility assumption is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volatilities of a peer group of similar companies whose share prices are publicly available. The peer group was developed based on companies in the biotechnology industry.</w:t>
      </w:r>
    </w:p>
    <w:p>
      <w:pPr>
        <w:spacing w:after="0" w:line="184"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Company bases the risk-free interest rate assumption on the U.S. Treasury’s rates for U.S. Treasury zero-coupon bonds</w:t>
      </w:r>
      <w:r>
        <w:rPr>
          <w:rFonts w:ascii="Arial" w:cs="Arial" w:eastAsia="Arial" w:hAnsi="Arial"/>
          <w:sz w:val="18"/>
          <w:szCs w:val="18"/>
          <w:i w:val="1"/>
          <w:iCs w:val="1"/>
          <w:color w:val="auto"/>
        </w:rPr>
        <w:t xml:space="preserve"> </w:t>
      </w:r>
      <w:r>
        <w:rPr>
          <w:rFonts w:ascii="Arial" w:cs="Arial" w:eastAsia="Arial" w:hAnsi="Arial"/>
          <w:sz w:val="18"/>
          <w:szCs w:val="18"/>
          <w:color w:val="auto"/>
        </w:rPr>
        <w:t>with maturities similar to those of the expected term of the award being valued.</w:t>
      </w:r>
    </w:p>
    <w:p>
      <w:pPr>
        <w:spacing w:after="0" w:line="170"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The Company bases the expected dividend yield assumption on the fact that it has never paid cash dividends and has no</w:t>
      </w:r>
      <w:r>
        <w:rPr>
          <w:rFonts w:ascii="Arial" w:cs="Arial" w:eastAsia="Arial" w:hAnsi="Arial"/>
          <w:sz w:val="18"/>
          <w:szCs w:val="18"/>
          <w:i w:val="1"/>
          <w:iCs w:val="1"/>
          <w:color w:val="auto"/>
        </w:rPr>
        <w:t xml:space="preserve"> </w:t>
      </w:r>
      <w:r>
        <w:rPr>
          <w:rFonts w:ascii="Arial" w:cs="Arial" w:eastAsia="Arial" w:hAnsi="Arial"/>
          <w:sz w:val="18"/>
          <w:szCs w:val="18"/>
          <w:color w:val="auto"/>
        </w:rPr>
        <w:t>present plans to pay cash dividends.</w:t>
      </w:r>
    </w:p>
    <w:p>
      <w:pPr>
        <w:spacing w:after="0" w:line="170" w:lineRule="exact"/>
        <w:rPr>
          <w:sz w:val="20"/>
          <w:szCs w:val="20"/>
          <w:color w:val="auto"/>
        </w:rPr>
      </w:pPr>
    </w:p>
    <w:p>
      <w:pPr>
        <w:jc w:val="both"/>
        <w:ind w:right="240" w:firstLine="509"/>
        <w:spacing w:after="0" w:line="271" w:lineRule="auto"/>
        <w:rPr>
          <w:sz w:val="20"/>
          <w:szCs w:val="20"/>
          <w:color w:val="auto"/>
        </w:rPr>
      </w:pPr>
      <w:r>
        <w:rPr>
          <w:rFonts w:ascii="Arial" w:cs="Arial" w:eastAsia="Arial" w:hAnsi="Arial"/>
          <w:sz w:val="17"/>
          <w:szCs w:val="17"/>
          <w:i w:val="1"/>
          <w:iCs w:val="1"/>
          <w:color w:val="auto"/>
        </w:rPr>
        <w:t xml:space="preserve">Expected term. </w:t>
      </w:r>
      <w:r>
        <w:rPr>
          <w:rFonts w:ascii="Arial" w:cs="Arial" w:eastAsia="Arial" w:hAnsi="Arial"/>
          <w:sz w:val="17"/>
          <w:szCs w:val="17"/>
          <w:color w:val="auto"/>
        </w:rPr>
        <w:t>For employees, the expected term represents the period of time that options are expected to be outstanding. Because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has minimal historical exercise behavior, it determines the expected life assumption using the simplified method, which is an average of the contractual term of the option and its vesting period. For nonemployees, the expected term is generally the contractual term of the option.</w:t>
      </w: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The ESPP permits participants to purchase common stock through payroll deductions of up to 15% of their eligible compensation. As of September 30, 2023 and December 31, 2022, a total of 1,737,098 shares and 1,229,148 shares, respectively, of common stock were authorized for issuance under the ESPP. The number of shares of common stock authorized for issuance will automatically increase on January 1 of each calendar year, from January 1, 2021 through January 1, 2030 by the least of (i) 1.0% of the total number of common shares of our common stock outstanding on December 31 of the preceding calendar year (calculated on a fully diluted basis), (ii) 929,658 common shares or (iii) a number determined by the Company’s board of directors that is less than (i) and (ii). The Company issued 56,793 and 9,482 shares of common stock under the ESPP during the nine months ended September 30, 2023 and 2022, respectively. As of September 30, 2023, 1,521,559 shares of common stock remained available for issuance under the ESPP. Stock-based compensation expense related to the ESPP for the three and nine months ended September 30, 2023 and 2022 was immaterial.</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Reserved for Future Issuance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Common stock reserved for future issuance are as follows in common equivalent shares: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280" w:type="dxa"/>
            <w:vAlign w:val="bottom"/>
          </w:tcPr>
          <w:p>
            <w:pPr>
              <w:jc w:val="right"/>
              <w:ind w:right="116"/>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80" w:type="dxa"/>
            <w:vAlign w:val="bottom"/>
          </w:tcPr>
          <w:p>
            <w:pPr>
              <w:jc w:val="right"/>
              <w:ind w:right="136"/>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r>
      <w:tr>
        <w:trPr>
          <w:trHeight w:val="185"/>
        </w:trPr>
        <w:tc>
          <w:tcPr>
            <w:tcW w:w="6140" w:type="dxa"/>
            <w:vAlign w:val="bottom"/>
          </w:tcPr>
          <w:p>
            <w:pPr>
              <w:spacing w:after="0"/>
              <w:rPr>
                <w:sz w:val="16"/>
                <w:szCs w:val="16"/>
                <w:color w:val="auto"/>
              </w:rPr>
            </w:pPr>
          </w:p>
        </w:tc>
        <w:tc>
          <w:tcPr>
            <w:tcW w:w="1280" w:type="dxa"/>
            <w:vAlign w:val="bottom"/>
          </w:tcPr>
          <w:p>
            <w:pPr>
              <w:jc w:val="right"/>
              <w:ind w:right="416"/>
              <w:spacing w:after="0"/>
              <w:rPr>
                <w:sz w:val="20"/>
                <w:szCs w:val="20"/>
                <w:color w:val="auto"/>
              </w:rPr>
            </w:pPr>
            <w:r>
              <w:rPr>
                <w:rFonts w:ascii="Arial" w:cs="Arial" w:eastAsia="Arial" w:hAnsi="Arial"/>
                <w:sz w:val="14"/>
                <w:szCs w:val="14"/>
                <w:b w:val="1"/>
                <w:bCs w:val="1"/>
                <w:color w:val="auto"/>
              </w:rPr>
              <w:t>2023</w:t>
            </w:r>
          </w:p>
        </w:tc>
        <w:tc>
          <w:tcPr>
            <w:tcW w:w="1480" w:type="dxa"/>
            <w:vAlign w:val="bottom"/>
            <w:gridSpan w:val="2"/>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r>
      <w:tr>
        <w:trPr>
          <w:trHeight w:val="237"/>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Common stock options and restricted stock units issued and outstanding</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6,523,605</w:t>
            </w:r>
          </w:p>
        </w:tc>
        <w:tc>
          <w:tcPr>
            <w:tcW w:w="200" w:type="dxa"/>
            <w:vAlign w:val="bottom"/>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3,246,957</w:t>
            </w:r>
          </w:p>
        </w:tc>
        <w:tc>
          <w:tcPr>
            <w:tcW w:w="80" w:type="dxa"/>
            <w:vAlign w:val="bottom"/>
            <w:shd w:val="clear" w:color="auto" w:fill="CFF0FC"/>
          </w:tcPr>
          <w:p>
            <w:pPr>
              <w:spacing w:after="0"/>
              <w:rPr>
                <w:sz w:val="20"/>
                <w:szCs w:val="20"/>
                <w:color w:val="auto"/>
              </w:rPr>
            </w:pPr>
          </w:p>
        </w:tc>
      </w:tr>
      <w:tr>
        <w:trPr>
          <w:trHeight w:val="237"/>
        </w:trPr>
        <w:tc>
          <w:tcPr>
            <w:tcW w:w="6140" w:type="dxa"/>
            <w:vAlign w:val="bottom"/>
          </w:tcPr>
          <w:p>
            <w:pPr>
              <w:spacing w:after="0"/>
              <w:rPr>
                <w:sz w:val="20"/>
                <w:szCs w:val="20"/>
                <w:color w:val="auto"/>
              </w:rPr>
            </w:pPr>
            <w:r>
              <w:rPr>
                <w:rFonts w:ascii="Arial" w:cs="Arial" w:eastAsia="Arial" w:hAnsi="Arial"/>
                <w:sz w:val="18"/>
                <w:szCs w:val="18"/>
                <w:color w:val="auto"/>
              </w:rPr>
              <w:t>Awards available for future issuance under the 2020 Plan</w:t>
            </w:r>
          </w:p>
        </w:tc>
        <w:tc>
          <w:tcPr>
            <w:tcW w:w="1280" w:type="dxa"/>
            <w:vAlign w:val="bottom"/>
          </w:tcPr>
          <w:p>
            <w:pPr>
              <w:jc w:val="right"/>
              <w:spacing w:after="0"/>
              <w:rPr>
                <w:sz w:val="20"/>
                <w:szCs w:val="20"/>
                <w:color w:val="auto"/>
              </w:rPr>
            </w:pPr>
            <w:r>
              <w:rPr>
                <w:rFonts w:ascii="Arial" w:cs="Arial" w:eastAsia="Arial" w:hAnsi="Arial"/>
                <w:sz w:val="18"/>
                <w:szCs w:val="18"/>
                <w:color w:val="auto"/>
              </w:rPr>
              <w:t>912,955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3,012,554</w:t>
            </w:r>
          </w:p>
        </w:tc>
        <w:tc>
          <w:tcPr>
            <w:tcW w:w="80" w:type="dxa"/>
            <w:vAlign w:val="bottom"/>
          </w:tcPr>
          <w:p>
            <w:pPr>
              <w:spacing w:after="0"/>
              <w:rPr>
                <w:sz w:val="20"/>
                <w:szCs w:val="20"/>
                <w:color w:val="auto"/>
              </w:rPr>
            </w:pPr>
          </w:p>
        </w:tc>
      </w:tr>
      <w:tr>
        <w:trPr>
          <w:trHeight w:val="243"/>
        </w:trPr>
        <w:tc>
          <w:tcPr>
            <w:tcW w:w="6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Awards available for future issuance under the ESPP</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1,521,559</w:t>
            </w:r>
          </w:p>
        </w:tc>
        <w:tc>
          <w:tcPr>
            <w:tcW w:w="2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1,070,402</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6140" w:type="dxa"/>
            <w:vAlign w:val="bottom"/>
          </w:tcPr>
          <w:p>
            <w:pPr>
              <w:spacing w:after="0"/>
              <w:rPr>
                <w:sz w:val="20"/>
                <w:szCs w:val="20"/>
                <w:color w:val="auto"/>
              </w:rPr>
            </w:pPr>
            <w:r>
              <w:rPr>
                <w:rFonts w:ascii="Arial" w:cs="Arial" w:eastAsia="Arial" w:hAnsi="Arial"/>
                <w:sz w:val="18"/>
                <w:szCs w:val="18"/>
                <w:color w:val="auto"/>
              </w:rPr>
              <w:t>Total common stock reserved for future issuance</w:t>
            </w:r>
          </w:p>
        </w:tc>
        <w:tc>
          <w:tcPr>
            <w:tcW w:w="1280" w:type="dxa"/>
            <w:vAlign w:val="bottom"/>
          </w:tcPr>
          <w:p>
            <w:pPr>
              <w:jc w:val="right"/>
              <w:spacing w:after="0"/>
              <w:rPr>
                <w:sz w:val="20"/>
                <w:szCs w:val="20"/>
                <w:color w:val="auto"/>
              </w:rPr>
            </w:pPr>
            <w:r>
              <w:rPr>
                <w:rFonts w:ascii="Arial" w:cs="Arial" w:eastAsia="Arial" w:hAnsi="Arial"/>
                <w:sz w:val="18"/>
                <w:szCs w:val="18"/>
                <w:color w:val="auto"/>
              </w:rPr>
              <w:t>8,958,119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7,329,913</w:t>
            </w:r>
          </w:p>
        </w:tc>
        <w:tc>
          <w:tcPr>
            <w:tcW w:w="80" w:type="dxa"/>
            <w:vAlign w:val="bottom"/>
          </w:tcPr>
          <w:p>
            <w:pPr>
              <w:spacing w:after="0"/>
              <w:rPr>
                <w:sz w:val="20"/>
                <w:szCs w:val="20"/>
                <w:color w:val="auto"/>
              </w:rPr>
            </w:pPr>
          </w:p>
        </w:tc>
      </w:tr>
      <w:tr>
        <w:trPr>
          <w:trHeight w:val="20"/>
        </w:trPr>
        <w:tc>
          <w:tcPr>
            <w:tcW w:w="61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-187960</wp:posOffset>
            </wp:positionV>
            <wp:extent cx="60325" cy="1885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1885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Collaboration, License and Option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BeiGene</w:t>
      </w:r>
    </w:p>
    <w:p>
      <w:pPr>
        <w:spacing w:after="0" w:line="117"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In April 2019, the Company entered into a Global Co-Development and Collaboration agreement (the “BeiGene Collaboration”) with BeiGene, Ltd. and BeiGene Switzerland GmbH (collectively “BeiGene”), for the development, manufacturing and commercialization of the Company’s investigational CAB CTLA-4 antibody (BA3071). The BeiGene Collaboration was amended several times between 2019 and 2021 and the Company received a total of $25.0 million in non-refundable payments from BeiGene during that time.</w:t>
      </w:r>
    </w:p>
    <w:p>
      <w:pPr>
        <w:spacing w:after="0" w:line="160" w:lineRule="exact"/>
        <w:rPr>
          <w:sz w:val="20"/>
          <w:szCs w:val="20"/>
          <w:color w:val="auto"/>
        </w:rPr>
      </w:pPr>
    </w:p>
    <w:p>
      <w:pPr>
        <w:ind w:right="140" w:firstLine="509"/>
        <w:spacing w:after="0" w:line="293" w:lineRule="auto"/>
        <w:rPr>
          <w:sz w:val="20"/>
          <w:szCs w:val="20"/>
          <w:color w:val="auto"/>
        </w:rPr>
      </w:pPr>
      <w:r>
        <w:rPr>
          <w:rFonts w:ascii="Arial" w:cs="Arial" w:eastAsia="Arial" w:hAnsi="Arial"/>
          <w:sz w:val="16"/>
          <w:szCs w:val="16"/>
          <w:color w:val="auto"/>
        </w:rPr>
        <w:t>In November 2021, the BeiGene Collaboration was terminated, subject to survival of certain provisions, and BeiGene handed back rights to know-how and materials received under the amended BeiGene Collaboration. As a result, the Company is responsible for the global development and commercialization of BA3071. As consideration for this amendment, the Company agreed to pay BeiGene mid-single digit royalties on sales worldwide and on a limited basis will share in any upfront and milestone payments received through a sublicense of BA3071. The Company reclassified its then remaining $19.8 million of deferred revenue as a long-term liability which is expected to settle as licensing payments are made to BeiGene in accordance with the resulting amendment. In the event the license is terminated, the liability will be extinguished with no further payment to BeiGene.</w:t>
      </w:r>
    </w:p>
    <w:p>
      <w:pPr>
        <w:spacing w:after="0" w:line="137" w:lineRule="exact"/>
        <w:rPr>
          <w:sz w:val="20"/>
          <w:szCs w:val="20"/>
          <w:color w:val="auto"/>
        </w:rPr>
      </w:pPr>
    </w:p>
    <w:p>
      <w:pPr>
        <w:ind w:right="640" w:firstLine="509"/>
        <w:spacing w:after="0" w:line="342" w:lineRule="auto"/>
        <w:rPr>
          <w:sz w:val="20"/>
          <w:szCs w:val="20"/>
          <w:color w:val="auto"/>
        </w:rPr>
      </w:pPr>
      <w:r>
        <w:rPr>
          <w:rFonts w:ascii="Arial" w:cs="Arial" w:eastAsia="Arial" w:hAnsi="Arial"/>
          <w:sz w:val="16"/>
          <w:szCs w:val="16"/>
          <w:color w:val="auto"/>
        </w:rPr>
        <w:t>For the three and nine months ended September 30, 2023 and 2022, the Company did not recognize any revenue related to the collaboration agreement with BeiGene. The Company had a $19.8 million liability to licensor as of September 30, 2023 and December 31, 2022.</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Contracts</w:t>
      </w:r>
    </w:p>
    <w:p>
      <w:pPr>
        <w:spacing w:after="0" w:line="117" w:lineRule="exact"/>
        <w:rPr>
          <w:sz w:val="20"/>
          <w:szCs w:val="20"/>
          <w:color w:val="auto"/>
        </w:rPr>
      </w:pPr>
    </w:p>
    <w:p>
      <w:pPr>
        <w:ind w:right="380" w:firstLine="509"/>
        <w:spacing w:after="0" w:line="259" w:lineRule="auto"/>
        <w:rPr>
          <w:sz w:val="20"/>
          <w:szCs w:val="20"/>
          <w:color w:val="auto"/>
        </w:rPr>
      </w:pPr>
      <w:r>
        <w:rPr>
          <w:rFonts w:ascii="Arial" w:cs="Arial" w:eastAsia="Arial" w:hAnsi="Arial"/>
          <w:sz w:val="18"/>
          <w:szCs w:val="18"/>
          <w:color w:val="auto"/>
        </w:rPr>
        <w:t>Prior to developing its own programs, the Company entered into various fixed price research service contracts. In connection with these service contracts, the Company may receive future milestone payments if certain clinical, regulatory and commercialization milestones are achieved. The Company is also eligible to receive royalties based on certain product sales. The Company did not recognize any revenue related to its legacy service contracts during the three and nine months ended September 30, 2023 or 2022.</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BMS Collaboration</w:t>
      </w:r>
    </w:p>
    <w:p>
      <w:pPr>
        <w:spacing w:after="0" w:line="117"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In January 2022, the Company and Bristol-Myers Squibb Company (“BMS”) entered into a clinical trial collaboration and supply agreement (the “BMS Agreement”). Under the terms of the BMS Agreement, BioAtla and BMS will collaborate on clinical trials of separate combination therapies using two of BioAtla’s Conditionally Active Biologic Antibody Drug Conjugates, BA3011 and BA3021, each in combination with Opdivo® (nivolumab), BMS’ proprietary anti-PD-1 monoclonal antibody product. The Company will serve as the study sponsor of the scheduled studies and will be responsible for costs associated with the trial execution. BMS will provide Opdivo® clinical drug supply at no cost for the combination study trials. After the completion of the combination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4" w:name="page15"/>
    <w:bookmarkEnd w:id="14"/>
    <w:p>
      <w:pPr>
        <w:jc w:val="both"/>
        <w:ind w:right="240"/>
        <w:spacing w:after="0" w:line="263" w:lineRule="auto"/>
        <w:rPr>
          <w:sz w:val="20"/>
          <w:szCs w:val="20"/>
          <w:color w:val="auto"/>
        </w:rPr>
      </w:pPr>
      <w:r>
        <w:rPr>
          <w:rFonts w:ascii="Arial" w:cs="Arial" w:eastAsia="Arial" w:hAnsi="Arial"/>
          <w:sz w:val="18"/>
          <w:szCs w:val="18"/>
          <w:color w:val="auto"/>
        </w:rPr>
        <w:t>therapy trials, the Company is obligated to provide BMS with a final report of the data resulting from the trial. The BMS Agreement was amended in October 2022 to include additional territories for our BA3011 and BA3021 combination study trials. There was no impact to the Company's financial results for the three and nine months ended September 30, 2023 and 2022 as a result of this agreement.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Related Party Transactions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Himalaya Therapeutics SEZC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 Services Agreement</w:t>
      </w:r>
    </w:p>
    <w:p>
      <w:pPr>
        <w:spacing w:after="0" w:line="117"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In April 2022, the Company entered into a Clinical Trial Agreement with Himalaya Therapeutics SEZC. Under the agreement, Himalaya Therapeutics SEZC agreed to provide services related to the initiation of clinical trials for BA3011 in the People’s Republic of China. For the first year following effectiveness of the agreement, the Company has agreed to pay Himalaya Therapeutics SEZC for the full-time use of two of its personnel. Payments are due and payable by BioAtla to Himalaya Therapeutics SEZC on a quarterly calendar basis and are non-refundable. The Company made its final payment under the agreement in January 2023. For the three and nine months ended September 30, 2023, the Company recognized $0 and $0.1 million, respectively, in research and development expense related to the agreement, compared to $0.1 million and $0.3 million, for the three and nine months ended September 30, 2022, respectively. The Company did not have any amounts due from or due to Himalaya Therapeutics SEZC as of September 30, 2023.</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401(k) Plan</w:t>
      </w:r>
    </w:p>
    <w:p>
      <w:pPr>
        <w:spacing w:after="0" w:line="121" w:lineRule="exact"/>
        <w:rPr>
          <w:sz w:val="20"/>
          <w:szCs w:val="20"/>
          <w:color w:val="auto"/>
        </w:rPr>
      </w:pPr>
    </w:p>
    <w:p>
      <w:pPr>
        <w:ind w:right="180" w:firstLine="509"/>
        <w:spacing w:after="0" w:line="271" w:lineRule="auto"/>
        <w:rPr>
          <w:sz w:val="20"/>
          <w:szCs w:val="20"/>
          <w:color w:val="auto"/>
        </w:rPr>
      </w:pPr>
      <w:r>
        <w:rPr>
          <w:rFonts w:ascii="Arial" w:cs="Arial" w:eastAsia="Arial" w:hAnsi="Arial"/>
          <w:sz w:val="17"/>
          <w:szCs w:val="17"/>
          <w:color w:val="auto"/>
        </w:rPr>
        <w:t>The Company maintains a defined contribution 401(k) plan available to eligible employees. Employee contributions are voluntary and are determined on an individual basis, limited to the maximum amount allowable under federal tax regulations. The Company, at its discretion, may make certain matching contributions to the 401(k) plan. To date, the Company has not made any matching contributions.</w:t>
      </w:r>
    </w:p>
    <w:p>
      <w:pPr>
        <w:jc w:val="center"/>
        <w:ind w:right="-2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449" w:right="5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i w:val="1"/>
          <w:iCs w:val="1"/>
          <w:color w:val="auto"/>
        </w:rPr>
        <w:t>You should read the following discussion and analysis together with our unaudited condensed financial statements and notes thereto included in “Item 1. Financial Statements” of this Quarterly Report on Form 10-Q and the audited financial statements and notes thereto as of and for the year ended December 31, 2022 included in the Annual Report on Form 10-K, filed with the Securities and Exchange Commission, or the SEC, on March 23, 2023. In addition to historical information, this Quarterly Report contains forward-looking statements that involve risks, uncertainties, and assumptions. Our actual results may differ materially from those anticipated in these forward-looking statements as a result of certain factors, including but not limited to those set forth under the caption “Risk Factors” in the Annual Report, and the caption “Risk Factors” in this Quarterly Report, as updated by our subsequent filings under the Securities Exchange Act of 1934, as amended, or the Exchange Act. Furthermore, past operating results are not necessarily indicative of results that may occur in future periods.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firstLine="509"/>
        <w:spacing w:after="0" w:line="272" w:lineRule="auto"/>
        <w:rPr>
          <w:sz w:val="20"/>
          <w:szCs w:val="20"/>
          <w:color w:val="auto"/>
        </w:rPr>
      </w:pPr>
      <w:r>
        <w:rPr>
          <w:rFonts w:ascii="Arial" w:cs="Arial" w:eastAsia="Arial" w:hAnsi="Arial"/>
          <w:sz w:val="17"/>
          <w:szCs w:val="17"/>
          <w:color w:val="auto"/>
        </w:rPr>
        <w:t>We are a clinical-stage biopharmaceutical company developing our novel class of highly specific and selective antibody-based therapeutics for the treatment of solid tumor cancer. Our CABs capitalize on our proprietary discoveries with respect to tumor biology, enabling us to target known and widely validated tumor antigens that have previously been difficult or impossible to target. Our novel CAB therapeutic candidates exploit characteristic pH differences between the tumor microenvironment and healthy tissue. Unlike healthy tissue, the tumor microenvironment is acidic, and we have designed our antibodies to selectively bind to their targets on tumor cells under acidic pH conditions but not on targets in normal tissues. Our approach is to identify the necessary targeting and potency required for cancer cell destruction, while aiming to eliminate or greatly reduce on-target, off-tumor toxicity—one of the fundamental challenges of existing cancer therapies.</w:t>
      </w:r>
    </w:p>
    <w:p>
      <w:pPr>
        <w:spacing w:after="0" w:line="69"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We are a United States-based company with research facilities in San Diego, California and, through our contractual relationship with BioDuro-Sundia, a provider of preclinical development services, in Beijing, China. Since the commencement of our operations, we have focused substantially all of our resources on conducting research and development activities, including drug discovery, preclinical studies and clinical trials of our product candidates, including the ongoing Phase 2 clinical trials of mecbotamab vedotin and ozuriftamab vedotin and our Phase 1 clinical trials of BA3071 and BA3182, establishing and maintaining our intellectual property portfolio, manufacturing clinical and research material through third parties, hiring personnel, establishing product development and commercialization collaborations with third parties, raising capital and providing general and administrative support for these operations. Since 2014, such research and development activities have exclusively related to the research, development, manufacture and Phase 1 and Phase 2 clinical testing of our CAB antibody-based product candidates and the strengthening of our proprietary CAB technology platform and pipeline.</w:t>
      </w:r>
    </w:p>
    <w:p>
      <w:pPr>
        <w:spacing w:after="0" w:line="165"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We have incurred significant losses to date. Our ability to generate product revenue sufficient to achieve profitability will depend on the successful development and eventual commercialization of one or more of our current and future product candidates. Our net loss was $33.3 million and $96.5 million for the three and nine months ended September 30, 2023, respectively, compared to $25.8 million and $78.9 million for the three and nine months ended September 30, 2022, respectively. As of September 30, 2023, we had an accumulated deficit of $389.3 million. These losses have resulted primarily from costs incurred in connection with research and development activities and general and administrative costs associated with our operations. We do not expect to generate meaningful revenue from product sales for the foreseeable future, and we expect to continue to incur significant operating expenses for the foreseeable future due to the cost of research and development, including identifying and designing product candidates and conducting preclinical studies and clinical trials, and the regulatory approval process for our product candidates.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expect our expenses and capital requirements will increase substantially in connection with our ongoing activities as we:</w:t>
      </w:r>
    </w:p>
    <w:p>
      <w:pPr>
        <w:spacing w:after="0" w:line="117" w:lineRule="exact"/>
        <w:rPr>
          <w:sz w:val="20"/>
          <w:szCs w:val="20"/>
          <w:color w:val="auto"/>
        </w:rPr>
      </w:pPr>
    </w:p>
    <w:p>
      <w:pPr>
        <w:ind w:left="1000" w:hanging="36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advance the clinical development of mecbotamab vedotin;</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advance the clinical development of ozuriftamab vedotin;</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advance the clinical development of BA3071;</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advance the clinical development of BA3182;</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expand our pipeline of bispecific and other CAB antibody-based product candidates;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 to invest in our CAB technology platform;</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 including patents, trade secrets and know-how;</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seek marketing approvals for any product candidates that successfully complete clinical trials;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establish additional product collaborations and commercial manufacturing relationships with third parties;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6" w:name="page17"/>
    <w:bookmarkEnd w:id="16"/>
    <w:p>
      <w:pPr>
        <w:ind w:left="1000" w:right="220" w:hanging="36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build sales, marketing and distribution infrastructure and relationships with third parties to commercialize product candidates for which we may obtain marketing approval;</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 to expand our operational, financial and management information systems; and</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attract, hire and retain additional clinical, scientific, management, administrative and commercial personnel.</w:t>
      </w:r>
    </w:p>
    <w:p>
      <w:pPr>
        <w:spacing w:after="0" w:line="225"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As a result, we will require substantial additional capital to develop our product candidates and fund operations for the foreseeable future. Until such time as we can generate significant revenue from product sales, if ever, we expect to finance our operations through a combination of public or private equity offerings, debt financings, collaborations and other similar arrangements. The amount and timing of our future funding requirements will depend on many factors, including the pace and results of our development efforts. We cannot assure you that we will ever be profitable or generate positive cash flow from operating activities.</w:t>
      </w:r>
    </w:p>
    <w:p>
      <w:pPr>
        <w:spacing w:after="0" w:line="188"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Because of the numerous risks and uncertainties associated with product development, we are unable to accurately predict the timing or amount of increased expenses or when, or if, we will be able to achieve profitability. Even if we do achieve profitability, we may not be able to sustain or increase profitability on a quarterly or annual basis. If we fail to become profitable or are unable to sustain profitability on a continuing basis, then we may be unable to raise capital, maintain our research and development efforts, expand our business or continue our operations at planned levels, and as a result we may be forced to substantially reduce or terminate our operations.</w:t>
      </w:r>
    </w:p>
    <w:p>
      <w:pPr>
        <w:spacing w:after="0" w:line="188"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As of September 30, 2023, our cash and cash equivalents totaled approximately $141.3 million. Based on our current operating plan, our current cash and cash equivalents are expected to be sufficient to fund our ongoing operations for a period of at least twelve months from the date of issuance of the financial statements included in this report. Our current operating plan includes plans to stop enrollment in certain dosing regimens for certain indications, delaying development of certain pre-clinical programs, and prioritizing and focusing clinical development on selected assets and indications. In addition, we have based this estimate on assumptions that may prove to be wrong, and we could utilize our available capital resources sooner than we currently expect.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on Our Business</w:t>
      </w:r>
    </w:p>
    <w:p>
      <w:pPr>
        <w:spacing w:after="0" w:line="121" w:lineRule="exact"/>
        <w:rPr>
          <w:sz w:val="20"/>
          <w:szCs w:val="20"/>
          <w:color w:val="auto"/>
        </w:rPr>
      </w:pPr>
    </w:p>
    <w:p>
      <w:pPr>
        <w:ind w:right="100" w:firstLine="509"/>
        <w:spacing w:after="0" w:line="275" w:lineRule="auto"/>
        <w:rPr>
          <w:sz w:val="20"/>
          <w:szCs w:val="20"/>
          <w:color w:val="auto"/>
        </w:rPr>
      </w:pPr>
      <w:r>
        <w:rPr>
          <w:rFonts w:ascii="Arial" w:cs="Arial" w:eastAsia="Arial" w:hAnsi="Arial"/>
          <w:sz w:val="17"/>
          <w:szCs w:val="17"/>
          <w:color w:val="auto"/>
        </w:rPr>
        <w:t>The COVID-19 pandemic previously impacted our ongoing operations, including clinical trials. The extent to which the COVID-19 pandemic may continue to impact our business, financial condition and results of operations cannot be reasonably estimated and will depend on future developments, which are highly uncertain and cannot be predicted, including the severity and duration of any resurgence of COVID-19 and its variants and the actions necessary to contain any resurgence or treat its impact, among others. We will continue to monitor the COVID-19 situation closely and operate in accordance with all relevant health and safety guidelines as they evolve in response to changing public health conditions.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To date, we have not generated any revenue from the sale of products and do not expect to generate meaningful revenue in the near future.</w:t>
      </w:r>
    </w:p>
    <w:p>
      <w:pPr>
        <w:spacing w:after="0" w:line="237" w:lineRule="exact"/>
        <w:rPr>
          <w:sz w:val="20"/>
          <w:szCs w:val="20"/>
          <w:color w:val="auto"/>
        </w:rPr>
      </w:pPr>
    </w:p>
    <w:p>
      <w:pPr>
        <w:ind w:right="60" w:firstLine="509"/>
        <w:spacing w:after="0" w:line="273" w:lineRule="auto"/>
        <w:rPr>
          <w:sz w:val="20"/>
          <w:szCs w:val="20"/>
          <w:color w:val="auto"/>
        </w:rPr>
      </w:pPr>
      <w:r>
        <w:rPr>
          <w:rFonts w:ascii="Arial" w:cs="Arial" w:eastAsia="Arial" w:hAnsi="Arial"/>
          <w:sz w:val="17"/>
          <w:szCs w:val="17"/>
          <w:color w:val="auto"/>
        </w:rPr>
        <w:t>In 2019 we entered into a collaboration agreement with BeiGene, Ltd. The agreement was amended several times and was terminated in November 2021, which resulted in the Company assuming responsibility for development of BA3071. We received a total of $25.0 million in non-refundable payments from BeiGene from this collaboration. Pursuant to the terms of the November 2021 amendment, we agreed to pay single digit royalties to BeiGene and agreed to share on a limited basis in any upfront and milestone payments, if received, through a sublicense of BA3071. We may in the future seek third-party collaborators or joint venture partners for development and commercialization of BA3071 and additional CAB product candidates. We did not recognize any collaboration revenue for the three and nine months ended September 30, 2023 and 2022.</w:t>
      </w:r>
    </w:p>
    <w:p>
      <w:pPr>
        <w:spacing w:after="0" w:line="178" w:lineRule="exact"/>
        <w:rPr>
          <w:sz w:val="20"/>
          <w:szCs w:val="20"/>
          <w:color w:val="auto"/>
        </w:rPr>
      </w:pPr>
    </w:p>
    <w:p>
      <w:pPr>
        <w:ind w:right="340" w:firstLine="509"/>
        <w:spacing w:after="0" w:line="255" w:lineRule="auto"/>
        <w:rPr>
          <w:sz w:val="20"/>
          <w:szCs w:val="20"/>
          <w:color w:val="auto"/>
        </w:rPr>
      </w:pPr>
      <w:r>
        <w:rPr>
          <w:rFonts w:ascii="Arial" w:cs="Arial" w:eastAsia="Arial" w:hAnsi="Arial"/>
          <w:sz w:val="18"/>
          <w:szCs w:val="18"/>
          <w:color w:val="auto"/>
        </w:rPr>
        <w:t>Prior to developing our own programs, we received revenue from services performed under fixed price service contracts that, in some cases, provided for potential milestone and royalty payments to us. We did not recognize any revenue from our legacy service contracts for the three and nine months ended September 30, 2023 and 2022.</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Research and development expenses consist primarily of costs incurred in the discovery and development of our product candidates.</w:t>
      </w:r>
    </w:p>
    <w:p>
      <w:pPr>
        <w:spacing w:after="0" w:line="117" w:lineRule="exact"/>
        <w:rPr>
          <w:sz w:val="20"/>
          <w:szCs w:val="20"/>
          <w:color w:val="auto"/>
        </w:rPr>
      </w:pPr>
    </w:p>
    <w:p>
      <w:pPr>
        <w:ind w:left="1020" w:hanging="38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External expenses consist of:</w:t>
      </w:r>
    </w:p>
    <w:p>
      <w:pPr>
        <w:spacing w:after="0" w:line="117" w:lineRule="exact"/>
        <w:rPr>
          <w:rFonts w:ascii="Arial" w:cs="Arial" w:eastAsia="Arial" w:hAnsi="Arial"/>
          <w:sz w:val="18"/>
          <w:szCs w:val="18"/>
          <w:color w:val="auto"/>
        </w:rPr>
      </w:pPr>
    </w:p>
    <w:p>
      <w:pPr>
        <w:ind w:left="1380" w:right="640" w:hanging="374"/>
        <w:spacing w:after="0" w:line="277" w:lineRule="auto"/>
        <w:tabs>
          <w:tab w:leader="none" w:pos="13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Fees paid to third parties such as contractors, clinical research organizations (CROs) and consultants, and other costs related to preclinical and clinical trials;</w:t>
      </w:r>
    </w:p>
    <w:p>
      <w:pPr>
        <w:spacing w:after="0" w:line="62" w:lineRule="exact"/>
        <w:rPr>
          <w:rFonts w:ascii="Arial" w:cs="Arial" w:eastAsia="Arial" w:hAnsi="Arial"/>
          <w:sz w:val="18"/>
          <w:szCs w:val="18"/>
          <w:color w:val="auto"/>
        </w:rPr>
      </w:pPr>
    </w:p>
    <w:p>
      <w:pPr>
        <w:ind w:left="1380" w:right="400" w:hanging="374"/>
        <w:spacing w:after="0" w:line="277" w:lineRule="auto"/>
        <w:tabs>
          <w:tab w:leader="none" w:pos="13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Fees paid to third parties such as contract manufacturing organizations (CMOs) and other vendors for manufacturing research and clinical trial materials; and</w:t>
      </w:r>
    </w:p>
    <w:p>
      <w:pPr>
        <w:spacing w:after="0" w:line="62" w:lineRule="exact"/>
        <w:rPr>
          <w:rFonts w:ascii="Arial" w:cs="Arial" w:eastAsia="Arial" w:hAnsi="Arial"/>
          <w:sz w:val="18"/>
          <w:szCs w:val="18"/>
          <w:color w:val="auto"/>
        </w:rPr>
      </w:pPr>
    </w:p>
    <w:p>
      <w:pPr>
        <w:ind w:left="1380" w:hanging="374"/>
        <w:spacing w:after="0"/>
        <w:tabs>
          <w:tab w:leader="none" w:pos="1380" w:val="left"/>
        </w:tabs>
        <w:numPr>
          <w:ilvl w:val="1"/>
          <w:numId w:val="5"/>
        </w:numPr>
        <w:rPr>
          <w:rFonts w:ascii="Arial" w:cs="Arial" w:eastAsia="Arial" w:hAnsi="Arial"/>
          <w:sz w:val="18"/>
          <w:szCs w:val="18"/>
          <w:color w:val="auto"/>
        </w:rPr>
      </w:pPr>
      <w:r>
        <w:rPr>
          <w:rFonts w:ascii="Arial" w:cs="Arial" w:eastAsia="Arial" w:hAnsi="Arial"/>
          <w:sz w:val="18"/>
          <w:szCs w:val="18"/>
          <w:color w:val="auto"/>
        </w:rPr>
        <w:t>Expenses related to laboratory supplies and services.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Unallocated expenses consist of:</w:t>
      </w:r>
    </w:p>
    <w:p>
      <w:pPr>
        <w:spacing w:after="0" w:line="117" w:lineRule="exact"/>
        <w:rPr>
          <w:rFonts w:ascii="Arial" w:cs="Arial" w:eastAsia="Arial" w:hAnsi="Arial"/>
          <w:sz w:val="18"/>
          <w:szCs w:val="18"/>
          <w:color w:val="auto"/>
        </w:rPr>
      </w:pPr>
    </w:p>
    <w:p>
      <w:pPr>
        <w:ind w:left="1380" w:right="320" w:hanging="374"/>
        <w:spacing w:after="0" w:line="277" w:lineRule="auto"/>
        <w:tabs>
          <w:tab w:leader="none" w:pos="13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Personnel-related expenses, including salaries, benefits and equity-based compensation expenses, for personnel in our research and development functions; and</w:t>
      </w:r>
    </w:p>
    <w:p>
      <w:pPr>
        <w:spacing w:after="0" w:line="62" w:lineRule="exact"/>
        <w:rPr>
          <w:rFonts w:ascii="Arial" w:cs="Arial" w:eastAsia="Arial" w:hAnsi="Arial"/>
          <w:sz w:val="18"/>
          <w:szCs w:val="18"/>
          <w:color w:val="auto"/>
        </w:rPr>
      </w:pPr>
    </w:p>
    <w:p>
      <w:pPr>
        <w:ind w:left="1380" w:hanging="374"/>
        <w:spacing w:after="0"/>
        <w:tabs>
          <w:tab w:leader="none" w:pos="1380" w:val="left"/>
        </w:tabs>
        <w:numPr>
          <w:ilvl w:val="1"/>
          <w:numId w:val="5"/>
        </w:numPr>
        <w:rPr>
          <w:rFonts w:ascii="Arial" w:cs="Arial" w:eastAsia="Arial" w:hAnsi="Arial"/>
          <w:sz w:val="18"/>
          <w:szCs w:val="18"/>
          <w:color w:val="auto"/>
        </w:rPr>
      </w:pPr>
      <w:r>
        <w:rPr>
          <w:rFonts w:ascii="Arial" w:cs="Arial" w:eastAsia="Arial" w:hAnsi="Arial"/>
          <w:sz w:val="18"/>
          <w:szCs w:val="18"/>
          <w:color w:val="auto"/>
        </w:rPr>
        <w:t>Related equipment and facilities depreciation expense.</w:t>
      </w:r>
    </w:p>
    <w:p>
      <w:pPr>
        <w:spacing w:after="0" w:line="225"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We expense research and development costs in the periods in which they are incurred. Nonrefundable advance payments for goods or services to be received in future periods for use in research and development activities are deferred and capitalized. The capitalized amounts are then expensed as the related goods are delivered and services are performed.</w:t>
      </w:r>
    </w:p>
    <w:p>
      <w:pPr>
        <w:spacing w:after="0" w:line="184" w:lineRule="exact"/>
        <w:rPr>
          <w:sz w:val="20"/>
          <w:szCs w:val="20"/>
          <w:color w:val="auto"/>
        </w:rPr>
      </w:pPr>
    </w:p>
    <w:p>
      <w:pPr>
        <w:ind w:right="20" w:firstLine="509"/>
        <w:spacing w:after="0" w:line="288" w:lineRule="auto"/>
        <w:rPr>
          <w:sz w:val="20"/>
          <w:szCs w:val="20"/>
          <w:color w:val="auto"/>
        </w:rPr>
      </w:pPr>
      <w:r>
        <w:rPr>
          <w:rFonts w:ascii="Arial" w:cs="Arial" w:eastAsia="Arial" w:hAnsi="Arial"/>
          <w:sz w:val="16"/>
          <w:szCs w:val="16"/>
          <w:color w:val="auto"/>
        </w:rPr>
        <w:t>We expect our research and development expenses to generally increase for the foreseeable future as we continue to invest in research and development activities to advance our product candidates and our clinical programs and expand our product candidate pipeline. The process of conducting the necessary preclinical and clinical research to obtain regulatory approval is costly and time-consuming. Successful product candidates in later stages of clinical development generally have higher development costs than those in earlier stages of clinical development, primarily due to the increased size and duration of later-stage clinical trials. Accordingly, to the extent that our product candidates continue to advance into clinical trials, including larger and later-stage clinical trials, our expenses will increase substantially and may become more variable. The actual probability of success for our product candidates may be affected by a variety of factors, including the safety and efficacy of our product candidates, the quality and consistency in their manufacture, investment in our clinical programs and competition with other products. As a result of these variables, we are unable to determine the duration and completion costs of our research and development projects and programs or when and to what extent we will generate revenue from the commercialization and sale of our product candidates. We may never succeed in achieving regulatory approval for any of our product candidates.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right="260" w:firstLine="509"/>
        <w:spacing w:after="0" w:line="296" w:lineRule="auto"/>
        <w:rPr>
          <w:sz w:val="20"/>
          <w:szCs w:val="20"/>
          <w:color w:val="auto"/>
        </w:rPr>
      </w:pPr>
      <w:r>
        <w:rPr>
          <w:rFonts w:ascii="Arial" w:cs="Arial" w:eastAsia="Arial" w:hAnsi="Arial"/>
          <w:sz w:val="16"/>
          <w:szCs w:val="16"/>
          <w:color w:val="auto"/>
        </w:rPr>
        <w:t>Our general and administrative expenses include personnel-related expenses for personnel in our executive, finance, corporate and other administrative functions, intellectual property and patent costs, facilities and other allocated expenses, other expenses for outside professional services, including legal, human resources, investor relations, audit and accounting services and insurance costs. Personnel-related expenses consist of salaries, benefits and equity-based compensation. We also expect our general and administrative expenses to increase in the future as we increase our personnel headcount to support our research and development activities to advance our product candidates and clinical stage programs.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consists primarily of interest earned on our cash and cash equivalent balances.</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665" w:right="4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2023 and 2022</w:t>
      </w:r>
    </w:p>
    <w:p>
      <w:pPr>
        <w:spacing w:after="0" w:line="326"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80" w:type="dxa"/>
            <w:vAlign w:val="bottom"/>
            <w:gridSpan w:val="5"/>
          </w:tcPr>
          <w:p>
            <w:pPr>
              <w:jc w:val="right"/>
              <w:ind w:right="881"/>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5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rPr>
              <w:t>Change</w:t>
            </w:r>
          </w:p>
        </w:tc>
      </w:tr>
      <w:tr>
        <w:trPr>
          <w:trHeight w:val="169"/>
        </w:trPr>
        <w:tc>
          <w:tcPr>
            <w:tcW w:w="5220" w:type="dxa"/>
            <w:vAlign w:val="bottom"/>
          </w:tcPr>
          <w:p>
            <w:pPr>
              <w:spacing w:after="0"/>
              <w:rPr>
                <w:sz w:val="20"/>
                <w:szCs w:val="20"/>
                <w:color w:val="auto"/>
              </w:rPr>
            </w:pPr>
            <w:r>
              <w:rPr>
                <w:rFonts w:ascii="Arial" w:cs="Arial" w:eastAsia="Arial" w:hAnsi="Arial"/>
                <w:sz w:val="14"/>
                <w:szCs w:val="14"/>
                <w:color w:val="auto"/>
              </w:rPr>
              <w:t>(in thousands)</w:t>
            </w:r>
          </w:p>
        </w:tc>
        <w:tc>
          <w:tcPr>
            <w:tcW w:w="3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52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28,400</w:t>
            </w:r>
          </w:p>
        </w:tc>
        <w:tc>
          <w:tcPr>
            <w:tcW w:w="24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19,839</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8,561</w:t>
            </w:r>
          </w:p>
        </w:tc>
        <w:tc>
          <w:tcPr>
            <w:tcW w:w="100" w:type="dxa"/>
            <w:vAlign w:val="bottom"/>
          </w:tcPr>
          <w:p>
            <w:pPr>
              <w:spacing w:after="0"/>
              <w:rPr>
                <w:sz w:val="20"/>
                <w:szCs w:val="20"/>
                <w:color w:val="auto"/>
              </w:rPr>
            </w:pPr>
          </w:p>
        </w:tc>
      </w:tr>
      <w:tr>
        <w:trPr>
          <w:trHeight w:val="243"/>
        </w:trPr>
        <w:tc>
          <w:tcPr>
            <w:tcW w:w="52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6,620</w:t>
            </w:r>
          </w:p>
        </w:tc>
        <w:tc>
          <w:tcPr>
            <w:tcW w:w="2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6,340</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2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35,020</w:t>
            </w: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26,179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8,841</w:t>
            </w:r>
          </w:p>
        </w:tc>
        <w:tc>
          <w:tcPr>
            <w:tcW w:w="100" w:type="dxa"/>
            <w:vAlign w:val="bottom"/>
          </w:tcPr>
          <w:p>
            <w:pPr>
              <w:spacing w:after="0"/>
              <w:rPr>
                <w:sz w:val="20"/>
                <w:szCs w:val="20"/>
                <w:color w:val="auto"/>
              </w:rPr>
            </w:pPr>
          </w:p>
        </w:tc>
      </w:tr>
      <w:tr>
        <w:trPr>
          <w:trHeight w:val="243"/>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(35,020</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(26,179</w:t>
            </w:r>
          </w:p>
        </w:tc>
        <w:tc>
          <w:tcPr>
            <w:tcW w:w="22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(8,841</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5220" w:type="dxa"/>
            <w:vAlign w:val="bottom"/>
          </w:tcPr>
          <w:p>
            <w:pPr>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2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1,734</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1,364</w:t>
            </w:r>
          </w:p>
        </w:tc>
        <w:tc>
          <w:tcPr>
            <w:tcW w:w="100" w:type="dxa"/>
            <w:vAlign w:val="bottom"/>
            <w:shd w:val="clear" w:color="auto" w:fill="CFF0FC"/>
          </w:tcPr>
          <w:p>
            <w:pPr>
              <w:spacing w:after="0"/>
              <w:rPr>
                <w:sz w:val="21"/>
                <w:szCs w:val="21"/>
                <w:color w:val="auto"/>
              </w:rPr>
            </w:pPr>
          </w:p>
        </w:tc>
      </w:tr>
      <w:tr>
        <w:trPr>
          <w:trHeight w:val="237"/>
        </w:trPr>
        <w:tc>
          <w:tcPr>
            <w:tcW w:w="5220" w:type="dxa"/>
            <w:vAlign w:val="bottom"/>
          </w:tcPr>
          <w:p>
            <w:pPr>
              <w:ind w:left="180"/>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20"/>
                <w:szCs w:val="20"/>
                <w:color w:val="auto"/>
              </w:rPr>
            </w:pPr>
          </w:p>
        </w:tc>
        <w:tc>
          <w:tcPr>
            <w:tcW w:w="1220" w:type="dxa"/>
            <w:vAlign w:val="bottom"/>
            <w:gridSpan w:val="2"/>
          </w:tcPr>
          <w:p>
            <w:pPr>
              <w:jc w:val="right"/>
              <w:ind w:right="101"/>
              <w:spacing w:after="0"/>
              <w:rPr>
                <w:sz w:val="20"/>
                <w:szCs w:val="20"/>
                <w:color w:val="auto"/>
              </w:rPr>
            </w:pPr>
            <w:r>
              <w:rPr>
                <w:rFonts w:ascii="Arial" w:cs="Arial" w:eastAsia="Arial" w:hAnsi="Arial"/>
                <w:sz w:val="18"/>
                <w:szCs w:val="18"/>
                <w:color w:val="auto"/>
              </w:rPr>
              <w:t>(39 )</w:t>
            </w: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(69 )</w:t>
            </w:r>
          </w:p>
        </w:tc>
      </w:tr>
      <w:tr>
        <w:trPr>
          <w:trHeight w:val="236"/>
        </w:trPr>
        <w:tc>
          <w:tcPr>
            <w:tcW w:w="5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income</w:t>
            </w: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1,695</w:t>
            </w:r>
          </w:p>
        </w:tc>
        <w:tc>
          <w:tcPr>
            <w:tcW w:w="24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522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1"/>
              <w:spacing w:after="0"/>
              <w:rPr>
                <w:sz w:val="20"/>
                <w:szCs w:val="20"/>
                <w:color w:val="auto"/>
              </w:rPr>
            </w:pPr>
            <w:r>
              <w:rPr>
                <w:rFonts w:ascii="Arial" w:cs="Arial" w:eastAsia="Arial" w:hAnsi="Arial"/>
                <w:sz w:val="18"/>
                <w:szCs w:val="18"/>
                <w:color w:val="auto"/>
              </w:rPr>
              <w:t xml:space="preserve">(33,325 </w:t>
            </w:r>
            <w:r>
              <w:rPr>
                <w:rFonts w:ascii="Arial" w:cs="Arial" w:eastAsia="Arial" w:hAnsi="Arial"/>
                <w:sz w:val="18"/>
                <w:szCs w:val="18"/>
                <w:color w:val="auto"/>
                <w:highlight w:val="white"/>
              </w:rPr>
              <w: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 xml:space="preserve">(25,779 </w:t>
            </w:r>
            <w:r>
              <w:rPr>
                <w:rFonts w:ascii="Arial" w:cs="Arial" w:eastAsia="Arial" w:hAnsi="Arial"/>
                <w:sz w:val="18"/>
                <w:szCs w:val="18"/>
                <w:color w:val="auto"/>
                <w:highlight w:val="white"/>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 xml:space="preserve">(7,546 </w:t>
            </w:r>
            <w:r>
              <w:rPr>
                <w:rFonts w:ascii="Arial" w:cs="Arial" w:eastAsia="Arial" w:hAnsi="Arial"/>
                <w:sz w:val="18"/>
                <w:szCs w:val="18"/>
                <w:color w:val="auto"/>
                <w:highlight w:val="white"/>
              </w:rPr>
              <w:t>)</w:t>
            </w:r>
          </w:p>
        </w:tc>
      </w:tr>
      <w:tr>
        <w:trPr>
          <w:trHeight w:val="20"/>
        </w:trPr>
        <w:tc>
          <w:tcPr>
            <w:tcW w:w="5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-1139825</wp:posOffset>
            </wp:positionV>
            <wp:extent cx="68580"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-1139825</wp:posOffset>
            </wp:positionV>
            <wp:extent cx="60325"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-1139825</wp:posOffset>
            </wp:positionV>
            <wp:extent cx="60325" cy="171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17145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research and development expenses allocated by CAB program for the periods indicated:</w:t>
      </w:r>
    </w:p>
    <w:p>
      <w:pPr>
        <w:spacing w:after="0" w:line="326"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5"/>
              </w:rPr>
              <w:t>Three Months Ended</w:t>
            </w: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45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5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jc w:val="right"/>
              <w:ind w:right="492"/>
              <w:spacing w:after="0"/>
              <w:rPr>
                <w:sz w:val="20"/>
                <w:szCs w:val="20"/>
                <w:color w:val="auto"/>
              </w:rPr>
            </w:pPr>
            <w:r>
              <w:rPr>
                <w:rFonts w:ascii="Arial" w:cs="Arial" w:eastAsia="Arial" w:hAnsi="Arial"/>
                <w:sz w:val="14"/>
                <w:szCs w:val="14"/>
                <w:b w:val="1"/>
                <w:bCs w:val="1"/>
                <w:color w:val="auto"/>
                <w:w w:val="96"/>
              </w:rPr>
              <w:t>2022</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Change</w:t>
            </w:r>
          </w:p>
        </w:tc>
      </w:tr>
      <w:tr>
        <w:trPr>
          <w:trHeight w:val="169"/>
        </w:trPr>
        <w:tc>
          <w:tcPr>
            <w:tcW w:w="4560" w:type="dxa"/>
            <w:vAlign w:val="bottom"/>
          </w:tcPr>
          <w:p>
            <w:pPr>
              <w:spacing w:after="0"/>
              <w:rPr>
                <w:sz w:val="20"/>
                <w:szCs w:val="20"/>
                <w:color w:val="auto"/>
              </w:rPr>
            </w:pPr>
            <w:r>
              <w:rPr>
                <w:rFonts w:ascii="Arial" w:cs="Arial" w:eastAsia="Arial" w:hAnsi="Arial"/>
                <w:sz w:val="14"/>
                <w:szCs w:val="14"/>
                <w:color w:val="auto"/>
              </w:rPr>
              <w:t>(in thousands)</w:t>
            </w:r>
          </w:p>
        </w:tc>
        <w:tc>
          <w:tcPr>
            <w:tcW w:w="9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External expenses:</w:t>
            </w:r>
          </w:p>
        </w:tc>
        <w:tc>
          <w:tcPr>
            <w:tcW w:w="9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4560" w:type="dxa"/>
            <w:vAlign w:val="bottom"/>
          </w:tcPr>
          <w:p>
            <w:pPr>
              <w:ind w:left="180"/>
              <w:spacing w:after="0"/>
              <w:rPr>
                <w:sz w:val="20"/>
                <w:szCs w:val="20"/>
                <w:color w:val="auto"/>
              </w:rPr>
            </w:pPr>
            <w:r>
              <w:rPr>
                <w:rFonts w:ascii="Arial" w:cs="Arial" w:eastAsia="Arial" w:hAnsi="Arial"/>
                <w:sz w:val="18"/>
                <w:szCs w:val="18"/>
                <w:color w:val="auto"/>
              </w:rPr>
              <w:t>BA3011 (AXL-ADC)</w:t>
            </w:r>
          </w:p>
        </w:tc>
        <w:tc>
          <w:tcPr>
            <w:tcW w:w="900" w:type="dxa"/>
            <w:vAlign w:val="bottom"/>
          </w:tcPr>
          <w:p>
            <w:pPr>
              <w:jc w:val="right"/>
              <w:ind w:right="716"/>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6,506</w:t>
            </w:r>
          </w:p>
        </w:tc>
        <w:tc>
          <w:tcPr>
            <w:tcW w:w="8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4,227</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2,279</w:t>
            </w:r>
          </w:p>
        </w:tc>
        <w:tc>
          <w:tcPr>
            <w:tcW w:w="100" w:type="dxa"/>
            <w:vAlign w:val="bottom"/>
          </w:tcPr>
          <w:p>
            <w:pPr>
              <w:spacing w:after="0"/>
              <w:rPr>
                <w:sz w:val="20"/>
                <w:szCs w:val="20"/>
                <w:color w:val="auto"/>
              </w:rPr>
            </w:pPr>
          </w:p>
        </w:tc>
      </w:tr>
      <w:tr>
        <w:trPr>
          <w:trHeight w:val="249"/>
        </w:trPr>
        <w:tc>
          <w:tcPr>
            <w:tcW w:w="45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BA3021 (ROR2-ADC)</w:t>
            </w:r>
          </w:p>
        </w:tc>
        <w:tc>
          <w:tcPr>
            <w:tcW w:w="9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4,065</w:t>
            </w:r>
          </w:p>
        </w:tc>
        <w:tc>
          <w:tcPr>
            <w:tcW w:w="2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2,807</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1,258</w:t>
            </w:r>
          </w:p>
        </w:tc>
        <w:tc>
          <w:tcPr>
            <w:tcW w:w="100" w:type="dxa"/>
            <w:vAlign w:val="bottom"/>
            <w:shd w:val="clear" w:color="auto" w:fill="CFF0FC"/>
          </w:tcPr>
          <w:p>
            <w:pPr>
              <w:spacing w:after="0"/>
              <w:rPr>
                <w:sz w:val="21"/>
                <w:szCs w:val="21"/>
                <w:color w:val="auto"/>
              </w:rPr>
            </w:pPr>
          </w:p>
        </w:tc>
      </w:tr>
      <w:tr>
        <w:trPr>
          <w:trHeight w:val="237"/>
        </w:trPr>
        <w:tc>
          <w:tcPr>
            <w:tcW w:w="4560" w:type="dxa"/>
            <w:vAlign w:val="bottom"/>
          </w:tcPr>
          <w:p>
            <w:pPr>
              <w:ind w:left="180"/>
              <w:spacing w:after="0"/>
              <w:rPr>
                <w:sz w:val="20"/>
                <w:szCs w:val="20"/>
                <w:color w:val="auto"/>
              </w:rPr>
            </w:pPr>
            <w:r>
              <w:rPr>
                <w:rFonts w:ascii="Arial" w:cs="Arial" w:eastAsia="Arial" w:hAnsi="Arial"/>
                <w:sz w:val="18"/>
                <w:szCs w:val="18"/>
                <w:color w:val="auto"/>
              </w:rPr>
              <w:t>BA3071 (CTLA-4)</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4,916</w:t>
            </w: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2,878</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2,038</w:t>
            </w:r>
          </w:p>
        </w:tc>
        <w:tc>
          <w:tcPr>
            <w:tcW w:w="100" w:type="dxa"/>
            <w:vAlign w:val="bottom"/>
          </w:tcPr>
          <w:p>
            <w:pPr>
              <w:spacing w:after="0"/>
              <w:rPr>
                <w:sz w:val="20"/>
                <w:szCs w:val="20"/>
                <w:color w:val="auto"/>
              </w:rPr>
            </w:pPr>
          </w:p>
        </w:tc>
      </w:tr>
      <w:tr>
        <w:trPr>
          <w:trHeight w:val="243"/>
        </w:trPr>
        <w:tc>
          <w:tcPr>
            <w:tcW w:w="45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Other CAB Programs</w:t>
            </w:r>
          </w:p>
        </w:tc>
        <w:tc>
          <w:tcPr>
            <w:tcW w:w="90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7,427</w:t>
            </w:r>
          </w:p>
        </w:tc>
        <w:tc>
          <w:tcPr>
            <w:tcW w:w="26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4,897</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4560" w:type="dxa"/>
            <w:vAlign w:val="bottom"/>
          </w:tcPr>
          <w:p>
            <w:pPr>
              <w:spacing w:after="0"/>
              <w:rPr>
                <w:sz w:val="20"/>
                <w:szCs w:val="20"/>
                <w:color w:val="auto"/>
              </w:rPr>
            </w:pPr>
            <w:r>
              <w:rPr>
                <w:rFonts w:ascii="Arial" w:cs="Arial" w:eastAsia="Arial" w:hAnsi="Arial"/>
                <w:sz w:val="18"/>
                <w:szCs w:val="18"/>
                <w:color w:val="auto"/>
              </w:rPr>
              <w:t>Total external expenses</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22,914</w:t>
            </w: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14,809</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8,105</w:t>
            </w:r>
          </w:p>
        </w:tc>
        <w:tc>
          <w:tcPr>
            <w:tcW w:w="100" w:type="dxa"/>
            <w:vAlign w:val="bottom"/>
          </w:tcPr>
          <w:p>
            <w:pPr>
              <w:spacing w:after="0"/>
              <w:rPr>
                <w:sz w:val="20"/>
                <w:szCs w:val="20"/>
                <w:color w:val="auto"/>
              </w:rPr>
            </w:pPr>
          </w:p>
        </w:tc>
      </w:tr>
      <w:tr>
        <w:trPr>
          <w:trHeight w:val="249"/>
        </w:trPr>
        <w:tc>
          <w:tcPr>
            <w:tcW w:w="45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Personnel and related</w:t>
            </w:r>
          </w:p>
        </w:tc>
        <w:tc>
          <w:tcPr>
            <w:tcW w:w="9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3,033</w:t>
            </w:r>
          </w:p>
        </w:tc>
        <w:tc>
          <w:tcPr>
            <w:tcW w:w="2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2,788</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FF0FC"/>
          </w:tcPr>
          <w:p>
            <w:pPr>
              <w:spacing w:after="0"/>
              <w:rPr>
                <w:sz w:val="21"/>
                <w:szCs w:val="21"/>
                <w:color w:val="auto"/>
              </w:rPr>
            </w:pPr>
          </w:p>
        </w:tc>
      </w:tr>
      <w:tr>
        <w:trPr>
          <w:trHeight w:val="237"/>
        </w:trPr>
        <w:tc>
          <w:tcPr>
            <w:tcW w:w="4560" w:type="dxa"/>
            <w:vAlign w:val="bottom"/>
          </w:tcPr>
          <w:p>
            <w:pPr>
              <w:ind w:left="180"/>
              <w:spacing w:after="0"/>
              <w:rPr>
                <w:sz w:val="20"/>
                <w:szCs w:val="20"/>
                <w:color w:val="auto"/>
              </w:rPr>
            </w:pPr>
            <w:r>
              <w:rPr>
                <w:rFonts w:ascii="Arial" w:cs="Arial" w:eastAsia="Arial" w:hAnsi="Arial"/>
                <w:sz w:val="18"/>
                <w:szCs w:val="18"/>
                <w:color w:val="auto"/>
              </w:rPr>
              <w:t>Equity-based compensation</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1,322</w:t>
            </w: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1,427</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(105 )</w:t>
            </w:r>
          </w:p>
        </w:tc>
      </w:tr>
      <w:tr>
        <w:trPr>
          <w:trHeight w:val="243"/>
        </w:trPr>
        <w:tc>
          <w:tcPr>
            <w:tcW w:w="45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Facilities and other</w:t>
            </w:r>
          </w:p>
        </w:tc>
        <w:tc>
          <w:tcPr>
            <w:tcW w:w="90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1,131</w:t>
            </w:r>
          </w:p>
        </w:tc>
        <w:tc>
          <w:tcPr>
            <w:tcW w:w="26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815</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56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900" w:type="dxa"/>
            <w:vAlign w:val="bottom"/>
          </w:tcPr>
          <w:p>
            <w:pPr>
              <w:jc w:val="right"/>
              <w:ind w:right="716"/>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28,400</w:t>
            </w:r>
          </w:p>
        </w:tc>
        <w:tc>
          <w:tcPr>
            <w:tcW w:w="8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19,839</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8,561</w:t>
            </w:r>
          </w:p>
        </w:tc>
        <w:tc>
          <w:tcPr>
            <w:tcW w:w="100" w:type="dxa"/>
            <w:vAlign w:val="bottom"/>
          </w:tcPr>
          <w:p>
            <w:pPr>
              <w:spacing w:after="0"/>
              <w:rPr>
                <w:sz w:val="20"/>
                <w:szCs w:val="20"/>
                <w:color w:val="auto"/>
              </w:rPr>
            </w:pPr>
          </w:p>
        </w:tc>
      </w:tr>
      <w:tr>
        <w:trPr>
          <w:trHeight w:val="20"/>
        </w:trPr>
        <w:tc>
          <w:tcPr>
            <w:tcW w:w="45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-814070</wp:posOffset>
            </wp:positionV>
            <wp:extent cx="68580" cy="1631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-814070</wp:posOffset>
            </wp:positionV>
            <wp:extent cx="60325" cy="1631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-814070</wp:posOffset>
            </wp:positionV>
            <wp:extent cx="60325" cy="1631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-187960</wp:posOffset>
            </wp:positionV>
            <wp:extent cx="68580" cy="1885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-187960</wp:posOffset>
            </wp:positionV>
            <wp:extent cx="60325" cy="1885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-187960</wp:posOffset>
            </wp:positionV>
            <wp:extent cx="60325" cy="1885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141"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Research and development expenses were $28.4 million and $19.8 million for the three months ended September 30, 2023 and 2022, respectively. The increase of approximately $8.6 million was primarily driven by a $6.3 million increase in development for our ongoing clinical-stage programs, a $1.8 million increase in development costs for pre-clinical programs primarily related to our CAB B7H3 x CD3 bispecific, a $0.3 million increase in facility related and other costs, and a $0.2 million increase in personnel related costs due to an increase in headcount to support ongoing development activities for our programs.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17"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General and administrative expenses were $6.6 million and $6.3 million for the three months ended September 30, 2023 and 2022, respectively. The increase of approximately $0.3 million was primarily driven by a $0.6 million increase in professional services and consulting expenses, offset by a $0.3 million decrease in insurance due to a decrease in premiums for our D&amp;O policy.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420" w:firstLine="509"/>
        <w:spacing w:after="0" w:line="258" w:lineRule="auto"/>
        <w:rPr>
          <w:sz w:val="20"/>
          <w:szCs w:val="20"/>
          <w:color w:val="auto"/>
        </w:rPr>
      </w:pPr>
      <w:r>
        <w:rPr>
          <w:rFonts w:ascii="Arial" w:cs="Arial" w:eastAsia="Arial" w:hAnsi="Arial"/>
          <w:sz w:val="18"/>
          <w:szCs w:val="18"/>
          <w:color w:val="auto"/>
        </w:rPr>
        <w:t>Interest income was $1.7 million and $0.4 million for the three months ended September 30, 2023 and 2022, respectively. The increase of $1.3 million was due to higher yields earned as compared to the same period in 2022.</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2023 and 2022</w:t>
      </w:r>
    </w:p>
    <w:p>
      <w:pPr>
        <w:spacing w:after="0" w:line="218"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80" w:type="dxa"/>
            <w:vAlign w:val="bottom"/>
            <w:gridSpan w:val="5"/>
          </w:tcPr>
          <w:p>
            <w:pPr>
              <w:jc w:val="right"/>
              <w:ind w:right="921"/>
              <w:spacing w:after="0"/>
              <w:rPr>
                <w:sz w:val="20"/>
                <w:szCs w:val="20"/>
                <w:color w:val="auto"/>
              </w:rPr>
            </w:pPr>
            <w:r>
              <w:rPr>
                <w:rFonts w:ascii="Arial" w:cs="Arial" w:eastAsia="Arial" w:hAnsi="Arial"/>
                <w:sz w:val="14"/>
                <w:szCs w:val="14"/>
                <w:b w:val="1"/>
                <w:bCs w:val="1"/>
                <w:color w:val="auto"/>
              </w:rPr>
              <w:t>Nine Months Ended</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5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rPr>
              <w:t>Change</w:t>
            </w:r>
          </w:p>
        </w:tc>
      </w:tr>
      <w:tr>
        <w:trPr>
          <w:trHeight w:val="169"/>
        </w:trPr>
        <w:tc>
          <w:tcPr>
            <w:tcW w:w="5220" w:type="dxa"/>
            <w:vAlign w:val="bottom"/>
          </w:tcPr>
          <w:p>
            <w:pPr>
              <w:spacing w:after="0"/>
              <w:rPr>
                <w:sz w:val="20"/>
                <w:szCs w:val="20"/>
                <w:color w:val="auto"/>
              </w:rPr>
            </w:pPr>
            <w:r>
              <w:rPr>
                <w:rFonts w:ascii="Arial" w:cs="Arial" w:eastAsia="Arial" w:hAnsi="Arial"/>
                <w:sz w:val="14"/>
                <w:szCs w:val="14"/>
                <w:color w:val="auto"/>
              </w:rPr>
              <w:t>(in thousands)</w:t>
            </w:r>
          </w:p>
        </w:tc>
        <w:tc>
          <w:tcPr>
            <w:tcW w:w="3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52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81,057</w:t>
            </w:r>
          </w:p>
        </w:tc>
        <w:tc>
          <w:tcPr>
            <w:tcW w:w="24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57,473</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23,584</w:t>
            </w:r>
          </w:p>
        </w:tc>
        <w:tc>
          <w:tcPr>
            <w:tcW w:w="100" w:type="dxa"/>
            <w:vAlign w:val="bottom"/>
          </w:tcPr>
          <w:p>
            <w:pPr>
              <w:spacing w:after="0"/>
              <w:rPr>
                <w:sz w:val="20"/>
                <w:szCs w:val="20"/>
                <w:color w:val="auto"/>
              </w:rPr>
            </w:pPr>
          </w:p>
        </w:tc>
      </w:tr>
      <w:tr>
        <w:trPr>
          <w:trHeight w:val="243"/>
        </w:trPr>
        <w:tc>
          <w:tcPr>
            <w:tcW w:w="52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20,094</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22,107</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(2,013 )</w:t>
            </w:r>
          </w:p>
        </w:tc>
      </w:tr>
      <w:tr>
        <w:trPr>
          <w:trHeight w:val="237"/>
        </w:trPr>
        <w:tc>
          <w:tcPr>
            <w:tcW w:w="522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101,151</w:t>
            </w:r>
          </w:p>
        </w:tc>
        <w:tc>
          <w:tcPr>
            <w:tcW w:w="240" w:type="dxa"/>
            <w:vAlign w:val="bottom"/>
            <w:tcBorders>
              <w:top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79,580</w:t>
            </w:r>
          </w:p>
        </w:tc>
        <w:tc>
          <w:tcPr>
            <w:tcW w:w="22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21,571</w:t>
            </w:r>
          </w:p>
        </w:tc>
        <w:tc>
          <w:tcPr>
            <w:tcW w:w="100" w:type="dxa"/>
            <w:vAlign w:val="bottom"/>
            <w:tcBorders>
              <w:top w:val="single" w:sz="8" w:color="CFF0FC"/>
            </w:tcBorders>
          </w:tcPr>
          <w:p>
            <w:pPr>
              <w:spacing w:after="0"/>
              <w:rPr>
                <w:sz w:val="20"/>
                <w:szCs w:val="20"/>
                <w:color w:val="auto"/>
              </w:rPr>
            </w:pPr>
          </w:p>
        </w:tc>
      </w:tr>
      <w:tr>
        <w:trPr>
          <w:trHeight w:val="243"/>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(101,151</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(79,580</w:t>
            </w:r>
          </w:p>
        </w:tc>
        <w:tc>
          <w:tcPr>
            <w:tcW w:w="22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(21,571</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5220" w:type="dxa"/>
            <w:vAlign w:val="bottom"/>
          </w:tcPr>
          <w:p>
            <w:pPr>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2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4,674</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4,073</w:t>
            </w:r>
          </w:p>
        </w:tc>
        <w:tc>
          <w:tcPr>
            <w:tcW w:w="100" w:type="dxa"/>
            <w:vAlign w:val="bottom"/>
            <w:shd w:val="clear" w:color="auto" w:fill="CFF0FC"/>
          </w:tcPr>
          <w:p>
            <w:pPr>
              <w:spacing w:after="0"/>
              <w:rPr>
                <w:sz w:val="21"/>
                <w:szCs w:val="21"/>
                <w:color w:val="auto"/>
              </w:rPr>
            </w:pPr>
          </w:p>
        </w:tc>
      </w:tr>
      <w:tr>
        <w:trPr>
          <w:trHeight w:val="237"/>
        </w:trPr>
        <w:tc>
          <w:tcPr>
            <w:tcW w:w="5220" w:type="dxa"/>
            <w:vAlign w:val="bottom"/>
          </w:tcPr>
          <w:p>
            <w:pPr>
              <w:ind w:left="180"/>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20"/>
                <w:szCs w:val="20"/>
                <w:color w:val="auto"/>
              </w:rPr>
            </w:pPr>
          </w:p>
        </w:tc>
        <w:tc>
          <w:tcPr>
            <w:tcW w:w="1220" w:type="dxa"/>
            <w:vAlign w:val="bottom"/>
            <w:gridSpan w:val="2"/>
          </w:tcPr>
          <w:p>
            <w:pPr>
              <w:jc w:val="right"/>
              <w:ind w:right="101"/>
              <w:spacing w:after="0"/>
              <w:rPr>
                <w:sz w:val="20"/>
                <w:szCs w:val="20"/>
                <w:color w:val="auto"/>
              </w:rPr>
            </w:pPr>
            <w:r>
              <w:rPr>
                <w:rFonts w:ascii="Arial" w:cs="Arial" w:eastAsia="Arial" w:hAnsi="Arial"/>
                <w:sz w:val="18"/>
                <w:szCs w:val="18"/>
                <w:color w:val="auto"/>
              </w:rPr>
              <w:t>(60 )</w:t>
            </w: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(100 )</w:t>
            </w:r>
          </w:p>
        </w:tc>
      </w:tr>
      <w:tr>
        <w:trPr>
          <w:trHeight w:val="237"/>
        </w:trPr>
        <w:tc>
          <w:tcPr>
            <w:tcW w:w="5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income</w:t>
            </w: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4,614</w:t>
            </w:r>
          </w:p>
        </w:tc>
        <w:tc>
          <w:tcPr>
            <w:tcW w:w="24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641</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522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1"/>
              <w:spacing w:after="0"/>
              <w:rPr>
                <w:sz w:val="20"/>
                <w:szCs w:val="20"/>
                <w:color w:val="auto"/>
              </w:rPr>
            </w:pPr>
            <w:r>
              <w:rPr>
                <w:rFonts w:ascii="Arial" w:cs="Arial" w:eastAsia="Arial" w:hAnsi="Arial"/>
                <w:sz w:val="18"/>
                <w:szCs w:val="18"/>
                <w:color w:val="auto"/>
              </w:rPr>
              <w:t xml:space="preserve">(96,537 </w:t>
            </w:r>
            <w:r>
              <w:rPr>
                <w:rFonts w:ascii="Arial" w:cs="Arial" w:eastAsia="Arial" w:hAnsi="Arial"/>
                <w:sz w:val="18"/>
                <w:szCs w:val="18"/>
                <w:color w:val="auto"/>
                <w:highlight w:val="white"/>
              </w:rPr>
              <w: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 xml:space="preserve">(78,939 </w:t>
            </w:r>
            <w:r>
              <w:rPr>
                <w:rFonts w:ascii="Arial" w:cs="Arial" w:eastAsia="Arial" w:hAnsi="Arial"/>
                <w:sz w:val="18"/>
                <w:szCs w:val="18"/>
                <w:color w:val="auto"/>
                <w:highlight w:val="white"/>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 xml:space="preserve">(17,598 </w:t>
            </w:r>
            <w:r>
              <w:rPr>
                <w:rFonts w:ascii="Arial" w:cs="Arial" w:eastAsia="Arial" w:hAnsi="Arial"/>
                <w:sz w:val="18"/>
                <w:szCs w:val="18"/>
                <w:color w:val="auto"/>
                <w:highlight w:val="white"/>
              </w:rPr>
              <w:t>)</w:t>
            </w:r>
          </w:p>
        </w:tc>
      </w:tr>
      <w:tr>
        <w:trPr>
          <w:trHeight w:val="20"/>
        </w:trPr>
        <w:tc>
          <w:tcPr>
            <w:tcW w:w="5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-1139190</wp:posOffset>
            </wp:positionV>
            <wp:extent cx="68580" cy="171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-1139190</wp:posOffset>
            </wp:positionV>
            <wp:extent cx="60325" cy="1714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-1139190</wp:posOffset>
            </wp:positionV>
            <wp:extent cx="60325" cy="1714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17145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research and development expenses allocated by CAB program for the periods indicated:</w:t>
      </w:r>
    </w:p>
    <w:p>
      <w:pPr>
        <w:spacing w:after="0" w:line="218"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6"/>
              </w:rPr>
              <w:t>Nine Months Ended</w:t>
            </w: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45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56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r>
      <w:tr>
        <w:trPr>
          <w:trHeight w:val="169"/>
        </w:trPr>
        <w:tc>
          <w:tcPr>
            <w:tcW w:w="4560" w:type="dxa"/>
            <w:vAlign w:val="bottom"/>
          </w:tcPr>
          <w:p>
            <w:pPr>
              <w:spacing w:after="0"/>
              <w:rPr>
                <w:sz w:val="20"/>
                <w:szCs w:val="20"/>
                <w:color w:val="auto"/>
              </w:rPr>
            </w:pPr>
            <w:r>
              <w:rPr>
                <w:rFonts w:ascii="Arial" w:cs="Arial" w:eastAsia="Arial" w:hAnsi="Arial"/>
                <w:sz w:val="14"/>
                <w:szCs w:val="14"/>
                <w:color w:val="auto"/>
              </w:rPr>
              <w:t>(in thousands)</w:t>
            </w: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External expenses:</w:t>
            </w:r>
          </w:p>
        </w:tc>
        <w:tc>
          <w:tcPr>
            <w:tcW w:w="92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4560" w:type="dxa"/>
            <w:vAlign w:val="bottom"/>
          </w:tcPr>
          <w:p>
            <w:pPr>
              <w:ind w:left="180"/>
              <w:spacing w:after="0"/>
              <w:rPr>
                <w:sz w:val="20"/>
                <w:szCs w:val="20"/>
                <w:color w:val="auto"/>
              </w:rPr>
            </w:pPr>
            <w:r>
              <w:rPr>
                <w:rFonts w:ascii="Arial" w:cs="Arial" w:eastAsia="Arial" w:hAnsi="Arial"/>
                <w:sz w:val="18"/>
                <w:szCs w:val="18"/>
                <w:color w:val="auto"/>
              </w:rPr>
              <w:t>BA3011 (AXL-ADC)</w:t>
            </w:r>
          </w:p>
        </w:tc>
        <w:tc>
          <w:tcPr>
            <w:tcW w:w="920" w:type="dxa"/>
            <w:vAlign w:val="bottom"/>
          </w:tcPr>
          <w:p>
            <w:pPr>
              <w:jc w:val="right"/>
              <w:ind w:right="736"/>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17,759</w:t>
            </w: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12,505</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5,254</w:t>
            </w:r>
          </w:p>
        </w:tc>
        <w:tc>
          <w:tcPr>
            <w:tcW w:w="100" w:type="dxa"/>
            <w:vAlign w:val="bottom"/>
          </w:tcPr>
          <w:p>
            <w:pPr>
              <w:spacing w:after="0"/>
              <w:rPr>
                <w:sz w:val="20"/>
                <w:szCs w:val="20"/>
                <w:color w:val="auto"/>
              </w:rPr>
            </w:pPr>
          </w:p>
        </w:tc>
      </w:tr>
      <w:tr>
        <w:trPr>
          <w:trHeight w:val="249"/>
        </w:trPr>
        <w:tc>
          <w:tcPr>
            <w:tcW w:w="45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BA3021 (ROR2-ADC)</w:t>
            </w:r>
          </w:p>
        </w:tc>
        <w:tc>
          <w:tcPr>
            <w:tcW w:w="92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10,713</w:t>
            </w:r>
          </w:p>
        </w:tc>
        <w:tc>
          <w:tcPr>
            <w:tcW w:w="2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6,839</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3,874</w:t>
            </w:r>
          </w:p>
        </w:tc>
        <w:tc>
          <w:tcPr>
            <w:tcW w:w="100" w:type="dxa"/>
            <w:vAlign w:val="bottom"/>
            <w:shd w:val="clear" w:color="auto" w:fill="CFF0FC"/>
          </w:tcPr>
          <w:p>
            <w:pPr>
              <w:spacing w:after="0"/>
              <w:rPr>
                <w:sz w:val="21"/>
                <w:szCs w:val="21"/>
                <w:color w:val="auto"/>
              </w:rPr>
            </w:pPr>
          </w:p>
        </w:tc>
      </w:tr>
      <w:tr>
        <w:trPr>
          <w:trHeight w:val="237"/>
        </w:trPr>
        <w:tc>
          <w:tcPr>
            <w:tcW w:w="4560" w:type="dxa"/>
            <w:vAlign w:val="bottom"/>
          </w:tcPr>
          <w:p>
            <w:pPr>
              <w:ind w:left="180"/>
              <w:spacing w:after="0"/>
              <w:rPr>
                <w:sz w:val="20"/>
                <w:szCs w:val="20"/>
                <w:color w:val="auto"/>
              </w:rPr>
            </w:pPr>
            <w:r>
              <w:rPr>
                <w:rFonts w:ascii="Arial" w:cs="Arial" w:eastAsia="Arial" w:hAnsi="Arial"/>
                <w:sz w:val="18"/>
                <w:szCs w:val="18"/>
                <w:color w:val="auto"/>
              </w:rPr>
              <w:t>BA3071 (CTLA-4)</w:t>
            </w: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13,302</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7,102</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6,200</w:t>
            </w:r>
          </w:p>
        </w:tc>
        <w:tc>
          <w:tcPr>
            <w:tcW w:w="100" w:type="dxa"/>
            <w:vAlign w:val="bottom"/>
          </w:tcPr>
          <w:p>
            <w:pPr>
              <w:spacing w:after="0"/>
              <w:rPr>
                <w:sz w:val="20"/>
                <w:szCs w:val="20"/>
                <w:color w:val="auto"/>
              </w:rPr>
            </w:pPr>
          </w:p>
        </w:tc>
      </w:tr>
      <w:tr>
        <w:trPr>
          <w:trHeight w:val="243"/>
        </w:trPr>
        <w:tc>
          <w:tcPr>
            <w:tcW w:w="45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Other CAB Programs</w:t>
            </w:r>
          </w:p>
        </w:tc>
        <w:tc>
          <w:tcPr>
            <w:tcW w:w="92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22,617</w:t>
            </w:r>
          </w:p>
        </w:tc>
        <w:tc>
          <w:tcPr>
            <w:tcW w:w="26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16,630</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560" w:type="dxa"/>
            <w:vAlign w:val="bottom"/>
          </w:tcPr>
          <w:p>
            <w:pPr>
              <w:spacing w:after="0"/>
              <w:rPr>
                <w:sz w:val="20"/>
                <w:szCs w:val="20"/>
                <w:color w:val="auto"/>
              </w:rPr>
            </w:pPr>
            <w:r>
              <w:rPr>
                <w:rFonts w:ascii="Arial" w:cs="Arial" w:eastAsia="Arial" w:hAnsi="Arial"/>
                <w:sz w:val="18"/>
                <w:szCs w:val="18"/>
                <w:color w:val="auto"/>
              </w:rPr>
              <w:t>Total external expenses</w:t>
            </w: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64,391</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43,076</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21,315</w:t>
            </w:r>
          </w:p>
        </w:tc>
        <w:tc>
          <w:tcPr>
            <w:tcW w:w="100" w:type="dxa"/>
            <w:vAlign w:val="bottom"/>
          </w:tcPr>
          <w:p>
            <w:pPr>
              <w:spacing w:after="0"/>
              <w:rPr>
                <w:sz w:val="20"/>
                <w:szCs w:val="20"/>
                <w:color w:val="auto"/>
              </w:rPr>
            </w:pPr>
          </w:p>
        </w:tc>
      </w:tr>
      <w:tr>
        <w:trPr>
          <w:trHeight w:val="249"/>
        </w:trPr>
        <w:tc>
          <w:tcPr>
            <w:tcW w:w="45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Personnel and related</w:t>
            </w:r>
          </w:p>
        </w:tc>
        <w:tc>
          <w:tcPr>
            <w:tcW w:w="92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9,183</w:t>
            </w:r>
          </w:p>
        </w:tc>
        <w:tc>
          <w:tcPr>
            <w:tcW w:w="2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7,992</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1,191</w:t>
            </w:r>
          </w:p>
        </w:tc>
        <w:tc>
          <w:tcPr>
            <w:tcW w:w="100" w:type="dxa"/>
            <w:vAlign w:val="bottom"/>
            <w:shd w:val="clear" w:color="auto" w:fill="CFF0FC"/>
          </w:tcPr>
          <w:p>
            <w:pPr>
              <w:spacing w:after="0"/>
              <w:rPr>
                <w:sz w:val="21"/>
                <w:szCs w:val="21"/>
                <w:color w:val="auto"/>
              </w:rPr>
            </w:pPr>
          </w:p>
        </w:tc>
      </w:tr>
      <w:tr>
        <w:trPr>
          <w:trHeight w:val="237"/>
        </w:trPr>
        <w:tc>
          <w:tcPr>
            <w:tcW w:w="4560" w:type="dxa"/>
            <w:vAlign w:val="bottom"/>
          </w:tcPr>
          <w:p>
            <w:pPr>
              <w:ind w:left="180"/>
              <w:spacing w:after="0"/>
              <w:rPr>
                <w:sz w:val="20"/>
                <w:szCs w:val="20"/>
                <w:color w:val="auto"/>
              </w:rPr>
            </w:pPr>
            <w:r>
              <w:rPr>
                <w:rFonts w:ascii="Arial" w:cs="Arial" w:eastAsia="Arial" w:hAnsi="Arial"/>
                <w:sz w:val="18"/>
                <w:szCs w:val="18"/>
                <w:color w:val="auto"/>
              </w:rPr>
              <w:t>Equity-based compensation</w:t>
            </w: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4,323</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4,125</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0"/>
                <w:szCs w:val="20"/>
                <w:color w:val="auto"/>
              </w:rPr>
            </w:pPr>
          </w:p>
        </w:tc>
      </w:tr>
      <w:tr>
        <w:trPr>
          <w:trHeight w:val="243"/>
        </w:trPr>
        <w:tc>
          <w:tcPr>
            <w:tcW w:w="45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Facilities and other</w:t>
            </w:r>
          </w:p>
        </w:tc>
        <w:tc>
          <w:tcPr>
            <w:tcW w:w="92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3,160</w:t>
            </w:r>
          </w:p>
        </w:tc>
        <w:tc>
          <w:tcPr>
            <w:tcW w:w="26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2,280</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56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920" w:type="dxa"/>
            <w:vAlign w:val="bottom"/>
          </w:tcPr>
          <w:p>
            <w:pPr>
              <w:jc w:val="right"/>
              <w:ind w:right="736"/>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81,057</w:t>
            </w: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57,473</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23,584</w:t>
            </w:r>
          </w:p>
        </w:tc>
        <w:tc>
          <w:tcPr>
            <w:tcW w:w="100" w:type="dxa"/>
            <w:vAlign w:val="bottom"/>
          </w:tcPr>
          <w:p>
            <w:pPr>
              <w:spacing w:after="0"/>
              <w:rPr>
                <w:sz w:val="20"/>
                <w:szCs w:val="20"/>
                <w:color w:val="auto"/>
              </w:rPr>
            </w:pPr>
          </w:p>
        </w:tc>
      </w:tr>
      <w:tr>
        <w:trPr>
          <w:trHeight w:val="20"/>
        </w:trPr>
        <w:tc>
          <w:tcPr>
            <w:tcW w:w="45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-814070</wp:posOffset>
            </wp:positionV>
            <wp:extent cx="68580" cy="1625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-814070</wp:posOffset>
            </wp:positionV>
            <wp:extent cx="60325" cy="1625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-814070</wp:posOffset>
            </wp:positionV>
            <wp:extent cx="60325" cy="1625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-187960</wp:posOffset>
            </wp:positionV>
            <wp:extent cx="68580" cy="1885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-187960</wp:posOffset>
            </wp:positionV>
            <wp:extent cx="60325" cy="1885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-187960</wp:posOffset>
            </wp:positionV>
            <wp:extent cx="60325" cy="1885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141"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Research and development expenses were $81.1 million and $57.5 million for the nine months ended September 30, 2023 and 2022, respectively. The increase of approximately $23.6 million was primarily driven by a $14.4 million increase in development for our clinical-stage programs, a $7.2 million increase in development costs for various pre-clinical programs, including primarily our next generation CAB Nectin-4 ADC which we are advancing to IND and our CAB B7-H3 x CD3 and CAB EGFR x CD3 bispecifics, a $1.2 million increase in personnel related costs due to an increase in headcount to support ongoing development activities for our programs, a $0.6 million increase in facility and other allocated costs, and a $0.2 million increase in stock-based compensation due to awards issued under our 2020 Equity Incentive Plan.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17" w:lineRule="exact"/>
        <w:rPr>
          <w:sz w:val="20"/>
          <w:szCs w:val="20"/>
          <w:color w:val="auto"/>
        </w:rPr>
      </w:pPr>
    </w:p>
    <w:p>
      <w:pPr>
        <w:ind w:right="40" w:firstLine="509"/>
        <w:spacing w:after="0" w:line="279" w:lineRule="auto"/>
        <w:rPr>
          <w:sz w:val="20"/>
          <w:szCs w:val="20"/>
          <w:color w:val="auto"/>
        </w:rPr>
      </w:pPr>
      <w:r>
        <w:rPr>
          <w:rFonts w:ascii="Arial" w:cs="Arial" w:eastAsia="Arial" w:hAnsi="Arial"/>
          <w:sz w:val="17"/>
          <w:szCs w:val="17"/>
          <w:color w:val="auto"/>
        </w:rPr>
        <w:t>General and administrative expenses were $20.1 million and $22.1 million for the nine months ended September 30, 2023 and 2022, respectively. The decrease of approximately $2.0 million was primarily driven by a $0.9 million decrease in insurance due to a decrease in premiums for our D&amp;O policy, a $0.8 million decrease in accounting and legal services due to a one-time $1.0 million legal settlement in 2022, and a $0.4 million decrease in stock-based compensation related to awards issued under our 2020 Equity Incentive Plan.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300" w:firstLine="509"/>
        <w:spacing w:after="0" w:line="258" w:lineRule="auto"/>
        <w:rPr>
          <w:sz w:val="20"/>
          <w:szCs w:val="20"/>
          <w:color w:val="auto"/>
        </w:rPr>
      </w:pPr>
      <w:r>
        <w:rPr>
          <w:rFonts w:ascii="Arial" w:cs="Arial" w:eastAsia="Arial" w:hAnsi="Arial"/>
          <w:sz w:val="18"/>
          <w:szCs w:val="18"/>
          <w:color w:val="auto"/>
        </w:rPr>
        <w:t>Interest income was $4.7 million and $0.6 million for the nine months ended September 30, 2023 and 2022, respectively. The increase of $4.1 million was due to higher yields earned as compared to the same period in 2022.</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661" w:right="5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40" w:firstLine="509"/>
        <w:spacing w:after="0" w:line="277" w:lineRule="auto"/>
        <w:rPr>
          <w:sz w:val="20"/>
          <w:szCs w:val="20"/>
          <w:color w:val="auto"/>
        </w:rPr>
      </w:pPr>
      <w:r>
        <w:rPr>
          <w:rFonts w:ascii="Arial" w:cs="Arial" w:eastAsia="Arial" w:hAnsi="Arial"/>
          <w:sz w:val="18"/>
          <w:szCs w:val="18"/>
          <w:color w:val="auto"/>
        </w:rPr>
        <w:t>We have incurred aggregate net losses and negative cash flows from operations since our inception and anticipate we will continue to incur net losses for the foreseeable future. As of September 30, 2023, we had cash and cash equivalents of $141.3 million.</w:t>
      </w:r>
    </w:p>
    <w:p>
      <w:pPr>
        <w:spacing w:after="0" w:line="62"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In January 2023, the Company entered into an Open Market Sale Agreement (the “Sales Agreement”) with Jefferies LLC (“Jefferies”) acting as sales agent pursuant to which the Company may, from time to time at its sole discretion, sell shares of the Company’s common stock, with aggregate gross sales proceeds of up to $100.0 million. The Company will pay Jefferies a commission of 3.0% of the aggregate gross proceeds the Company receives from all sales of the Company’s common stock under the Sales Agreement.</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not sold any shares of our common stock under the Sales Agreement as of September 30, 2023.</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17" w:lineRule="exact"/>
        <w:rPr>
          <w:sz w:val="20"/>
          <w:szCs w:val="20"/>
          <w:color w:val="auto"/>
        </w:rPr>
      </w:pPr>
    </w:p>
    <w:p>
      <w:pPr>
        <w:ind w:right="40" w:firstLine="509"/>
        <w:spacing w:after="0" w:line="308" w:lineRule="auto"/>
        <w:rPr>
          <w:sz w:val="20"/>
          <w:szCs w:val="20"/>
          <w:color w:val="auto"/>
        </w:rPr>
      </w:pPr>
      <w:r>
        <w:rPr>
          <w:rFonts w:ascii="Arial" w:cs="Arial" w:eastAsia="Arial" w:hAnsi="Arial"/>
          <w:sz w:val="17"/>
          <w:szCs w:val="17"/>
          <w:color w:val="auto"/>
        </w:rPr>
        <w:t>Our primary uses of cash are to fund operating expenses, which consist primarily of research and development expenses related to our programs and related personnel costs. The timing and amount of future funding requirements depends on many factors, including the following:</w:t>
      </w:r>
    </w:p>
    <w:p>
      <w:pPr>
        <w:spacing w:after="0" w:line="38" w:lineRule="exact"/>
        <w:rPr>
          <w:sz w:val="20"/>
          <w:szCs w:val="20"/>
          <w:color w:val="auto"/>
        </w:rPr>
      </w:pPr>
    </w:p>
    <w:p>
      <w:pPr>
        <w:ind w:left="1000" w:right="400" w:hanging="368"/>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initiation, scope, rate of progress, results and costs of our preclinical studies, clinical trials and other related activities for our product candidates;</w:t>
      </w:r>
    </w:p>
    <w:p>
      <w:pPr>
        <w:spacing w:after="0" w:line="62" w:lineRule="exact"/>
        <w:rPr>
          <w:rFonts w:ascii="Arial" w:cs="Arial" w:eastAsia="Arial" w:hAnsi="Arial"/>
          <w:sz w:val="18"/>
          <w:szCs w:val="18"/>
          <w:color w:val="auto"/>
        </w:rPr>
      </w:pPr>
    </w:p>
    <w:p>
      <w:pPr>
        <w:ind w:left="1000" w:right="240" w:hanging="368"/>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associated with manufacturing our product candidates and establishing commercial supplies and sales, marketing and distribution capabilities;</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and costs of capital expenditures to support our research and development efforts;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and characteristics of other product candidates that we pursue;</w:t>
      </w:r>
    </w:p>
    <w:p>
      <w:pPr>
        <w:spacing w:after="0" w:line="117" w:lineRule="exact"/>
        <w:rPr>
          <w:rFonts w:ascii="Arial" w:cs="Arial" w:eastAsia="Arial" w:hAnsi="Arial"/>
          <w:sz w:val="18"/>
          <w:szCs w:val="18"/>
          <w:color w:val="auto"/>
        </w:rPr>
      </w:pPr>
    </w:p>
    <w:p>
      <w:pPr>
        <w:ind w:left="1000" w:right="140" w:hanging="368"/>
        <w:spacing w:after="0" w:line="263"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in connection with the licensing, filing, defense and enforcement of any patents or other intellectual property rights;</w:t>
      </w:r>
    </w:p>
    <w:p>
      <w:pPr>
        <w:spacing w:after="0" w:line="75" w:lineRule="exact"/>
        <w:rPr>
          <w:rFonts w:ascii="Arial" w:cs="Arial" w:eastAsia="Arial" w:hAnsi="Arial"/>
          <w:sz w:val="18"/>
          <w:szCs w:val="18"/>
          <w:color w:val="auto"/>
        </w:rPr>
      </w:pPr>
    </w:p>
    <w:p>
      <w:pPr>
        <w:ind w:left="1000" w:hanging="36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receipt and amount of sales from our potential products;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need and ability to hire additional management, scientific and medical personnel;</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effect of competing products that may limit market penetration of our product candidates;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w:t>
      </w:r>
    </w:p>
    <w:p>
      <w:pPr>
        <w:spacing w:after="0" w:line="117" w:lineRule="exact"/>
        <w:rPr>
          <w:rFonts w:ascii="Arial" w:cs="Arial" w:eastAsia="Arial" w:hAnsi="Arial"/>
          <w:sz w:val="18"/>
          <w:szCs w:val="18"/>
          <w:color w:val="auto"/>
        </w:rPr>
      </w:pPr>
    </w:p>
    <w:p>
      <w:pPr>
        <w:ind w:left="1000" w:right="480" w:hanging="368"/>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economic and other terms, timing and success of any collaboration, licensing, or other arrangements into which we may enter in the future, including the timing of receipt of any milestone or royalty payments under these agreements;</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compliance and administrative costs associated with being a public company; and</w:t>
      </w:r>
    </w:p>
    <w:p>
      <w:pPr>
        <w:spacing w:after="0" w:line="117" w:lineRule="exact"/>
        <w:rPr>
          <w:rFonts w:ascii="Arial" w:cs="Arial" w:eastAsia="Arial" w:hAnsi="Arial"/>
          <w:sz w:val="18"/>
          <w:szCs w:val="18"/>
          <w:color w:val="auto"/>
        </w:rPr>
      </w:pPr>
    </w:p>
    <w:p>
      <w:pPr>
        <w:ind w:left="1000" w:right="60" w:hanging="368"/>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or technologies, although we have no commitments or agreements relating to any of these types of transactions.</w:t>
      </w:r>
    </w:p>
    <w:p>
      <w:pPr>
        <w:spacing w:after="0" w:line="170" w:lineRule="exact"/>
        <w:rPr>
          <w:sz w:val="20"/>
          <w:szCs w:val="20"/>
          <w:color w:val="auto"/>
        </w:rPr>
      </w:pPr>
    </w:p>
    <w:p>
      <w:pPr>
        <w:ind w:right="120" w:firstLine="509"/>
        <w:spacing w:after="0" w:line="257" w:lineRule="auto"/>
        <w:rPr>
          <w:sz w:val="20"/>
          <w:szCs w:val="20"/>
          <w:color w:val="auto"/>
        </w:rPr>
      </w:pPr>
      <w:r>
        <w:rPr>
          <w:rFonts w:ascii="Arial" w:cs="Arial" w:eastAsia="Arial" w:hAnsi="Arial"/>
          <w:sz w:val="18"/>
          <w:szCs w:val="18"/>
          <w:color w:val="auto"/>
        </w:rPr>
        <w:t>Based on our current operating plan, our current cash and cash equivalents are expected to be sufficient to fund our ongoing operations for a period of at least twelve months from the date the financial statements included in this report are issued. Our current operating plan includes plans to stop enrollment in certain dosing regimens for certain indications, delaying development of certain pre-clinical programs, and prioritizing and focusing clinical development on selected assets and indications. In addition, we have based this estimate on assumptions that may prove to be wrong, and we could utilize our available capital resources sooner than we currently expect.</w:t>
      </w:r>
    </w:p>
    <w:p>
      <w:pPr>
        <w:spacing w:after="0" w:line="188" w:lineRule="exact"/>
        <w:rPr>
          <w:sz w:val="20"/>
          <w:szCs w:val="20"/>
          <w:color w:val="auto"/>
        </w:rPr>
      </w:pPr>
    </w:p>
    <w:p>
      <w:pPr>
        <w:ind w:firstLine="509"/>
        <w:spacing w:after="0" w:line="267" w:lineRule="auto"/>
        <w:rPr>
          <w:sz w:val="20"/>
          <w:szCs w:val="20"/>
          <w:color w:val="auto"/>
        </w:rPr>
      </w:pPr>
      <w:r>
        <w:rPr>
          <w:rFonts w:ascii="Arial" w:cs="Arial" w:eastAsia="Arial" w:hAnsi="Arial"/>
          <w:sz w:val="17"/>
          <w:szCs w:val="17"/>
          <w:color w:val="auto"/>
        </w:rPr>
        <w:t>In addition, we will require additional funding in order to complete development of our product candidates and commercialize our products, if approved. We may seek to raise any necessary additional capital through a combination of public or private equity offerings, debt financings, collaborations, strategic alliances, licensing arrangements and other marketing and distribution arrangements. We cannot assure you that, in the event we require additional financing, such financing will be available at acceptable terms to us, if at all. Failure to generate sufficient cash flows from operations, raise additional capital, and reduce discretionary spending should additional capital not become available could have a material adverse effect on our ability to achieve our intended business objectives. Because of the numerous risks and uncertainties associated with the development and commercialization of our product candidates, we are unable to estimate the amounts of increased capital outlays and operating expenditures associated with our current and anticipated preclinical studies and clinical trials. To the extent that we raise additional capital through collaborations, strategic alliances or licensing arrangements with third parties, we may have to relinquish valuable rights to our product candidates.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1" w:name="page22"/>
    <w:bookmarkEnd w:id="21"/>
    <w:p>
      <w:pPr>
        <w:ind w:right="20"/>
        <w:spacing w:after="0" w:line="269" w:lineRule="auto"/>
        <w:rPr>
          <w:sz w:val="20"/>
          <w:szCs w:val="20"/>
          <w:color w:val="auto"/>
        </w:rPr>
      </w:pPr>
      <w:r>
        <w:rPr>
          <w:rFonts w:ascii="Arial" w:cs="Arial" w:eastAsia="Arial" w:hAnsi="Arial"/>
          <w:sz w:val="17"/>
          <w:szCs w:val="17"/>
          <w:color w:val="auto"/>
        </w:rPr>
        <w:t>We may also have to forego future revenue streams of research programs at an earlier stage of development or on less favorable terms than we would otherwise choose, or have to grant licenses on terms that may not be favorable to us. Our ability to raise additional funds will depend on financial, economic and other factors, many of which are beyond our control. For example, market volatility resulting from a variety of causes, including supply chain disruptions, and geopolitical disruptions, including the recent conflict between Russia and Ukraine and the conflict between Israel and Hamas, could adversely impact our ability to access capital as and when needed. We may choose to raise additional capital through the issuance of equity or convertible debt securities due to market conditions or strategic considerations even if we believe we have sufficient funds for our current or future operating plans. To the extent we issue additional shares of common stock or other equity or convertible debt securities in the future, there will be further dilution to our investors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acquiring other businesses, products or technology, or declaring dividends. If we are unable to obtain additional funding from these or other sources, it may be necessary to significantly reduce our rate of spending through reductions in staff and delay, scale back or stop certain research and development programs.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summarizes our cash flows for the periods indicated:</w:t>
      </w:r>
    </w:p>
    <w:p>
      <w:pPr>
        <w:spacing w:after="0" w:line="230" w:lineRule="exact"/>
        <w:rPr>
          <w:sz w:val="20"/>
          <w:szCs w:val="20"/>
          <w:color w:val="auto"/>
        </w:rPr>
      </w:pPr>
    </w:p>
    <w:p>
      <w:pPr>
        <w:jc w:val="center"/>
        <w:ind w:left="522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5220"/>
        <w:spacing w:after="0"/>
        <w:rPr>
          <w:sz w:val="20"/>
          <w:szCs w:val="20"/>
          <w:color w:val="auto"/>
        </w:rPr>
      </w:pPr>
      <w:r>
        <w:rPr>
          <w:rFonts w:ascii="Arial" w:cs="Arial" w:eastAsia="Arial" w:hAnsi="Arial"/>
          <w:sz w:val="14"/>
          <w:szCs w:val="14"/>
          <w:b w:val="1"/>
          <w:bCs w:val="1"/>
          <w:color w:val="auto"/>
        </w:rPr>
        <w:t>September 30,</w:t>
      </w:r>
    </w:p>
    <w:p>
      <w:pPr>
        <w:spacing w:after="0" w:line="8"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528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w w:val="96"/>
              </w:rPr>
              <w:t>2022</w:t>
            </w:r>
          </w:p>
        </w:tc>
        <w:tc>
          <w:tcPr>
            <w:tcW w:w="80" w:type="dxa"/>
            <w:vAlign w:val="bottom"/>
          </w:tcPr>
          <w:p>
            <w:pPr>
              <w:spacing w:after="0"/>
              <w:rPr>
                <w:sz w:val="14"/>
                <w:szCs w:val="14"/>
                <w:color w:val="auto"/>
              </w:rPr>
            </w:pPr>
          </w:p>
        </w:tc>
      </w:tr>
      <w:tr>
        <w:trPr>
          <w:trHeight w:val="169"/>
        </w:trPr>
        <w:tc>
          <w:tcPr>
            <w:tcW w:w="5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ind w:right="116"/>
              <w:spacing w:after="0"/>
              <w:rPr>
                <w:sz w:val="20"/>
                <w:szCs w:val="20"/>
                <w:color w:val="auto"/>
              </w:rPr>
            </w:pPr>
            <w:r>
              <w:rPr>
                <w:rFonts w:ascii="Arial" w:cs="Arial" w:eastAsia="Arial" w:hAnsi="Arial"/>
                <w:sz w:val="14"/>
                <w:szCs w:val="14"/>
                <w:b w:val="1"/>
                <w:bCs w:val="1"/>
                <w:color w:val="auto"/>
              </w:rPr>
              <w:t>(in</w:t>
            </w: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w w:val="71"/>
              </w:rPr>
              <w:t>thousands)</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w:t>
            </w: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0"/>
        </w:trPr>
        <w:tc>
          <w:tcPr>
            <w:tcW w:w="528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(74,093 )</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(66,073 )</w:t>
            </w:r>
          </w:p>
        </w:tc>
      </w:tr>
      <w:tr>
        <w:trPr>
          <w:trHeight w:val="256"/>
        </w:trPr>
        <w:tc>
          <w:tcPr>
            <w:tcW w:w="52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Investing activities</w:t>
            </w:r>
          </w:p>
        </w:tc>
        <w:tc>
          <w:tcPr>
            <w:tcW w:w="280" w:type="dxa"/>
            <w:vAlign w:val="bottom"/>
            <w:shd w:val="clear" w:color="auto" w:fill="CFF0FC"/>
          </w:tcPr>
          <w:p>
            <w:pPr>
              <w:spacing w:after="0"/>
              <w:rPr>
                <w:sz w:val="22"/>
                <w:szCs w:val="22"/>
                <w:color w:val="auto"/>
              </w:rPr>
            </w:pPr>
          </w:p>
        </w:tc>
        <w:tc>
          <w:tcPr>
            <w:tcW w:w="10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(90 )</w:t>
            </w:r>
          </w:p>
        </w:tc>
        <w:tc>
          <w:tcPr>
            <w:tcW w:w="400" w:type="dxa"/>
            <w:vAlign w:val="bottom"/>
            <w:shd w:val="clear" w:color="auto" w:fill="CFF0FC"/>
          </w:tcPr>
          <w:p>
            <w:pPr>
              <w:spacing w:after="0"/>
              <w:rPr>
                <w:sz w:val="22"/>
                <w:szCs w:val="22"/>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(234 )</w:t>
            </w:r>
          </w:p>
        </w:tc>
      </w:tr>
      <w:tr>
        <w:trPr>
          <w:trHeight w:val="237"/>
        </w:trPr>
        <w:tc>
          <w:tcPr>
            <w:tcW w:w="528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280" w:type="dxa"/>
            <w:vAlign w:val="bottom"/>
          </w:tcPr>
          <w:p>
            <w:pPr>
              <w:spacing w:after="0"/>
              <w:rPr>
                <w:sz w:val="20"/>
                <w:szCs w:val="20"/>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(42 )</w:t>
            </w:r>
          </w:p>
        </w:tc>
        <w:tc>
          <w:tcPr>
            <w:tcW w:w="4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(552 )</w:t>
            </w:r>
          </w:p>
        </w:tc>
      </w:tr>
      <w:tr>
        <w:trPr>
          <w:trHeight w:val="276"/>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decrease in cash and cash equivalents</w:t>
            </w: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(74,225</w:t>
            </w:r>
          </w:p>
        </w:tc>
        <w:tc>
          <w:tcPr>
            <w:tcW w:w="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bottom w:val="single" w:sz="8" w:color="auto"/>
            </w:tcBorders>
            <w:shd w:val="clear" w:color="auto" w:fill="CFF0FC"/>
          </w:tcPr>
          <w:p>
            <w:pPr>
              <w:spacing w:after="0"/>
              <w:rPr>
                <w:sz w:val="24"/>
                <w:szCs w:val="24"/>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(66,859</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-24765</wp:posOffset>
            </wp:positionV>
            <wp:extent cx="431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431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Operating Activities</w:t>
      </w:r>
    </w:p>
    <w:p>
      <w:pPr>
        <w:spacing w:after="0" w:line="117" w:lineRule="exact"/>
        <w:rPr>
          <w:sz w:val="20"/>
          <w:szCs w:val="20"/>
          <w:color w:val="auto"/>
        </w:rPr>
      </w:pPr>
    </w:p>
    <w:p>
      <w:pPr>
        <w:ind w:right="100" w:firstLine="509"/>
        <w:spacing w:after="0" w:line="255" w:lineRule="auto"/>
        <w:rPr>
          <w:sz w:val="20"/>
          <w:szCs w:val="20"/>
          <w:color w:val="auto"/>
        </w:rPr>
      </w:pPr>
      <w:r>
        <w:rPr>
          <w:rFonts w:ascii="Arial" w:cs="Arial" w:eastAsia="Arial" w:hAnsi="Arial"/>
          <w:sz w:val="18"/>
          <w:szCs w:val="18"/>
          <w:color w:val="auto"/>
        </w:rPr>
        <w:t>Net cash used in operating activities for the nine months ended September 30, 2023 was $74.1 million, which consisted of a net loss of $96.5 million, a net change of $10.8 million in our operating assets and liabilities and $11.7 million of non-cash transactions. The net change in our operating assets and liabilities was primarily due to an increase in accounts payable and accrued expenses of $12.5 million, partially offset by an increase in prepaid expenses and other assets of $1.3 million and a net decrease in operating lease right-of-use assets and lease liabilities of $0.4 million. The non-cash transactions primarily consisted of $10.8 million of stock-based compensation and non-cash charges of $0.9 million related to depreciation and amortization.</w:t>
      </w:r>
    </w:p>
    <w:p>
      <w:pPr>
        <w:spacing w:after="0" w:line="84" w:lineRule="exact"/>
        <w:rPr>
          <w:sz w:val="20"/>
          <w:szCs w:val="20"/>
          <w:color w:val="auto"/>
        </w:rPr>
      </w:pPr>
    </w:p>
    <w:p>
      <w:pPr>
        <w:ind w:right="180" w:firstLine="509"/>
        <w:spacing w:after="0" w:line="257" w:lineRule="auto"/>
        <w:rPr>
          <w:sz w:val="20"/>
          <w:szCs w:val="20"/>
          <w:color w:val="auto"/>
        </w:rPr>
      </w:pPr>
      <w:r>
        <w:rPr>
          <w:rFonts w:ascii="Arial" w:cs="Arial" w:eastAsia="Arial" w:hAnsi="Arial"/>
          <w:sz w:val="18"/>
          <w:szCs w:val="18"/>
          <w:color w:val="auto"/>
        </w:rPr>
        <w:t>Net cash used in operating activities for the nine months ended September 30, 2022 was $66.1 million, which consisted of a net loss of $78.9 million, a net change of $0.9 million in our operating assets and liabilities and $12.0 million of non-cash transactions. The net change in our operating assets and liabilities was primarily due to an increase in accounts payable and accrued expenses of $4.1 million, partially offset by an increase in prepaid expenses and other assets of $2.9 million. The non-cash transactions primarily consisted of $11.1 million of stock-based compensation and non-cash charges of $0.9 million related to depreciation and amortization.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Investing Activities</w:t>
      </w:r>
    </w:p>
    <w:p>
      <w:pPr>
        <w:spacing w:after="0" w:line="117"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Cash used in investing activities was $90,000 for the nine months ended September 30, 2023 and $0.2 million for the nine months ended September 30, 2022, respectively, primarily related to the purchase of property and equipment.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Financing Activities</w:t>
      </w:r>
    </w:p>
    <w:p>
      <w:pPr>
        <w:spacing w:after="0" w:line="117" w:lineRule="exact"/>
        <w:rPr>
          <w:sz w:val="20"/>
          <w:szCs w:val="20"/>
          <w:color w:val="auto"/>
        </w:rPr>
      </w:pPr>
    </w:p>
    <w:p>
      <w:pPr>
        <w:ind w:right="160" w:firstLine="509"/>
        <w:spacing w:after="0" w:line="342" w:lineRule="auto"/>
        <w:rPr>
          <w:sz w:val="20"/>
          <w:szCs w:val="20"/>
          <w:color w:val="auto"/>
        </w:rPr>
      </w:pPr>
      <w:r>
        <w:rPr>
          <w:rFonts w:ascii="Arial" w:cs="Arial" w:eastAsia="Arial" w:hAnsi="Arial"/>
          <w:sz w:val="16"/>
          <w:szCs w:val="16"/>
          <w:color w:val="auto"/>
        </w:rPr>
        <w:t>Net cash used in financing activities was immaterial for the nine months ended September 30, 2023, consisting primarily of the proceeds from the issuance of common stock under the ESPP and the 2020 Plan, offset by payment of taxes related to the net settlement of restricted stock units.</w:t>
      </w:r>
    </w:p>
    <w:p>
      <w:pPr>
        <w:spacing w:after="0" w:line="16" w:lineRule="exact"/>
        <w:rPr>
          <w:sz w:val="20"/>
          <w:szCs w:val="20"/>
          <w:color w:val="auto"/>
        </w:rPr>
      </w:pPr>
    </w:p>
    <w:p>
      <w:pPr>
        <w:ind w:right="120" w:firstLine="509"/>
        <w:spacing w:after="0" w:line="258" w:lineRule="auto"/>
        <w:rPr>
          <w:sz w:val="20"/>
          <w:szCs w:val="20"/>
          <w:color w:val="auto"/>
        </w:rPr>
      </w:pPr>
      <w:r>
        <w:rPr>
          <w:rFonts w:ascii="Arial" w:cs="Arial" w:eastAsia="Arial" w:hAnsi="Arial"/>
          <w:sz w:val="18"/>
          <w:szCs w:val="18"/>
          <w:color w:val="auto"/>
        </w:rPr>
        <w:t>Net cash used in financing activities was $0.6 million for the nine months ended September 30, 2022, which consisted primarily of the payment of taxes related to the net settlement of restricted stock units.</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40" w:firstLine="509"/>
        <w:spacing w:after="0" w:line="293"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financial statements, which have been prepared in accordance with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generated, and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and conditions.</w:t>
      </w:r>
    </w:p>
    <w:p>
      <w:pPr>
        <w:spacing w:after="0" w:line="164"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Our critical accounting policies are those accounting principles generally accepted in the United States that require us to make subjective estimates and judgments about matters that are uncertain and are likely to have a material impact on our financial condition and results of operations, as well as the specific manner in which we apply those principles. For a description of our critical accounting policies, see the section entitled “Management’s Discussion and Analysis of Financial Condition and Results of Operations — Critical Accounting Policies and Estimates” contained in our Annual Report on Form 10-K for the year ended December 31, 2022. There have not been any material changes to the critical accounting policies discussed therein during the nine months ended September 30, 2023.</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not entered into any off-balance sheet arrangements, as defined in the rules and regulations of the SEC.</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 to a smaller reporting company.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As required by Rules 13a-15(b) and 15d-15(b) of the Exchange Act, our management, with the participation of our Chief Executive Officer and our Chief Financial Officer, evaluated the effectiveness of our disclosure controls and procedures as of September 30, 2023.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2023, our Chief Executive Officer and our Chief Financial Officer concluded that, as of such date, our disclosure controls and procedures were effective at the reasonable assurance level.</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720" w:firstLine="509"/>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September 30, 2023 that have materially affected, or are reasonably likely to materially affect, our internal control over financial reporting.</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From time to time, we may be subject to various claims and suits arising in the ordinary course of business. We are not currently a party to any legal proceedings the outcome of which we believe, if determined adversely to us, would individually or in the aggregate have a material adverse effect on our business, operating results or financial condition.</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12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Investing in our common stock involves a high degree of risk. You should carefully consider all information in this Quarterly Report on Form 10-Q, including our condensed financial statements and related notes appearing elsewhere in this report and “Management’s Discussion and Analysis of Financial Condition and Results of Operations,” before purchasing our common stock. These risks are discussed more fully in the section titled “Risk Factors.” These risks and uncertainties include, but are not limited to, the following:</w:t>
      </w:r>
    </w:p>
    <w:p>
      <w:pPr>
        <w:spacing w:after="0" w:line="79" w:lineRule="exact"/>
        <w:rPr>
          <w:sz w:val="20"/>
          <w:szCs w:val="20"/>
          <w:color w:val="auto"/>
        </w:rPr>
      </w:pPr>
    </w:p>
    <w:p>
      <w:pPr>
        <w:ind w:left="1000" w:right="220" w:hanging="368"/>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a clinical-stage biopharmaceutical company with a limited operating history and no products approved for commercial sale, and we have a history of significant losses and expect to continue to incur significant losses for the foreseeable future.</w:t>
      </w:r>
    </w:p>
    <w:p>
      <w:pPr>
        <w:spacing w:after="0" w:line="62" w:lineRule="exact"/>
        <w:rPr>
          <w:rFonts w:ascii="Arial" w:cs="Arial" w:eastAsia="Arial" w:hAnsi="Arial"/>
          <w:sz w:val="18"/>
          <w:szCs w:val="18"/>
          <w:color w:val="auto"/>
        </w:rPr>
      </w:pPr>
    </w:p>
    <w:p>
      <w:pPr>
        <w:ind w:left="1000" w:right="400" w:hanging="368"/>
        <w:spacing w:after="0" w:line="263"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will require substantial additional capital to finance our operations, and if we fail to raise such capital when needed, or on acceptable terms, we may be forced to delay, reduce or eliminate one or more of our research and drug development programs or future commercialization efforts.</w:t>
      </w:r>
    </w:p>
    <w:p>
      <w:pPr>
        <w:spacing w:after="0" w:line="75" w:lineRule="exact"/>
        <w:rPr>
          <w:rFonts w:ascii="Arial" w:cs="Arial" w:eastAsia="Arial" w:hAnsi="Arial"/>
          <w:sz w:val="18"/>
          <w:szCs w:val="18"/>
          <w:color w:val="auto"/>
        </w:rPr>
      </w:pPr>
    </w:p>
    <w:p>
      <w:pPr>
        <w:ind w:left="1000" w:hanging="368"/>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product candidates may fail in development or suffer delays that adversely affect their commercial viability.</w:t>
      </w:r>
    </w:p>
    <w:p>
      <w:pPr>
        <w:spacing w:after="0" w:line="23" w:lineRule="exact"/>
        <w:rPr>
          <w:rFonts w:ascii="Arial" w:cs="Arial" w:eastAsia="Arial" w:hAnsi="Arial"/>
          <w:sz w:val="18"/>
          <w:szCs w:val="18"/>
          <w:color w:val="auto"/>
        </w:rPr>
      </w:pPr>
    </w:p>
    <w:p>
      <w:pPr>
        <w:ind w:left="1000" w:right="460"/>
        <w:spacing w:after="0" w:line="260" w:lineRule="auto"/>
        <w:rPr>
          <w:rFonts w:ascii="Arial" w:cs="Arial" w:eastAsia="Arial" w:hAnsi="Arial"/>
          <w:sz w:val="18"/>
          <w:szCs w:val="18"/>
          <w:color w:val="auto"/>
        </w:rPr>
      </w:pPr>
      <w:r>
        <w:rPr>
          <w:rFonts w:ascii="Arial" w:cs="Arial" w:eastAsia="Arial" w:hAnsi="Arial"/>
          <w:sz w:val="18"/>
          <w:szCs w:val="18"/>
          <w:color w:val="auto"/>
        </w:rPr>
        <w:t>We are substantially dependent on the success of our patented CAB technology platform, and our future success depends heavily on the successful development of this platform.</w:t>
      </w:r>
    </w:p>
    <w:p>
      <w:pPr>
        <w:spacing w:after="0" w:line="77" w:lineRule="exact"/>
        <w:rPr>
          <w:rFonts w:ascii="Arial" w:cs="Arial" w:eastAsia="Arial" w:hAnsi="Arial"/>
          <w:sz w:val="18"/>
          <w:szCs w:val="18"/>
          <w:color w:val="auto"/>
        </w:rPr>
      </w:pPr>
    </w:p>
    <w:p>
      <w:pPr>
        <w:ind w:left="1000" w:right="60" w:hanging="368"/>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expend our resources to pursue particular product candidates and fail to capitalize on product candidates that may be more profitable or for which there is a greater likelihood of success.</w:t>
      </w:r>
    </w:p>
    <w:p>
      <w:pPr>
        <w:spacing w:after="0" w:line="62" w:lineRule="exact"/>
        <w:rPr>
          <w:rFonts w:ascii="Arial" w:cs="Arial" w:eastAsia="Arial" w:hAnsi="Arial"/>
          <w:sz w:val="18"/>
          <w:szCs w:val="18"/>
          <w:color w:val="auto"/>
        </w:rPr>
      </w:pPr>
    </w:p>
    <w:p>
      <w:pPr>
        <w:ind w:left="1000" w:right="600" w:hanging="368"/>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market may not be receptive to our product candidates because they are based on our novel therapeutic modality, and we may not generate any future revenue from the sale or licensing of product candidates.</w:t>
      </w:r>
    </w:p>
    <w:p>
      <w:pPr>
        <w:spacing w:after="0" w:line="62" w:lineRule="exact"/>
        <w:rPr>
          <w:rFonts w:ascii="Arial" w:cs="Arial" w:eastAsia="Arial" w:hAnsi="Arial"/>
          <w:sz w:val="18"/>
          <w:szCs w:val="18"/>
          <w:color w:val="auto"/>
        </w:rPr>
      </w:pPr>
    </w:p>
    <w:p>
      <w:pPr>
        <w:ind w:left="1000" w:right="280" w:hanging="368"/>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Results from early-stage clinical trials may not be predictive of results from late-stage or other clinical trials, and the results of our clinical trials may not satisfy the requirements of the FDA, EMA or other comparable foreign regulatory authorities.</w:t>
      </w:r>
    </w:p>
    <w:p>
      <w:pPr>
        <w:spacing w:after="0" w:line="62" w:lineRule="exact"/>
        <w:rPr>
          <w:rFonts w:ascii="Arial" w:cs="Arial" w:eastAsia="Arial" w:hAnsi="Arial"/>
          <w:sz w:val="18"/>
          <w:szCs w:val="18"/>
          <w:color w:val="auto"/>
        </w:rPr>
      </w:pPr>
    </w:p>
    <w:p>
      <w:pPr>
        <w:ind w:left="1000" w:right="140" w:hanging="368"/>
        <w:spacing w:after="0" w:line="308" w:lineRule="auto"/>
        <w:tabs>
          <w:tab w:leader="none" w:pos="100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38" w:lineRule="exact"/>
        <w:rPr>
          <w:rFonts w:ascii="Arial" w:cs="Arial" w:eastAsia="Arial" w:hAnsi="Arial"/>
          <w:sz w:val="17"/>
          <w:szCs w:val="17"/>
          <w:color w:val="auto"/>
        </w:rPr>
      </w:pPr>
    </w:p>
    <w:p>
      <w:pPr>
        <w:ind w:left="1000" w:right="1000" w:hanging="368"/>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Delays in the commencement and completion of clinical trials could increase costs and delay or prevent regulatory approval and commercialization of our product candidates.</w:t>
      </w:r>
    </w:p>
    <w:p>
      <w:pPr>
        <w:spacing w:after="0" w:line="62" w:lineRule="exact"/>
        <w:rPr>
          <w:rFonts w:ascii="Arial" w:cs="Arial" w:eastAsia="Arial" w:hAnsi="Arial"/>
          <w:sz w:val="18"/>
          <w:szCs w:val="18"/>
          <w:color w:val="auto"/>
        </w:rPr>
      </w:pPr>
    </w:p>
    <w:p>
      <w:pPr>
        <w:ind w:left="1000" w:right="100" w:hanging="368"/>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face competition from entities that have developed or may develop product candidates for cancer, including companies developing novel treatments and technology platforms.</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may be unable to obtain U.S. or foreign regulatory approval and, as a result, unable to commercialize our product candidates.</w:t>
      </w:r>
    </w:p>
    <w:p>
      <w:pPr>
        <w:spacing w:after="0" w:line="128" w:lineRule="exact"/>
        <w:rPr>
          <w:rFonts w:ascii="Arial" w:cs="Arial" w:eastAsia="Arial" w:hAnsi="Arial"/>
          <w:sz w:val="17"/>
          <w:szCs w:val="17"/>
          <w:color w:val="auto"/>
        </w:rPr>
      </w:pPr>
    </w:p>
    <w:p>
      <w:pPr>
        <w:jc w:val="both"/>
        <w:ind w:left="1000" w:right="140" w:hanging="368"/>
        <w:spacing w:after="0" w:line="311" w:lineRule="auto"/>
        <w:tabs>
          <w:tab w:leader="none" w:pos="100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intend to seek approval from the FDA or comparable foreign regulatory authorities through the use of accelerated approval pathways, if available, and if we are unable to obtain such approval, we may be required to conduct additional preclinical studies or clinical trials beyond those that we contemplate, which could increase the expense of obtaining, and delay the receipt of, necessary marketing approvals.</w:t>
      </w:r>
    </w:p>
    <w:p>
      <w:pPr>
        <w:spacing w:after="0" w:line="40" w:lineRule="exact"/>
        <w:rPr>
          <w:rFonts w:ascii="Arial" w:cs="Arial" w:eastAsia="Arial" w:hAnsi="Arial"/>
          <w:sz w:val="16"/>
          <w:szCs w:val="16"/>
          <w:color w:val="auto"/>
        </w:rPr>
      </w:pPr>
    </w:p>
    <w:p>
      <w:pPr>
        <w:ind w:left="1000" w:right="100" w:hanging="368"/>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Even if we receive regulatory approval for any of our product candidates, we will be subject to ongoing regulatory obligations and continued regulatory review, which may result in significant additional expense.</w:t>
      </w:r>
    </w:p>
    <w:p>
      <w:pPr>
        <w:spacing w:after="0" w:line="62" w:lineRule="exact"/>
        <w:rPr>
          <w:rFonts w:ascii="Arial" w:cs="Arial" w:eastAsia="Arial" w:hAnsi="Arial"/>
          <w:sz w:val="18"/>
          <w:szCs w:val="18"/>
          <w:color w:val="auto"/>
        </w:rPr>
      </w:pPr>
    </w:p>
    <w:p>
      <w:pPr>
        <w:ind w:left="1000" w:right="580" w:hanging="368"/>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fail to attract and retain qualified senior management and key scientific personnel, our business may be materially and adversely affected.</w:t>
      </w:r>
    </w:p>
    <w:p>
      <w:pPr>
        <w:spacing w:after="0" w:line="62" w:lineRule="exact"/>
        <w:rPr>
          <w:rFonts w:ascii="Arial" w:cs="Arial" w:eastAsia="Arial" w:hAnsi="Arial"/>
          <w:sz w:val="18"/>
          <w:szCs w:val="18"/>
          <w:color w:val="auto"/>
        </w:rPr>
      </w:pPr>
    </w:p>
    <w:p>
      <w:pPr>
        <w:ind w:left="1000" w:right="160" w:hanging="368"/>
        <w:spacing w:after="0" w:line="342" w:lineRule="auto"/>
        <w:tabs>
          <w:tab w:leader="none" w:pos="1000"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we are unable to establish sales, marketing and distribution capabilities on our own or through third parties, we may not be able to market and sell our product candidates, if approved, effectively in the United States and foreign jurisdictions or generate product revenue.</w:t>
      </w:r>
    </w:p>
    <w:p>
      <w:pPr>
        <w:spacing w:after="0" w:line="15" w:lineRule="exact"/>
        <w:rPr>
          <w:rFonts w:ascii="Arial" w:cs="Arial" w:eastAsia="Arial" w:hAnsi="Arial"/>
          <w:sz w:val="16"/>
          <w:szCs w:val="16"/>
          <w:color w:val="auto"/>
        </w:rPr>
      </w:pPr>
    </w:p>
    <w:p>
      <w:pPr>
        <w:ind w:left="1000" w:right="20" w:hanging="368"/>
        <w:spacing w:after="0" w:line="263"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portion of our research and development activities take place in China, and uncertainties regarding the interpretation and enforcement of Chinese laws, rules and regulations, a trade war, deterioration of international relations, or political unrest in China could materially adversely affect our business, financial condition and results of operations.</w:t>
      </w:r>
    </w:p>
    <w:p>
      <w:pPr>
        <w:spacing w:after="0" w:line="75" w:lineRule="exact"/>
        <w:rPr>
          <w:rFonts w:ascii="Arial" w:cs="Arial" w:eastAsia="Arial" w:hAnsi="Arial"/>
          <w:sz w:val="18"/>
          <w:szCs w:val="18"/>
          <w:color w:val="auto"/>
        </w:rPr>
      </w:pPr>
    </w:p>
    <w:p>
      <w:pPr>
        <w:ind w:left="1000" w:right="160" w:hanging="368"/>
        <w:spacing w:after="0" w:line="255"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face risks related to health epidemics and outbreaks which could significantly disrupt our preclinical studies and could affect enrollment of patients in our clinical trials. Continuation and increasing severity of these conditions could delay or prevent our receipt of necessary regulatory approvals.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4" w:name="page25"/>
    <w:bookmarkEnd w:id="24"/>
    <w:p>
      <w:pPr>
        <w:jc w:val="both"/>
        <w:ind w:left="1000" w:right="120" w:hanging="368"/>
        <w:spacing w:after="0" w:line="263"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fail to enter into collaborations with third parties for the development and commercialization of certain of our product candidates, or if our current and future collaborations are not successful, we may not be able to capitalize on the market potential of our patented technology platform and resulting product candidates.</w:t>
      </w:r>
    </w:p>
    <w:p>
      <w:pPr>
        <w:spacing w:after="0" w:line="75" w:lineRule="exact"/>
        <w:rPr>
          <w:rFonts w:ascii="Arial" w:cs="Arial" w:eastAsia="Arial" w:hAnsi="Arial"/>
          <w:sz w:val="18"/>
          <w:szCs w:val="18"/>
          <w:color w:val="auto"/>
        </w:rPr>
      </w:pPr>
    </w:p>
    <w:p>
      <w:pPr>
        <w:ind w:left="1000" w:hanging="368"/>
        <w:spacing w:after="0" w:line="263"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are not able to obtain, maintain and protect our intellectual property rights in any product candidates or technologies we develop, or if the scope of the intellectual property protection obtained is not sufficiently broad, third parties could develop and commercialize products and technology similar or identical to ours, and we may not be able to compete effectively in our market.</w:t>
      </w:r>
    </w:p>
    <w:p>
      <w:pPr>
        <w:spacing w:after="0" w:line="75" w:lineRule="exact"/>
        <w:rPr>
          <w:rFonts w:ascii="Arial" w:cs="Arial" w:eastAsia="Arial" w:hAnsi="Arial"/>
          <w:sz w:val="18"/>
          <w:szCs w:val="18"/>
          <w:color w:val="auto"/>
        </w:rPr>
      </w:pPr>
    </w:p>
    <w:p>
      <w:pPr>
        <w:ind w:left="1000" w:right="20" w:hanging="368"/>
        <w:spacing w:after="0" w:line="263"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Intellectual property rights of third parties could prevent or delay our drug discovery and development efforts and could adversely affect our ability to commercialize our product candidates, and we might be required to litigate or obtain licenses from third parties in order to discover, develop or market our product candidates.</w:t>
      </w:r>
    </w:p>
    <w:p>
      <w:pPr>
        <w:spacing w:after="0" w:line="75" w:lineRule="exact"/>
        <w:rPr>
          <w:rFonts w:ascii="Arial" w:cs="Arial" w:eastAsia="Arial" w:hAnsi="Arial"/>
          <w:sz w:val="18"/>
          <w:szCs w:val="18"/>
          <w:color w:val="auto"/>
        </w:rPr>
      </w:pPr>
    </w:p>
    <w:p>
      <w:pPr>
        <w:ind w:left="1000" w:hanging="36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future issuance of equity or of debt securities that are convertible into equity will dilute our share capital.</w:t>
      </w:r>
    </w:p>
    <w:p>
      <w:pPr>
        <w:spacing w:after="0" w:line="117" w:lineRule="exact"/>
        <w:rPr>
          <w:rFonts w:ascii="Arial" w:cs="Arial" w:eastAsia="Arial" w:hAnsi="Arial"/>
          <w:sz w:val="18"/>
          <w:szCs w:val="18"/>
          <w:color w:val="auto"/>
        </w:rPr>
      </w:pPr>
    </w:p>
    <w:p>
      <w:pPr>
        <w:ind w:left="1000" w:right="520" w:hanging="368"/>
        <w:spacing w:after="0" w:line="342" w:lineRule="auto"/>
        <w:tabs>
          <w:tab w:leader="none" w:pos="100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principal stockholders and management own a significant percentage of our stock and will be able to exert significant control over matters subject to stockholder approval and their interests may conflict with your interests as an owner of our common stock.</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b w:val="1"/>
          <w:bCs w:val="1"/>
          <w:i w:val="1"/>
          <w:iCs w:val="1"/>
          <w:color w:val="auto"/>
        </w:rPr>
        <w:t>We are a clinical-stage biopharmaceutical company with a limited operating history and no products approved for commercial sale. We have a history of significant losses and we expect to continue to incur significant losses for the foreseeable future, which together with our limited operating history, makes it difficult to assess our future viability.</w:t>
      </w:r>
    </w:p>
    <w:p>
      <w:pPr>
        <w:spacing w:after="0" w:line="76" w:lineRule="exact"/>
        <w:rPr>
          <w:sz w:val="20"/>
          <w:szCs w:val="20"/>
          <w:color w:val="auto"/>
        </w:rPr>
      </w:pPr>
    </w:p>
    <w:p>
      <w:pPr>
        <w:ind w:right="80" w:firstLine="509"/>
        <w:spacing w:after="0" w:line="269" w:lineRule="auto"/>
        <w:rPr>
          <w:sz w:val="20"/>
          <w:szCs w:val="20"/>
          <w:color w:val="auto"/>
        </w:rPr>
      </w:pPr>
      <w:r>
        <w:rPr>
          <w:rFonts w:ascii="Arial" w:cs="Arial" w:eastAsia="Arial" w:hAnsi="Arial"/>
          <w:sz w:val="17"/>
          <w:szCs w:val="17"/>
          <w:color w:val="auto"/>
        </w:rPr>
        <w:t>We are a Phase 2 clinical-stage biopharmaceutical company with a limited operating history upon which you can evaluate our business and prospects. We have no products approved for commercial sale and have not generated any revenue from product sales. Since the commencement of our operations, we have focused substantially all of our resources on conducting research and development activities, including drug discovery, preclinical studies and clinical trials of our product candidates, including the ongoing Phase 2 clinical trials of mecbotamab vedotin and ozuriftamab vedotin, the ongoing Phase 1 clinical trials of BA3071 and BA3182, establishing and maintaining our intellectual property portfolio, manufacturing clinical and research material through third parties, hiring personnel, establishing product development and commercialization collaborations with third parties, raising capital and providing general and administrative support for these operations. We have not yet demonstrated our ability to successfully obtain marketing approvals, manufacture a commercial-scale product or arrange for a third party to do so on our behalf or conduct sales and marketing activities necessary for successful product commercialization. As a result, it may be more difficult for you to assess our future viability than it could be if we had a longer operating history.</w:t>
      </w:r>
    </w:p>
    <w:p>
      <w:pPr>
        <w:spacing w:after="0" w:line="185" w:lineRule="exact"/>
        <w:rPr>
          <w:sz w:val="20"/>
          <w:szCs w:val="20"/>
          <w:color w:val="auto"/>
        </w:rPr>
      </w:pPr>
    </w:p>
    <w:p>
      <w:pPr>
        <w:ind w:right="40" w:firstLine="509"/>
        <w:spacing w:after="0" w:line="287" w:lineRule="auto"/>
        <w:rPr>
          <w:sz w:val="20"/>
          <w:szCs w:val="20"/>
          <w:color w:val="auto"/>
        </w:rPr>
      </w:pPr>
      <w:r>
        <w:rPr>
          <w:rFonts w:ascii="Arial" w:cs="Arial" w:eastAsia="Arial" w:hAnsi="Arial"/>
          <w:sz w:val="16"/>
          <w:szCs w:val="16"/>
          <w:color w:val="auto"/>
        </w:rPr>
        <w:t>We have incurred significant losses to date. Our ability to generate product revenue sufficient to achieve profitability will depend on the successful development and eventual commercialization of one or more of our current and future product candidates. Our net losses were $106.5 million and $95.4 million for the years ended December 31, 2022 and 2021, respectively. For the nine months ended September 30, 2023 and 2022, our net losses were $96.5 million and $78.9 million, respectively. As of September 30, 2023, we had an accumulated deficit of $389.3 million. These losses have resulted primarily from costs incurred in connection with research and development activities and general and administrative costs associated with our operations. We do not expect to generate meaningful revenue from product sales for the foreseeable future, and we expect to continue to incur significant operating expenses for the foreseeable future due to the cost of research and development, including identifying and designing product candidates and conducting preclinical studies and clinical trials, and the regulatory approval process for our product candidates. We expect our expenses, and the potential for losses, to generally increase as we conduct clinical trials of our lead product candidates and seek to expand our pipeline. We expect these expenses to begin to decrease as we complete enrollment for certain clinical trials. We also expect that our expenses will vary as a result of macroeconomic factors, including inflation. For example, recently, several of our vendors have passed along price increases they have experienced in their own business as a result of inflation.</w:t>
      </w:r>
    </w:p>
    <w:p>
      <w:pPr>
        <w:spacing w:after="0" w:line="172" w:lineRule="exact"/>
        <w:rPr>
          <w:sz w:val="20"/>
          <w:szCs w:val="20"/>
          <w:color w:val="auto"/>
        </w:rPr>
      </w:pPr>
    </w:p>
    <w:p>
      <w:pPr>
        <w:ind w:right="20" w:firstLine="509"/>
        <w:spacing w:after="0" w:line="268" w:lineRule="auto"/>
        <w:rPr>
          <w:sz w:val="20"/>
          <w:szCs w:val="20"/>
          <w:color w:val="auto"/>
        </w:rPr>
      </w:pPr>
      <w:r>
        <w:rPr>
          <w:rFonts w:ascii="Arial" w:cs="Arial" w:eastAsia="Arial" w:hAnsi="Arial"/>
          <w:sz w:val="17"/>
          <w:szCs w:val="17"/>
          <w:color w:val="auto"/>
        </w:rPr>
        <w:t>However, the amount of our future expenses and potential losses is uncertain. Our ability to achieve profitability, if ever, will depend on, among other things, our successfully developing product candidates, obtaining regulatory approvals to market and commercialize product candidates, manufacturing any approved products on commercially reasonable terms and potentially establishing a sales and marketing organization or suitable third-party alternatives to commercialize any approved product. If we, or our existing or future collaborators, are unable to develop and commercialize one or more of our product candidates or if sales revenue from any product candidate that receives approval is insufficient, we will not achieve profitability, which could have a material and adverse effect on our business, financial condition, results of operations and prospects.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5" w:name="page26"/>
    <w:bookmarkEnd w:id="25"/>
    <w:p>
      <w:pPr>
        <w:ind w:right="100"/>
        <w:spacing w:after="0" w:line="375" w:lineRule="auto"/>
        <w:rPr>
          <w:sz w:val="20"/>
          <w:szCs w:val="20"/>
          <w:color w:val="auto"/>
        </w:rPr>
      </w:pPr>
      <w:r>
        <w:rPr>
          <w:rFonts w:ascii="Arial" w:cs="Arial" w:eastAsia="Arial" w:hAnsi="Arial"/>
          <w:sz w:val="15"/>
          <w:szCs w:val="15"/>
          <w:b w:val="1"/>
          <w:bCs w:val="1"/>
          <w:i w:val="1"/>
          <w:iCs w:val="1"/>
          <w:color w:val="auto"/>
        </w:rPr>
        <w:t>We will require substantial additional capital to finance our operations. If we are unable to raise such capital when needed, or on acceptable terms, we may be forced to delay, reduce or eliminate one or more of our research and drug development programs or future commercialization efforts.</w:t>
      </w:r>
    </w:p>
    <w:p>
      <w:pPr>
        <w:spacing w:after="0" w:line="1"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The development of biopharmaceutical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clinical trials of, and seek marketing approval for mecbotamab vedotin, ozuriftamab vedotin, BA3071, and BA3182 and advance our other programs.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the EMA or other comparable foreign regulatory agencies to perform clinical trials or preclinical studies in addition to those that we currently anticipate. Other unanticipated costs may also arise. Because the design and outcome of our planned and anticipated clinical trials are highly uncertain, we cannot reasonably estimate the actual amount of resources and funding that will be necessary to successfully complete the development and commercialization of any product candidate we develop. Accordingly, we will need to obtain substantial additional funding in order to continue our operations.</w:t>
      </w:r>
    </w:p>
    <w:p>
      <w:pPr>
        <w:spacing w:after="0" w:line="185" w:lineRule="exact"/>
        <w:rPr>
          <w:sz w:val="20"/>
          <w:szCs w:val="20"/>
          <w:color w:val="auto"/>
        </w:rPr>
      </w:pPr>
    </w:p>
    <w:p>
      <w:pPr>
        <w:ind w:right="40" w:firstLine="509"/>
        <w:spacing w:after="0" w:line="291" w:lineRule="auto"/>
        <w:rPr>
          <w:sz w:val="20"/>
          <w:szCs w:val="20"/>
          <w:color w:val="auto"/>
        </w:rPr>
      </w:pPr>
      <w:r>
        <w:rPr>
          <w:rFonts w:ascii="Arial" w:cs="Arial" w:eastAsia="Arial" w:hAnsi="Arial"/>
          <w:sz w:val="16"/>
          <w:szCs w:val="16"/>
          <w:color w:val="auto"/>
        </w:rPr>
        <w:t>As of September 30, 2023, we had approximately $141.3 million in cash and cash equivalents. Based on our current operating plan, our current cash and cash equivalents are expected to be sufficient to fund our ongoing operations for a period of at least twelve months from the date of issuance of the financial statements included in this report. Our current operating plan includes plans to stop enrollment in certain dosing regimens for certain indications, delaying development of certain pre-clinical programs and prioritizing and focusing clinical development on selected assets and indications. Our estimate as to how long we expect our existing cash and cash equivalents to be able to continue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166"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We plan to use our existing cash and cash equivalents to fund the research and development of our product candidates and development programs and to fund working capital and other general corporate purposes. Advancing the development of our product candidates will require a significant amount of capital. Our existing cash and cash equivalents may not be sufficient to fund any of our product candidates through regulatory approval. Because the length of time and activities associated with successful research and development of any individual product candidate are highly uncertain, we are unable to estimate the actual funds we will require for development, marketing approval and commercialization activities. The timing and amount of our operating expenditures will depend largely on:</w:t>
      </w:r>
    </w:p>
    <w:p>
      <w:pPr>
        <w:spacing w:after="0" w:line="84" w:lineRule="exact"/>
        <w:rPr>
          <w:sz w:val="20"/>
          <w:szCs w:val="20"/>
          <w:color w:val="auto"/>
        </w:rPr>
      </w:pPr>
    </w:p>
    <w:p>
      <w:pPr>
        <w:ind w:left="1000" w:hanging="36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progress of our ongoing clinical trials for mecbotamab vedotin, ozuriftamab vedotin, BA3071, and BA3182;</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and scope of preclinical and clinical programs we decide to pursue;</w:t>
      </w:r>
    </w:p>
    <w:p>
      <w:pPr>
        <w:spacing w:after="0" w:line="117" w:lineRule="exact"/>
        <w:rPr>
          <w:rFonts w:ascii="Arial" w:cs="Arial" w:eastAsia="Arial" w:hAnsi="Arial"/>
          <w:sz w:val="18"/>
          <w:szCs w:val="18"/>
          <w:color w:val="auto"/>
        </w:rPr>
      </w:pPr>
    </w:p>
    <w:p>
      <w:pPr>
        <w:ind w:left="1000" w:right="420" w:hanging="368"/>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progress of our collaborators with whom we have entered, or may in the future enter, into collaboration agreements and research and development agreements;</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amount of milestone payments we may receive under our collaboration agreements;</w:t>
      </w:r>
    </w:p>
    <w:p>
      <w:pPr>
        <w:spacing w:after="0" w:line="117" w:lineRule="exact"/>
        <w:rPr>
          <w:rFonts w:ascii="Arial" w:cs="Arial" w:eastAsia="Arial" w:hAnsi="Arial"/>
          <w:sz w:val="18"/>
          <w:szCs w:val="18"/>
          <w:color w:val="auto"/>
        </w:rPr>
      </w:pPr>
    </w:p>
    <w:p>
      <w:pPr>
        <w:ind w:left="1000" w:right="340" w:hanging="368"/>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our current licenses, collaboration and research and development programs or possibly establish new collaboration arrangements;</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involved in prosecuting and enforcing patent and other intellectual property claims;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and timing of regulatory approvals; and</w:t>
      </w:r>
    </w:p>
    <w:p>
      <w:pPr>
        <w:spacing w:after="0" w:line="117" w:lineRule="exact"/>
        <w:rPr>
          <w:rFonts w:ascii="Arial" w:cs="Arial" w:eastAsia="Arial" w:hAnsi="Arial"/>
          <w:sz w:val="18"/>
          <w:szCs w:val="18"/>
          <w:color w:val="auto"/>
        </w:rPr>
      </w:pPr>
    </w:p>
    <w:p>
      <w:pPr>
        <w:ind w:left="1000" w:right="720" w:hanging="368"/>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efforts to enhance operational systems and hire additional personnel, including personnel to support development of our product candidates and satisfy our obligations as a public company.</w:t>
      </w:r>
    </w:p>
    <w:p>
      <w:pPr>
        <w:spacing w:after="0" w:line="170" w:lineRule="exact"/>
        <w:rPr>
          <w:sz w:val="20"/>
          <w:szCs w:val="20"/>
          <w:color w:val="auto"/>
        </w:rPr>
      </w:pPr>
    </w:p>
    <w:p>
      <w:pPr>
        <w:ind w:right="140" w:firstLine="509"/>
        <w:spacing w:after="0" w:line="283" w:lineRule="auto"/>
        <w:rPr>
          <w:sz w:val="20"/>
          <w:szCs w:val="20"/>
          <w:color w:val="auto"/>
        </w:rPr>
      </w:pPr>
      <w:r>
        <w:rPr>
          <w:rFonts w:ascii="Arial" w:cs="Arial" w:eastAsia="Arial" w:hAnsi="Arial"/>
          <w:sz w:val="16"/>
          <w:szCs w:val="16"/>
          <w:color w:val="auto"/>
        </w:rPr>
        <w:t>If we are unable to obtain funding on a timely basis, including under our current or future collaborations, or on acceptable terms, we may have to delay, reduce or terminate our research and development programs and preclinical studies or clinical trials, limit strategic opportunities or undergo reductions in our workforce or other corporate restructuring activities. We may seek to raise any necessary additional capital through a combination of public or private equity offerings, debt financings, collaborations, strategic alliances, licensing arrangements and other marketing and distribution arrangements. We cannot assure you that such financing will be available at acceptable terms to us, if at all. Failure to generate sufficient cash flows from operations, raise additional capital, and reduce discretionary spending should additional capital not become available could have a material adverse effect on our ability to achieve our intended business objectives. To the extent that we raise additional capital through collaborations, strategic alliances or licensing arrangements with third parties, we may have to relinquish valuable rights to our product candidates. We may also have to forego future revenue streams of research programs at an earlier stage of development or on less favorable terms than we would</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6" w:name="page27"/>
    <w:bookmarkEnd w:id="26"/>
    <w:p>
      <w:pPr>
        <w:ind w:right="20"/>
        <w:spacing w:after="0" w:line="285" w:lineRule="auto"/>
        <w:rPr>
          <w:sz w:val="20"/>
          <w:szCs w:val="20"/>
          <w:color w:val="auto"/>
        </w:rPr>
      </w:pPr>
      <w:r>
        <w:rPr>
          <w:rFonts w:ascii="Arial" w:cs="Arial" w:eastAsia="Arial" w:hAnsi="Arial"/>
          <w:sz w:val="16"/>
          <w:szCs w:val="16"/>
          <w:color w:val="auto"/>
        </w:rPr>
        <w:t>otherwise choose or have to grant licenses on terms that may not be favorable to us. Our ability to raise additional funds will depend on financial, economic and other factors, many of which are beyond our control. Our financial condition could be adversely affected by general conditions in the global economy and in the global financial markets. For example, global financial crises have caused extreme volatility and disruptions in the capital and credit markets. Additionally, although we had no direct exposure to the March 2023 failure of Silicon Valley Bank, its potential near- and long-term effects on the biotechnology industry and its participants such as our vendors, suppliers, collaborators and investors, may also adversely affect our financial condition, operations and stock price. If other banks and financial institutions enter receivership or become insolvent in the future in response to financial conditions affecting the banking system and financial markets, our ability to access our existing cash, cash equivalents and investments may be threatened and could have a material adverse effect on our business and financial condition. A severe or prolonged economic downturn, such as a global financial crisis, could result in a variety of risks to our business, including our ability to raise additional capital when needed on acceptable terms, if at all. There can be no assurance that further deterioration in credit and financial markets and confidence in economic conditions will not occur. If we do raise additional capital through public or private equity or convertible debt offerings, the ownership interest of our existing stockholders will be diluted, and the terms of these securities may include liquidation or other preferences that adversely affect our stockholders’ rights. If we raise additional capital through debt financings, we may be subject to covenants limiting or restricting our ability to take specific actions, such as incurring additional debt, making capital expenditures, licensing product rights, entering into product development collaborations, acquiring other businesses, products or technology or declaring dividends. If we are unable to obtain additional funding from these or other sources, it may be necessary to significantly reduce our rate of spending through reductions in staff and delay, scale back or stop certain research and development programs.</w:t>
      </w:r>
    </w:p>
    <w:p>
      <w:pPr>
        <w:spacing w:after="0" w:line="284" w:lineRule="exact"/>
        <w:rPr>
          <w:sz w:val="20"/>
          <w:szCs w:val="20"/>
          <w:color w:val="auto"/>
        </w:rPr>
      </w:pPr>
    </w:p>
    <w:p>
      <w:pPr>
        <w:ind w:right="460" w:firstLine="45"/>
        <w:spacing w:after="0" w:line="277" w:lineRule="auto"/>
        <w:rPr>
          <w:sz w:val="20"/>
          <w:szCs w:val="20"/>
          <w:color w:val="auto"/>
        </w:rPr>
      </w:pPr>
      <w:r>
        <w:rPr>
          <w:rFonts w:ascii="Arial" w:cs="Arial" w:eastAsia="Arial" w:hAnsi="Arial"/>
          <w:sz w:val="18"/>
          <w:szCs w:val="18"/>
          <w:b w:val="1"/>
          <w:bCs w:val="1"/>
          <w:i w:val="1"/>
          <w:iCs w:val="1"/>
          <w:color w:val="auto"/>
        </w:rPr>
        <w:t>We invest a portion of our cash in a money market fund, which is vulnerable to market-specific risks that could adversely affect our business and financial condition.</w:t>
      </w:r>
    </w:p>
    <w:p>
      <w:pPr>
        <w:spacing w:after="0" w:line="170" w:lineRule="exact"/>
        <w:rPr>
          <w:sz w:val="20"/>
          <w:szCs w:val="20"/>
          <w:color w:val="auto"/>
        </w:rPr>
      </w:pPr>
    </w:p>
    <w:p>
      <w:pPr>
        <w:ind w:right="120" w:firstLine="509"/>
        <w:spacing w:after="0" w:line="286" w:lineRule="auto"/>
        <w:rPr>
          <w:sz w:val="20"/>
          <w:szCs w:val="20"/>
          <w:color w:val="auto"/>
        </w:rPr>
      </w:pPr>
      <w:r>
        <w:rPr>
          <w:rFonts w:ascii="Arial" w:cs="Arial" w:eastAsia="Arial" w:hAnsi="Arial"/>
          <w:sz w:val="17"/>
          <w:szCs w:val="17"/>
          <w:color w:val="auto"/>
        </w:rPr>
        <w:t>We invest a portion of our cash in a money market fund backed by U.S. government securities. All securities are subject to risk, including fluctuations in interest rates, credit risk, market risk and systemic economic risk. Changes or movements in any of these investment-related risk items may result in a loss or impairment to our invested cash and may have a material adverse effect on our business and financial condition.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development and commercialization of our product candidates</w:t>
      </w:r>
    </w:p>
    <w:p>
      <w:pPr>
        <w:spacing w:after="0" w:line="121"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b w:val="1"/>
          <w:bCs w:val="1"/>
          <w:i w:val="1"/>
          <w:iCs w:val="1"/>
          <w:color w:val="auto"/>
        </w:rPr>
        <w:t>Our current product candidates are in various stages of development. Our product candidates may fail in development or suffer delays that adversely affect their commercial viability. If we or our existing or future collaborators are unable to complete development of, obtain regulatory approval for or commercialize our product candidates or experience significant delays in doing so, our business will be materially harmed.</w:t>
      </w:r>
    </w:p>
    <w:p>
      <w:pPr>
        <w:spacing w:after="0" w:line="41"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We have no products on the market and our product candidates are in various stages of development. We are currently conducting Phase 2 clinical trials of mecbotamab vedotin and ozuriftamab vedotin; we have begun dosing patients in our Phase 1 trial of BA3071 and BA3182 and various other product candidates are in earlier stages of development. Our ability to achieve and sustain profitability depends on obtaining regulatory approvals for and, if approved, successfully commercializing our product candidates, either alone or with third parties. Before obtaining regulatory approval for the commercial distribution of our product candidates, we or an existing or future collaborator must conduct extensive preclinical tests and clinical trials to demonstrate the safety, efficacy, purity and potency of our product candidates. Any product candidate can unexpectedly fail at any stage of preclinical or clinical development and the historical failure rate for product candidates is high. The results from preclinical testing of a product candidate may not predict the results that will be obtained in later clinical trials of the product candidate. We or our existing or future collaborators may experience issues that delay or prevent clinical testing and regulatory approval of, or our ability to commercialize, product candidates, including, among others:</w:t>
      </w:r>
    </w:p>
    <w:p>
      <w:pPr>
        <w:spacing w:after="0" w:line="58" w:lineRule="exact"/>
        <w:rPr>
          <w:sz w:val="20"/>
          <w:szCs w:val="20"/>
          <w:color w:val="auto"/>
        </w:rPr>
      </w:pPr>
    </w:p>
    <w:p>
      <w:pPr>
        <w:ind w:left="1000" w:hanging="36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in our clinical trials resulting from external factors including global conflicts and health epidemics;</w:t>
      </w:r>
    </w:p>
    <w:p>
      <w:pPr>
        <w:spacing w:after="0" w:line="117" w:lineRule="exact"/>
        <w:rPr>
          <w:rFonts w:ascii="Arial" w:cs="Arial" w:eastAsia="Arial" w:hAnsi="Arial"/>
          <w:sz w:val="18"/>
          <w:szCs w:val="18"/>
          <w:color w:val="auto"/>
        </w:rPr>
      </w:pPr>
    </w:p>
    <w:p>
      <w:pPr>
        <w:ind w:left="1000" w:right="60" w:hanging="368"/>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negative or inconclusive results from preclinical testing or clinical trials leading to a decision or requirement to conduct additional preclinical testing or clinical trials or abandon a program;</w:t>
      </w:r>
    </w:p>
    <w:p>
      <w:pPr>
        <w:spacing w:after="0" w:line="62" w:lineRule="exact"/>
        <w:rPr>
          <w:rFonts w:ascii="Arial" w:cs="Arial" w:eastAsia="Arial" w:hAnsi="Arial"/>
          <w:sz w:val="18"/>
          <w:szCs w:val="18"/>
          <w:color w:val="auto"/>
        </w:rPr>
      </w:pPr>
    </w:p>
    <w:p>
      <w:pPr>
        <w:ind w:left="1000" w:right="20" w:hanging="368"/>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product-related side effects experienced by participants in clinical trials or by individuals using therapeutic biologics that share characteristics with our product candidates;</w:t>
      </w:r>
    </w:p>
    <w:p>
      <w:pPr>
        <w:spacing w:after="0" w:line="62" w:lineRule="exact"/>
        <w:rPr>
          <w:rFonts w:ascii="Arial" w:cs="Arial" w:eastAsia="Arial" w:hAnsi="Arial"/>
          <w:sz w:val="18"/>
          <w:szCs w:val="18"/>
          <w:color w:val="auto"/>
        </w:rPr>
      </w:pPr>
    </w:p>
    <w:p>
      <w:pPr>
        <w:ind w:left="1000" w:right="360" w:hanging="368"/>
        <w:spacing w:after="0" w:line="342" w:lineRule="auto"/>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delays in submitting INDs or comparable foreign applications or delays or failure in obtaining the necessary approvals from regulators or institutional review boards, or IRBs, to commence a clinical trial, or a suspension or termination of a clinical trial once commenced;</w:t>
      </w:r>
    </w:p>
    <w:p>
      <w:pPr>
        <w:spacing w:after="0" w:line="15" w:lineRule="exact"/>
        <w:rPr>
          <w:rFonts w:ascii="Arial" w:cs="Arial" w:eastAsia="Arial" w:hAnsi="Arial"/>
          <w:sz w:val="16"/>
          <w:szCs w:val="16"/>
          <w:color w:val="auto"/>
        </w:rPr>
      </w:pPr>
    </w:p>
    <w:p>
      <w:pPr>
        <w:ind w:left="1000" w:hanging="368"/>
        <w:spacing w:after="0"/>
        <w:tabs>
          <w:tab w:leader="none" w:pos="10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conditions imposed by the FDA or comparable foreign authorities, including the EMA, regarding the scope or design of clinical trials;</w:t>
      </w:r>
    </w:p>
    <w:p>
      <w:pPr>
        <w:spacing w:after="0" w:line="128" w:lineRule="exact"/>
        <w:rPr>
          <w:rFonts w:ascii="Arial" w:cs="Arial" w:eastAsia="Arial" w:hAnsi="Arial"/>
          <w:sz w:val="17"/>
          <w:szCs w:val="17"/>
          <w:color w:val="auto"/>
        </w:rPr>
      </w:pPr>
    </w:p>
    <w:p>
      <w:pPr>
        <w:ind w:left="1000" w:hanging="36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in enrolling patients in clinical trials;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7" w:name="page28"/>
    <w:bookmarkEnd w:id="27"/>
    <w:p>
      <w:pPr>
        <w:ind w:left="1000" w:hanging="36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high drop-out rates of patients;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inadequate drug materials or other supplies necessary for the conduct of our clinical trials;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than anticipated clinical trial costs;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poor effectiveness of our product candidates during clinical trials;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unfavorable FDA or other regulatory agency inspection and review of a clinical trial site;</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deficiencies in our third-party manufacturers’ manufacturing processes or facilities;</w:t>
      </w:r>
    </w:p>
    <w:p>
      <w:pPr>
        <w:spacing w:after="0" w:line="117" w:lineRule="exact"/>
        <w:rPr>
          <w:rFonts w:ascii="Arial" w:cs="Arial" w:eastAsia="Arial" w:hAnsi="Arial"/>
          <w:sz w:val="18"/>
          <w:szCs w:val="18"/>
          <w:color w:val="auto"/>
        </w:rPr>
      </w:pPr>
    </w:p>
    <w:p>
      <w:pPr>
        <w:ind w:left="1000" w:right="280" w:hanging="368"/>
        <w:spacing w:after="0" w:line="342" w:lineRule="auto"/>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success or further approval of competitor products approved in indications in which we undertake development of our product candidates, which may change the standard of care or change the standard for approval of our product candidates in our proposed indications;</w:t>
      </w:r>
    </w:p>
    <w:p>
      <w:pPr>
        <w:spacing w:after="0" w:line="15" w:lineRule="exact"/>
        <w:rPr>
          <w:rFonts w:ascii="Arial" w:cs="Arial" w:eastAsia="Arial" w:hAnsi="Arial"/>
          <w:sz w:val="16"/>
          <w:szCs w:val="16"/>
          <w:color w:val="auto"/>
        </w:rPr>
      </w:pPr>
    </w:p>
    <w:p>
      <w:pPr>
        <w:ind w:left="1000" w:right="240" w:hanging="36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of any third-party contractors, investigators or contract research organizations, or CROs, to comply with regulatory requirements or otherwise meet their contractual obligations in a timely manner, or at all;</w:t>
      </w:r>
    </w:p>
    <w:p>
      <w:pPr>
        <w:spacing w:after="0" w:line="62" w:lineRule="exact"/>
        <w:rPr>
          <w:rFonts w:ascii="Arial" w:cs="Arial" w:eastAsia="Arial" w:hAnsi="Arial"/>
          <w:sz w:val="18"/>
          <w:szCs w:val="18"/>
          <w:color w:val="auto"/>
        </w:rPr>
      </w:pPr>
    </w:p>
    <w:p>
      <w:pPr>
        <w:ind w:left="1000" w:right="380" w:hanging="36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and changes in regulatory requirements, policy and guidelines, including the imposition of additional regulatory oversight around clinical testing generally or with respect to our technology or product candidates in particular; or</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varying interpretations of data by the FDA and similar foreign regulatory agencies, including the EMA.</w:t>
      </w:r>
    </w:p>
    <w:p>
      <w:pPr>
        <w:spacing w:after="0" w:line="225"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Because CABs represent a new generation of antibodies, a delay or failure in development of any CAB product candidate could represent a major set-back for our patented technology platform and for our company generally.</w:t>
      </w:r>
    </w:p>
    <w:p>
      <w:pPr>
        <w:spacing w:after="0" w:line="27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Results from early-stage clinical trials may not be predictive of results from late-stage or other clinical trials, and the results of our clinical trials may not satisfy the requirements of the FDA, EMA or other comparable foreign regulatory authorities.</w:t>
      </w:r>
    </w:p>
    <w:p>
      <w:pPr>
        <w:spacing w:after="0" w:line="62"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Positive and promising results from preclinical studies and early-stage clinical trials may not be predictive of results from late-stage clinical trials or from clinical trials of the same product candidates for the treatment of other indications. Product candidates in later stages of clinical trials may fail to show the desired safety and efficacy traits despite having progressed through preclinical studies and initial clinical trials. Late-stage clinical trials could differ in significant ways from early-stage clinical trials, including changes to inclusion and exclusion criteria, efficacy endpoints, dosing regimen and statistical design. Moreover, success in clinical trials in a particular indication does not guarantee that a product candidate will be successful for the treatment of other indications. Many companies in the biopharmaceutical industry have suffered significant setbacks in late-stage clinical trials after achieving encouraging or positive results in early-stage development. We cannot assure you that we will not face similar setbacks in our ongoing or planned clinical trials or in any subsequent or post-marketing confirmatory clinical trials.</w:t>
      </w:r>
    </w:p>
    <w:p>
      <w:pPr>
        <w:spacing w:after="0" w:line="70" w:lineRule="exact"/>
        <w:rPr>
          <w:sz w:val="20"/>
          <w:szCs w:val="20"/>
          <w:color w:val="auto"/>
        </w:rPr>
      </w:pPr>
    </w:p>
    <w:p>
      <w:pPr>
        <w:ind w:right="40" w:firstLine="509"/>
        <w:spacing w:after="0" w:line="286" w:lineRule="auto"/>
        <w:rPr>
          <w:sz w:val="20"/>
          <w:szCs w:val="20"/>
          <w:color w:val="auto"/>
        </w:rPr>
      </w:pPr>
      <w:r>
        <w:rPr>
          <w:rFonts w:ascii="Arial" w:cs="Arial" w:eastAsia="Arial" w:hAnsi="Arial"/>
          <w:sz w:val="16"/>
          <w:szCs w:val="16"/>
          <w:color w:val="auto"/>
        </w:rPr>
        <w:t>Moreover, preclinical and clinical data are often susceptible to varying interpretations and analyses and many companies that believed their product candidates performed satisfactorily in preclinical studies and clinical trials nonetheless failed to obtain FDA, EMA or comparable foreign regulatory authority approval. We cannot guarantee that the FDA will agree with our clinical trial plans. For example, we have initiated potentially registration-enabling Phase 2 trials for mecbotamab vedotin in treatment-refractory sarcoma patients. Based on recent FDA written responses, we have initiated part 2 of our Phase 2 trial in undifferentiated pleomorphic sarcoma (UPS). However, we cannot assure you that the FDA will agree that the results from this trial or other trials will be sufficient to support approval of any of our product candidates. For example, the objective response rates on our primary endpoints may not be sufficient, we may not demonstrate a sufficient duration of response, or there may be limitations with the total sample size of our studies and dose selection strategy.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 which may also limit its commercial potential. Furthermore, the approval policies or regulations of the FDA, EMA or comparable foreign regulatory authorities may significantly change in a manner rendering our clinical data insufficient for approval, which may lead to the FDA, EMA or comparable foreign regulatory authorities delaying, limiting or denying approval of our product candidates.</w:t>
      </w:r>
    </w:p>
    <w:p>
      <w:pPr>
        <w:spacing w:after="0" w:line="66" w:lineRule="exact"/>
        <w:rPr>
          <w:sz w:val="20"/>
          <w:szCs w:val="20"/>
          <w:color w:val="auto"/>
        </w:rPr>
      </w:pPr>
    </w:p>
    <w:p>
      <w:pPr>
        <w:ind w:right="80" w:firstLine="509"/>
        <w:spacing w:after="0" w:line="284" w:lineRule="auto"/>
        <w:rPr>
          <w:sz w:val="20"/>
          <w:szCs w:val="20"/>
          <w:color w:val="auto"/>
        </w:rPr>
      </w:pPr>
      <w:r>
        <w:rPr>
          <w:rFonts w:ascii="Arial" w:cs="Arial" w:eastAsia="Arial" w:hAnsi="Arial"/>
          <w:sz w:val="16"/>
          <w:szCs w:val="16"/>
          <w:color w:val="auto"/>
        </w:rPr>
        <w:t>Furthermore, while multi-center investigator-initiated clinical trials of mecbotamab vedotin and ozuriftamab vedotin in patients with platinum-resistant ovarian cancer started to enroll patients in Canada in 2022, we do not control the design or administration of these or any other investigator-initiated trials that may be conducted, nor the submission or approval of any IND or foreign equivalent required to conduct any such trials. Any investigator-initiated trials could, depending on the actions of such third parties, jeopardize the validity of the clinical data generated, identify significant concerns with respect to our product candidates that could impact our findings or clinical trials, and adversely affect our ability to obtain marketing approval from the FDA or other applicable regulatory authorities. To the extent the results of this or other investigator-initiated trials are inconsistent with, or different from, the results of our ongoing or planned company-sponsored trials or raise concerns regarding our product candidates, the FDA or a foreign regulatory authority may question the results of the company-sponsored trial, or subject such results to greater scrutiny than it otherwise would.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8" w:name="page29"/>
    <w:bookmarkEnd w:id="28"/>
    <w:p>
      <w:pPr>
        <w:jc w:val="both"/>
        <w:ind w:right="400"/>
        <w:spacing w:after="0" w:line="259" w:lineRule="auto"/>
        <w:rPr>
          <w:sz w:val="20"/>
          <w:szCs w:val="20"/>
          <w:color w:val="auto"/>
        </w:rPr>
      </w:pPr>
      <w:r>
        <w:rPr>
          <w:rFonts w:ascii="Arial" w:cs="Arial" w:eastAsia="Arial" w:hAnsi="Arial"/>
          <w:sz w:val="18"/>
          <w:szCs w:val="18"/>
          <w:color w:val="auto"/>
        </w:rPr>
        <w:t>In these circumstances, the FDA or such foreign regulatory authorities may require us to obtain and submit additional clinical data, which could delay clinical development or marketing approval of our product candidates. In addition, while investigator-initiated trials could be useful to inform our own clinical development efforts, there is no guarantee that we will be able to use the data from these trials to form the basis for regulatory approval of our product candidates.</w:t>
      </w:r>
    </w:p>
    <w:p>
      <w:pPr>
        <w:spacing w:after="0" w:line="295" w:lineRule="exact"/>
        <w:rPr>
          <w:sz w:val="20"/>
          <w:szCs w:val="20"/>
          <w:color w:val="auto"/>
        </w:rPr>
      </w:pPr>
    </w:p>
    <w:p>
      <w:pPr>
        <w:jc w:val="both"/>
        <w:ind w:right="400"/>
        <w:spacing w:after="0" w:line="277" w:lineRule="auto"/>
        <w:rPr>
          <w:sz w:val="20"/>
          <w:szCs w:val="20"/>
          <w:color w:val="auto"/>
        </w:rPr>
      </w:pPr>
      <w:r>
        <w:rPr>
          <w:rFonts w:ascii="Arial" w:cs="Arial" w:eastAsia="Arial" w:hAnsi="Arial"/>
          <w:sz w:val="18"/>
          <w:szCs w:val="18"/>
          <w:b w:val="1"/>
          <w:bCs w:val="1"/>
          <w:i w:val="1"/>
          <w:iCs w:val="1"/>
          <w:color w:val="auto"/>
        </w:rPr>
        <w:t>We are substantially dependent on the success of our patented CAB technology platform, and our future success depends heavily on the successful development of this platform.</w:t>
      </w:r>
    </w:p>
    <w:p>
      <w:pPr>
        <w:spacing w:after="0" w:line="62" w:lineRule="exact"/>
        <w:rPr>
          <w:sz w:val="20"/>
          <w:szCs w:val="20"/>
          <w:color w:val="auto"/>
        </w:rPr>
      </w:pPr>
    </w:p>
    <w:p>
      <w:pPr>
        <w:ind w:right="100" w:firstLine="509"/>
        <w:spacing w:after="0" w:line="273" w:lineRule="auto"/>
        <w:rPr>
          <w:sz w:val="20"/>
          <w:szCs w:val="20"/>
          <w:color w:val="auto"/>
        </w:rPr>
      </w:pPr>
      <w:r>
        <w:rPr>
          <w:rFonts w:ascii="Arial" w:cs="Arial" w:eastAsia="Arial" w:hAnsi="Arial"/>
          <w:sz w:val="17"/>
          <w:szCs w:val="17"/>
          <w:color w:val="auto"/>
        </w:rPr>
        <w:t>We use our CAB technology platform to develop product candidates for cancer therapies. Any failures or setbacks involving our CAB technology platform, including adverse events, could have a detrimental impact on all of our product candidates and our research pipeline. For example, we may uncover a previously unknown risk associated with CABs or other issues that may be more problematic than we currently believe, which may prolong the period of observation required for obtaining, necessitate additional clinical testing or result in the failure to obtain, regulatory approval. If our CAB technology is not safe in certain product candidates, we could be required to abandon or redesign all of our current product candidates, which could have a material adverse effect on our business, financial condition, results of operations and prospects.</w:t>
      </w:r>
    </w:p>
    <w:p>
      <w:pPr>
        <w:spacing w:after="0" w:line="28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not be successful in our efforts to use and expand our patented CAB technology platform to continue to build a pipeline of product candidates and develop marketable products.</w:t>
      </w:r>
    </w:p>
    <w:p>
      <w:pPr>
        <w:spacing w:after="0" w:line="62"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We are using our patented technology platform to develop CABs in oncology indications with our lead product candidates, mecbotamab vedotin, ozuriftamab vedotin, BA3071, and BA3182, as well as continuing to build our pipeline of product candidates. Our business depends not only on our ability to successfully develop, obtain regulatory approval for, and commercialize the product candidates we currently have in clinical and preclinical development, but to continue to generate new product candidates through our platform. Even if we are successful in continuing to build our pipeline and further progress the clinical development of our current product candidates, any additional product candidates may not be suitable for clinical development, including as a result of harmful side effects, manufacturing issues, limited efficacy or other characteristics that indicate that they are unlikely to be products that will succeed in clinical development, receive marketing approval or achieve market acceptance. If we cannot validate our technology platform by successfully commercializing CAB product candidates, we may not be able to obtain product, licensing or collaboration revenue in future periods, which would adversely affect our business, financial condition, results of operations and prospects.</w:t>
      </w:r>
    </w:p>
    <w:p>
      <w:pPr>
        <w:spacing w:after="0" w:line="28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may expend our resources to pursue particular product candidates and fail to capitalize on product candidates that may be more profitable or for which there is a greater likelihood of success.</w:t>
      </w:r>
    </w:p>
    <w:p>
      <w:pPr>
        <w:spacing w:after="0" w:line="62"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As a result of our limited financial and managerial resources, we must make strategic decisions as to which targets and product candidates to pursue and may forego or delay pursuit of opportunities with other targets or product candidates or for other indications that later prove to have greater commercial potential. For example, we are exploring potential strategic collaboration with third parties to accelerate development of certain assets. In addition, we have no plans to internally explore additional dosing regimens for certain indications, and do not intend to pursue ovarian cancer, and are focusing development on selected assets and indications. Our resource allocation decisions may cause us to fail to capitalize on viable commercial products or profitable market opportunities. Failure to properly assess potential product candidates could result in our focus on product candidates with low market potential, which would harm our business, financial condition, results of operations and prospects. Our spending on current and future research and development programs and product candidates for specific targets or indications may not yield any commercially viable products. Our understanding and evaluation of biological targets for the discovery and development of new CAB product candidates may fail to identify challenges encountered in subsequent preclinical and clinical development. If we do not accurately evaluate the likelihood of clinical trial success,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27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If the market opportunities for any product that we develop are smaller than we believe they are, our revenue may be adversely affected and our business may suffer.</w:t>
      </w:r>
    </w:p>
    <w:p>
      <w:pPr>
        <w:spacing w:after="0" w:line="62" w:lineRule="exact"/>
        <w:rPr>
          <w:sz w:val="20"/>
          <w:szCs w:val="20"/>
          <w:color w:val="auto"/>
        </w:rPr>
      </w:pPr>
    </w:p>
    <w:p>
      <w:pPr>
        <w:ind w:right="40" w:firstLine="509"/>
        <w:spacing w:after="0" w:line="267" w:lineRule="auto"/>
        <w:rPr>
          <w:sz w:val="20"/>
          <w:szCs w:val="20"/>
          <w:color w:val="auto"/>
        </w:rPr>
      </w:pPr>
      <w:r>
        <w:rPr>
          <w:rFonts w:ascii="Arial" w:cs="Arial" w:eastAsia="Arial" w:hAnsi="Arial"/>
          <w:sz w:val="17"/>
          <w:szCs w:val="17"/>
          <w:color w:val="auto"/>
        </w:rPr>
        <w:t>We focus our product candidate development on therapeutic CAB antibodies for the treatment of various oncology indications, such as soft tissue and bone sarcoma, NSCLC, melanoma, and head and neck cancer among others. Our projections of addressable patient populations that may benefit from treatment with our product candidates are based on our estimates. These estimates, which have been derived from a variety of sources, including scientific literature, surveys of clinics, physician interviews, patient foundations and market research, may prove to be incorrect. Further, new studies may change the estimated incidence or prevalence of these cancers. Additionally, the potentially addressable patient population for our product candidates may not ultimately be amenable to treatment with our product candidates. Our market opportunity may also be limited by future competitor treatments that enter the market. If any of our estimates prove to be inaccurate, the market opportunity for any product candidate that we or our strategic partners develop could be significantly diminished and have an adverse material impact on our business.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9" w:name="page30"/>
    <w:bookmarkEnd w:id="29"/>
    <w:p>
      <w:pPr>
        <w:ind w:right="340"/>
        <w:spacing w:after="0" w:line="277" w:lineRule="auto"/>
        <w:rPr>
          <w:sz w:val="20"/>
          <w:szCs w:val="20"/>
          <w:color w:val="auto"/>
        </w:rPr>
      </w:pPr>
      <w:r>
        <w:rPr>
          <w:rFonts w:ascii="Arial" w:cs="Arial" w:eastAsia="Arial" w:hAnsi="Arial"/>
          <w:sz w:val="18"/>
          <w:szCs w:val="18"/>
          <w:b w:val="1"/>
          <w:bCs w:val="1"/>
          <w:i w:val="1"/>
          <w:iCs w:val="1"/>
          <w:color w:val="auto"/>
        </w:rPr>
        <w:t>The market may not be receptive to our product candidates because they are based on our novel therapeutic modality, and we may not generate any future revenue from the sale or licensing of product candidates.</w:t>
      </w:r>
    </w:p>
    <w:p>
      <w:pPr>
        <w:spacing w:after="0" w:line="62"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The product candidates that we are developing are primarily based on our patented CAB technology platform, which uses new technologies to create our novel therapeutic approach. Market participants with significant influence over acceptance of new treatments, such as physicians and third-party payors, may not adopt a product or treatment based on our patented technology platform, and we may not be able to convince patients, the medical community and third-party payors to accept and use, or to provide favorable reimbursement for, any product candidates developed by us or our existing or future collaborators. Market acceptance of our product candidates will depend on, among other factors:</w:t>
      </w:r>
    </w:p>
    <w:p>
      <w:pPr>
        <w:spacing w:after="0" w:line="68" w:lineRule="exact"/>
        <w:rPr>
          <w:sz w:val="20"/>
          <w:szCs w:val="20"/>
          <w:color w:val="auto"/>
        </w:rPr>
      </w:pPr>
    </w:p>
    <w:p>
      <w:pPr>
        <w:ind w:left="1000" w:hanging="36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of our receipt of any marketing and commercialization approvals;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terms of any approvals and the countries in which approvals are obtained;</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safety and efficacy of our product candidates;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 associated with our product candidates;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limitations or warnings contained in any labeling approved by the FDA or other regulatory authority, including the EMA;</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willingness of patients to obtain biopsies to determine the Target Membrane Percent Score (“TmPS”) score for treatment eligibility;</w:t>
      </w:r>
    </w:p>
    <w:p>
      <w:pPr>
        <w:spacing w:after="0" w:line="128" w:lineRule="exact"/>
        <w:rPr>
          <w:rFonts w:ascii="Arial" w:cs="Arial" w:eastAsia="Arial" w:hAnsi="Arial"/>
          <w:sz w:val="17"/>
          <w:szCs w:val="17"/>
          <w:color w:val="auto"/>
        </w:rPr>
      </w:pPr>
    </w:p>
    <w:p>
      <w:pPr>
        <w:ind w:left="1000" w:hanging="36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relative convenience and ease of administration of our product candidates;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willingness of patients to accept any new methods of administration;</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success of any physician education programs;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availability of adequate government and third-party payor reimbursement;</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pricing of our products, particularly as compared to alternative treatments; and</w:t>
      </w:r>
    </w:p>
    <w:p>
      <w:pPr>
        <w:spacing w:after="0" w:line="117" w:lineRule="exact"/>
        <w:rPr>
          <w:rFonts w:ascii="Arial" w:cs="Arial" w:eastAsia="Arial" w:hAnsi="Arial"/>
          <w:sz w:val="18"/>
          <w:szCs w:val="18"/>
          <w:color w:val="auto"/>
        </w:rPr>
      </w:pPr>
    </w:p>
    <w:p>
      <w:pPr>
        <w:ind w:left="1000" w:right="300" w:hanging="368"/>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availability of alternative effective treatments for the disease indications our product candidates are intended to treat and the relative risks, benefits and costs of those treatments.</w:t>
      </w:r>
    </w:p>
    <w:p>
      <w:pPr>
        <w:spacing w:after="0" w:line="170"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If any product candidate we commercialize fails to achieve market acceptance, it could have a material and adverse effect on our business, financial condition, results of operations and prospects.</w:t>
      </w:r>
    </w:p>
    <w:p>
      <w:pPr>
        <w:spacing w:after="0" w:line="278"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b w:val="1"/>
          <w:bCs w:val="1"/>
          <w:i w:val="1"/>
          <w:iCs w:val="1"/>
          <w:color w:val="auto"/>
        </w:rPr>
        <w:t>Preliminary, preplanned interim and topline data from our clinical trials that we announce or publish from time to time may change as more patient data become available and/or are subject to audit and verification procedures that could result in material changes in the final data.</w:t>
      </w:r>
    </w:p>
    <w:p>
      <w:pPr>
        <w:spacing w:after="0" w:line="16"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From time to time, we may publicly disclose preliminary, preplanned interim or topline data from our clinical trials. These data and related findings and conclusions may only reflect certain endpoints rather than all endpoints and are subject to change. For example, we may report tumor responses in certain patients that are unconfirmed at the time and which do not ultimately result in confirmed responses to treatment after follow-up evaluations. We also make assumptions, estimations, calculations and conclusions as part of our analyses of data, and we may not have received or had the opportunity to fully and carefully evaluate all data. As a result, the preliminary results that we report may differ from future results of the same studies, or different conclusions or considerations may qualify such results, once additional data have been received and fully evaluated. Topline data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preplanned interim analyses of the clinical trials we may complete, which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spacing w:after="0" w:line="172" w:lineRule="exact"/>
        <w:rPr>
          <w:sz w:val="20"/>
          <w:szCs w:val="20"/>
          <w:color w:val="auto"/>
        </w:rPr>
      </w:pPr>
    </w:p>
    <w:p>
      <w:pPr>
        <w:ind w:right="20" w:firstLine="509"/>
        <w:spacing w:after="0" w:line="284" w:lineRule="auto"/>
        <w:rPr>
          <w:sz w:val="20"/>
          <w:szCs w:val="20"/>
          <w:color w:val="auto"/>
        </w:rPr>
      </w:pPr>
      <w:r>
        <w:rPr>
          <w:rFonts w:ascii="Arial" w:cs="Arial" w:eastAsia="Arial" w:hAnsi="Arial"/>
          <w:sz w:val="16"/>
          <w:szCs w:val="16"/>
          <w:color w:val="auto"/>
        </w:rPr>
        <w:t>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preplanned interim or topline data that we report differ from later, final or actual results, or if others, including regulatory authorities, disagree with the conclusions reached, our ability to obtain approval for, and commercialize, our product candidates may be harmed, which could harm our business, financial condition, results of operations and prospects.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0" w:name="page31"/>
    <w:bookmarkEnd w:id="30"/>
    <w:p>
      <w:pPr>
        <w:ind w:right="100"/>
        <w:spacing w:after="0" w:line="277" w:lineRule="auto"/>
        <w:rPr>
          <w:sz w:val="20"/>
          <w:szCs w:val="20"/>
          <w:color w:val="auto"/>
        </w:rPr>
      </w:pPr>
      <w:r>
        <w:rPr>
          <w:rFonts w:ascii="Arial" w:cs="Arial" w:eastAsia="Arial" w:hAnsi="Arial"/>
          <w:sz w:val="18"/>
          <w:szCs w:val="18"/>
          <w:b w:val="1"/>
          <w:bCs w:val="1"/>
          <w:i w:val="1"/>
          <w:iCs w:val="1"/>
          <w:color w:val="auto"/>
        </w:rPr>
        <w:t>Delays in the commencement and completion of clinical trials could increase costs and delay or prevent regulatory approval and commercialization of our product candidates.</w:t>
      </w:r>
    </w:p>
    <w:p>
      <w:pPr>
        <w:spacing w:after="0" w:line="62" w:lineRule="exact"/>
        <w:rPr>
          <w:sz w:val="20"/>
          <w:szCs w:val="20"/>
          <w:color w:val="auto"/>
        </w:rPr>
      </w:pPr>
    </w:p>
    <w:p>
      <w:pPr>
        <w:jc w:val="both"/>
        <w:ind w:right="180" w:firstLine="509"/>
        <w:spacing w:after="0" w:line="286" w:lineRule="auto"/>
        <w:rPr>
          <w:sz w:val="20"/>
          <w:szCs w:val="20"/>
          <w:color w:val="auto"/>
        </w:rPr>
      </w:pPr>
      <w:r>
        <w:rPr>
          <w:rFonts w:ascii="Arial" w:cs="Arial" w:eastAsia="Arial" w:hAnsi="Arial"/>
          <w:sz w:val="17"/>
          <w:szCs w:val="17"/>
          <w:color w:val="auto"/>
        </w:rPr>
        <w:t>We cannot guarantee that clinical trials of our product candidates will be conducted as planned or completed on schedule, if at all. A failure of one or more clinical trials can occur at any stage of the clinical trial process, and other events may cause us to temporarily or permanently stop a clinical trial. Events that may prevent successful or timely commencement and completion of clinical development include:</w:t>
      </w:r>
    </w:p>
    <w:p>
      <w:pPr>
        <w:spacing w:after="0" w:line="57" w:lineRule="exact"/>
        <w:rPr>
          <w:sz w:val="20"/>
          <w:szCs w:val="20"/>
          <w:color w:val="auto"/>
        </w:rPr>
      </w:pPr>
    </w:p>
    <w:p>
      <w:pPr>
        <w:ind w:left="1000" w:hanging="36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negative preclinical data;</w:t>
      </w:r>
    </w:p>
    <w:p>
      <w:pPr>
        <w:spacing w:after="0" w:line="117" w:lineRule="exact"/>
        <w:rPr>
          <w:rFonts w:ascii="Arial" w:cs="Arial" w:eastAsia="Arial" w:hAnsi="Arial"/>
          <w:sz w:val="18"/>
          <w:szCs w:val="18"/>
          <w:color w:val="auto"/>
        </w:rPr>
      </w:pPr>
    </w:p>
    <w:p>
      <w:pPr>
        <w:ind w:left="1000" w:right="40" w:hanging="368"/>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receiving the required regulatory clearance from the appropriate regulatory authorities to commence clinical trials or amend clinical trial protocols, including any objections to our INDs or protocol amendments from the FDA;</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reaching, or a failure to reach, a consensus with regulatory authorities on study design;</w:t>
      </w:r>
    </w:p>
    <w:p>
      <w:pPr>
        <w:spacing w:after="0" w:line="117" w:lineRule="exact"/>
        <w:rPr>
          <w:rFonts w:ascii="Arial" w:cs="Arial" w:eastAsia="Arial" w:hAnsi="Arial"/>
          <w:sz w:val="18"/>
          <w:szCs w:val="18"/>
          <w:color w:val="auto"/>
        </w:rPr>
      </w:pPr>
    </w:p>
    <w:p>
      <w:pPr>
        <w:ind w:left="1000" w:right="180" w:hanging="368"/>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reaching, or failure to reach, agreement on acceptable terms with prospective CROs and clinical trial sites, the terms of which can be subject to extensive negotiation and may vary significantly among different CROs and trial sites;</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obtaining IRB approval at each site;</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challenges in recruiting suitable patients to participate in a trial;</w:t>
      </w:r>
    </w:p>
    <w:p>
      <w:pPr>
        <w:spacing w:after="0" w:line="117" w:lineRule="exact"/>
        <w:rPr>
          <w:rFonts w:ascii="Arial" w:cs="Arial" w:eastAsia="Arial" w:hAnsi="Arial"/>
          <w:sz w:val="18"/>
          <w:szCs w:val="18"/>
          <w:color w:val="auto"/>
        </w:rPr>
      </w:pPr>
    </w:p>
    <w:p>
      <w:pPr>
        <w:ind w:left="1000" w:right="360" w:hanging="368"/>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inability to enroll a sufficient number of patients in clinical trials to ensure adequate statistical power to detect statistically significant treatment effects;</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having patients complete a trial or return for post-treatment follow-up;</w:t>
      </w:r>
    </w:p>
    <w:p>
      <w:pPr>
        <w:spacing w:after="0" w:line="117" w:lineRule="exact"/>
        <w:rPr>
          <w:rFonts w:ascii="Arial" w:cs="Arial" w:eastAsia="Arial" w:hAnsi="Arial"/>
          <w:sz w:val="18"/>
          <w:szCs w:val="18"/>
          <w:color w:val="auto"/>
        </w:rPr>
      </w:pPr>
    </w:p>
    <w:p>
      <w:pPr>
        <w:ind w:left="1000" w:right="120" w:hanging="368"/>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CROs or clinical trial sites failing to comply with regulatory requirements or meet their contractual obligations to us in a timely manner, or at all, deviating from the protocol or dropping out of a clinical trial;</w:t>
      </w:r>
    </w:p>
    <w:p>
      <w:pPr>
        <w:spacing w:after="0" w:line="62" w:lineRule="exact"/>
        <w:rPr>
          <w:rFonts w:ascii="Arial" w:cs="Arial" w:eastAsia="Arial" w:hAnsi="Arial"/>
          <w:sz w:val="18"/>
          <w:szCs w:val="18"/>
          <w:color w:val="auto"/>
        </w:rPr>
      </w:pPr>
    </w:p>
    <w:p>
      <w:pPr>
        <w:ind w:left="1000" w:right="220" w:hanging="368"/>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unforeseen safety issues, including occurrence of treatment emergent adverse events, or TEAEs, associated with the product candidate that are viewed to outweigh the product candidate’s potential benefits;</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adding new clinical trial sites;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ambiguous or negative interim results;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difficulties in manufacturing sufficient quantities of product candidate acceptable for use in clinical trials in a timely manner, or at all; or</w:t>
      </w:r>
    </w:p>
    <w:p>
      <w:pPr>
        <w:spacing w:after="0" w:line="128" w:lineRule="exact"/>
        <w:rPr>
          <w:rFonts w:ascii="Arial" w:cs="Arial" w:eastAsia="Arial" w:hAnsi="Arial"/>
          <w:sz w:val="17"/>
          <w:szCs w:val="17"/>
          <w:color w:val="auto"/>
        </w:rPr>
      </w:pPr>
    </w:p>
    <w:p>
      <w:pPr>
        <w:ind w:left="1000" w:right="1000" w:hanging="368"/>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COVID-19 pandemic, which in the past has resulted in, and in the future may result in, delays to patient enrollment, patients discontinuing their treatment or follow up visits or changes to trial protocols.</w:t>
      </w:r>
    </w:p>
    <w:p>
      <w:pPr>
        <w:spacing w:after="0" w:line="170"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We could encounter delays if a clinical trial is suspended or terminated by us, by the IRBs of the institutions in which such trials are being conducted, by a Data Safety Monitoring Board, or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If we experience delays in the completion of, or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harm our business, financial condition, results of operations and prospects significantly. In addition, many of the factors that cause, or lead to, a delay in the commencement or completion of clinical trials may also ultimately lead to the denial of regulatory approval of our product candidates.</w:t>
      </w:r>
    </w:p>
    <w:p>
      <w:pPr>
        <w:spacing w:after="0" w:line="172" w:lineRule="exact"/>
        <w:rPr>
          <w:sz w:val="20"/>
          <w:szCs w:val="20"/>
          <w:color w:val="auto"/>
        </w:rPr>
      </w:pPr>
    </w:p>
    <w:p>
      <w:pPr>
        <w:ind w:right="100" w:firstLine="509"/>
        <w:spacing w:after="0" w:line="255" w:lineRule="auto"/>
        <w:rPr>
          <w:sz w:val="20"/>
          <w:szCs w:val="20"/>
          <w:color w:val="auto"/>
        </w:rPr>
      </w:pPr>
      <w:r>
        <w:rPr>
          <w:rFonts w:ascii="Arial" w:cs="Arial" w:eastAsia="Arial" w:hAnsi="Arial"/>
          <w:sz w:val="18"/>
          <w:szCs w:val="18"/>
          <w:color w:val="auto"/>
        </w:rPr>
        <w:t>In addition, data obtained from trials and studies are susceptible to varying interpretations, and regulators may not interpret our data as favorably as we do, which may delay, limit or prevent regulatory approval. Our clinical trial results may not be successful, or even if successful, may not lead to regulatory approval.</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31" w:name="page32"/>
    <w:bookmarkEnd w:id="31"/>
    <w:p>
      <w:pPr>
        <w:ind w:right="560"/>
        <w:spacing w:after="0" w:line="277" w:lineRule="auto"/>
        <w:rPr>
          <w:sz w:val="20"/>
          <w:szCs w:val="20"/>
          <w:color w:val="auto"/>
        </w:rPr>
      </w:pPr>
      <w:r>
        <w:rPr>
          <w:rFonts w:ascii="Arial" w:cs="Arial" w:eastAsia="Arial" w:hAnsi="Arial"/>
          <w:sz w:val="18"/>
          <w:szCs w:val="18"/>
          <w:b w:val="1"/>
          <w:bCs w:val="1"/>
          <w:i w:val="1"/>
          <w:iCs w:val="1"/>
          <w:color w:val="auto"/>
        </w:rPr>
        <w:t>Enrollment and retention of patients in clinical trials is an expensive and time-consuming process and could be made more difficult or rendered impossible by multiple factors outside our control.</w:t>
      </w:r>
    </w:p>
    <w:p>
      <w:pPr>
        <w:spacing w:after="0" w:line="62"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We may encounter delays or difficulties in enrolling, or be unable to enroll, a sufficient number of patients to complete any of our clinical trials on our current timelines, or at all, and even once enrolled, we may be unable to retain a sufficient number of patients to complete any of our trials. Enrollment in our clinical trials may be slower than we anticipate, leading to delays in our development timelines. It is important to note that relatively high levels of AXL expression by NSCLC tumors portend a poor prognosis with conventional therapies and we have consciously enrolled this particularly high-risk group of patients into the mecbotamab vedotin clinical trial.</w:t>
      </w:r>
    </w:p>
    <w:p>
      <w:pPr>
        <w:spacing w:after="0" w:line="80"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Patient enrollment and retention in clinical trials depends on many factors, including the size and nature of the patient population, the nature of the trial protocol, our ability to recruit clinical trial investigators with the appropriate competencies and experience, delays in enrollment due to travel or quarantine policies, or other factors related to health epidemics or pandemics, the existing body of safety and efficacy data with respect to the study drug, the number and nature of competing treatments and ongoing clinical trials of competing drugs for the same indication, the proximity of patients to clinical sites, the eligibility criteria for the trial and the proportion of patients screened that meets those criteria, including criteria related to biomarkers, our ability to obtain and maintain patient consents, including any additional consents necessary for enrollment of adolescent patients, and our ability to successfully complete prerequisite studies before enrolling certain patient populations. Furthermore, any negative results or new safety signals we may report in clinical trials of our product candidates may make it difficult or impossible to recruit and retain patients in other clinical trials we are conducting. Similarly, results reported by our competitors about their drug candidates may negatively affect patient recruitment in our clinical trials. Also, marketing authorization of competitors in this same class of drugs may impair our ability to enroll patients into our clinical trials, delaying or potentially preventing us from completing recruitment of one or more of our trials.</w:t>
      </w:r>
    </w:p>
    <w:p>
      <w:pPr>
        <w:spacing w:after="0" w:line="74"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Delays or failures in planned patient enrollment or retention may result in increased costs, program delays or both, which could have a harmful effect on our ability to develop our product candidates or could render further development impossible. In addition, we rely on clinical trial sites to ensure timely conduct of our clinical trials and, while we have entered into agreements governing their services, we are limited in our ability to compel their actual performance.</w:t>
      </w:r>
    </w:p>
    <w:p>
      <w:pPr>
        <w:spacing w:after="0" w:line="295" w:lineRule="exact"/>
        <w:rPr>
          <w:sz w:val="20"/>
          <w:szCs w:val="20"/>
          <w:color w:val="auto"/>
        </w:rPr>
      </w:pPr>
    </w:p>
    <w:p>
      <w:pPr>
        <w:ind w:right="480"/>
        <w:spacing w:after="0" w:line="375" w:lineRule="auto"/>
        <w:rPr>
          <w:sz w:val="20"/>
          <w:szCs w:val="20"/>
          <w:color w:val="auto"/>
        </w:rPr>
      </w:pPr>
      <w:r>
        <w:rPr>
          <w:rFonts w:ascii="Arial" w:cs="Arial" w:eastAsia="Arial" w:hAnsi="Arial"/>
          <w:sz w:val="15"/>
          <w:szCs w:val="15"/>
          <w:b w:val="1"/>
          <w:bCs w:val="1"/>
          <w:i w:val="1"/>
          <w:iCs w:val="1"/>
          <w:color w:val="auto"/>
        </w:rPr>
        <w:t>Our product candidates may cause undesirable and unforeseen side effects or have other properties impacting safety that could halt their clinical development, delay or prevent their regulatory approval, limit their commercial potential or result in significant negative consequences.</w:t>
      </w:r>
    </w:p>
    <w:p>
      <w:pPr>
        <w:spacing w:after="0" w:line="1"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Undesirable side effects caused by our product candidates could cause us or regulatory authorities to interrupt, delay or halt clinical trials and could result in a more restrictive label or the delay or denial of regulatory approval by the FDA or other regulatory authorities and potential product liability claims. Such side effects could also affect patient recruitment or the ability of enrolled patients to complete the trial. Many compounds developed in the biopharmaceutical industry that initially showed promise in early-stage testing for treating cancer have later been found to cause side effects that prevented their further development. Any of these occurrences may materially and adversely affect our business, financial condition, results of operations and prospects.</w:t>
      </w:r>
    </w:p>
    <w:p>
      <w:pPr>
        <w:spacing w:after="0" w:line="192" w:lineRule="exact"/>
        <w:rPr>
          <w:sz w:val="20"/>
          <w:szCs w:val="20"/>
          <w:color w:val="auto"/>
        </w:rPr>
      </w:pPr>
    </w:p>
    <w:p>
      <w:pPr>
        <w:ind w:right="360" w:firstLine="509"/>
        <w:spacing w:after="0" w:line="259" w:lineRule="auto"/>
        <w:rPr>
          <w:sz w:val="20"/>
          <w:szCs w:val="20"/>
          <w:color w:val="auto"/>
        </w:rPr>
      </w:pPr>
      <w:r>
        <w:rPr>
          <w:rFonts w:ascii="Arial" w:cs="Arial" w:eastAsia="Arial" w:hAnsi="Arial"/>
          <w:sz w:val="18"/>
          <w:szCs w:val="18"/>
          <w:color w:val="auto"/>
        </w:rPr>
        <w:t>In our clinical trials for mecbotamab vedotin and ozuriftamab vedotin, we have observed adverse events such as reversible myelosuppression, transient liver enzyme elevations, pyrexia, or fever, metabolic disturbances and peripheral neuropathy. We may also observe undesirable side effects in clinical trials for our other product candidates. For example, in our clinical trial for BA3071, immune-related adverse events might be observed. In our clinical trial for BA3182, cytokine release syndrome is an anticipated adverse event.</w:t>
      </w:r>
    </w:p>
    <w:p>
      <w:pPr>
        <w:spacing w:after="0" w:line="187"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For our current and future clinical trials, we have contracted with and expect to continue to contract with CROs experienced in the assessment and management of toxicities arising during clinical trials. Nonetheless, they may have difficulty observing patients and treating toxicities, which may be more challenging due to personnel changes, shift changes, house staff coverage or related issues. This could lead to more severe or prolonged toxicities or even patient deaths, which could result in us or the FDA delaying, suspending or terminating one or more of our clinical trials and which could jeopardize regulatory approval.</w:t>
      </w:r>
    </w:p>
    <w:p>
      <w:pPr>
        <w:spacing w:after="0" w:line="188" w:lineRule="exact"/>
        <w:rPr>
          <w:sz w:val="20"/>
          <w:szCs w:val="20"/>
          <w:color w:val="auto"/>
        </w:rPr>
      </w:pPr>
    </w:p>
    <w:p>
      <w:pPr>
        <w:ind w:right="120" w:firstLine="509"/>
        <w:spacing w:after="0" w:line="257" w:lineRule="auto"/>
        <w:rPr>
          <w:sz w:val="20"/>
          <w:szCs w:val="20"/>
          <w:color w:val="auto"/>
        </w:rPr>
      </w:pPr>
      <w:r>
        <w:rPr>
          <w:rFonts w:ascii="Arial" w:cs="Arial" w:eastAsia="Arial" w:hAnsi="Arial"/>
          <w:sz w:val="18"/>
          <w:szCs w:val="18"/>
          <w:color w:val="auto"/>
        </w:rPr>
        <w:t>Further, clinical trials by their nature test product candidates in only samples of the potential patient populations. With a limited number of patients and limited duration of exposure in such trials, rare and severe side effects of our product candidates may not be uncovered until a significantly larger number of patients are exposed to the product candidate. For example, while we believe that mecbotamab vedotin and ozuriftamab vedotin have demonstrated manageable tolerability profiles thus far, we cannot assure you that these and our other product candidates will not cause more severe side effects in a greater proportion of patients.</w:t>
      </w:r>
    </w:p>
    <w:p>
      <w:pPr>
        <w:spacing w:after="0" w:line="188" w:lineRule="exact"/>
        <w:rPr>
          <w:sz w:val="20"/>
          <w:szCs w:val="20"/>
          <w:color w:val="auto"/>
        </w:rPr>
      </w:pPr>
    </w:p>
    <w:p>
      <w:pPr>
        <w:ind w:right="200" w:firstLine="509"/>
        <w:spacing w:after="0" w:line="258" w:lineRule="auto"/>
        <w:rPr>
          <w:sz w:val="20"/>
          <w:szCs w:val="20"/>
          <w:color w:val="auto"/>
        </w:rPr>
      </w:pPr>
      <w:r>
        <w:rPr>
          <w:rFonts w:ascii="Arial" w:cs="Arial" w:eastAsia="Arial" w:hAnsi="Arial"/>
          <w:sz w:val="18"/>
          <w:szCs w:val="18"/>
          <w:color w:val="auto"/>
        </w:rPr>
        <w:t>In addition, mecbotamab vedotin, ozuriftamab vedotin, and BA3071 are being studied in combination with other therapies, which may exacerbate adverse events associated with the therapy. Patients treated with mecbotamab vedotin, ozuriftamab vedotin or</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32" w:name="page33"/>
    <w:bookmarkEnd w:id="32"/>
    <w:p>
      <w:pPr>
        <w:spacing w:after="0" w:line="277" w:lineRule="auto"/>
        <w:rPr>
          <w:sz w:val="20"/>
          <w:szCs w:val="20"/>
          <w:color w:val="auto"/>
        </w:rPr>
      </w:pPr>
      <w:r>
        <w:rPr>
          <w:rFonts w:ascii="Arial" w:cs="Arial" w:eastAsia="Arial" w:hAnsi="Arial"/>
          <w:sz w:val="18"/>
          <w:szCs w:val="18"/>
          <w:color w:val="auto"/>
        </w:rPr>
        <w:t>our other product candidates may also be undergoing surgical, radiation or chemotherapy treatments, which can cause side effects or adverse events that are unrelated to our product candidate but may still impact the success of our clinical trials.</w:t>
      </w:r>
    </w:p>
    <w:p>
      <w:pPr>
        <w:spacing w:after="0" w:line="170"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The inclusion of critically ill patients in our clinical trials may result in deaths or other adverse medical events due to other therapies or medications that such patients may be using or due to the gravity of such patients’ illnesses. For example, some of the late-stage patients enrolled in our mecbotamab vedotin and ozuriftamab vedotin clinical trials may die or experience major clinical events either during the course of our clinical trials or after participating in such trials due mainly to the gravity of their illness, which has occurred in the past.</w:t>
      </w:r>
    </w:p>
    <w:p>
      <w:pPr>
        <w:spacing w:after="0" w:line="187"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In the event that any of our product candidates receive regulatory approval, and we or others later identify undesirable and unforeseen side effects caused by such product, negative consequences, including any of the following, could occur:</w:t>
      </w:r>
    </w:p>
    <w:p>
      <w:pPr>
        <w:spacing w:after="0" w:line="62" w:lineRule="exact"/>
        <w:rPr>
          <w:sz w:val="20"/>
          <w:szCs w:val="20"/>
          <w:color w:val="auto"/>
        </w:rPr>
      </w:pPr>
    </w:p>
    <w:p>
      <w:pPr>
        <w:ind w:left="1000" w:right="620" w:hanging="368"/>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authorities may suspend, limit or withdraw their approval of such product, or seek an injunction against its manufacture or distribution;</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required to conduct additional clinical trials or post-approval studies;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requested or required to recall a product or change the way such product is administered to patients;</w:t>
      </w:r>
    </w:p>
    <w:p>
      <w:pPr>
        <w:spacing w:after="0" w:line="117" w:lineRule="exact"/>
        <w:rPr>
          <w:rFonts w:ascii="Arial" w:cs="Arial" w:eastAsia="Arial" w:hAnsi="Arial"/>
          <w:sz w:val="18"/>
          <w:szCs w:val="18"/>
          <w:color w:val="auto"/>
        </w:rPr>
      </w:pPr>
    </w:p>
    <w:p>
      <w:pPr>
        <w:ind w:left="1000" w:right="480" w:hanging="368"/>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the particular product or the manufacturing processes for the product or any component thereof;</w:t>
      </w:r>
    </w:p>
    <w:p>
      <w:pPr>
        <w:spacing w:after="0" w:line="62" w:lineRule="exact"/>
        <w:rPr>
          <w:rFonts w:ascii="Arial" w:cs="Arial" w:eastAsia="Arial" w:hAnsi="Arial"/>
          <w:sz w:val="18"/>
          <w:szCs w:val="18"/>
          <w:color w:val="auto"/>
        </w:rPr>
      </w:pPr>
    </w:p>
    <w:p>
      <w:pPr>
        <w:ind w:left="1000" w:right="140" w:hanging="368"/>
        <w:spacing w:after="0" w:line="342" w:lineRule="auto"/>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regulatory authorities may require the addition of labeling statements, such as a boxed warning or a contraindication, or issue safety alerts, Dear Healthcare Provider letters, press releases or other communications containing warnings or other safety information about the product;</w:t>
      </w:r>
    </w:p>
    <w:p>
      <w:pPr>
        <w:spacing w:after="0" w:line="15" w:lineRule="exact"/>
        <w:rPr>
          <w:rFonts w:ascii="Arial" w:cs="Arial" w:eastAsia="Arial" w:hAnsi="Arial"/>
          <w:sz w:val="16"/>
          <w:szCs w:val="16"/>
          <w:color w:val="auto"/>
        </w:rPr>
      </w:pPr>
    </w:p>
    <w:p>
      <w:pPr>
        <w:ind w:left="1000" w:right="600" w:hanging="368"/>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required to implement a REMS and/or create a Medication Guide outlining the risks of such side effects for distribution to patients, a communication plan for healthcare providers and/or other elements to assure safe use;</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subject to fines, injunctions or the imposition of civil or criminal penalties;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product may become less competitive; and</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jc w:val="both"/>
        <w:ind w:right="20" w:firstLine="509"/>
        <w:spacing w:after="0" w:line="311" w:lineRule="auto"/>
        <w:rPr>
          <w:sz w:val="20"/>
          <w:szCs w:val="20"/>
          <w:color w:val="auto"/>
        </w:rPr>
      </w:pPr>
      <w:r>
        <w:rPr>
          <w:rFonts w:ascii="Arial" w:cs="Arial" w:eastAsia="Arial" w:hAnsi="Arial"/>
          <w:sz w:val="16"/>
          <w:szCs w:val="16"/>
          <w:color w:val="auto"/>
        </w:rPr>
        <w:t>Any of these events could prevent us from achieving or maintaining market acceptance of the particular product candidate, if approved, and result in the loss of significant revenues to us, which would materially and adversely affect our results of operations and business. In addition, if one or more of our product candidates prove to be unsafe, our business, financial condition, results of operations and prospects may be materially and adversely affected.</w:t>
      </w:r>
    </w:p>
    <w:p>
      <w:pPr>
        <w:spacing w:after="0" w:line="25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are developing certain of our product candidates in combination with other therapies, and regulatory approval, safety or supply issues with these other therapies may delay or prevent the development and approval of our product candidates.</w:t>
      </w:r>
    </w:p>
    <w:p>
      <w:pPr>
        <w:spacing w:after="0" w:line="62" w:lineRule="exact"/>
        <w:rPr>
          <w:sz w:val="20"/>
          <w:szCs w:val="20"/>
          <w:color w:val="auto"/>
        </w:rPr>
      </w:pPr>
    </w:p>
    <w:p>
      <w:pPr>
        <w:ind w:right="100" w:firstLine="509"/>
        <w:spacing w:after="0" w:line="272" w:lineRule="auto"/>
        <w:rPr>
          <w:sz w:val="20"/>
          <w:szCs w:val="20"/>
          <w:color w:val="auto"/>
        </w:rPr>
      </w:pPr>
      <w:r>
        <w:rPr>
          <w:rFonts w:ascii="Arial" w:cs="Arial" w:eastAsia="Arial" w:hAnsi="Arial"/>
          <w:sz w:val="17"/>
          <w:szCs w:val="17"/>
          <w:color w:val="auto"/>
        </w:rPr>
        <w:t>Currently, we are evaluating the use of each of mecbotamab vedotin, ozuriftamab vedotin, and BA3071 in combination with an anti-PD-1 inhibitor. In the future, we may explore the use of these or our other product candidates in combination with other therapies. If we choose to develop a product candidate for use in combination with an approved therapy, we are subject to the risk that the FDA, EMA or comparable foreign regulatory authorities in other jurisdictions could revoke approval of, or that safety, efficacy, manufacturing or supply issues could arise with, the therapy used in combination with our product candidate. If the therapies we use in combination with our product candidates are replaced as the standard of care, the FDA, EMA or comparable foreign regulatory authorities in other jurisdictions may require us to conduct additional clinical trials. The occurrence of any of these risks could result in our product candidates, if approved, being removed from the market or being less successful commercially.</w:t>
      </w:r>
    </w:p>
    <w:p>
      <w:pPr>
        <w:spacing w:after="0" w:line="177" w:lineRule="exact"/>
        <w:rPr>
          <w:sz w:val="20"/>
          <w:szCs w:val="20"/>
          <w:color w:val="auto"/>
        </w:rPr>
      </w:pPr>
    </w:p>
    <w:p>
      <w:pPr>
        <w:ind w:right="160" w:firstLine="509"/>
        <w:spacing w:after="0" w:line="255" w:lineRule="auto"/>
        <w:rPr>
          <w:sz w:val="20"/>
          <w:szCs w:val="20"/>
          <w:color w:val="auto"/>
        </w:rPr>
      </w:pPr>
      <w:r>
        <w:rPr>
          <w:rFonts w:ascii="Arial" w:cs="Arial" w:eastAsia="Arial" w:hAnsi="Arial"/>
          <w:sz w:val="18"/>
          <w:szCs w:val="18"/>
          <w:color w:val="auto"/>
        </w:rPr>
        <w:t>Where we develop a product candidate for use in combination with a therapy that has not been approved by the FDA, EMA or comparable foreign regulatory authorities in other jurisdictions, we will not be able to market our product candidate for use in combination with such an unapproved therapy, unless and until the unapproved therapy receives regulatory approval. In addition, other companies may also develop their products or product candidates in combination with the unapproved therapies with which we are developing our product candidates for use in combination. Any setbacks in these companies’ clinical trials, including the emergence of serious adverse effects, may delay or prevent the development and approval of our product candidates.</w:t>
      </w:r>
    </w:p>
    <w:p>
      <w:pPr>
        <w:spacing w:after="0" w:line="192" w:lineRule="exact"/>
        <w:rPr>
          <w:sz w:val="20"/>
          <w:szCs w:val="20"/>
          <w:color w:val="auto"/>
        </w:rPr>
      </w:pPr>
    </w:p>
    <w:p>
      <w:pPr>
        <w:ind w:firstLine="509"/>
        <w:spacing w:after="0" w:line="258" w:lineRule="auto"/>
        <w:rPr>
          <w:sz w:val="20"/>
          <w:szCs w:val="20"/>
          <w:color w:val="auto"/>
        </w:rPr>
      </w:pPr>
      <w:r>
        <w:rPr>
          <w:rFonts w:ascii="Arial" w:cs="Arial" w:eastAsia="Arial" w:hAnsi="Arial"/>
          <w:sz w:val="18"/>
          <w:szCs w:val="18"/>
          <w:color w:val="auto"/>
        </w:rPr>
        <w:t>If the FDA, EMA or comparable foreign regulatory authorities in other jurisdictions do not approve or revoke their approval of, or if safety, efficacy, manufacturing, or supply issues arise with, therapies we choose to evaluate in combination with any of our</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3" w:name="page34"/>
    <w:bookmarkEnd w:id="33"/>
    <w:p>
      <w:pPr>
        <w:spacing w:after="0"/>
        <w:rPr>
          <w:sz w:val="20"/>
          <w:szCs w:val="20"/>
          <w:color w:val="auto"/>
        </w:rPr>
      </w:pPr>
      <w:r>
        <w:rPr>
          <w:rFonts w:ascii="Arial" w:cs="Arial" w:eastAsia="Arial" w:hAnsi="Arial"/>
          <w:sz w:val="16"/>
          <w:szCs w:val="16"/>
          <w:color w:val="auto"/>
        </w:rPr>
        <w:t>product candidates, we may be unable to obtain regulatory approval of or to commercialize such product candidates in combination with these therapies.</w:t>
      </w:r>
    </w:p>
    <w:p>
      <w:pPr>
        <w:spacing w:after="0" w:line="35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b w:val="1"/>
          <w:bCs w:val="1"/>
          <w:i w:val="1"/>
          <w:iCs w:val="1"/>
          <w:color w:val="auto"/>
        </w:rPr>
        <w:t>If safe and effective use of any of our product candidates, such as mecbotamab vedotin and ozuriftamab vedotin, depends on a companion diagnostic test, then the FDA generally will require approval or clearance of that companion diagnostic before or at the same time that the FDA approves our product candidates, if at all. If we are unable to successfully develop companion diagnostic tests for our product candidates, experience significant delays in doing so, rely on third parties in the development of such companion diagnostic tests, or do not obtain or face delays in obtaining FDA approval of a companion diagnostic test, the full commercial potential of our product candidates and our ability to generate revenue will be materially impaired.</w:t>
      </w:r>
    </w:p>
    <w:p>
      <w:pPr>
        <w:spacing w:after="0" w:line="84" w:lineRule="exact"/>
        <w:rPr>
          <w:sz w:val="20"/>
          <w:szCs w:val="20"/>
          <w:color w:val="auto"/>
        </w:rPr>
      </w:pPr>
    </w:p>
    <w:p>
      <w:pPr>
        <w:ind w:right="80" w:firstLine="509"/>
        <w:spacing w:after="0" w:line="270" w:lineRule="auto"/>
        <w:rPr>
          <w:sz w:val="20"/>
          <w:szCs w:val="20"/>
          <w:color w:val="auto"/>
        </w:rPr>
      </w:pPr>
      <w:r>
        <w:rPr>
          <w:rFonts w:ascii="Arial" w:cs="Arial" w:eastAsia="Arial" w:hAnsi="Arial"/>
          <w:sz w:val="17"/>
          <w:szCs w:val="17"/>
          <w:color w:val="auto"/>
        </w:rPr>
        <w:t>We are exploring predictive biomarkers to determine patient selection for our clinical trials. Specifically, to help inform which patients may be most suitable for treatment with mecbotamab vedotin and ozuriftamab vedotin, we have developed a quantitative biomarker assay that has been validated in accordance with CLIA requirements, the TmPS, which measures AXL and ROR2 expression levels on the tumor membrane. We are using both AXL and ROR2 TmPS scores in our ongoing clinical trials and they may be used for patient selection in future clinical trials. If the AXL and ROR2 TmPS scores prove to be a useful method for patient selection, we will incorporate the specific diagnostic test into our potentially registration-enabling studies and have partnered with a diagnostic provider to codevelop a companion diagnostic. It is also possible that use of the AXL and/or ROR2 TmPS scores does not predict those most likely to experience clinical benefit, and in this case, we would not pursue the further use of a companion diagnostic. The available market for mecbotamab vedotin and ozuriftamab vedotin could broaden, both in patient numbers and patient acceptance of the protocol, if the companion diagnostic is deemed not to be necessary.</w:t>
      </w:r>
    </w:p>
    <w:p>
      <w:pPr>
        <w:spacing w:after="0" w:line="73" w:lineRule="exact"/>
        <w:rPr>
          <w:sz w:val="20"/>
          <w:szCs w:val="20"/>
          <w:color w:val="auto"/>
        </w:rPr>
      </w:pPr>
    </w:p>
    <w:p>
      <w:pPr>
        <w:ind w:firstLine="509"/>
        <w:spacing w:after="0" w:line="285" w:lineRule="auto"/>
        <w:rPr>
          <w:sz w:val="20"/>
          <w:szCs w:val="20"/>
          <w:color w:val="auto"/>
        </w:rPr>
      </w:pPr>
      <w:r>
        <w:rPr>
          <w:rFonts w:ascii="Arial" w:cs="Arial" w:eastAsia="Arial" w:hAnsi="Arial"/>
          <w:sz w:val="16"/>
          <w:szCs w:val="16"/>
          <w:color w:val="auto"/>
        </w:rPr>
        <w:t>If use of a companion diagnostic test is determined to be essential for the safe and effective use of any of our product candidates, such as mecbotamab vedotin and ozuriftamab vedotin, then the FDA generally will require approval or clearance of that companion diagnostic before or at the same time that the FDA approves our product candidates, if at all. The FDA has generally required in vitro companion diagnostics intended to select the patients who will respond to cancer treatment to obtain a PMA for that diagnostic simultaneously with approval of the therapeutic. The process of obtaining or creating such diagnostic and obtaining PMA approval is time-consuming and costly and a delay in diagnostic approval could delay drug approval. 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for that indication. If a satisfactory companion diagnostic is not commercially available, we may be required to create or obtain one that would be subject to regulatory approval requirements. On April 13, 2020, the FDA issued new guidance on developing and labeling companion diagnostics for a specific group of oncology therapeutic products, including recommendations to support a broader labeling claim rather than individual therapeutic products. We will continue to evaluate the impact of this guidance on our companion diagnostic development and strategy. This guidance and future policies from the FDA and other regulatory authorities may impact our development of a companion diagnostic for our product candidates and result in delays in regulatory approval. We may be required to conduct additional studies to support a broader claim. Also, to the extent other approved diagnostics are able to broaden their labeling claims to include our approved drug products, we may be forced to abandon our companion diagnostic development plans or we may not be able to compete effectively upon approval, which could adversely impact our ability to generate revenue from the sale of our approved products and adversely affect our business, financial condition, results of operations and prospects.</w:t>
      </w:r>
    </w:p>
    <w:p>
      <w:pPr>
        <w:spacing w:after="0" w:line="68"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We expect to rely on third parties for the design, development and manufacture of companion diagnostic tests for our product candidates that require such tests. If the FDA, EMA or a comparable foreign regulatory authority requires approval of a companion diagnostic for any of our product candidates, whether before or after it obtains marketing approval, we and/or future collaborators may encounter difficulties in developing and obtaining approval for such product candidate. If we or our third-party collaborators experience any delay in developing or obtaining regulatory approval of a companion diagnostic, we may be unable to enroll enough patients for our current and planned clinical trials, the development of our product candidates may be adversely affected or we may not obtain marketing approval, and we may not realize the full commercial potential of our product candidates, including mecbotamab vedotin and ozuriftamab vedotin.</w:t>
      </w:r>
    </w:p>
    <w:p>
      <w:pPr>
        <w:spacing w:after="0" w:line="303"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b w:val="1"/>
          <w:bCs w:val="1"/>
          <w:i w:val="1"/>
          <w:iCs w:val="1"/>
          <w:color w:val="auto"/>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spacing w:after="0" w:line="41" w:lineRule="exact"/>
        <w:rPr>
          <w:sz w:val="20"/>
          <w:szCs w:val="20"/>
          <w:color w:val="auto"/>
        </w:rPr>
      </w:pPr>
    </w:p>
    <w:p>
      <w:pPr>
        <w:ind w:right="100" w:firstLine="509"/>
        <w:spacing w:after="0" w:line="253" w:lineRule="auto"/>
        <w:rPr>
          <w:sz w:val="20"/>
          <w:szCs w:val="20"/>
          <w:color w:val="auto"/>
        </w:rPr>
      </w:pPr>
      <w:r>
        <w:rPr>
          <w:rFonts w:ascii="Arial" w:cs="Arial" w:eastAsia="Arial" w:hAnsi="Arial"/>
          <w:sz w:val="18"/>
          <w:szCs w:val="18"/>
          <w:color w:val="auto"/>
        </w:rPr>
        <w:t>The development and commercialization of drugs and therapeutic biologics is highly competitive. We compete with a variety of multinational biopharmaceutical companies and specialized biotechnology companies, as well as technology being developed at universities and other research institutions. Our competitors have developed, are developing and will develop product candidates and processes competitive with our product candidates. We believe that a significant number of products are currently under development, and may become commercially available in the future, for the treatment of conditions for which we are developing product candidates. We believe that while our patented CAB technology platform, its associated intellectual property and our scientific</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4" w:name="page35"/>
    <w:bookmarkEnd w:id="34"/>
    <w:p>
      <w:pPr>
        <w:ind w:right="180"/>
        <w:spacing w:after="0" w:line="286" w:lineRule="auto"/>
        <w:rPr>
          <w:sz w:val="20"/>
          <w:szCs w:val="20"/>
          <w:color w:val="auto"/>
        </w:rPr>
      </w:pPr>
      <w:r>
        <w:rPr>
          <w:rFonts w:ascii="Arial" w:cs="Arial" w:eastAsia="Arial" w:hAnsi="Arial"/>
          <w:sz w:val="17"/>
          <w:szCs w:val="17"/>
          <w:color w:val="auto"/>
        </w:rPr>
        <w:t>and technical know-how give us a competitive advantage in this space, competition from many sources remains. Our success will partially depend on our ability to develop and protect therapeutics that are safer and more effective than competing products. Our commercial opportunity and success will be reduced or eliminated if competing products are safer, more effective or less expensive than the therapeutics we develop.</w:t>
      </w:r>
    </w:p>
    <w:p>
      <w:pPr>
        <w:spacing w:after="0" w:line="165"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Although we do not believe competing companies have selective CAB technology, there is a wide array of activity in multiple areas of immune-based cellular therapies for oncology including CAR-T and T-cell receptor therapies. Certain companies are also pursuing antibody therapies in immuno-oncology, ADCs and various prodrug biologic products designed to be preferentially activated at tumor sites. There are several FDA approved ADC products and several companies in various stages of clinical development of ADCs mostly directed at oncology indications, a key feature of our product candidates mecbotamab vedotin and ozuriftamab vedotin. There are also companies developing technologies designed to deliver biologics and chemotherapeutic agents with some targeting capabilities. In addition, if any of our product candidates are approved in oncology indications, they may compete with existing biologics and small molecule therapies, or may be used in combination with existing therapies. There are also many other therapies under development that are intended to treat the same cancers that we are targeting or may target with our CAB platform, including through approaches that could prove to be more effective, have fewer side effects, be cheaper to manufacture, be more convenient to administer or have other advantages over any products resulting from our technologies.</w:t>
      </w:r>
    </w:p>
    <w:p>
      <w:pPr>
        <w:spacing w:after="0" w:line="185" w:lineRule="exact"/>
        <w:rPr>
          <w:sz w:val="20"/>
          <w:szCs w:val="20"/>
          <w:color w:val="auto"/>
        </w:rPr>
      </w:pPr>
    </w:p>
    <w:p>
      <w:pPr>
        <w:ind w:right="40" w:firstLine="509"/>
        <w:spacing w:after="0" w:line="288" w:lineRule="auto"/>
        <w:rPr>
          <w:sz w:val="20"/>
          <w:szCs w:val="20"/>
          <w:color w:val="auto"/>
        </w:rPr>
      </w:pPr>
      <w:r>
        <w:rPr>
          <w:rFonts w:ascii="Arial" w:cs="Arial" w:eastAsia="Arial" w:hAnsi="Arial"/>
          <w:sz w:val="16"/>
          <w:szCs w:val="16"/>
          <w:color w:val="auto"/>
        </w:rPr>
        <w:t>Many of our competitors, either alone or with strategic partners, have significantly greater financial, technical, manufacturing, marketing, sales and supply resources or experience than we do. Accordingly, our competitors may be more successful than us in obtaining approval for treatments and achieving widespread market acceptance, rendering our treatments obsolete or non-competitive. Accelerated merger and acquisition activity in the biotechnology and biopharmaceutical industries may result in even more resources being concentrated among a smaller number of our competitors. These companies also compete with us in recruiting and retaining qualified scientific and management personnel, establishing clinical trial sites and patient registration for clinical trials and acquiring technologies complementary to, or necessary for, our programs. Smaller or early-stage companies may also prove to be significant competitors, particularly through collaborative arrangements with large and established companies. The level of generic competition and the availability of reimbursement from government and other third-party payors will also significantly affect the pricing and competitiveness of our products. In addition,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68" w:lineRule="exact"/>
        <w:rPr>
          <w:sz w:val="20"/>
          <w:szCs w:val="20"/>
          <w:color w:val="auto"/>
        </w:rPr>
      </w:pPr>
    </w:p>
    <w:p>
      <w:pPr>
        <w:ind w:right="280" w:firstLine="509"/>
        <w:spacing w:after="0" w:line="293" w:lineRule="auto"/>
        <w:rPr>
          <w:sz w:val="20"/>
          <w:szCs w:val="20"/>
          <w:color w:val="auto"/>
        </w:rPr>
      </w:pPr>
      <w:r>
        <w:rPr>
          <w:rFonts w:ascii="Arial" w:cs="Arial" w:eastAsia="Arial" w:hAnsi="Arial"/>
          <w:sz w:val="16"/>
          <w:szCs w:val="16"/>
          <w:color w:val="auto"/>
        </w:rPr>
        <w:t>There are also requirements governing the reporting of ongoing clinical trials and completed clinical trial results to public registries. Sponsors of clinical trials of FDA-regulated products, including biologics, are required to register and disclose certain clinical trial information, which is publicly available at www.clinicaltrials.gov. Information related to the product, patient population, phase of investigation, study sites and investigators, and other aspects of the clinical trial is then made public as part of the registration. Sponsors are also obligated to discuss the results of their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programs.</w:t>
      </w:r>
    </w:p>
    <w:p>
      <w:pPr>
        <w:spacing w:after="0" w:line="164" w:lineRule="exact"/>
        <w:rPr>
          <w:sz w:val="20"/>
          <w:szCs w:val="20"/>
          <w:color w:val="auto"/>
        </w:rPr>
      </w:pPr>
    </w:p>
    <w:p>
      <w:pPr>
        <w:ind w:right="200" w:firstLine="509"/>
        <w:spacing w:after="0" w:line="301" w:lineRule="auto"/>
        <w:rPr>
          <w:sz w:val="20"/>
          <w:szCs w:val="20"/>
          <w:color w:val="auto"/>
        </w:rPr>
      </w:pPr>
      <w:r>
        <w:rPr>
          <w:rFonts w:ascii="Arial" w:cs="Arial" w:eastAsia="Arial" w:hAnsi="Arial"/>
          <w:sz w:val="16"/>
          <w:szCs w:val="16"/>
          <w:color w:val="auto"/>
        </w:rPr>
        <w:t>Our commercial opportunity could be substantially limited in the event that our competitors develop and commercialize products that are more effective, safer, less toxic or more convenient than products we may develop. In geographies that are critical to our commercial success, competitors may also obtain regulatory approvals before us, resulting in our competitors building a strong market position in advance of our products’ entry. Such competitors could also recruit our employees, which could negatively impact our level of expertise and our ability to execute our business plan.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biologic product candidates for which we intend to seek approval may face competition through an abbreviated pathway.</w:t>
      </w:r>
    </w:p>
    <w:p>
      <w:pPr>
        <w:spacing w:after="0" w:line="117" w:lineRule="exact"/>
        <w:rPr>
          <w:sz w:val="20"/>
          <w:szCs w:val="20"/>
          <w:color w:val="auto"/>
        </w:rPr>
      </w:pPr>
    </w:p>
    <w:p>
      <w:pPr>
        <w:ind w:right="80" w:firstLine="509"/>
        <w:spacing w:after="0" w:line="270" w:lineRule="auto"/>
        <w:rPr>
          <w:sz w:val="20"/>
          <w:szCs w:val="20"/>
          <w:color w:val="auto"/>
        </w:rPr>
      </w:pPr>
      <w:r>
        <w:rPr>
          <w:rFonts w:ascii="Arial" w:cs="Arial" w:eastAsia="Arial" w:hAnsi="Arial"/>
          <w:sz w:val="17"/>
          <w:szCs w:val="17"/>
          <w:color w:val="auto"/>
        </w:rPr>
        <w:t>The ACA includes a subtitle called the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an adverse effect on the future commercial prospects for our product candidates.</w:t>
      </w:r>
    </w:p>
    <w:p>
      <w:pPr>
        <w:spacing w:after="0" w:line="73" w:lineRule="exact"/>
        <w:rPr>
          <w:sz w:val="20"/>
          <w:szCs w:val="20"/>
          <w:color w:val="auto"/>
        </w:rPr>
      </w:pPr>
    </w:p>
    <w:p>
      <w:pPr>
        <w:ind w:right="60" w:firstLine="509"/>
        <w:spacing w:after="0" w:line="258" w:lineRule="auto"/>
        <w:rPr>
          <w:sz w:val="20"/>
          <w:szCs w:val="20"/>
          <w:color w:val="auto"/>
        </w:rPr>
      </w:pPr>
      <w:r>
        <w:rPr>
          <w:rFonts w:ascii="Arial" w:cs="Arial" w:eastAsia="Arial" w:hAnsi="Arial"/>
          <w:sz w:val="18"/>
          <w:szCs w:val="18"/>
          <w:color w:val="auto"/>
        </w:rPr>
        <w:t>There is a risk that any product candidates we may develop that are approved as a biological product under a BLA would not qualify for the 12-year period of exclusivity or that this exclusivity could be shortened due to congressional action or otherwise, or that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5" w:name="page36"/>
    <w:bookmarkEnd w:id="35"/>
    <w:p>
      <w:pPr>
        <w:ind w:right="20"/>
        <w:spacing w:after="0" w:line="277" w:lineRule="auto"/>
        <w:rPr>
          <w:sz w:val="20"/>
          <w:szCs w:val="20"/>
          <w:color w:val="auto"/>
        </w:rPr>
      </w:pPr>
      <w:r>
        <w:rPr>
          <w:rFonts w:ascii="Arial" w:cs="Arial" w:eastAsia="Arial" w:hAnsi="Arial"/>
          <w:sz w:val="18"/>
          <w:szCs w:val="18"/>
          <w:color w:val="auto"/>
        </w:rPr>
        <w:t>the FDA will not consider any product candidates we may develop to be reference products for competing products, potentially creating the opportunity for generic competition sooner than anticipated.</w:t>
      </w:r>
    </w:p>
    <w:p>
      <w:pPr>
        <w:spacing w:after="0" w:line="27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business entails a significant risk of product liability, and if we are unable to obtain sufficient insurance coverage, such failure could have a material and adverse effect on our business, financial condition, results of operations and prospects.</w:t>
      </w:r>
    </w:p>
    <w:p>
      <w:pPr>
        <w:spacing w:after="0" w:line="62" w:lineRule="exact"/>
        <w:rPr>
          <w:sz w:val="20"/>
          <w:szCs w:val="20"/>
          <w:color w:val="auto"/>
        </w:rPr>
      </w:pPr>
    </w:p>
    <w:p>
      <w:pPr>
        <w:ind w:right="40" w:firstLine="509"/>
        <w:spacing w:after="0" w:line="268" w:lineRule="auto"/>
        <w:rPr>
          <w:sz w:val="20"/>
          <w:szCs w:val="20"/>
          <w:color w:val="auto"/>
        </w:rPr>
      </w:pPr>
      <w:r>
        <w:rPr>
          <w:rFonts w:ascii="Arial" w:cs="Arial" w:eastAsia="Arial" w:hAnsi="Arial"/>
          <w:sz w:val="17"/>
          <w:szCs w:val="17"/>
          <w:color w:val="auto"/>
        </w:rPr>
        <w:t>We expect to be exposed to significant product liability risks inherent in the development, testing and manufacturing of our product candidates and products, if approved. Product liability claims could delay or prevent completion of our development programs. If we succeed in marketing products, such claims could result in an FDA investigation of the safety and effectiveness of our products, our third-party manufacturer’s manufacturing processes and facilities or our marketing programs and potentially a recall of our products or more serious enforcement action, including limitations on the approved indications for which our product candidates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product liability insurance that we believe is appropriate for our stage of development and may need to obtain higher levels prior to marketing any of our product candidates. Any insurance we have or may obtain may not provide sufficient coverage against potential liabilities. In addition, we may be subject to liability based on the actions of our existing or future collaborators in connection with their development of products using our CAB technology. Furthermore, clinical trial and product liability insurance is becoming increasingly expensive. As a result, we may be unable to maintain sufficient insurance at a reasonable cost to protect us against losses caused by product liability claims that could have a material and adverse effect on our business, financial condition, results of operations and prospects.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and other legal compliance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obtain U.S. or foreign regulatory approval and, as a result, unable to commercialize our product candidates.</w:t>
      </w:r>
    </w:p>
    <w:p>
      <w:pPr>
        <w:spacing w:after="0" w:line="117"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auto"/>
        </w:rPr>
        <w:t>Our product candidates are subject to extensive governmental regulations relating to, among other things, the research, development, testing, manufacture, quality control, import, export, safety, effectiveness, labeling, packaging, storage, distribution, record keeping, approval, advertising, promotion, marketing, post-approval monitoring and post-approval reporting of drugs and therapeutic biologics. Rigorous preclinical testing and clinical trials and an extensive regulatory approval process are required to be successfully completed in the United States and in many foreign jurisdictions before a new drug or therapeutic biologic can be marketed. Satisfaction of these and other regulatory requirements is costly, lengthy, time-consuming, uncertain and subject to unanticipated delays. We have not previously submitted a BLA to the FDA, or similar drug approval filings to comparable foreign regulatory authorities, for any product candidate, and it is possible that none of the product candidates we may develop will obtain the regulatory approvals necessary for us or our existing or future collaborators to begin selling them.</w:t>
      </w:r>
    </w:p>
    <w:p>
      <w:pPr>
        <w:spacing w:after="0" w:line="178" w:lineRule="exact"/>
        <w:rPr>
          <w:sz w:val="20"/>
          <w:szCs w:val="20"/>
          <w:color w:val="auto"/>
        </w:rPr>
      </w:pPr>
    </w:p>
    <w:p>
      <w:pPr>
        <w:ind w:firstLine="509"/>
        <w:spacing w:after="0" w:line="267" w:lineRule="auto"/>
        <w:rPr>
          <w:sz w:val="20"/>
          <w:szCs w:val="20"/>
          <w:color w:val="auto"/>
        </w:rPr>
      </w:pPr>
      <w:r>
        <w:rPr>
          <w:rFonts w:ascii="Arial" w:cs="Arial" w:eastAsia="Arial" w:hAnsi="Arial"/>
          <w:sz w:val="17"/>
          <w:szCs w:val="17"/>
          <w:color w:val="auto"/>
        </w:rPr>
        <w:t>We have not completed any large-scale or pivotal clinical trials nor managed the regulatory approval process with the FDA or any other regulatory authority. The time required to obtain FDA and other approvals is unpredictable but typically takes many years following the commencement of clinical trials, depending upon the type, complexity and novelty of the product candidate, and numerous other factors including the substantial discretion of regulatory authorities. The standards that the FDA and its foreign counterparts, including the EMA, use when regulating us and our existing or future collaborators require judgment and can change, which makes it difficult to predict with certainty how they will be applied.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It is impossible to predict whether legislative changes will be enacted, or whether FDA or foreign regulations, guidance or interpretations will be changed, or what the impact of such changes, if any, may be. For example, the Oncology Center of Excellence within the FDA has recently advanced Project Optimus, which is an initiative to reform the dose optimization and dose selection paradigm in oncology drug development to emphasize selection of an optimal dose, which is a dose or doses that maximizes not only the efficacy of a drug but the safety and tolerability as well. This shift from the prior approach, which generally determined the maximum tolerated dose, may require sponsors to spend additional time and resources to further explore a product candidate’s dose-response relationship to facilitate optimum dose selection in a target population. Other recent Oncology Center of Excellence initiatives have included Project FrontRunner, a new initiative with a goal of developing a framework for identifying candidate drugs for initial clinical development in the earlier advanced setting rather than for treatment of patients who have received numerous prior lines of therapies or have exhausted available treatment options, and Project Equity, which is an initiative to ensure that the data submitted to the FDA for approval of oncology medical products adequately reflects the demographic representation of patients for whom the medical products are intended. We are considering these and other policy changes as they relate to our programs.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our product candidates could fail to receive regulatory approval for many reasons including the following:</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6" w:name="page37"/>
    <w:bookmarkEnd w:id="36"/>
    <w:p>
      <w:pPr>
        <w:ind w:left="1000" w:hanging="36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17" w:lineRule="exact"/>
        <w:rPr>
          <w:rFonts w:ascii="Arial" w:cs="Arial" w:eastAsia="Arial" w:hAnsi="Arial"/>
          <w:sz w:val="18"/>
          <w:szCs w:val="18"/>
          <w:color w:val="auto"/>
        </w:rPr>
      </w:pPr>
    </w:p>
    <w:p>
      <w:pPr>
        <w:ind w:left="1000" w:right="100" w:hanging="368"/>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pure and potent for its proposed indication;</w:t>
      </w:r>
    </w:p>
    <w:p>
      <w:pPr>
        <w:spacing w:after="0" w:line="62" w:lineRule="exact"/>
        <w:rPr>
          <w:rFonts w:ascii="Arial" w:cs="Arial" w:eastAsia="Arial" w:hAnsi="Arial"/>
          <w:sz w:val="18"/>
          <w:szCs w:val="18"/>
          <w:color w:val="auto"/>
        </w:rPr>
      </w:pPr>
    </w:p>
    <w:p>
      <w:pPr>
        <w:ind w:left="1000" w:right="440" w:hanging="368"/>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results of clinical trials may fail to achieve the level of statistical significance required by the FDA or comparable foreign regulatory authorities for approval;</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17" w:lineRule="exact"/>
        <w:rPr>
          <w:rFonts w:ascii="Arial" w:cs="Arial" w:eastAsia="Arial" w:hAnsi="Arial"/>
          <w:sz w:val="18"/>
          <w:szCs w:val="18"/>
          <w:color w:val="auto"/>
        </w:rPr>
      </w:pPr>
    </w:p>
    <w:p>
      <w:pPr>
        <w:ind w:left="1060" w:hanging="428"/>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unable to demonstrate that the dose for the product candidate has been optimized;</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unable to demonstrate a sufficient response rate or duration of response for a product candidate;</w:t>
      </w:r>
    </w:p>
    <w:p>
      <w:pPr>
        <w:spacing w:after="0" w:line="117" w:lineRule="exact"/>
        <w:rPr>
          <w:rFonts w:ascii="Arial" w:cs="Arial" w:eastAsia="Arial" w:hAnsi="Arial"/>
          <w:sz w:val="18"/>
          <w:szCs w:val="18"/>
          <w:color w:val="auto"/>
        </w:rPr>
      </w:pPr>
    </w:p>
    <w:p>
      <w:pPr>
        <w:ind w:left="1000" w:right="680" w:hanging="368"/>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submitted in support of regulatory approval;</w:t>
      </w:r>
    </w:p>
    <w:p>
      <w:pPr>
        <w:spacing w:after="0" w:line="62" w:lineRule="exact"/>
        <w:rPr>
          <w:rFonts w:ascii="Arial" w:cs="Arial" w:eastAsia="Arial" w:hAnsi="Arial"/>
          <w:sz w:val="18"/>
          <w:szCs w:val="18"/>
          <w:color w:val="auto"/>
        </w:rPr>
      </w:pPr>
    </w:p>
    <w:p>
      <w:pPr>
        <w:ind w:left="1000" w:right="300" w:hanging="368"/>
        <w:spacing w:after="0" w:line="308" w:lineRule="auto"/>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data collected from preclinical studies and clinical trials of our product candidates may not be sufficient to support the submission of a BLA or other regulatory submission necessary to obtain regulatory approval in the United States or elsewhere; and</w:t>
      </w:r>
    </w:p>
    <w:p>
      <w:pPr>
        <w:spacing w:after="0" w:line="38" w:lineRule="exact"/>
        <w:rPr>
          <w:rFonts w:ascii="Arial" w:cs="Arial" w:eastAsia="Arial" w:hAnsi="Arial"/>
          <w:sz w:val="17"/>
          <w:szCs w:val="17"/>
          <w:color w:val="auto"/>
        </w:rPr>
      </w:pPr>
    </w:p>
    <w:p>
      <w:pPr>
        <w:ind w:left="1000" w:right="440" w:hanging="368"/>
        <w:spacing w:after="0" w:line="263"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or our contractors may not meet the current Good Manufacturing Practices, or cGMPs, and other applicable requirements for manufacturing processes, procedures, documentation and facilities necessary for approval by the FDA or comparable foreign regulatory authorities.</w:t>
      </w:r>
    </w:p>
    <w:p>
      <w:pPr>
        <w:spacing w:after="0" w:line="184" w:lineRule="exact"/>
        <w:rPr>
          <w:sz w:val="20"/>
          <w:szCs w:val="20"/>
          <w:color w:val="auto"/>
        </w:rPr>
      </w:pPr>
    </w:p>
    <w:p>
      <w:pPr>
        <w:ind w:right="40" w:firstLine="509"/>
        <w:spacing w:after="0" w:line="272" w:lineRule="auto"/>
        <w:rPr>
          <w:sz w:val="20"/>
          <w:szCs w:val="20"/>
          <w:color w:val="auto"/>
        </w:rPr>
      </w:pPr>
      <w:r>
        <w:rPr>
          <w:rFonts w:ascii="Arial" w:cs="Arial" w:eastAsia="Arial" w:hAnsi="Arial"/>
          <w:sz w:val="17"/>
          <w:szCs w:val="17"/>
          <w:color w:val="auto"/>
        </w:rPr>
        <w:t>Any delay or failure in obtaining required approvals could have a material and adverse effect on our ability to generate revenues from the particular product candidate for which we are seeking approval. Furthermore, any regulatory approval to market a drug may be subject to significant limitations on the approved uses or indications for which we may market the drug or the labeling or other restrictions. In addition, the FDA has the authority to require a REMS as part of approving a BLA,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spacing w:after="0" w:line="177"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We are also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to obtain FDA approval. Approval by the FDA does not ensure approval by regulatory authorities outside the United States and vice versa.</w:t>
      </w:r>
    </w:p>
    <w:p>
      <w:pPr>
        <w:spacing w:after="0" w:line="296"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b w:val="1"/>
          <w:bCs w:val="1"/>
          <w:i w:val="1"/>
          <w:iCs w:val="1"/>
          <w:color w:val="auto"/>
        </w:rPr>
        <w:t>We intend to seek approval from the FDA or comparable foreign regulatory authorities through the use of accelerated approval pathways, if available. If we are unable to obtain such approval, we may be required to conduct additional preclinical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spacing w:after="0" w:line="68" w:lineRule="exact"/>
        <w:rPr>
          <w:sz w:val="20"/>
          <w:szCs w:val="20"/>
          <w:color w:val="auto"/>
        </w:rPr>
      </w:pPr>
    </w:p>
    <w:p>
      <w:pPr>
        <w:ind w:firstLine="509"/>
        <w:spacing w:after="0" w:line="283" w:lineRule="auto"/>
        <w:rPr>
          <w:sz w:val="20"/>
          <w:szCs w:val="20"/>
          <w:color w:val="auto"/>
        </w:rPr>
      </w:pPr>
      <w:r>
        <w:rPr>
          <w:rFonts w:ascii="Arial" w:cs="Arial" w:eastAsia="Arial" w:hAnsi="Arial"/>
          <w:sz w:val="16"/>
          <w:szCs w:val="16"/>
          <w:color w:val="auto"/>
        </w:rPr>
        <w:t>We intend to seek accelerated approval for mecbotamab vedotin, and we may seek accelerated approval for one or more of our other product candidates. Under the accelerated approval program, the FDA may grant accelerated approval to a product candidate designed to treat a serious or life-threatening condition that provides meaningful advantage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We intend to seek accelerated approval for some of our product candidates on the basis of objective response rate, a surrogate endpoint that we believe is reasonably likely to predict clinical benefit. For products granted accelerated approval, sponsors are required to verify and describe the product’s clinical benefit generally in the form of confirmatory trials. These confirmatory trials must be completed with due diligence, and the FDA may require that the trial be designed, initiated, and/or fully</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7" w:name="page38"/>
    <w:bookmarkEnd w:id="37"/>
    <w:p>
      <w:pPr>
        <w:ind w:right="40"/>
        <w:spacing w:after="0" w:line="290" w:lineRule="auto"/>
        <w:rPr>
          <w:sz w:val="20"/>
          <w:szCs w:val="20"/>
          <w:color w:val="auto"/>
        </w:rPr>
      </w:pPr>
      <w:r>
        <w:rPr>
          <w:rFonts w:ascii="Arial" w:cs="Arial" w:eastAsia="Arial" w:hAnsi="Arial"/>
          <w:sz w:val="16"/>
          <w:szCs w:val="16"/>
          <w:color w:val="auto"/>
        </w:rPr>
        <w:t>enrolled prior to approval. If we were to pursue accelerated approval for a product candidate for a disease or condition, we would likely do so on the basis that there is no available therapy for that disease or condition. If any of our competitors were to receive full approval on the basis of a confirmatory trial for a drug for a disease or condition for which we are seeking accelerated approval before we receive accelerated approval, the disease or condition would no longer qualify as one for which there is no available therapy, and accelerated approval of our product candidate would not occur, unless we were able to demonstrate a meaningful advantage over the approved product. Many cancer therapies rely on accelerated approval, and the treatment landscape can change quickly as the FDA converts accelerated approvals to full approvals on the basis of successful confirmatory trials. Failure to conduct required post-approval studies, or to confirm a clinical benefit during post-marketing studies, would allow the FDA to withdraw the product from the market on an expedited basis. All promotional materials for product candidates approved under accelerated regulations are subject to prior review by the FDA.</w:t>
      </w:r>
    </w:p>
    <w:p>
      <w:pPr>
        <w:spacing w:after="0" w:line="57" w:lineRule="exact"/>
        <w:rPr>
          <w:sz w:val="20"/>
          <w:szCs w:val="20"/>
          <w:color w:val="auto"/>
        </w:rPr>
      </w:pPr>
    </w:p>
    <w:p>
      <w:pPr>
        <w:ind w:right="80" w:firstLine="509"/>
        <w:spacing w:after="0" w:line="271" w:lineRule="auto"/>
        <w:rPr>
          <w:sz w:val="20"/>
          <w:szCs w:val="20"/>
          <w:color w:val="auto"/>
        </w:rPr>
      </w:pPr>
      <w:r>
        <w:rPr>
          <w:rFonts w:ascii="Arial" w:cs="Arial" w:eastAsia="Arial" w:hAnsi="Arial"/>
          <w:sz w:val="17"/>
          <w:szCs w:val="17"/>
          <w:color w:val="auto"/>
        </w:rPr>
        <w:t>Prior to seeking accelerated approval for any of our product candidates, we intend to seek feedback from the FDA and will otherwise evaluate our ability to seek and receive accelerated approval. We cannot assure you that after our evaluation of the feedback and other factors we will decide to pursue or submit a BLA for accelerated approval or any other form of expedited development, review or approval. Similarly, we cannot assure you that after subsequent FDA feedback we will continue to pursue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product candidates, we cannot assure you that such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w:t>
      </w:r>
    </w:p>
    <w:p>
      <w:pPr>
        <w:spacing w:after="0" w:line="70"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Recently, the accelerated approval pathway has come under scrutiny within the FDA and by Congress. The FDA has put increased focus on ensuring that confirmatory studies are conducted with diligence and, ultimately, that such studies confirm the benefit. For example, the FDA has convened its Oncologic Drugs Advisory Committee to review what the FDA has called dangling or delinquent accelerated approvals where confirmatory studies have not been completed or where results did not confirm benefit.</w:t>
      </w:r>
    </w:p>
    <w:p>
      <w:pPr>
        <w:spacing w:after="0" w:line="79" w:lineRule="exact"/>
        <w:rPr>
          <w:sz w:val="20"/>
          <w:szCs w:val="20"/>
          <w:color w:val="auto"/>
        </w:rPr>
      </w:pPr>
    </w:p>
    <w:p>
      <w:pPr>
        <w:ind w:right="80" w:firstLine="509"/>
        <w:spacing w:after="0" w:line="291" w:lineRule="auto"/>
        <w:rPr>
          <w:sz w:val="20"/>
          <w:szCs w:val="20"/>
          <w:color w:val="auto"/>
        </w:rPr>
      </w:pPr>
      <w:r>
        <w:rPr>
          <w:rFonts w:ascii="Arial" w:cs="Arial" w:eastAsia="Arial" w:hAnsi="Arial"/>
          <w:sz w:val="16"/>
          <w:szCs w:val="16"/>
          <w:color w:val="auto"/>
        </w:rPr>
        <w:t>The enactment of FDORA included provisions related to the accelerated approval pathway. Pursuant to FDORA, the FDA is authorized to require a post-approval study to be underway prior to approval or within a specified time period following approval. FDORA also requires the FDA to specify conditions of any required post-approval study and requires sponsors to submit progress reports for required post-approval studies and any conditions required by the FDA. FDORA enables the FDA to initiate enforcement action for the failure to conduct with due diligence a required post-approval study, including a failure to meet any required conditions specified by the FDA or to submit timely reports. In addition, the Oncology Center of Excellence has announced Project Confirm, which is an initiative to promote the transparency of outcomes related to accelerated approvals for oncology indications and provide a framework to foster discussion, research and innovation in approval and post-marketing processes, with the goal to enhance the balance.</w:t>
      </w:r>
    </w:p>
    <w:p>
      <w:pPr>
        <w:spacing w:after="0" w:line="27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79" w:lineRule="exact"/>
        <w:rPr>
          <w:sz w:val="20"/>
          <w:szCs w:val="20"/>
          <w:color w:val="auto"/>
        </w:rPr>
      </w:pPr>
    </w:p>
    <w:p>
      <w:pPr>
        <w:ind w:right="140" w:firstLine="509"/>
        <w:spacing w:after="0" w:line="271" w:lineRule="auto"/>
        <w:rPr>
          <w:sz w:val="20"/>
          <w:szCs w:val="20"/>
          <w:color w:val="auto"/>
        </w:rPr>
      </w:pPr>
      <w:r>
        <w:rPr>
          <w:rFonts w:ascii="Arial" w:cs="Arial" w:eastAsia="Arial" w:hAnsi="Arial"/>
          <w:sz w:val="17"/>
          <w:szCs w:val="17"/>
          <w:color w:val="auto"/>
        </w:rPr>
        <w:t>Any regulatory approvals that we or our existing or future collaborators obtain for our product candidates may also be subject to limitations on the approved indicated uses for which a product may be marketed or to conditions of approval, or contain requirements for potentially costly post-marketing testing, including “Phase 4” clinical trials, and surveillance to monitor the safety and efficacy of the product candidate. Furthermore, any regulatory approval to market a product may be subject to limitations on the labeling of the product or may require safety warnings or other restrictions. In addition, the FDA has the authority to require a REMS plan as part of a BLA or after approval, which may impose further requirements or restrictions on the distribution or use of an approved biologic, such as limiting prescribing to certain physicians or medical centers that have undergone specialized training, limiting treatment to patients who meet certain safe-use criteria and requiring treated patients to enroll in a registry. These limitations and restrictions may limit the size of the market for the product and affect reimbursement by third-party payors.</w:t>
      </w:r>
    </w:p>
    <w:p>
      <w:pPr>
        <w:spacing w:after="0" w:line="178" w:lineRule="exact"/>
        <w:rPr>
          <w:sz w:val="20"/>
          <w:szCs w:val="20"/>
          <w:color w:val="auto"/>
        </w:rPr>
      </w:pPr>
    </w:p>
    <w:p>
      <w:pPr>
        <w:ind w:right="60" w:firstLine="509"/>
        <w:spacing w:after="0" w:line="252" w:lineRule="auto"/>
        <w:rPr>
          <w:sz w:val="20"/>
          <w:szCs w:val="20"/>
          <w:color w:val="auto"/>
        </w:rPr>
      </w:pPr>
      <w:r>
        <w:rPr>
          <w:rFonts w:ascii="Arial" w:cs="Arial" w:eastAsia="Arial" w:hAnsi="Arial"/>
          <w:sz w:val="18"/>
          <w:szCs w:val="18"/>
          <w:color w:val="auto"/>
        </w:rPr>
        <w:t>In addition, if the FDA or a comparable foreign regulatory authority approves any of our product candidates, the manufacturing processes, labeling, packaging, distribution, adverse event reporting, storage, import, export,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GCPs, for any clinical trials that we conduct post-approval. The manufacturer and manufacturing facilities we use to make a future product, if any, will also be subject to periodic review and inspection by the FDA and other regulatory agencies, including for continued compliance with cGMP requirements. Any product promotion and advertising will also be subject to regulatory requirements and continuing regulatory review.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8" w:name="page39"/>
    <w:bookmarkEnd w:id="38"/>
    <w:p>
      <w:pPr>
        <w:ind w:left="1000" w:hanging="36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withdrawal of the product from the market or voluntary or mandatory product recalls;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fines, warning or untitled letters or holds on clinical trials;</w:t>
      </w:r>
    </w:p>
    <w:p>
      <w:pPr>
        <w:spacing w:after="0" w:line="117" w:lineRule="exact"/>
        <w:rPr>
          <w:rFonts w:ascii="Arial" w:cs="Arial" w:eastAsia="Arial" w:hAnsi="Arial"/>
          <w:sz w:val="18"/>
          <w:szCs w:val="18"/>
          <w:color w:val="auto"/>
        </w:rPr>
      </w:pPr>
    </w:p>
    <w:p>
      <w:pPr>
        <w:ind w:left="1000" w:right="600" w:hanging="368"/>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 of approval or refusal by the FDA or comparable regulatory authorities in other jurisdictions to approve pending applications or supplements to approved applications filed by us, our current collaborator or any future strategic partners;</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suspension or revocation of product license approvals;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The FDA’s policies may change and additional government regulations may be enacted that could prevent, limit or delay regulatory approval of our product candidates. We also cannot predict the likelihood, nature or extent of government regulation that may arise from future legislation or administrative action, either in the United States or abroad. If these regulations impose constraints on the FDA’s ability to engage in oversight and implementation activities in the normal course, our business may be negatively impacted.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financial condition, results of operations and prospects.</w:t>
      </w:r>
    </w:p>
    <w:p>
      <w:pPr>
        <w:spacing w:after="0" w:line="30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product candidate, such product candidate may become subject to unfavorable pricing regulations or third-party coverage and reimbursement policies, which would harm our business.</w:t>
      </w:r>
    </w:p>
    <w:p>
      <w:pPr>
        <w:spacing w:after="0" w:line="62" w:lineRule="exact"/>
        <w:rPr>
          <w:sz w:val="20"/>
          <w:szCs w:val="20"/>
          <w:color w:val="auto"/>
        </w:rPr>
      </w:pPr>
    </w:p>
    <w:p>
      <w:pPr>
        <w:ind w:right="40" w:firstLine="509"/>
        <w:spacing w:after="0" w:line="272" w:lineRule="auto"/>
        <w:rPr>
          <w:sz w:val="20"/>
          <w:szCs w:val="20"/>
          <w:color w:val="auto"/>
        </w:rPr>
      </w:pPr>
      <w:r>
        <w:rPr>
          <w:rFonts w:ascii="Arial" w:cs="Arial" w:eastAsia="Arial" w:hAnsi="Arial"/>
          <w:sz w:val="17"/>
          <w:szCs w:val="17"/>
          <w:color w:val="auto"/>
        </w:rPr>
        <w:t>The regulations that govern regulatory approvals, pricing and reimbursement for new drugs and therapeutic biologics vary widely from country to country. Some countries require approval of the sale price of a drug or therapeutic biologic before it can be marketed. In many countries, the pricing review period begins after marketing approval is granted. In some foreign markets, prescription biopharmaceutical pricing remains subject to continuing governmental control even after initial approval is granted. As a result, we might obtain regulatory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regulatory approval.</w:t>
      </w:r>
    </w:p>
    <w:p>
      <w:pPr>
        <w:spacing w:after="0" w:line="177" w:lineRule="exact"/>
        <w:rPr>
          <w:sz w:val="20"/>
          <w:szCs w:val="20"/>
          <w:color w:val="auto"/>
        </w:rPr>
      </w:pPr>
    </w:p>
    <w:p>
      <w:pPr>
        <w:ind w:right="80" w:firstLine="509"/>
        <w:spacing w:after="0" w:line="290" w:lineRule="auto"/>
        <w:rPr>
          <w:sz w:val="20"/>
          <w:szCs w:val="20"/>
          <w:color w:val="auto"/>
        </w:rPr>
      </w:pPr>
      <w:r>
        <w:rPr>
          <w:rFonts w:ascii="Arial" w:cs="Arial" w:eastAsia="Arial" w:hAnsi="Arial"/>
          <w:sz w:val="16"/>
          <w:szCs w:val="16"/>
          <w:color w:val="auto"/>
        </w:rPr>
        <w:t>Our ability to commercialize any products successfully also will depend in part on the extent to which reimbursement for these products and related treatments will be available from government authorities, private health insurers and other organizations. Even if we succeed in bringing one or more products to the market, these products may not be considered cost-effective, and the amount reimbursed for any products may be insufficient to allow us to sell our products on a competitive basis. Because our programs are in the early stages of development, we are unable at this time to determine their cost effectiveness or the likely level or method of reimbursement. Increasingly, the third-party payors who reimburse patients or healthcare providers, such as government and private insurance plans, are requiring that drug companies provide them with predetermined discounts from list prices, and are seeking to reduce the prices charged or the amounts reimbursed for biopharmaceutical products. If the price we are able to charge for any products we develop, or the reimbursement provided for such products, is inadequate in light of our development and other costs, our return on investment could be adversely affected.</w:t>
      </w:r>
    </w:p>
    <w:p>
      <w:pPr>
        <w:spacing w:after="0" w:line="165"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There is significant uncertainty related to third-party payor coverage and reimbursement of newly approved products. For example, in the United States, principal decisions about reimbursement for new products are typically made by the Centers for Medicare &amp; Medicaid Services, or CMS, an agency within the U.S. Department of Health and Human Services, or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178"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in May 2019, CMS issued a final rule to allow Medicare Advantage Plans the option of using step therapy for Part B drugs beginning January 1, 2020. This final rule codified CMS’s policy change that was effective January 1, 2019. At the state level, legislatures have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9" w:name="page40"/>
    <w:bookmarkEnd w:id="39"/>
    <w:p>
      <w:pPr>
        <w:jc w:val="both"/>
        <w:ind w:right="140"/>
        <w:spacing w:after="0" w:line="263" w:lineRule="auto"/>
        <w:rPr>
          <w:sz w:val="20"/>
          <w:szCs w:val="20"/>
          <w:color w:val="auto"/>
        </w:rPr>
      </w:pPr>
      <w:r>
        <w:rPr>
          <w:rFonts w:ascii="Arial" w:cs="Arial" w:eastAsia="Arial" w:hAnsi="Arial"/>
          <w:sz w:val="18"/>
          <w:szCs w:val="18"/>
          <w:color w:val="auto"/>
        </w:rPr>
        <w:t>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4"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In some countries, particularly member states of the European Union (EU), the pricing of prescription drugs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member states, can further reduce prices. In some countries, we or our existing or future collaborators may be required to conduct a clinical trial or other studies that compare the cost-effectiveness of our product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w:t>
      </w:r>
    </w:p>
    <w:p>
      <w:pPr>
        <w:spacing w:after="0" w:line="181" w:lineRule="exact"/>
        <w:rPr>
          <w:sz w:val="20"/>
          <w:szCs w:val="20"/>
          <w:color w:val="auto"/>
        </w:rPr>
      </w:pPr>
    </w:p>
    <w:p>
      <w:pPr>
        <w:ind w:right="140" w:firstLine="509"/>
        <w:spacing w:after="0" w:line="287" w:lineRule="auto"/>
        <w:rPr>
          <w:sz w:val="20"/>
          <w:szCs w:val="20"/>
          <w:color w:val="auto"/>
        </w:rPr>
      </w:pPr>
      <w:r>
        <w:rPr>
          <w:rFonts w:ascii="Arial" w:cs="Arial" w:eastAsia="Arial" w:hAnsi="Arial"/>
          <w:sz w:val="16"/>
          <w:szCs w:val="16"/>
          <w:color w:val="auto"/>
        </w:rPr>
        <w:t>There may be significant delays in obtaining reimbursement for newly-approved drugs or therapeutic biologics, and coverage may be more limited than the purposes for which the drug or therapeutic biologic is approved by the FDA or similar regulatory authorities outside of the United States. Moreover, eligibility for reimbursement does not imply that any drug or therapeutic biologic will be reimbursed in all cases or at a rate that covers our costs, including research, development, manufacture, sale and distribution. Interim reimbursement levels for new drugs or therapeutic biologics, if applicable, may also be insufficient to cover our costs and may not be made permanent. Reimbursement rates may be based on payments allowed for lower-cost drugs or therapeutic biologics that are already reimbursed, may be incorporated into existing payments for other services and may reflect budgetary constraints or imperfections in Medicare data. Net prices for drugs or therapeutic biologics may be reduced by mandatory discounts or rebates required by government healthcare programs or private payors and by any future relaxation of laws that presently restrict imports of drugs or therapeutic biologics from countries where they may be sold at lower prices than in the United States. Third-party payors often rely upon Medicare coverage policy and payment limitations in setting their own reimbursement rates. If reimbursement of any product candidate approved for marketing is unavailable or limited in scope or amount, or if pricing is set at unsatisfactory levels, our business, financial condition, results of operations or prospects could be materially and adversely affected, and our ability to commercialize such products, once approved, could be materially impaired.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117"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such as our product candidates, if approved. In particular, a product may not be promoted for uses that are not approved by the FDA or such other regulatory agencies as reflected in the product’s approved labeling. For example, if we receive marketing approval for mecbotamab vedotin as a treatment for soft tissue and bone sarcoma, physicians may nevertheless use our product for their patients in a manner that is inconsistent with the approved labeling. If we are found to have promoted such off-label uses, we may become subject to significant liability. Moreover, although we believe that our product candidates may be safer or more effective than other therapies, unless we conduct head-to-head comparative studies, we will not be able to make any claims of superiority.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financial condition, results of operations and prospects.</w:t>
      </w:r>
    </w:p>
    <w:p>
      <w:pPr>
        <w:spacing w:after="0" w:line="28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Disruptions at the FDA, the SEC and other government agencies caused by, among other factors,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63"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statutory, regulatory and policy changes and other events that may otherwise affect the FDA’s ability to perform routine functions. In addition, government funding of the Securities and Exchange Commission, or the SEC, and other government agencies on which our operations may rely, including those that fund research and development activities, is subject to the political process, which is inherently fluid and unpredictable.</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0" w:name="page41"/>
    <w:bookmarkEnd w:id="40"/>
    <w:p>
      <w:pPr>
        <w:ind w:right="40" w:firstLine="509"/>
        <w:spacing w:after="0" w:line="269" w:lineRule="auto"/>
        <w:rPr>
          <w:sz w:val="20"/>
          <w:szCs w:val="20"/>
          <w:color w:val="auto"/>
        </w:rPr>
      </w:pPr>
      <w:r>
        <w:rPr>
          <w:rFonts w:ascii="Arial" w:cs="Arial" w:eastAsia="Arial" w:hAnsi="Arial"/>
          <w:sz w:val="17"/>
          <w:szCs w:val="17"/>
          <w:color w:val="auto"/>
        </w:rPr>
        <w:t>Disruptions at the FDA and other agencies may also slow the time necessary for new drugs to be reviewed or approved by necessary government agencies, which would adversely affect our business. For example, in recent years, notably in 2018 and 2019, the U.S. government shut down several times and certain regulatory agencies, such as the FDA and the SEC, had to furlough critical employees and stop critical activities. Separately, in response to the COVID-19 pandemic, on March 10, 2020, the FDA announced its intention to postpone most inspections of foreign manufacturing facilities and products through April 2020 and subsequently, on March 18, 2020, the FDA announced its intention to temporarily postpone routine surveillance inspections of domestic manufacturing facilities. Subsequently, on July 20, 2020, the FDA announced its intention to resume certain domestic on-site inspections,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In addition, on October 26, 2023, the FDA issued a draft guidance document in which the FDA outlined plans to conduct voluntary remote interactive evaluations of certain drug manufacturing facilities and clinical research sites. According to the guidance, the FDA intends to request such remote interactive evaluations in situations where it determines it is appropriate based on mission needs and any travel limitations. Regulatory authorities outside the United States may adopt similar restrictions or other policy measures.</w:t>
      </w:r>
    </w:p>
    <w:p>
      <w:pPr>
        <w:spacing w:after="0" w:line="179"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future government shutdowns or delays could impact our ability to access the public markets and obtain necessary capital in order to properly capitalize and continue our operations.</w:t>
      </w:r>
    </w:p>
    <w:p>
      <w:pPr>
        <w:spacing w:after="0" w:line="279"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b w:val="1"/>
          <w:bCs w:val="1"/>
          <w:i w:val="1"/>
          <w:iCs w:val="1"/>
          <w:color w:val="auto"/>
        </w:rPr>
        <w:t>The FDA, EMA and other comparable foreign regulatory authorities may not accept data from trials conducted in locations outside of their jurisdiction.</w:t>
      </w:r>
    </w:p>
    <w:p>
      <w:pPr>
        <w:spacing w:after="0" w:line="62" w:lineRule="exact"/>
        <w:rPr>
          <w:sz w:val="20"/>
          <w:szCs w:val="20"/>
          <w:color w:val="auto"/>
        </w:rPr>
      </w:pPr>
    </w:p>
    <w:p>
      <w:pPr>
        <w:ind w:right="100" w:firstLine="509"/>
        <w:spacing w:after="0" w:line="269" w:lineRule="auto"/>
        <w:rPr>
          <w:sz w:val="20"/>
          <w:szCs w:val="20"/>
          <w:color w:val="auto"/>
        </w:rPr>
      </w:pPr>
      <w:r>
        <w:rPr>
          <w:rFonts w:ascii="Arial" w:cs="Arial" w:eastAsia="Arial" w:hAnsi="Arial"/>
          <w:sz w:val="17"/>
          <w:szCs w:val="17"/>
          <w:color w:val="auto"/>
        </w:rPr>
        <w:t>We may choose to conduct international clinical trials in the future. The acceptance of study data by the FDA, EMA or other comparable foreign regulatory authority from clinical trials conducted outside of their respective jurisdictions may be subject to certain conditions. In cases where data from foreign clinical trials are intended to serve as the basis for marketing approval in the United States, the FDA will generally not approve the application on the basis of foreign data alone unless (i) the data are applicable to the United States population and United States medical practice; (ii) the trials are performed by clinical investigators of recognized competence and pursuant to current GCP requirements; and (iii) the FDA is able to validate the data through an on-site inspection or other appropriate means. Additionally, the FDA’s clinical trial requirements, including the adequacy of the patient population studied and statistical powering, must be met. In addition, such foreign trials would be subject to the applicable local laws of the foreign jurisdictions where the trials are conducted. We cannot assure you that the FDA, EMA or any applicable foreign regulatory authority will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for commercialization in the applicable jurisdiction.</w:t>
      </w:r>
    </w:p>
    <w:p>
      <w:pPr>
        <w:spacing w:after="0" w:line="29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principal investigators, CROs, consultants, suppliers and vendors may engage in misconduct or other improper activities, including noncompliance with regulatory standards and requirements.</w:t>
      </w:r>
    </w:p>
    <w:p>
      <w:pPr>
        <w:spacing w:after="0" w:line="62" w:lineRule="exact"/>
        <w:rPr>
          <w:sz w:val="20"/>
          <w:szCs w:val="20"/>
          <w:color w:val="auto"/>
        </w:rPr>
      </w:pPr>
    </w:p>
    <w:p>
      <w:pPr>
        <w:ind w:right="20" w:firstLine="509"/>
        <w:spacing w:after="0" w:line="283" w:lineRule="auto"/>
        <w:rPr>
          <w:sz w:val="20"/>
          <w:szCs w:val="20"/>
          <w:color w:val="auto"/>
        </w:rPr>
      </w:pPr>
      <w:r>
        <w:rPr>
          <w:rFonts w:ascii="Arial" w:cs="Arial" w:eastAsia="Arial" w:hAnsi="Arial"/>
          <w:sz w:val="16"/>
          <w:szCs w:val="16"/>
          <w:color w:val="auto"/>
        </w:rPr>
        <w:t>We are exposed to the risk that our employees, independent contractors, principal investigators, CROs, consultants, suppliers and vendors may engage in fraudulent conduct or other illegal activity. Misconduct by these parties could include intentional, reckless and/or negligent conduct or disclosure of unauthorized activities to us that violates: (i) FDA laws and regulations, including those laws that require the reporting of true, complete and accurate information to the FDA, (ii) manufacturing standards, (iii) federal and state healthcare fraud and abuse laws and regulations or (iv) laws that require the true, complete and accurate reporting of financial information or data.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material and adverse effect on our business, financial condition, results of operations and prospects, including the imposition of significant fines or other sanctions, including exclusion from government healthcare programs, and serious harm to our reputation.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adverse effect on our business and results of operations.</w:t>
      </w:r>
    </w:p>
    <w:p>
      <w:pPr>
        <w:spacing w:after="0" w:line="117" w:lineRule="exact"/>
        <w:rPr>
          <w:sz w:val="20"/>
          <w:szCs w:val="20"/>
          <w:color w:val="auto"/>
        </w:rPr>
      </w:pPr>
    </w:p>
    <w:p>
      <w:pPr>
        <w:ind w:right="160" w:firstLine="509"/>
        <w:spacing w:after="0" w:line="257" w:lineRule="auto"/>
        <w:rPr>
          <w:sz w:val="20"/>
          <w:szCs w:val="20"/>
          <w:color w:val="auto"/>
        </w:rPr>
      </w:pPr>
      <w:r>
        <w:rPr>
          <w:rFonts w:ascii="Arial" w:cs="Arial" w:eastAsia="Arial" w:hAnsi="Arial"/>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80"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For example, in March 2010, the ACA was enacted, which substantially changed the way healthcare is financed by both the government and private insurers and significantly impacted the U.S. pharmaceutical industry. Among other things, the ACA intended to broaden access to health insurance, reduce or constrain the growth of healthcare spending, enhance remedies against fraud and abuse, add new transparency requirements for healthcare and health insurance industries, impose new taxes and fees on the health industry and impose additional health policy reforms. By way of example, the ACA increased manufacturers’ rebate liability under the Medicaid Drug Rebate Program, imposed a significant annual fee on companies that manufacture or import branded prescription drug products and required manufacturers to provide a discount off the negotiated price of prescriptions filled by beneficiaries in the Medicare Part D coverage gap, referred to as the “donut hole,” which is now 70% of the negotiated price. There have been executive, legislative and judicial efforts to modify, repeal, or otherwise invalidate all, or certain provisions of, the ACA. For example, the Tax Cuts and Jobs Act, among other things, included a provision that repealed, effective January 1, 2019, the tax-based shared responsibility payment imposed by the ACA on certain individuals who fail to maintain qualifying health coverage for all or part of a year that is commonly referred to as the “individual mandate.” On June 17, 2021, the U.S. Supreme Court dismissed a challenge on procedural grounds that argued the ACA is unconstitutional in its entirety because the “individual mandate” was repealed by Congress. Thus, the ACA will remain in effect in its current form. It is possible that the ACA will be subject to judicial or Congressional challenges in the future. It is unclear how any future challenges to the ACA and the healthcare reform measures of the Biden administration will impact the ACA and our business. We are continuing to monitor any changes to the ACA that, in turn, may potentially impact our business in the future.</w:t>
      </w:r>
    </w:p>
    <w:p>
      <w:pPr>
        <w:spacing w:after="0" w:line="74" w:lineRule="exact"/>
        <w:rPr>
          <w:sz w:val="20"/>
          <w:szCs w:val="20"/>
          <w:color w:val="auto"/>
        </w:rPr>
      </w:pPr>
    </w:p>
    <w:p>
      <w:pPr>
        <w:ind w:right="40" w:firstLine="509"/>
        <w:spacing w:after="0" w:line="287"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ACA was enacted. These changes included aggregate reductions to Medicare payments to providers of 2% per fiscal year. These reductions went into effect on April 1, 2013 and, due to subsequent legislative amendments to the statute, will remain in effect through 2031 unless additional Congressional action is taken, with the exception of a temporary suspension from May 1, 2020 through March 31, 2022, and a reduction to the sequestration cut to 1% from April 1, 2022 to June 30, 2022, due to the COVID-19 pandemic.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which could have a material adverse effect on customers for our drugs, if approved, and accordingly, our financial operations. 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w:t>
      </w:r>
    </w:p>
    <w:p>
      <w:pPr>
        <w:spacing w:after="0" w:line="64" w:lineRule="exact"/>
        <w:rPr>
          <w:sz w:val="20"/>
          <w:szCs w:val="20"/>
          <w:color w:val="auto"/>
        </w:rPr>
      </w:pPr>
    </w:p>
    <w:p>
      <w:pPr>
        <w:ind w:right="20" w:firstLine="509"/>
        <w:spacing w:after="0" w:line="282" w:lineRule="auto"/>
        <w:rPr>
          <w:sz w:val="20"/>
          <w:szCs w:val="20"/>
          <w:color w:val="auto"/>
        </w:rPr>
      </w:pPr>
      <w:r>
        <w:rPr>
          <w:rFonts w:ascii="Arial" w:cs="Arial" w:eastAsia="Arial" w:hAnsi="Arial"/>
          <w:sz w:val="16"/>
          <w:szCs w:val="16"/>
          <w:color w:val="auto"/>
        </w:rPr>
        <w:t>Furthermore, on September 9, 2021, the Biden administration published a wide-ranging list of policy proposals to lower prescription drug prices, including by allowing Medicare to negotiate prices and disincentivizing price increases, and to support market changes that strengthen supply chains, promote biosimilars and generic drugs, and increase price transparency. These initiatives recently culminated in the enactment of the Inflation Reduction Act, or IRA, in August 2022, which will, among other things, allow HHS to negotiate the selling price of certain drugs and biologics that CMS reimburses under Medicare Part B and Part D, although only high-expenditure single-source biologics that have been approved for at least 11 years (7 years for drugs) can be selected by CMS for negotiation, with the negotiated price taking effect two years after the selection year. The negotiated prices, which will first become effective in 2026, will be capped at a statutory ceiling price. The law also penalizes drug manufacturers that increase prices of Medicare Part D and Part B drugs at a rate greater than the rate of inflation. In addition, the law eliminates the “donut hole” under Medicare Part D beginning in 2025 by significantly lowering the beneficiary maximum out-of-pocket cost and requiring manufacturers to subsidize, through a newly established manufacturer discount program, 10% of Part D enrollees’ prescription costs for brand drugs below the out-of-pocket maximum, and 20% once the out-of-pocket maximum has been reached. The IRA permits the Secretary of HHS to implement many of these provisions through guidance, as opposed to regulation, for the initial years. Manufacturers that fail to comply with the IRA may be subject to various penalties, including civil monetary penalties. The IRA also extends enhanced subsidies for individuals purchasing health insurance coverage in ACA marketplaces through plan year 2025. These provisions will take effect progressively starting in 2023, although they may be subject to legal challenges. For example, the provisions related to the negotiation of selling prices of high-expenditure single-source drugs and biologics have been challenged in multiple lawsuits. Thus, while it is unclear how the IRA will be implemented, it will likely have a significant impact on the pharmaceutical industry. It is unclear to what extent other statutory, regulatory, and administrative initiatives will be enacted and implemented, and to what extent these or any future legislation or regulations by the Biden administration or subsequent administrations will have on our business, including market acceptance, and sales, of our products and product candidates.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2" w:name="page43"/>
    <w:bookmarkEnd w:id="42"/>
    <w:p>
      <w:pPr>
        <w:ind w:right="40" w:firstLine="509"/>
        <w:spacing w:after="0" w:line="275" w:lineRule="auto"/>
        <w:rPr>
          <w:sz w:val="20"/>
          <w:szCs w:val="20"/>
          <w:color w:val="auto"/>
        </w:rPr>
      </w:pPr>
      <w:r>
        <w:rPr>
          <w:rFonts w:ascii="Arial" w:cs="Arial" w:eastAsia="Arial" w:hAnsi="Arial"/>
          <w:sz w:val="17"/>
          <w:szCs w:val="17"/>
          <w:color w:val="auto"/>
        </w:rPr>
        <w:t>Further, on May 30, 2018, the Trickett Wendler, Frank Mongiello, Jordan McLinn, and Matthew Beilina Right to Try Act of 2017, or the Right to Try Act, was signed into law. The law, among other things, provides a federal framework for certain patients to access certain investigational new product candidates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products available to eligible patients as a result of the Right to Try Act.</w:t>
      </w:r>
    </w:p>
    <w:p>
      <w:pPr>
        <w:spacing w:after="0" w:line="68" w:lineRule="exact"/>
        <w:rPr>
          <w:sz w:val="20"/>
          <w:szCs w:val="20"/>
          <w:color w:val="auto"/>
        </w:rPr>
      </w:pPr>
    </w:p>
    <w:p>
      <w:pPr>
        <w:ind w:right="120" w:firstLine="509"/>
        <w:spacing w:after="0" w:line="301" w:lineRule="auto"/>
        <w:rPr>
          <w:sz w:val="20"/>
          <w:szCs w:val="20"/>
          <w:color w:val="auto"/>
        </w:rPr>
      </w:pPr>
      <w:r>
        <w:rPr>
          <w:rFonts w:ascii="Arial" w:cs="Arial" w:eastAsia="Arial" w:hAnsi="Arial"/>
          <w:sz w:val="16"/>
          <w:szCs w:val="16"/>
          <w:color w:val="auto"/>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spacing w:after="0" w:line="49"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w:t>
      </w:r>
    </w:p>
    <w:p>
      <w:pPr>
        <w:spacing w:after="0" w:line="84"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current product candidates and any future product candidates or additional pricing pressures. It is possible that additional governmental action is taken to address the COVID-19 pandemic. For example, on April 18, 2020, CMS announced that QHP issuers under the ACA may suspend activities related to the collection and reporting of quality data that would have otherwise been reported between May and June 2020 given the challenges healthcare providers were facing responding to the COVID-19 virus.</w:t>
      </w:r>
    </w:p>
    <w:p>
      <w:pPr>
        <w:spacing w:after="0" w:line="84"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296"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Our relationships with healthcare professionals, clinical investigators, CROs and third-party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spacing w:after="0" w:line="80" w:lineRule="exact"/>
        <w:rPr>
          <w:sz w:val="20"/>
          <w:szCs w:val="20"/>
          <w:color w:val="auto"/>
        </w:rPr>
      </w:pPr>
    </w:p>
    <w:p>
      <w:pPr>
        <w:ind w:right="160" w:firstLine="509"/>
        <w:spacing w:after="0" w:line="275" w:lineRule="auto"/>
        <w:rPr>
          <w:sz w:val="20"/>
          <w:szCs w:val="20"/>
          <w:color w:val="auto"/>
        </w:rPr>
      </w:pPr>
      <w:r>
        <w:rPr>
          <w:rFonts w:ascii="Arial" w:cs="Arial" w:eastAsia="Arial" w:hAnsi="Arial"/>
          <w:sz w:val="17"/>
          <w:szCs w:val="17"/>
          <w:color w:val="auto"/>
        </w:rPr>
        <w:t>Healthcare providers, physicians and third-party payors will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marketing approval. Restrictions under applicable federal and state healthcare laws and regulations, include the following:</w:t>
      </w:r>
    </w:p>
    <w:p>
      <w:pPr>
        <w:spacing w:after="0" w:line="68" w:lineRule="exact"/>
        <w:rPr>
          <w:sz w:val="20"/>
          <w:szCs w:val="20"/>
          <w:color w:val="auto"/>
        </w:rPr>
      </w:pPr>
    </w:p>
    <w:p>
      <w:pPr>
        <w:ind w:left="1000" w:right="100" w:hanging="368"/>
        <w:spacing w:after="0" w:line="25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U.S.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79" w:lineRule="exact"/>
        <w:rPr>
          <w:rFonts w:ascii="Arial" w:cs="Arial" w:eastAsia="Arial" w:hAnsi="Arial"/>
          <w:sz w:val="18"/>
          <w:szCs w:val="18"/>
          <w:color w:val="auto"/>
        </w:rPr>
      </w:pPr>
    </w:p>
    <w:p>
      <w:pPr>
        <w:ind w:left="1000" w:hanging="368"/>
        <w:spacing w:after="0" w:line="287" w:lineRule="auto"/>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U.S. federal false claims and civil monetary penalties laws, including the U.S. federal False Claims Act, which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w:t>
      </w:r>
    </w:p>
    <w:p>
      <w:pPr>
        <w:spacing w:after="0" w:line="2" w:lineRule="exact"/>
        <w:rPr>
          <w:sz w:val="20"/>
          <w:szCs w:val="20"/>
          <w:color w:val="auto"/>
        </w:rPr>
      </w:pPr>
    </w:p>
    <w:p>
      <w:pPr>
        <w:ind w:left="1000" w:right="240"/>
        <w:spacing w:after="0" w:line="281" w:lineRule="auto"/>
        <w:rPr>
          <w:sz w:val="20"/>
          <w:szCs w:val="20"/>
          <w:color w:val="auto"/>
        </w:rPr>
      </w:pPr>
      <w:r>
        <w:rPr>
          <w:rFonts w:ascii="Arial" w:cs="Arial" w:eastAsia="Arial" w:hAnsi="Arial"/>
          <w:sz w:val="16"/>
          <w:szCs w:val="16"/>
          <w:color w:val="auto"/>
        </w:rPr>
        <w:t>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3" w:name="page44"/>
    <w:bookmarkEnd w:id="43"/>
    <w:p>
      <w:pPr>
        <w:ind w:left="1000" w:right="60" w:hanging="368"/>
        <w:spacing w:after="0" w:line="25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79" w:lineRule="exact"/>
        <w:rPr>
          <w:rFonts w:ascii="Arial" w:cs="Arial" w:eastAsia="Arial" w:hAnsi="Arial"/>
          <w:sz w:val="18"/>
          <w:szCs w:val="18"/>
          <w:color w:val="auto"/>
        </w:rPr>
      </w:pPr>
    </w:p>
    <w:p>
      <w:pPr>
        <w:ind w:left="1020" w:right="200" w:hanging="383"/>
        <w:spacing w:after="0" w:line="25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HIPAA, as amended by HITECH, which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 and require notification to affected individuals and regulatory authorities of certain breaches of security of individually identifiable health information;</w:t>
      </w:r>
    </w:p>
    <w:p>
      <w:pPr>
        <w:spacing w:after="0" w:line="79" w:lineRule="exact"/>
        <w:rPr>
          <w:rFonts w:ascii="Arial" w:cs="Arial" w:eastAsia="Arial" w:hAnsi="Arial"/>
          <w:sz w:val="18"/>
          <w:szCs w:val="18"/>
          <w:color w:val="auto"/>
        </w:rPr>
      </w:pPr>
    </w:p>
    <w:p>
      <w:pPr>
        <w:ind w:left="1000" w:right="800" w:hanging="368"/>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federal and state consumer protection and unfair competition laws, which broadly regulate marketplace activities and activities that potentially harm customers;</w:t>
      </w:r>
    </w:p>
    <w:p>
      <w:pPr>
        <w:spacing w:after="0" w:line="62" w:lineRule="exact"/>
        <w:rPr>
          <w:rFonts w:ascii="Arial" w:cs="Arial" w:eastAsia="Arial" w:hAnsi="Arial"/>
          <w:sz w:val="18"/>
          <w:szCs w:val="18"/>
          <w:color w:val="auto"/>
        </w:rPr>
      </w:pPr>
    </w:p>
    <w:p>
      <w:pPr>
        <w:ind w:left="1000" w:right="140" w:hanging="368"/>
        <w:spacing w:after="0" w:line="296" w:lineRule="auto"/>
        <w:tabs>
          <w:tab w:leader="none" w:pos="10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U.S. Physician Payments Sunshine Act created under the ACA, and its implementing regulations, which require that certain manufacturers of drugs, devices, medical supplies and therapeutic biologics that are reimbursable under Medicare, Medicaid, and Children’s Health Insurance Programs report annually to the Department of Health and Human Services information related to certain payments and other transfers of value to physicians, as defined by such law, physician assistants, certain types of advance practice nurses and teaching hospitals, as well as ownership and investment interests held by the physicians described above and their immediate family members; and</w:t>
      </w:r>
    </w:p>
    <w:p>
      <w:pPr>
        <w:spacing w:after="0" w:line="53" w:lineRule="exact"/>
        <w:rPr>
          <w:rFonts w:ascii="Arial" w:cs="Arial" w:eastAsia="Arial" w:hAnsi="Arial"/>
          <w:sz w:val="16"/>
          <w:szCs w:val="16"/>
          <w:color w:val="auto"/>
        </w:rPr>
      </w:pPr>
    </w:p>
    <w:p>
      <w:pPr>
        <w:ind w:left="1000" w:right="40" w:hanging="368"/>
        <w:spacing w:after="0" w:line="272" w:lineRule="auto"/>
        <w:tabs>
          <w:tab w:leader="none" w:pos="10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analogous state laws and regulations, such as state anti-kickback and false claims laws that may apply to sales or marketing arrangements and claims involving healthcare items or services reimbursed by non-governmental third-party payors, including private insurers; some state laws require that pharmaceutical companies to comply with the pharmaceutical industry’s voluntary compliance guidelines and the relevant compliance guidance promulgated by the federal government in addition to requiring drug and therapeutic biologics manufacturers to report information related to payments to physicians and other healthcare providers or marketing expenditures, and state laws governing the privacy and security of health information in certain circumstances, many of which differ from each other in significant ways and often are not preempted by HIPAA, thus complicating compliance efforts.</w:t>
      </w:r>
    </w:p>
    <w:p>
      <w:pPr>
        <w:spacing w:after="0" w:line="177"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State and foreign laws also govern the privacy and security of health information in some circumstances, many of which differ from each other in significant ways and often are not preempted by HIPAA, thus complicating compliance efforts. For instance, the collection and use of health data in the EU is governed by the General Data Protection Regulation, or the GDPR, which extends the geographical scope of EU data protection law to non-EU entities under certain conditions, tightens existing EU data protection principles and creates new obligations for companies and new rights for individuals. Failure to comply with the GDPR may result in substantial fines and other administrative penalties. The GDPR may increase our responsibility and liability in relation to personal data that we possess and we may be required to put in place additional mechanisms ensuring compliance with the GDPR. We comply with the GDPR and the UK GDPR, which, together with the amended UK Data Protection Act 2018, retains the GDPR in United Kingdom national law, the latter regime having the ability to separately fine and penalize violations. The relationship between the United Kingdom and the EU in relation to certain aspects of data protection law remains unclear, and it is unclear how United Kingdom data protection laws and regulations will develop in the medium to longer term, and how data transfers to and from the United Kingdom will be regulated in the long term. Ongoing developments in the United Kingdom have created additional uncertainty regarding personal data transfers from the European Economic Area (EEA) to the United Kingdom following the termination of the personal data transfer grace period set out in the EU and United Kingdom Trade and Cooperation Agreement, which ended on June 30, 2021. It is not clear whether (and when) an adequacy decision may be granted by the European Commission enabling data transfers from EU member states to the United Kingdom long term without additional measures. Moreover, in July 2020 the Court of Justice of the European Union (CJEU) invalidated the EU-US Privacy Shield Framework (Privacy Shield) under which personal data could be transferred from the EEA and the United Kingdom to entities in the United States who had self-certified under the Privacy Shield scheme. This has led to uncertainty about the adequate transfer mechanisms for other personal data transfers from the EEA and the United Kingdom to the United States or interruption of such transfers. In the event that any court of law orders the suspension of personal data transfers to or from a particular jurisdiction this could give rise to operational interruption in the performance of services for customers, greater costs to implement alternative data transfer mechanisms that are still permitted, regulatory liabilities or reputational harm. In addition, state laws govern the privacy and security of health information in specified circumstances, many of which differ from each other in significant ways and may not have the same effect, thus complicating compliance efforts. Certain state laws may be more stringent or broader in scope, or offer greater individual rights, with respect to personal information, and such laws may differ from each other, all of which may complicate compliance efforts. For example, the CCPA, as modified by the CPRA,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The CCPA and CPRA may increase our compliance costs and potential liability, and similar laws have been proposed at the federal level and in other states.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4" w:name="page45"/>
    <w:bookmarkEnd w:id="44"/>
    <w:p>
      <w:pPr>
        <w:ind w:right="60" w:firstLine="509"/>
        <w:spacing w:after="0" w:line="271" w:lineRule="auto"/>
        <w:rPr>
          <w:sz w:val="20"/>
          <w:szCs w:val="20"/>
          <w:color w:val="auto"/>
        </w:rPr>
      </w:pPr>
      <w:r>
        <w:rPr>
          <w:rFonts w:ascii="Arial" w:cs="Arial" w:eastAsia="Arial" w:hAnsi="Arial"/>
          <w:sz w:val="17"/>
          <w:szCs w:val="17"/>
          <w:color w:val="auto"/>
        </w:rPr>
        <w:t>Ensuring that our internal operations and future business arrangements with third parties comply with applicable healthcare, privacy and securities laws and regulations worldwide will involve substantial costs. If our operations are found to be in violation of any of the laws described above or any other governmental laws and regulations that may apply to us, we may be subject to regulatory investigations and enforcement actions, as well as civil private plaintiff litigation, which could mean significant penalties, including civil, criminal and administrative penalties, damages, fines, exclusion from participation in government-funded healthcare programs such as Medicare and Medicaid or similar programs in other countries or jurisdictions, disgorgement, imprisonment, reputational harm and diminished profits. Responding to regulatory inquiries and defending against any such actions can be costly, time-consuming and may require significant financial and personnel resources. Therefore, even if we are successful in defending against any such actions that may be brought against us, our business may be impaired.</w:t>
      </w:r>
    </w:p>
    <w:p>
      <w:pPr>
        <w:spacing w:after="0" w:line="28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fail to comply with U.S. and foreign regulatory requirements, regulatory authorities could limit or withdraw any marketing or commercialization approvals we may receive and subject us to other penalties that could materially harm our business.</w:t>
      </w:r>
    </w:p>
    <w:p>
      <w:pPr>
        <w:spacing w:after="0" w:line="62" w:lineRule="exact"/>
        <w:rPr>
          <w:sz w:val="20"/>
          <w:szCs w:val="20"/>
          <w:color w:val="auto"/>
        </w:rPr>
      </w:pPr>
    </w:p>
    <w:p>
      <w:pPr>
        <w:ind w:firstLine="509"/>
        <w:spacing w:after="0" w:line="285" w:lineRule="auto"/>
        <w:rPr>
          <w:sz w:val="20"/>
          <w:szCs w:val="20"/>
          <w:color w:val="auto"/>
        </w:rPr>
      </w:pPr>
      <w:r>
        <w:rPr>
          <w:rFonts w:ascii="Arial" w:cs="Arial" w:eastAsia="Arial" w:hAnsi="Arial"/>
          <w:sz w:val="16"/>
          <w:szCs w:val="16"/>
          <w:color w:val="auto"/>
        </w:rPr>
        <w:t>Even if we receive marketing and commercialization approval of a product candidate, we will be subject to continuing regulatory requirements, including in relation to adverse patient experiences with the product and clinical results that are reported after a product is made commercially available, both in the United States and any foreign jurisdiction in which we seek regulatory approval. The FDA has significant post-market authority, including the authority to require labeling changes based on new safety information and to require post-market studies or clinical trials to evaluate safety risks related to the use of a product or to require withdrawal of the product from the market. The FDA also has the authority to require a REMS plan after approval, which may impose further requirements or restrictions on the distribution or use of an approved drug or therapeutic biologic. The manufacturer and manufacturing facilities we use to make a future product, if any, will also be subject to periodic review and inspection by the FDA and other regulatory agencies, including for continued compliance with cGMP requirements. The discovery of any new or previously unknown problems with our third-party manufacturers, manufacturing processes or facilities may result in restrictions on the product, manufacturer or facility, including withdrawal of the product from the market. We rely, and expect we will continue to rely, on third-party manufacturers, and we will not have control over compliance with applicable rules and regulations by such manufacturers. Any product promotion and advertising will also be subject to regulatory requirements and continuing regulatory review. If we or our existing or future collaborators, manufacturers or service providers fail to comply with applicable continuing regulatory requirements in the United States or foreign jurisdictions in which we seek to market our products, we or they may be subject to, among other things, fines, warning or untitled letters, holds on clinical trials, delay of approval or refusal by the FDA to approve pending applications or supplements to approved applications, suspension or withdrawal of regulatory approval, product recalls and seizures, administrative detention of products, refusal to permit the import or export of products, operating restrictions, injunctions, civil penalties and criminal prosecution.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research and development activities could be affected or delayed as a result of possible restrictions on animal testing.</w:t>
      </w:r>
    </w:p>
    <w:p>
      <w:pPr>
        <w:spacing w:after="0" w:line="117" w:lineRule="exact"/>
        <w:rPr>
          <w:sz w:val="20"/>
          <w:szCs w:val="20"/>
          <w:color w:val="auto"/>
        </w:rPr>
      </w:pPr>
    </w:p>
    <w:p>
      <w:pPr>
        <w:ind w:right="80" w:firstLine="509"/>
        <w:spacing w:after="0" w:line="301" w:lineRule="auto"/>
        <w:rPr>
          <w:sz w:val="20"/>
          <w:szCs w:val="20"/>
          <w:color w:val="auto"/>
        </w:rPr>
      </w:pPr>
      <w:r>
        <w:rPr>
          <w:rFonts w:ascii="Arial" w:cs="Arial" w:eastAsia="Arial" w:hAnsi="Arial"/>
          <w:sz w:val="16"/>
          <w:szCs w:val="16"/>
          <w:color w:val="auto"/>
        </w:rPr>
        <w:t>Certain laws and regulations may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spacing w:after="0" w:line="26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76" w:lineRule="exact"/>
        <w:rPr>
          <w:sz w:val="20"/>
          <w:szCs w:val="20"/>
          <w:color w:val="auto"/>
        </w:rPr>
      </w:pPr>
    </w:p>
    <w:p>
      <w:pPr>
        <w:ind w:right="40" w:firstLine="509"/>
        <w:spacing w:after="0" w:line="266" w:lineRule="auto"/>
        <w:rPr>
          <w:sz w:val="20"/>
          <w:szCs w:val="20"/>
          <w:color w:val="auto"/>
        </w:rPr>
      </w:pPr>
      <w:r>
        <w:rPr>
          <w:rFonts w:ascii="Arial" w:cs="Arial" w:eastAsia="Arial" w:hAnsi="Arial"/>
          <w:sz w:val="17"/>
          <w:szCs w:val="17"/>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or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5" w:name="page46"/>
    <w:bookmarkEnd w:id="45"/>
    <w:p>
      <w:pPr>
        <w:ind w:right="180"/>
        <w:spacing w:after="0" w:line="277" w:lineRule="auto"/>
        <w:rPr>
          <w:sz w:val="20"/>
          <w:szCs w:val="20"/>
          <w:color w:val="auto"/>
        </w:rPr>
      </w:pPr>
      <w:r>
        <w:rPr>
          <w:rFonts w:ascii="Arial" w:cs="Arial" w:eastAsia="Arial" w:hAnsi="Arial"/>
          <w:sz w:val="18"/>
          <w:szCs w:val="18"/>
          <w:b w:val="1"/>
          <w:bCs w:val="1"/>
          <w:i w:val="1"/>
          <w:iCs w:val="1"/>
          <w:color w:val="auto"/>
        </w:rPr>
        <w:t>We and our third-party contractors must comply with environmental, health and safety laws and regulations. A failure to comply with these laws and regulations could expose us to significant costs or liabilities.</w:t>
      </w:r>
    </w:p>
    <w:p>
      <w:pPr>
        <w:spacing w:after="0" w:line="62" w:lineRule="exact"/>
        <w:rPr>
          <w:sz w:val="20"/>
          <w:szCs w:val="20"/>
          <w:color w:val="auto"/>
        </w:rPr>
      </w:pPr>
    </w:p>
    <w:p>
      <w:pPr>
        <w:ind w:right="20" w:firstLine="509"/>
        <w:spacing w:after="0" w:line="293" w:lineRule="auto"/>
        <w:rPr>
          <w:sz w:val="20"/>
          <w:szCs w:val="20"/>
          <w:color w:val="auto"/>
        </w:rPr>
      </w:pPr>
      <w:r>
        <w:rPr>
          <w:rFonts w:ascii="Arial" w:cs="Arial" w:eastAsia="Arial" w:hAnsi="Arial"/>
          <w:sz w:val="16"/>
          <w:szCs w:val="16"/>
          <w:color w:val="auto"/>
        </w:rPr>
        <w:t>We and our third-party contractors are subject to numerous environmental, health and safety laws and regulations, including those governing laboratory procedures and the use, generation, manufacture, distribution, storage, handling, treatment, remediation and disposal of hazardous materials and wastes. Hazardous chemicals, including flammable and biological materials, are involved in certain aspects of our business, and we cannot eliminate the risk of injury or contamination from the use, generation, manufacture, distribution, storage, handling, treatment or disposal of hazardous materials and wastes. In the event of contamination or injury, or failure to comply with environmental, health and safety laws and regulations, we could be held liable for any resulting damages, fines and penalties associated with such liability which could exceed our assets and resources.</w:t>
      </w:r>
    </w:p>
    <w:p>
      <w:pPr>
        <w:spacing w:after="0" w:line="164"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biological or hazardous materials or wastes arising out of and in the course of employment, this insurance may not provide adequate coverage against potential liabilities. We do not maintain insurance for environmental liability that may be asserted against us in connection with our storage or disposal of biological, hazardous or radioactive materials.</w:t>
      </w:r>
    </w:p>
    <w:p>
      <w:pPr>
        <w:spacing w:after="0" w:line="187" w:lineRule="exact"/>
        <w:rPr>
          <w:sz w:val="20"/>
          <w:szCs w:val="20"/>
          <w:color w:val="auto"/>
        </w:rPr>
      </w:pPr>
    </w:p>
    <w:p>
      <w:pPr>
        <w:ind w:right="60" w:firstLine="509"/>
        <w:spacing w:after="0" w:line="311" w:lineRule="auto"/>
        <w:rPr>
          <w:sz w:val="20"/>
          <w:szCs w:val="20"/>
          <w:color w:val="auto"/>
        </w:rPr>
      </w:pPr>
      <w:r>
        <w:rPr>
          <w:rFonts w:ascii="Arial" w:cs="Arial" w:eastAsia="Arial" w:hAnsi="Arial"/>
          <w:sz w:val="16"/>
          <w:szCs w:val="16"/>
          <w:color w:val="auto"/>
        </w:rPr>
        <w:t>Environmental, health and safety laws and regulations are becoming increasingly more stringent.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managing our growth and other risks related to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attract and retain qualified senior management and key scientific personnel, our business may be materially and adversely affected.</w:t>
      </w:r>
    </w:p>
    <w:p>
      <w:pPr>
        <w:spacing w:after="0" w:line="140" w:lineRule="exact"/>
        <w:rPr>
          <w:sz w:val="20"/>
          <w:szCs w:val="20"/>
          <w:color w:val="auto"/>
        </w:rPr>
      </w:pPr>
    </w:p>
    <w:p>
      <w:pPr>
        <w:ind w:right="140" w:firstLine="509"/>
        <w:spacing w:after="0" w:line="257" w:lineRule="auto"/>
        <w:rPr>
          <w:sz w:val="20"/>
          <w:szCs w:val="20"/>
          <w:color w:val="auto"/>
        </w:rPr>
      </w:pPr>
      <w:r>
        <w:rPr>
          <w:rFonts w:ascii="Arial" w:cs="Arial" w:eastAsia="Arial" w:hAnsi="Arial"/>
          <w:sz w:val="18"/>
          <w:szCs w:val="18"/>
          <w:color w:val="auto"/>
        </w:rPr>
        <w:t>Our success depends in part on our continued ability to attract, retain and motivate highly qualified management and clinical and scientific personnel. We are highly dependent upon members of our senior management, including Jay M. Short, Ph.D., our Chairman and Chief Executive Officer, as well as our clinical development leaders, senior scientists, and other members of our senior management team. The loss of services of any of these individuals could delay or prevent the successful development of our product pipeline, the initiation and completion of our planned clinical trials or the commercialization of product candidates or any future product candidates.</w:t>
      </w:r>
    </w:p>
    <w:p>
      <w:pPr>
        <w:spacing w:after="0" w:line="188" w:lineRule="exact"/>
        <w:rPr>
          <w:sz w:val="20"/>
          <w:szCs w:val="20"/>
          <w:color w:val="auto"/>
        </w:rPr>
      </w:pPr>
    </w:p>
    <w:p>
      <w:pPr>
        <w:ind w:right="140" w:firstLine="509"/>
        <w:spacing w:after="0" w:line="275" w:lineRule="auto"/>
        <w:rPr>
          <w:sz w:val="20"/>
          <w:szCs w:val="20"/>
          <w:color w:val="auto"/>
        </w:rPr>
      </w:pPr>
      <w:r>
        <w:rPr>
          <w:rFonts w:ascii="Arial" w:cs="Arial" w:eastAsia="Arial" w:hAnsi="Arial"/>
          <w:sz w:val="17"/>
          <w:szCs w:val="17"/>
          <w:color w:val="auto"/>
        </w:rPr>
        <w:t>Competition for qualified personnel in the pharmaceutical, biopharmaceutical and biotechnology field is intense due to the limited number of individuals who possess the skills and experience required by our industry. We will need to hire additional personnel as we expand our clinical development and if we initiate commercial activities. We may not be able to attract and retain quality personnel on acceptable terms, or at all. In addition, to the extent we hire personnel from competitors, we may be subject to allegations that they have been improperly solicited or that they have divulged proprietary or other confidential information, or that their former employers own their research output.</w:t>
      </w:r>
    </w:p>
    <w:p>
      <w:pPr>
        <w:spacing w:after="0" w:line="2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We currently have no sales organization. If we are unable to establish sales, marketing and distribution capabilities on our own or through third parties, we may not be able to market and sell our product candidates, if approved, effectively in the United States and foreign jurisdictions or generate product revenue.</w:t>
      </w:r>
    </w:p>
    <w:p>
      <w:pPr>
        <w:spacing w:after="0" w:line="76" w:lineRule="exact"/>
        <w:rPr>
          <w:sz w:val="20"/>
          <w:szCs w:val="20"/>
          <w:color w:val="auto"/>
        </w:rPr>
      </w:pPr>
    </w:p>
    <w:p>
      <w:pPr>
        <w:ind w:firstLine="509"/>
        <w:spacing w:after="0" w:line="266" w:lineRule="auto"/>
        <w:rPr>
          <w:sz w:val="20"/>
          <w:szCs w:val="20"/>
          <w:color w:val="auto"/>
        </w:rPr>
      </w:pPr>
      <w:r>
        <w:rPr>
          <w:rFonts w:ascii="Arial" w:cs="Arial" w:eastAsia="Arial" w:hAnsi="Arial"/>
          <w:sz w:val="17"/>
          <w:szCs w:val="17"/>
          <w:color w:val="auto"/>
        </w:rPr>
        <w:t>We currently do not have a marketing or sales organization. In order to commercialize our product candidates in the United States and foreign jurisdictions on our own, we must build our marketing, sales, distribution, managerial and other non-technical capabilities or make arrangements with third parties to perform these services, and we may not be successful in doing so. If any of our product candidates receives regulatory approval, we will need to develop internal sales, marketing and distribution capabilities to commercialize such products, which would be expensive and time-consuming, or make arrangements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existing or future collaborators, we will need to establish and maintain marketing and distribution arrangements with third parties, and we cannot assure you that we will be able to enter into such arrangements on acceptable terms, or at all. In entering into third-party marketing or distribution arrangements, any revenue we receive will depend upon the efforts of the third parties, and we cannot assure you that such third parties will establish adequate sales and distribution capabilities or be successful in gaining market acceptance of any approved product. If we are not successful in commercializing any product approved in the future, either on our own or through arrangements with one or more third parties, we may not be able to generate any future product revenue and we would incur significant additional losses.</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46" w:name="page47"/>
    <w:bookmarkEnd w:id="46"/>
    <w:p>
      <w:pPr>
        <w:ind w:right="340"/>
        <w:spacing w:after="0" w:line="277" w:lineRule="auto"/>
        <w:rPr>
          <w:sz w:val="20"/>
          <w:szCs w:val="20"/>
          <w:color w:val="auto"/>
        </w:rPr>
      </w:pPr>
      <w:r>
        <w:rPr>
          <w:rFonts w:ascii="Arial" w:cs="Arial" w:eastAsia="Arial" w:hAnsi="Arial"/>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62"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In order to successfully implement our development and commercialization plans and strategies, and operate as a public company, we expect to need additional development, managerial, operational, financial, sales, marketing and other personnel. Future growth would impose significant added responsibilities on members of management, including, among others:</w:t>
      </w:r>
    </w:p>
    <w:p>
      <w:pPr>
        <w:spacing w:after="0" w:line="76" w:lineRule="exact"/>
        <w:rPr>
          <w:sz w:val="20"/>
          <w:szCs w:val="20"/>
          <w:color w:val="auto"/>
        </w:rPr>
      </w:pPr>
    </w:p>
    <w:p>
      <w:pPr>
        <w:ind w:left="1000" w:hanging="36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17" w:lineRule="exact"/>
        <w:rPr>
          <w:rFonts w:ascii="Arial" w:cs="Arial" w:eastAsia="Arial" w:hAnsi="Arial"/>
          <w:sz w:val="18"/>
          <w:szCs w:val="18"/>
          <w:color w:val="auto"/>
        </w:rPr>
      </w:pPr>
    </w:p>
    <w:p>
      <w:pPr>
        <w:ind w:left="1020" w:right="280" w:hanging="383"/>
        <w:spacing w:after="0" w:line="263"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clinical and regulatory review process for mecbotamab vedotin, ozuriftamab vedotin, BA3071, BA3182 and any other product candidates, while complying with our contractual obligations to contractors and other third parties; and</w:t>
      </w:r>
    </w:p>
    <w:p>
      <w:pPr>
        <w:spacing w:after="0" w:line="75" w:lineRule="exact"/>
        <w:rPr>
          <w:rFonts w:ascii="Arial" w:cs="Arial" w:eastAsia="Arial" w:hAnsi="Arial"/>
          <w:sz w:val="18"/>
          <w:szCs w:val="18"/>
          <w:color w:val="auto"/>
        </w:rPr>
      </w:pPr>
    </w:p>
    <w:p>
      <w:pPr>
        <w:ind w:left="1000" w:hanging="36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225"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Our future financial performance and our ability to successfully develop and, if approved, commercialize mecbotamab vedotin, ozuriftamab vedotin, BA3071, BA3182, and any future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87" w:lineRule="exact"/>
        <w:rPr>
          <w:sz w:val="20"/>
          <w:szCs w:val="20"/>
          <w:color w:val="auto"/>
        </w:rPr>
      </w:pPr>
    </w:p>
    <w:p>
      <w:pPr>
        <w:ind w:right="80" w:firstLine="509"/>
        <w:spacing w:after="0" w:line="287" w:lineRule="auto"/>
        <w:rPr>
          <w:sz w:val="20"/>
          <w:szCs w:val="20"/>
          <w:color w:val="auto"/>
        </w:rPr>
      </w:pPr>
      <w:r>
        <w:rPr>
          <w:rFonts w:ascii="Arial" w:cs="Arial" w:eastAsia="Arial" w:hAnsi="Arial"/>
          <w:sz w:val="16"/>
          <w:szCs w:val="16"/>
          <w:color w:val="auto"/>
        </w:rPr>
        <w:t>To date, we have used the services of outside vendors to augment our capabilities in performing certain tasks, including preclinical and clinical trial management, manufacturing, statistics and analysis and research and development functions. Our growth strategy may also entail expanding our group of such contractors or consultants to assist in implementing these tasks going forward. Because we rely on numerous consultants,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mecbotamab vedotin, ozuriftamab vedotin, BA3071, BA3182, and any future product candidates or otherwise advance our business. We may not be able to manage our existing outside contractors or find other competent outside contractors and consultants on economically reasonable terms, or at all. If we are not able to effectively expand our organization by hiring new employees and expanding our groups of consultants and contractors, we may not be able to successfully implement the tasks necessary to further develop and commercialize mecbotamab vedotin, ozuriftamab vedotin, BA3071, BA3182, and any future product candidates and, accordingly, may not achieve our research, development and commercialization goals.</w:t>
      </w:r>
    </w:p>
    <w:p>
      <w:pPr>
        <w:spacing w:after="0" w:line="28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employees and independent contractors, including principal investigators, CROs, consultants and vendors, may engage in misconduct or other improper activities, including noncompliance with regulatory standards and requirements.</w:t>
      </w:r>
    </w:p>
    <w:p>
      <w:pPr>
        <w:spacing w:after="0" w:line="62" w:lineRule="exact"/>
        <w:rPr>
          <w:sz w:val="20"/>
          <w:szCs w:val="20"/>
          <w:color w:val="auto"/>
        </w:rPr>
      </w:pPr>
    </w:p>
    <w:p>
      <w:pPr>
        <w:ind w:right="20" w:firstLine="509"/>
        <w:spacing w:after="0" w:line="285" w:lineRule="auto"/>
        <w:rPr>
          <w:sz w:val="20"/>
          <w:szCs w:val="20"/>
          <w:color w:val="auto"/>
        </w:rPr>
      </w:pPr>
      <w:r>
        <w:rPr>
          <w:rFonts w:ascii="Arial" w:cs="Arial" w:eastAsia="Arial" w:hAnsi="Arial"/>
          <w:sz w:val="16"/>
          <w:szCs w:val="16"/>
          <w:color w:val="auto"/>
        </w:rPr>
        <w:t>We are exposed to the risk that our employees and independent contractors, including principal investigators, CROs, consultants and vendors may violate (intentionally or unintentionally) our internal processes and procedures, or engage in misconduct or other illegal activity. Such actions could include intentional, reckless and/or negligent conduct or disclosure of unauthorized activities to us that violate: (1) the laws and regulations of the FDA and other similar regulatory requirements, including those laws that require the reporting of true, complete and accurate information to such authorities, (2) manufacturing standards, including cGMP requirements, (3) data privacy, security, fraud and abuse and other healthcare laws and regulations in the United States and abroad or (4) laws that require the true, complete and accurate reporting of financial information or data. Activities subject to these laws also involve the improper use or misrepresentation of information obtained in the course of clinical trials, the creation of fraudulent data in our preclinical studies or clinical trials, or illegal misappropriation of drug product, which could result in regulatory sanctions and cause serious harm to our reputation. It is not always possible to identify, prevent and deter these activities and/or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actions, including fraud or other misconduct, even if none occurred. If any such actions are instituted against us, we may incur significant costs to respond, and if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federal healthcare programs, individual imprisonment,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 any of which could adversely affect our ability to operate our business and our results of operations.</w:t>
      </w:r>
    </w:p>
    <w:p>
      <w:pPr>
        <w:spacing w:after="0" w:line="279" w:lineRule="exact"/>
        <w:rPr>
          <w:sz w:val="20"/>
          <w:szCs w:val="20"/>
          <w:color w:val="auto"/>
        </w:rPr>
      </w:pPr>
    </w:p>
    <w:p>
      <w:pPr>
        <w:ind w:right="640"/>
        <w:spacing w:after="0" w:line="258" w:lineRule="auto"/>
        <w:rPr>
          <w:sz w:val="20"/>
          <w:szCs w:val="20"/>
          <w:color w:val="auto"/>
        </w:rPr>
      </w:pPr>
      <w:r>
        <w:rPr>
          <w:rFonts w:ascii="Arial" w:cs="Arial" w:eastAsia="Arial" w:hAnsi="Arial"/>
          <w:sz w:val="18"/>
          <w:szCs w:val="18"/>
          <w:b w:val="1"/>
          <w:bCs w:val="1"/>
          <w:i w:val="1"/>
          <w:iCs w:val="1"/>
          <w:color w:val="auto"/>
        </w:rPr>
        <w:t>We depend on our information technology systems and those of our CROs, manufacturers, contractors and consultants. Our internal computer systems, such as our enterprise resource planning (“ERP”) system, or those of any of our CROs,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7" w:name="page48"/>
    <w:bookmarkEnd w:id="47"/>
    <w:p>
      <w:pPr>
        <w:ind w:right="480"/>
        <w:spacing w:after="0" w:line="340" w:lineRule="auto"/>
        <w:rPr>
          <w:sz w:val="20"/>
          <w:szCs w:val="20"/>
          <w:color w:val="auto"/>
        </w:rPr>
      </w:pPr>
      <w:r>
        <w:rPr>
          <w:rFonts w:ascii="Arial" w:cs="Arial" w:eastAsia="Arial" w:hAnsi="Arial"/>
          <w:sz w:val="15"/>
          <w:szCs w:val="15"/>
          <w:b w:val="1"/>
          <w:bCs w:val="1"/>
          <w:i w:val="1"/>
          <w:iCs w:val="1"/>
          <w:color w:val="auto"/>
        </w:rPr>
        <w:t>manufacturers, other contractors, consultants, existing or future collaborators, may fail or suffer security or data privacy breaches or other unauthorized or improper access to, use or acquisition of or destruction of our proprietary and confidential data, employee data or personal data, which could result in additional costs, loss of revenue, significant liabilities, harm to our reputation and material disruption of our operations.</w:t>
      </w:r>
    </w:p>
    <w:p>
      <w:pPr>
        <w:spacing w:after="0" w:line="23" w:lineRule="exact"/>
        <w:rPr>
          <w:sz w:val="20"/>
          <w:szCs w:val="20"/>
          <w:color w:val="auto"/>
        </w:rPr>
      </w:pPr>
    </w:p>
    <w:p>
      <w:pPr>
        <w:ind w:right="20" w:firstLine="509"/>
        <w:spacing w:after="0" w:line="284" w:lineRule="auto"/>
        <w:rPr>
          <w:sz w:val="20"/>
          <w:szCs w:val="20"/>
          <w:color w:val="auto"/>
        </w:rPr>
      </w:pPr>
      <w:r>
        <w:rPr>
          <w:rFonts w:ascii="Arial" w:cs="Arial" w:eastAsia="Arial" w:hAnsi="Arial"/>
          <w:sz w:val="16"/>
          <w:szCs w:val="16"/>
          <w:color w:val="auto"/>
        </w:rPr>
        <w:t>In the ordinary course of our business, we collect, store and transmit large amounts of confidential information, including intellectual property, proprietary business information and personal information. Despite the implementation of security measures, our internal computer systems and infrastructure and those of our current and any future CROs, manufacturers, other contractors, consultants, existing or future collaborators and other third-party service providers are vulnerable to unauthorized access, impairment, or damage from various methods, including cybersecurity attacks, ransomware attacks, breaches, intentional or accidental mistakes or errors, or other technological failures, which can include, among other things, computer viruses, malware, exploit of unpatched product or service vulnerabilities, unauthorized access attempts (including third parties gaining access to systems using stolen or inferred credentials), denial-of-service attacks, phishing attempts, service disruptions, natural disasters, fire, terrorism, war and telecommunication and electrical failures. As the cyber-threat landscape evolves, these attacks are growing in frequency, levels of persistence, sophistication and intensity, are becoming increasingly difficult to detect, and are being conducted by sophisticated groups and individuals with a wide range of motives and expertise.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If such an event were to occur and cause interruptions in our operations, impact to critical data or systems, or result in the unauthorized acquisition of or access to personally identifiable information or individually identifiable health information (violating certain privacy, cybersecurity or data protection laws such as HIPAA, HITECH, the CCPA and GDPR), it could result in a material disruption of our product candidate development programs and our business operations and we could incur significant liabilities. There also could be requirements that we notify individuals and regulators in the event of unauthorized access to, acquisition, destruction, alteration, or misuse of, personal or health information, which could result from breaches experienced by us or by our vendors, contractors or organizations with which we have formed strategic relationships. Notifications and follow-up actions related to a security breach could impact our reputation and cause us to incur significant costs, including legal expenses and remediation costs, and result in the loss of confidence by our partners, customers, and stakeholders, and thereby have longer term adverse impact on our business operations and revenue. For example, the loss of clinical trial data from completed, ongoing or future clinical trials involving our product candidates could result in delays in our regulatory approval efforts and significantly increase our costs to recover or reproduce the lost data. In addition, because of our approach of running multiple clinical trials in parallel, any breach of our computer systems may result in a loss of data or compromised data integrity across many of our programs in various stages of development.</w:t>
      </w:r>
    </w:p>
    <w:p>
      <w:pPr>
        <w:spacing w:after="0" w:line="391"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We also rely on third parties to manufacture our product candidates,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be exposed to litigation and governmental investigations, the further development and commercialization of our product candidates could be delayed and we could be subject to significant fines or penalties for any noncompliance with certain state, federal or international privacy and security laws.</w:t>
      </w:r>
    </w:p>
    <w:p>
      <w:pPr>
        <w:spacing w:after="0" w:line="188" w:lineRule="exact"/>
        <w:rPr>
          <w:sz w:val="20"/>
          <w:szCs w:val="20"/>
          <w:color w:val="auto"/>
        </w:rPr>
      </w:pPr>
    </w:p>
    <w:p>
      <w:pPr>
        <w:ind w:right="380" w:firstLine="509"/>
        <w:spacing w:after="0" w:line="301" w:lineRule="auto"/>
        <w:rPr>
          <w:sz w:val="20"/>
          <w:szCs w:val="20"/>
          <w:color w:val="auto"/>
        </w:rPr>
      </w:pPr>
      <w:r>
        <w:rPr>
          <w:rFonts w:ascii="Arial" w:cs="Arial" w:eastAsia="Arial" w:hAnsi="Arial"/>
          <w:sz w:val="16"/>
          <w:szCs w:val="16"/>
          <w:color w:val="auto"/>
        </w:rPr>
        <w:t>We operate our ERP system and other key business systems on SaaS platforms. Accordingly, we depend on these systems, and the third-party providers of these services, for a number of aspects of our operations. If these service providers or these systems fail, or if we are unable to continue to have access to these systems on commercially reasonable terms, or at all, operations could be severely disrupted until an equivalent system(s) could be identified, licensed or developed, and integrated into our operations. This disruption could have a material adverse effect on our business.</w:t>
      </w:r>
    </w:p>
    <w:p>
      <w:pPr>
        <w:spacing w:after="0" w:line="157"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Our insurance policies may not be adequate to compensate us for the potential losses arising from any such disruption, failure or security breach.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29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A portion of our research and development activities take place in China. Uncertainties regarding the interpretation and enforcement of Chinese laws, rules and regulations, a trade war, deterioration of international relations, or political unrest in China could materially adversely affect our business, financial condition and results of operations.</w:t>
      </w:r>
    </w:p>
    <w:p>
      <w:pPr>
        <w:spacing w:after="0" w:line="76"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We conduct preclinical research and development activities in China through BioDuro-Sundia, which is U.S. owned, but governed by Chinese laws, rules and regulations. Additionally, our agreement with Himalaya Therapeutics Limited Company is for the initiation of clinical trials of ozuriftamab vedotin in the People’s Republic of China. The Chinese legal system is a civil law system</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8" w:name="page49"/>
    <w:bookmarkEnd w:id="48"/>
    <w:p>
      <w:pPr>
        <w:ind w:right="60"/>
        <w:spacing w:after="0" w:line="254" w:lineRule="auto"/>
        <w:rPr>
          <w:sz w:val="20"/>
          <w:szCs w:val="20"/>
          <w:color w:val="auto"/>
        </w:rPr>
      </w:pPr>
      <w:r>
        <w:rPr>
          <w:rFonts w:ascii="Arial" w:cs="Arial" w:eastAsia="Arial" w:hAnsi="Arial"/>
          <w:sz w:val="18"/>
          <w:szCs w:val="18"/>
          <w:color w:val="auto"/>
        </w:rPr>
        <w:t>based on written statutes. Unlike the common law system, prior court decisions may be cited for reference but have limited precedential value. In addition, the Chinese legal system is based in part on government policies and internal rules, some of which are not published on a timely basis or not published at all, and which may have a retroactive effect. As a result, we may not be aware of our violation of these policies and rules until after the occurrence of the violation. Any administrative and court proceedings in China may be protracted, resulting in substantial costs and diversion of resources and management attention. Since Chinese administrative and court authorities have significant discretion in interpreting and implementing statutory and contractual terms, it may be more difficult to evaluate the outcome of administrative and court proceedings and the level of legal protection we enjoy than in U.S. or EU legal systems.</w:t>
      </w:r>
    </w:p>
    <w:p>
      <w:pPr>
        <w:spacing w:after="0" w:line="195"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Furthermore, we are exposed to the possibility of disruption of our research and development activities in the event of changes in the policies of the United States or Chinese governments, political unrest or unstable economic conditions in China, including the escalation of tensions between China and Taiwan, such as recent step up of military exercises around Taiwan by China. In addition, disagreements between the United States and China with respect to their political, military or economic policies toward Taiwan may contribute to further controversies. For example, a trade war could lead to increased costs for clinical materials that are manufactured in China. These interruptions or failures and any restrictive measures resulting from a deterioration of U.S.- China relations could also result in impeding the commercialization of our product candidates and impair our competitive position. Further, we may be exposed to fluctuations in the value of the local currency in China. Future appreciation of the local currency could increase our costs. These uncertainties may impede our ability to enforce the contracts we have entered into and our ability to continue our research and development activities and could materially and adversely affect our business, financial condition and results of operations.</w:t>
      </w:r>
    </w:p>
    <w:p>
      <w:pPr>
        <w:spacing w:after="0" w:line="289" w:lineRule="exact"/>
        <w:rPr>
          <w:sz w:val="20"/>
          <w:szCs w:val="20"/>
          <w:color w:val="auto"/>
        </w:rPr>
      </w:pPr>
    </w:p>
    <w:p>
      <w:pPr>
        <w:ind w:right="380"/>
        <w:spacing w:after="0" w:line="375" w:lineRule="auto"/>
        <w:rPr>
          <w:sz w:val="20"/>
          <w:szCs w:val="20"/>
          <w:color w:val="auto"/>
        </w:rPr>
      </w:pPr>
      <w:r>
        <w:rPr>
          <w:rFonts w:ascii="Arial" w:cs="Arial" w:eastAsia="Arial" w:hAnsi="Arial"/>
          <w:sz w:val="15"/>
          <w:szCs w:val="15"/>
          <w:b w:val="1"/>
          <w:bCs w:val="1"/>
          <w:i w:val="1"/>
          <w:iCs w:val="1"/>
          <w:color w:val="auto"/>
        </w:rPr>
        <w:t>Our current operations are concentrated in two locations. We or the third parties upon whom we depend may be adversely affected by earthquakes, wildfires or other natural disasters, and our business continuity and disaster recovery plans may not adequately protect us from a serious disaster.</w:t>
      </w:r>
    </w:p>
    <w:p>
      <w:pPr>
        <w:spacing w:after="0" w:line="1"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A portion of our current operations are located in our facilities in San Diego, California, and we conduct a portion of our research and development activities in China through our arrangement with BioDuro-Sundia. Any unplanned event, such as flood, fire, explosion, earthquake, extreme weather condition, medical epidemics or pandemics,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wildfires or other natural disasters could further disrupt our operations, and have a material and adverse effect on our business, financial condition, results of operations and prospects. If a natural disaster, power outage or other event prevented us from using all or a significant portion of our headquarters, damaged critical infrastructure, such as our research facilities or the manufacturing facilities of our third-party contract manufacturers, or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 In addition, all of our therapeutic antibodies are manufactured by starting with cells which are stored in one master cell bank for each antibody manufactured in multiple locations. While we believe we will have adequate backup should any cell bank be lost in a catastrophic event, and we take precautions when transporting our cell banks, it is possible that we could lose multiple cell banks and have our manufacturing severely impacted by the need to replace the cell banks.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economic, political, regulatory and other risks associated with conducting business internationally.</w:t>
      </w:r>
    </w:p>
    <w:p>
      <w:pPr>
        <w:spacing w:after="0" w:line="117"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We, our collaborators or licensees may seek regulatory approval of our product candidates outside of the United States including in China, the EU, Australia, New Zealand, and Japan. Additionally, pursuant to our agreement with Himalaya Therapeutics Limited Company, we conduct clinical trials in the People’s Republic of China. Accordingly, we expect that we will be subject to additional risks related to operating in foreign countries if we obtain the necessary approvals, including, among others:</w:t>
      </w:r>
    </w:p>
    <w:p>
      <w:pPr>
        <w:spacing w:after="0" w:line="79" w:lineRule="exact"/>
        <w:rPr>
          <w:sz w:val="20"/>
          <w:szCs w:val="20"/>
          <w:color w:val="auto"/>
        </w:rPr>
      </w:pPr>
    </w:p>
    <w:p>
      <w:pPr>
        <w:ind w:left="1000" w:hanging="36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differing regulatory requirements and reimbursement regimes in foreign countries;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117" w:lineRule="exact"/>
        <w:rPr>
          <w:rFonts w:ascii="Arial" w:cs="Arial" w:eastAsia="Arial" w:hAnsi="Arial"/>
          <w:sz w:val="18"/>
          <w:szCs w:val="18"/>
          <w:color w:val="auto"/>
        </w:rPr>
      </w:pPr>
    </w:p>
    <w:p>
      <w:pPr>
        <w:ind w:left="5540" w:right="2460" w:hanging="4908"/>
        <w:spacing w:after="0" w:line="277" w:lineRule="auto"/>
        <w:tabs>
          <w:tab w:leader="none" w:pos="1012" w:val="left"/>
        </w:tabs>
        <w:numPr>
          <w:ilvl w:val="0"/>
          <w:numId w:val="20"/>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9" w:name="page50"/>
    <w:bookmarkEnd w:id="49"/>
    <w:p>
      <w:pPr>
        <w:ind w:left="1000" w:hanging="36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17" w:lineRule="exact"/>
        <w:rPr>
          <w:rFonts w:ascii="Arial" w:cs="Arial" w:eastAsia="Arial" w:hAnsi="Arial"/>
          <w:sz w:val="18"/>
          <w:szCs w:val="18"/>
          <w:color w:val="auto"/>
        </w:rPr>
      </w:pPr>
    </w:p>
    <w:p>
      <w:pPr>
        <w:ind w:left="1000" w:right="400" w:hanging="368"/>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liability under the FCPA or comparable foreign regulations;</w:t>
      </w:r>
    </w:p>
    <w:p>
      <w:pPr>
        <w:spacing w:after="0" w:line="117" w:lineRule="exact"/>
        <w:rPr>
          <w:rFonts w:ascii="Arial" w:cs="Arial" w:eastAsia="Arial" w:hAnsi="Arial"/>
          <w:sz w:val="18"/>
          <w:szCs w:val="18"/>
          <w:color w:val="auto"/>
        </w:rPr>
      </w:pPr>
    </w:p>
    <w:p>
      <w:pPr>
        <w:ind w:left="1000" w:right="400" w:hanging="368"/>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225"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Additionally, in February 2022, armed conflict escalated between Russia and Ukraine, and in October 2023, armed conflict escalated between Israel and Hamas, including in the Gaza Strip. It is not possible to predict the broader consequences of these conflicts, which could include further sanctions, embargoes, greater regional instability, geopolitical shifts and other adverse effects on macroeconomic conditions, currency exchange rates, supply chains and financial markets. These and other risks associated with our international operations may materially adversely affect our ability to attain or maintain profitable operations.</w:t>
      </w:r>
    </w:p>
    <w:p>
      <w:pPr>
        <w:spacing w:after="0" w:line="296"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We face risks related to health epidemics and outbreaks, including the COVID-19 pandemic, which could significantly disrupt our preclinical studies, affect enrollment of patients in our clinical trials or delay or prevent our receipt of necessary regulatory approvals.</w:t>
      </w:r>
    </w:p>
    <w:p>
      <w:pPr>
        <w:spacing w:after="0" w:line="38" w:lineRule="exact"/>
        <w:rPr>
          <w:sz w:val="20"/>
          <w:szCs w:val="20"/>
          <w:color w:val="auto"/>
        </w:rPr>
      </w:pPr>
    </w:p>
    <w:p>
      <w:pPr>
        <w:ind w:right="160" w:firstLine="509"/>
        <w:spacing w:after="0" w:line="255" w:lineRule="auto"/>
        <w:rPr>
          <w:sz w:val="20"/>
          <w:szCs w:val="20"/>
          <w:color w:val="auto"/>
        </w:rPr>
      </w:pPr>
      <w:r>
        <w:rPr>
          <w:rFonts w:ascii="Arial" w:cs="Arial" w:eastAsia="Arial" w:hAnsi="Arial"/>
          <w:sz w:val="18"/>
          <w:szCs w:val="18"/>
          <w:color w:val="auto"/>
        </w:rPr>
        <w:t>We face risks related to health epidemics or outbreaks of communicable diseases. The outbreak of communicable diseases could result in a widespread health crisis that could adversely affect general commercial activity and the economies and financial markets of many countries, which in the case of COVID-19 has occurred. Although the U.S. federal government has declared an end to the public health emergency related to the COVID-19 pandemic and many activities worldwide have returned to normal, the COVID-19 pandemic in the past has resulted in, and in the future may result in, governments implementing numerous containment measures, such as travel bans and restrictions, particularly quarantines, shelter-in-place or total lock-down orders and business limitations and shutdowns.</w:t>
      </w:r>
    </w:p>
    <w:p>
      <w:pPr>
        <w:spacing w:after="0" w:line="192"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auto"/>
        </w:rPr>
        <w:t>We are following, and plan to continue to follow, recommendations from federal, state and local governments regarding workplace policies, practices and procedures. We are complying with all applicable guidelines for our clinical trials, including remote clinical monitoring. We are continuing to monitor the potential impact of the pandemic, but even though many restrictions aimed at minimizing the spread of COVID-19 have been eased or lifted in the U.S. and other countries, we cannot be certain what the overall impact will be on our business, financial condition, results of operations and prospects.</w:t>
      </w:r>
    </w:p>
    <w:p>
      <w:pPr>
        <w:spacing w:after="0" w:line="157" w:lineRule="exact"/>
        <w:rPr>
          <w:sz w:val="20"/>
          <w:szCs w:val="20"/>
          <w:color w:val="auto"/>
        </w:rPr>
      </w:pPr>
    </w:p>
    <w:p>
      <w:pPr>
        <w:ind w:firstLine="509"/>
        <w:spacing w:after="0" w:line="266" w:lineRule="auto"/>
        <w:rPr>
          <w:sz w:val="20"/>
          <w:szCs w:val="20"/>
          <w:color w:val="auto"/>
        </w:rPr>
      </w:pPr>
      <w:r>
        <w:rPr>
          <w:rFonts w:ascii="Arial" w:cs="Arial" w:eastAsia="Arial" w:hAnsi="Arial"/>
          <w:sz w:val="17"/>
          <w:szCs w:val="17"/>
          <w:color w:val="auto"/>
        </w:rPr>
        <w:t>In addition, the COVID-19 pandemic in the past has had, and in the future may have, a severe effect on the clinical trials of many drug candidates of several sponsors. The extent to which the COVID-19 pandemic may impact our preclinical and clinical trial operations is uncertain and will depend on future developments, including the severity and duration of any resurgence of COVID-19 and its variants. To date, we have experienced modest business disruptions, including with respect to the clinical trials we are conducting, and non-material impairments as a result of the pandemic. A resurgence of COVID-19 or any of its variants could adversely impact our clinical trial operations, including our ability to recruit and retain patients and principal investigators and site staff who, as healthcare providers, may have heightened exposure to COVID-19 if an outbreak occurs in their geography. Disruptions or restrictions on our ability to travel to monitor data from our clinical trials, or to conduct clinical trials, or the ability of patients enrolled in our studies to travel, or the ability of staff at study sites to travel, as well as temporary closures of our facilities or the facilities of our clinical trial partners and their contract manufacturers, would negatively impact our clinical trial activities. In addition, we rely on independent clinical investigators, CROs and other third-party service providers to assist us in managing, monitoring and otherwise carrying out our preclinical studies and clinical trials, including the collection of data from our clinical trials, and an outbreak may affect their ability to devote sufficient time and resources to our programs or to travel to sites to perform work for us. Similarly, our preclinical trials could be delayed and/or disrupted by the COVID-19 pandemic. As a result, the expected timeline for data readouts of our preclinical studies and clinical trials and certain regulatory filings may be negatively impacted, which would adversely affect our ability to obtain regulatory approval for and to commercialize our product candidates, increase our operating expenses and have a material adverse effect on our business, financial condition, results of operations and prospects.</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i w:val="1"/>
          <w:iCs w:val="1"/>
          <w:color w:val="auto"/>
        </w:rPr>
        <w:t>We have entered, and may in the future seek to enter, into collaborations with third parties for the development and commercialization of certain of our product candidates. If we fail to enter into such collaborations, or such collaborations are not successful, we may not be able to capitalize on the market potential of our patented technology platform and resulting product candidates.</w:t>
      </w:r>
    </w:p>
    <w:p>
      <w:pPr>
        <w:spacing w:after="0" w:line="57"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We have entered, and may in the future seek to enter, into collaborations with third parties for the development and commercialization of certain of our product candidates. In addition, we are currently seeking third-party collaborators for development and commercialization of select CAB product candidates. With respect to our collaborations, and what we expect will be the case with any future license or collaboration agreements, we have, and would expect to have, limited control over the amount and timing of resources that our existing or future collaborators dedicate to the development or commercialization of our product candidates. Our ability to generate revenues from these arrangements will depend on our existing or future collaborators’ willingness to select additional product candidates to license and their abilities and willingness to fulfill their payment obligations and successfully perform the functions assigned to them in these arrangements.</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existing collaboration arrangements currently pose, and future collaborations involving our product candidates will pose, the following risks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103" w:lineRule="exact"/>
        <w:rPr>
          <w:sz w:val="20"/>
          <w:szCs w:val="20"/>
          <w:color w:val="auto"/>
        </w:rPr>
      </w:pPr>
    </w:p>
    <w:p>
      <w:pPr>
        <w:ind w:left="1000" w:hanging="368"/>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17" w:lineRule="exact"/>
        <w:rPr>
          <w:rFonts w:ascii="Arial" w:cs="Arial" w:eastAsia="Arial" w:hAnsi="Arial"/>
          <w:sz w:val="18"/>
          <w:szCs w:val="18"/>
          <w:color w:val="auto"/>
        </w:rPr>
      </w:pPr>
    </w:p>
    <w:p>
      <w:pPr>
        <w:ind w:left="1000" w:right="140" w:hanging="368"/>
        <w:spacing w:after="0" w:line="259"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our product candidates or may elect not to continue or renew development or commercialization programs based on preclinical or clinical trial results, changes in the collaborators’ strategic focus due to their acquisition of competitive products or their internal development of competitive products, available funding or other external factors, such as a business combination that diverts resources or creates competing priorities;</w:t>
      </w:r>
    </w:p>
    <w:p>
      <w:pPr>
        <w:spacing w:after="0" w:line="78" w:lineRule="exact"/>
        <w:rPr>
          <w:rFonts w:ascii="Arial" w:cs="Arial" w:eastAsia="Arial" w:hAnsi="Arial"/>
          <w:sz w:val="18"/>
          <w:szCs w:val="18"/>
          <w:color w:val="auto"/>
        </w:rPr>
      </w:pPr>
    </w:p>
    <w:p>
      <w:pPr>
        <w:ind w:left="1000" w:right="460" w:hanging="368"/>
        <w:spacing w:after="0" w:line="308" w:lineRule="auto"/>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38" w:lineRule="exact"/>
        <w:rPr>
          <w:rFonts w:ascii="Arial" w:cs="Arial" w:eastAsia="Arial" w:hAnsi="Arial"/>
          <w:sz w:val="17"/>
          <w:szCs w:val="17"/>
          <w:color w:val="auto"/>
        </w:rPr>
      </w:pPr>
    </w:p>
    <w:p>
      <w:pPr>
        <w:ind w:left="1000" w:right="60" w:hanging="368"/>
        <w:spacing w:after="0" w:line="263"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collaborators and other alliances could independently develop, or develop with third parties, products that compete directly or indirectly with our product candidate, particularly if the collaborators believe that competitive products are more likely to be successfully developed or can be commercialized under terms that are more economically attractive than ours;</w:t>
      </w:r>
    </w:p>
    <w:p>
      <w:pPr>
        <w:spacing w:after="0" w:line="75" w:lineRule="exact"/>
        <w:rPr>
          <w:rFonts w:ascii="Arial" w:cs="Arial" w:eastAsia="Arial" w:hAnsi="Arial"/>
          <w:sz w:val="18"/>
          <w:szCs w:val="18"/>
          <w:color w:val="auto"/>
        </w:rPr>
      </w:pPr>
    </w:p>
    <w:p>
      <w:pPr>
        <w:ind w:left="1000" w:right="540" w:hanging="368"/>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collaborators with marketing, manufacturing and distribution rights to one or more products may not commit sufficient resources to or otherwise not perform satisfactorily in carrying out these activities;</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that would prevent us from collaborating with others;</w:t>
      </w:r>
    </w:p>
    <w:p>
      <w:pPr>
        <w:spacing w:after="0" w:line="117" w:lineRule="exact"/>
        <w:rPr>
          <w:rFonts w:ascii="Arial" w:cs="Arial" w:eastAsia="Arial" w:hAnsi="Arial"/>
          <w:sz w:val="18"/>
          <w:szCs w:val="18"/>
          <w:color w:val="auto"/>
        </w:rPr>
      </w:pPr>
    </w:p>
    <w:p>
      <w:pPr>
        <w:ind w:left="1000" w:hanging="368"/>
        <w:spacing w:after="0" w:line="263"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75" w:lineRule="exact"/>
        <w:rPr>
          <w:rFonts w:ascii="Arial" w:cs="Arial" w:eastAsia="Arial" w:hAnsi="Arial"/>
          <w:sz w:val="18"/>
          <w:szCs w:val="18"/>
          <w:color w:val="auto"/>
        </w:rPr>
      </w:pPr>
    </w:p>
    <w:p>
      <w:pPr>
        <w:ind w:left="1000" w:hanging="368"/>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117" w:lineRule="exact"/>
        <w:rPr>
          <w:rFonts w:ascii="Arial" w:cs="Arial" w:eastAsia="Arial" w:hAnsi="Arial"/>
          <w:sz w:val="18"/>
          <w:szCs w:val="18"/>
          <w:color w:val="auto"/>
        </w:rPr>
      </w:pPr>
    </w:p>
    <w:p>
      <w:pPr>
        <w:ind w:left="1000" w:right="60" w:hanging="368"/>
        <w:spacing w:after="0" w:line="342" w:lineRule="auto"/>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disputes may arise between the collaborators and us that result in the delay or termination of the research, development or commercialization of our product candidate or that result in costly litigation or arbitration that diverts management attention and resources;</w:t>
      </w:r>
    </w:p>
    <w:p>
      <w:pPr>
        <w:spacing w:after="0" w:line="15" w:lineRule="exact"/>
        <w:rPr>
          <w:rFonts w:ascii="Arial" w:cs="Arial" w:eastAsia="Arial" w:hAnsi="Arial"/>
          <w:sz w:val="16"/>
          <w:szCs w:val="16"/>
          <w:color w:val="auto"/>
        </w:rPr>
      </w:pPr>
    </w:p>
    <w:p>
      <w:pPr>
        <w:ind w:left="1000" w:hanging="368"/>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disputes may arise with respect to the ownership of any intellectual property developed pursuant to our collaborations;</w:t>
      </w:r>
    </w:p>
    <w:p>
      <w:pPr>
        <w:spacing w:after="0" w:line="117" w:lineRule="exact"/>
        <w:rPr>
          <w:rFonts w:ascii="Arial" w:cs="Arial" w:eastAsia="Arial" w:hAnsi="Arial"/>
          <w:sz w:val="18"/>
          <w:szCs w:val="18"/>
          <w:color w:val="auto"/>
        </w:rPr>
      </w:pPr>
    </w:p>
    <w:p>
      <w:pPr>
        <w:jc w:val="both"/>
        <w:ind w:left="1020" w:right="360" w:hanging="383"/>
        <w:spacing w:after="0" w:line="286" w:lineRule="auto"/>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collaborators may not provide us with timely and accurate information regarding development, regulatory or commercialization status or results, which could adversely impact our ability to manage our own development efforts, accurately forecast financial results or provide timely information to our stockholders regarding our out-licensed product candidates;</w:t>
      </w:r>
    </w:p>
    <w:p>
      <w:pPr>
        <w:spacing w:after="0" w:line="57" w:lineRule="exact"/>
        <w:rPr>
          <w:rFonts w:ascii="Arial" w:cs="Arial" w:eastAsia="Arial" w:hAnsi="Arial"/>
          <w:sz w:val="17"/>
          <w:szCs w:val="17"/>
          <w:color w:val="auto"/>
        </w:rPr>
      </w:pPr>
    </w:p>
    <w:p>
      <w:pPr>
        <w:ind w:left="1020" w:right="680" w:hanging="383"/>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this may result in a need for additional capital to pursue further development or commercialization of the applicable current or future product candidates; and</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collaborators’ sales and marketing activities or other operations may not be in compliance with applicable laws resulting in civil or criminal</w:t>
      </w:r>
    </w:p>
    <w:p>
      <w:pPr>
        <w:spacing w:after="0" w:line="4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proceedings.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51" w:name="page52"/>
    <w:bookmarkEnd w:id="51"/>
    <w:p>
      <w:pPr>
        <w:ind w:right="140" w:firstLine="509"/>
        <w:spacing w:after="0" w:line="263" w:lineRule="auto"/>
        <w:rPr>
          <w:sz w:val="20"/>
          <w:szCs w:val="20"/>
          <w:color w:val="auto"/>
        </w:rPr>
      </w:pPr>
      <w:r>
        <w:rPr>
          <w:rFonts w:ascii="Arial" w:cs="Arial" w:eastAsia="Arial" w:hAnsi="Arial"/>
          <w:sz w:val="18"/>
          <w:szCs w:val="18"/>
          <w:color w:val="auto"/>
        </w:rPr>
        <w:t>Collaboration agreements may not lead to development or commercialization of our product candidates in the most efficient manner or at all. If a collaborator of ours were to be involved in a business combination, the continued pursuit and emphasis on our product development or commercialization program could be delayed, diminished or terminated.</w:t>
      </w:r>
    </w:p>
    <w:p>
      <w:pPr>
        <w:spacing w:after="0" w:line="29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If our existing or future collaborators cease development efforts under our existing or future collaboration agreements, or if any of those agreements are terminated, we may lose committed funding under those agreements and these collaborations may fail to lead to commercial products and the reputation of our patented CAB technology platform may suffer.</w:t>
      </w:r>
    </w:p>
    <w:p>
      <w:pPr>
        <w:spacing w:after="0" w:line="76" w:lineRule="exact"/>
        <w:rPr>
          <w:sz w:val="20"/>
          <w:szCs w:val="20"/>
          <w:color w:val="auto"/>
        </w:rPr>
      </w:pPr>
    </w:p>
    <w:p>
      <w:pPr>
        <w:ind w:right="20" w:firstLine="509"/>
        <w:spacing w:after="0" w:line="279" w:lineRule="auto"/>
        <w:rPr>
          <w:sz w:val="20"/>
          <w:szCs w:val="20"/>
          <w:color w:val="auto"/>
        </w:rPr>
      </w:pPr>
      <w:r>
        <w:rPr>
          <w:rFonts w:ascii="Arial" w:cs="Arial" w:eastAsia="Arial" w:hAnsi="Arial"/>
          <w:sz w:val="17"/>
          <w:szCs w:val="17"/>
          <w:color w:val="auto"/>
        </w:rPr>
        <w:t>Revenue from research and development collaborations depend upon continuation of the collaborations, initiation and expansion of the number of programs subject to the collaborations, the achievement of milestones and royalties, if any, derived from future products developed from our research. If we are unable to successfully advance the development of our product candidates or achieve milestones, revenue and cash resources from milestone payments under our existing or future collaboration agreements will be substantially less than expected.</w:t>
      </w:r>
    </w:p>
    <w:p>
      <w:pPr>
        <w:spacing w:after="0" w:line="63"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Our ability to advance our product candidates may be limited by third parties on which we rely for certain technologies which we use in certain of our programs. If any third party developing our product candidates or other candidates based on our patented CAB technology platform experiences a delay or failure in development, regulatory approval or commercialization, even if such failure is not due to our CAB technology, it could reflect negatively on us, our other product candidates and our patented CAB technology platform. In addition, if one of our current or future collaborators terminates its agreement with us, we may find it more difficult to attract new collaborators and our perception in the business and financial communities and our stock price could be adversely affected.</w:t>
      </w:r>
    </w:p>
    <w:p>
      <w:pPr>
        <w:spacing w:after="0" w:line="30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may not be successful in establishing commercialization collaborations, which could adversely affect our ability to commercialize our product candidates, if approved.</w:t>
      </w:r>
    </w:p>
    <w:p>
      <w:pPr>
        <w:spacing w:after="0" w:line="62" w:lineRule="exact"/>
        <w:rPr>
          <w:sz w:val="20"/>
          <w:szCs w:val="20"/>
          <w:color w:val="auto"/>
        </w:rPr>
      </w:pPr>
    </w:p>
    <w:p>
      <w:pPr>
        <w:ind w:right="140" w:firstLine="509"/>
        <w:spacing w:after="0" w:line="255" w:lineRule="auto"/>
        <w:rPr>
          <w:sz w:val="20"/>
          <w:szCs w:val="20"/>
          <w:color w:val="auto"/>
        </w:rPr>
      </w:pPr>
      <w:r>
        <w:rPr>
          <w:rFonts w:ascii="Arial" w:cs="Arial" w:eastAsia="Arial" w:hAnsi="Arial"/>
          <w:sz w:val="18"/>
          <w:szCs w:val="18"/>
          <w:color w:val="auto"/>
        </w:rPr>
        <w:t>From time to time, we may evaluate and, if strategically attractive, seek to enter into additional collaborations, including with major biotechnology or biopharmaceutical companies. The competition for collaborators is intense, and the negotiation process is time-consuming and complex. Any new collaboration may be on terms that are not optimal for us, and we may not be able to maintain any new collaboration if, for example, development or approval of a product candidate is delayed, sales of an approved product candidate do not meet expectations or the collaborator terminates the collaboration. Moreover, such arrangements are complex and time-consuming to negotiate, document and implement and they may require substantial resources to maintain.</w:t>
      </w:r>
    </w:p>
    <w:p>
      <w:pPr>
        <w:spacing w:after="0" w:line="192" w:lineRule="exact"/>
        <w:rPr>
          <w:sz w:val="20"/>
          <w:szCs w:val="20"/>
          <w:color w:val="auto"/>
        </w:rPr>
      </w:pPr>
    </w:p>
    <w:p>
      <w:pPr>
        <w:ind w:right="320" w:firstLine="509"/>
        <w:spacing w:after="0" w:line="301" w:lineRule="auto"/>
        <w:rPr>
          <w:sz w:val="20"/>
          <w:szCs w:val="20"/>
          <w:color w:val="auto"/>
        </w:rPr>
      </w:pPr>
      <w:r>
        <w:rPr>
          <w:rFonts w:ascii="Arial" w:cs="Arial" w:eastAsia="Arial" w:hAnsi="Arial"/>
          <w:sz w:val="16"/>
          <w:szCs w:val="16"/>
          <w:color w:val="auto"/>
        </w:rPr>
        <w:t>In addition, it is possible that a collaborator may not devote sufficient resources to the commercialization of our product candidates or may otherwise fail in its commercialization efforts, in which event the commercialization of such product candidates could be delayed or terminated and our business could be substantially harmed. In addition, the terms of any collaboration or other arrangement that we establish may not be favorable to us or may not be perceived as favorable, which may negatively impact our business, financial condition, results of operations and prospects.</w:t>
      </w:r>
    </w:p>
    <w:p>
      <w:pPr>
        <w:spacing w:after="0" w:line="26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If third parties on which we rely to conduct our preclinical and clinical trials, do not perform as contractually required, fail to satisfy regulatory or legal requirements or miss expected deadlines, our development programs could be delayed with material and adverse effects on our business, financial condition, results of operations and prospects.</w:t>
      </w:r>
    </w:p>
    <w:p>
      <w:pPr>
        <w:spacing w:after="0" w:line="76"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We rely, and expect we will continue to rely, on third-party investigators, CROs, data management organizations and consultants to conduct, supervise and monitor our ongoing clinical trials and preclinical studies. Because we rely on these third parties and do not have the ability to conduct preclinical studies or clinical trials independently, we have less control over the timing, quality and other aspects of preclinical studies and clinical trials than we would have had we conducted them on our own. These investigators, CROs and consultants are not our employees and we will have limited control over the amount of time and resources that they dedicate to our development programs. These third parties may have contractual relationships with other entities, some of which may be our competitors, which may draw time and resources from our development programs. The third parties with whom we contract might not be diligent, careful or timely in conducting our preclinical studies or clinical trials, resulting in the preclinical studies or clinical trials being delayed or unsuccessful.</w:t>
      </w:r>
    </w:p>
    <w:p>
      <w:pPr>
        <w:spacing w:after="0" w:line="84" w:lineRule="exact"/>
        <w:rPr>
          <w:sz w:val="20"/>
          <w:szCs w:val="20"/>
          <w:color w:val="auto"/>
        </w:rPr>
      </w:pPr>
    </w:p>
    <w:p>
      <w:pPr>
        <w:ind w:firstLine="509"/>
        <w:spacing w:after="0" w:line="283" w:lineRule="auto"/>
        <w:rPr>
          <w:sz w:val="20"/>
          <w:szCs w:val="20"/>
          <w:color w:val="auto"/>
        </w:rPr>
      </w:pPr>
      <w:r>
        <w:rPr>
          <w:rFonts w:ascii="Arial" w:cs="Arial" w:eastAsia="Arial" w:hAnsi="Arial"/>
          <w:sz w:val="16"/>
          <w:szCs w:val="16"/>
          <w:color w:val="auto"/>
        </w:rPr>
        <w:t>If we do 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development programs could be delayed and otherwise adversely affected. Furthermore, we depend on the availability of various animals to conduct certain preclinical studies that we are required to complete prior to submitting an IND and initiating clinical development or to continue clinical development, including pharmacological and toxicology evaluations. There is currently a global shortage of animals available for drug development, due in part to an increase in demand from companies and other institutions developing vaccines and treatments for COVID-19. This has caused the cost of obtaining animals for our preclinical studies to increase dramatically, and if the shortage continues, could also result in delays to our development timelines. In all events, we are responsible for ensuring that each of our preclinical studies and clinical trials are conducted in accordance with the general investigational plan, protocols for the trial and regulatory requirements. The FDA requires preclinical studies to be conducted in</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2" w:name="page53"/>
    <w:bookmarkEnd w:id="52"/>
    <w:p>
      <w:pPr>
        <w:spacing w:after="0" w:line="257" w:lineRule="auto"/>
        <w:rPr>
          <w:sz w:val="20"/>
          <w:szCs w:val="20"/>
          <w:color w:val="auto"/>
        </w:rPr>
      </w:pPr>
      <w:r>
        <w:rPr>
          <w:rFonts w:ascii="Arial" w:cs="Arial" w:eastAsia="Arial" w:hAnsi="Arial"/>
          <w:sz w:val="18"/>
          <w:szCs w:val="18"/>
          <w:color w:val="auto"/>
        </w:rPr>
        <w:t>accordance with GLPs and clinical trials to be conducted in accordance with GCPs, including for designing, conducting, recording and reporting the results of preclinical studies and clinical trials to assure that data and reported results are credible and accurate and that the rights, integrity and confidentiality of clinical trial participants are protected. Our reliance on third parties that we do not control does not relieve us of these responsibilities and requirements. Any adverse development or delay in our preclinical studies and clinical trials could have a material and adverse effect on our business, financial condition, results of operations and prospects.</w:t>
      </w:r>
    </w:p>
    <w:p>
      <w:pPr>
        <w:spacing w:after="0" w:line="2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We rely on third parties for the manufacture of our product candidates for preclinical studies and our ongoing clinical trials, and we expect to continue to do so for additional clinical trials and ultimately commercialization. This reliance on third parties increases the risk that we will not have sufficient quantities of our product candidates or products, if approved, or such quantities at an acceptable cost, which could delay, prevent or impair our development or commercialization efforts.</w:t>
      </w:r>
    </w:p>
    <w:p>
      <w:pPr>
        <w:spacing w:after="0" w:line="79" w:lineRule="exact"/>
        <w:rPr>
          <w:sz w:val="20"/>
          <w:szCs w:val="20"/>
          <w:color w:val="auto"/>
        </w:rPr>
      </w:pPr>
    </w:p>
    <w:p>
      <w:pPr>
        <w:ind w:right="20" w:firstLine="509"/>
        <w:spacing w:after="0" w:line="287" w:lineRule="auto"/>
        <w:rPr>
          <w:sz w:val="20"/>
          <w:szCs w:val="20"/>
          <w:color w:val="auto"/>
        </w:rPr>
      </w:pPr>
      <w:r>
        <w:rPr>
          <w:rFonts w:ascii="Arial" w:cs="Arial" w:eastAsia="Arial" w:hAnsi="Arial"/>
          <w:sz w:val="16"/>
          <w:szCs w:val="16"/>
          <w:color w:val="auto"/>
        </w:rPr>
        <w:t>We rely, and expect we will continue to rely, on third-party contract manufacturers to manufacture our preclinical and clinical trial product supplies and the raw materials used to create our product candidates. We do not own manufacturing facilities for producing such supplies, and we do not have long-term manufacturing agreements. Furthermore, the raw materials for our product candidates may be sourced, in some cases, from a single-source supplier. If we were to experience an unexpected loss of supply of any of our product candidates or any of our future product candidates for any reason, whether as a result of manufacturing, supply or storage issues or otherwise, we could experience delays, disruptions, suspensions or terminations of, or be required to restart or repeat, any pending or ongoing clinical trials. We cannot assure you that our preclinical and clinical development product supplies or raw materials will not be limited, interrupted, or be of satisfactory quality or continue to be available at acceptable prices. In particular, any replacement of a manufacturer could require significant effort and expertise because there are a limited number of qualified replacements. The technical skills or technology required to manufacture our product candidates may be unique or proprietary to the original manufacturer and we may have difficulty transferring such skills or technology to another third party and a feasible alternative may not exist. These factors would increase our reliance on such manufacturer or require us to obtain a license from such manufacturer in order to have another third-party manufacture our product candidates.</w:t>
      </w:r>
    </w:p>
    <w:p>
      <w:pPr>
        <w:spacing w:after="0" w:line="172" w:lineRule="exact"/>
        <w:rPr>
          <w:sz w:val="20"/>
          <w:szCs w:val="20"/>
          <w:color w:val="auto"/>
        </w:rPr>
      </w:pPr>
    </w:p>
    <w:p>
      <w:pPr>
        <w:ind w:right="120" w:firstLine="509"/>
        <w:spacing w:after="0" w:line="255" w:lineRule="auto"/>
        <w:rPr>
          <w:sz w:val="20"/>
          <w:szCs w:val="20"/>
          <w:color w:val="auto"/>
        </w:rPr>
      </w:pPr>
      <w:r>
        <w:rPr>
          <w:rFonts w:ascii="Arial" w:cs="Arial" w:eastAsia="Arial" w:hAnsi="Arial"/>
          <w:sz w:val="18"/>
          <w:szCs w:val="18"/>
          <w:color w:val="auto"/>
        </w:rPr>
        <w:t>If we submit an application for regulatory approval of any of our product candidates, the facilities used by our contract manufacturers to manufacture our product candidates will be subject to inspection by the FDA or other regulatory authorities. If our contract manufacturers cannot successfully manufacture material that conforms to our specifications and the strict regulatory requirements of the FDA or others or if they are unable to maintain a compliance status acceptable to the FDA or other regulatory authorities, approval of our product candidates may be delayed or we may need to find alternative manufacturing facilities, which would significantly impact our ability to develop, obtain regulatory approval for or market our product candidates, if approved.</w:t>
      </w:r>
    </w:p>
    <w:p>
      <w:pPr>
        <w:spacing w:after="0" w:line="192"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We expect to continue to rely on third-party manufacturers if we receive regulatory approval for any product candidate. If we are unable to obtain or maintain third-party manufacturing for product candidates, or to do so on commercially reasonable terms, we may not be able to develop and commercialize our product candidates successfully. Even if we are able to establish agreements with third-party manufacturers, reliance on third-party manufacturers entails additional risks, including:</w:t>
      </w:r>
    </w:p>
    <w:p>
      <w:pPr>
        <w:spacing w:after="0" w:line="79" w:lineRule="exact"/>
        <w:rPr>
          <w:sz w:val="20"/>
          <w:szCs w:val="20"/>
          <w:color w:val="auto"/>
        </w:rPr>
      </w:pPr>
    </w:p>
    <w:p>
      <w:pPr>
        <w:ind w:left="1000" w:hanging="368"/>
        <w:spacing w:after="0" w:line="263"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spacing w:after="0" w:line="75" w:lineRule="exact"/>
        <w:rPr>
          <w:rFonts w:ascii="Arial" w:cs="Arial" w:eastAsia="Arial" w:hAnsi="Arial"/>
          <w:sz w:val="18"/>
          <w:szCs w:val="18"/>
          <w:color w:val="auto"/>
        </w:rPr>
      </w:pPr>
    </w:p>
    <w:p>
      <w:pPr>
        <w:ind w:left="1000" w:hanging="36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reduction or termination of production or deliveries by suppliers, or the raising of prices or renegotiation of terms;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termination or nonrenewal of arrangements or agreements by our third-party contractors at a time that is costly or inconvenient for us;</w:t>
      </w:r>
    </w:p>
    <w:p>
      <w:pPr>
        <w:spacing w:after="0" w:line="140" w:lineRule="exact"/>
        <w:rPr>
          <w:rFonts w:ascii="Arial" w:cs="Arial" w:eastAsia="Arial" w:hAnsi="Arial"/>
          <w:sz w:val="16"/>
          <w:szCs w:val="16"/>
          <w:color w:val="auto"/>
        </w:rPr>
      </w:pPr>
    </w:p>
    <w:p>
      <w:pPr>
        <w:ind w:left="1000" w:hanging="36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breach by the third-party contractors of our agreements with them;</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failure of third-party contractors to comply with applicable regulatory requirements;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failure of the third party to manufacture our product candidates according to our specifications;</w:t>
      </w:r>
    </w:p>
    <w:p>
      <w:pPr>
        <w:spacing w:after="0" w:line="117" w:lineRule="exact"/>
        <w:rPr>
          <w:rFonts w:ascii="Arial" w:cs="Arial" w:eastAsia="Arial" w:hAnsi="Arial"/>
          <w:sz w:val="18"/>
          <w:szCs w:val="18"/>
          <w:color w:val="auto"/>
        </w:rPr>
      </w:pPr>
    </w:p>
    <w:p>
      <w:pPr>
        <w:ind w:left="1000" w:right="660" w:hanging="368"/>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mislabeling of clinical supplies, potentially resulting in the wrong dose amounts being supplied or active drug not being properly identified;</w:t>
      </w:r>
    </w:p>
    <w:p>
      <w:pPr>
        <w:spacing w:after="0" w:line="62" w:lineRule="exact"/>
        <w:rPr>
          <w:rFonts w:ascii="Arial" w:cs="Arial" w:eastAsia="Arial" w:hAnsi="Arial"/>
          <w:sz w:val="18"/>
          <w:szCs w:val="18"/>
          <w:color w:val="auto"/>
        </w:rPr>
      </w:pPr>
    </w:p>
    <w:p>
      <w:pPr>
        <w:ind w:left="1020" w:right="60" w:hanging="383"/>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clinical supplies not being delivered to clinical sites on time, leading to clinical trial interruptions, or of drug supplies not being distributed to commercial vendors in a timely manner, resulting in lost sales; and</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misappropriation of our proprietary information, including our trade secrets and know-how.</w:t>
      </w:r>
    </w:p>
    <w:p>
      <w:pPr>
        <w:spacing w:after="0" w:line="225"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In addition, we have no material long-term contracts with our suppliers, and we compete with other companies for raw materials and production. We may experience a significant disruption in the supply of raw materials from current sources or, in the event of a disruption, we may be unable to locate alternative materials suppliers of comparable quality at an acceptable price, or at all. In addition, if we experience significant increased demand, or if we need to replace an existing supplier, we may be unable to locate</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3" w:name="page54"/>
    <w:bookmarkEnd w:id="53"/>
    <w:p>
      <w:pPr>
        <w:jc w:val="both"/>
        <w:spacing w:after="0" w:line="301" w:lineRule="auto"/>
        <w:rPr>
          <w:sz w:val="20"/>
          <w:szCs w:val="20"/>
          <w:color w:val="auto"/>
        </w:rPr>
      </w:pPr>
      <w:r>
        <w:rPr>
          <w:rFonts w:ascii="Arial" w:cs="Arial" w:eastAsia="Arial" w:hAnsi="Arial"/>
          <w:sz w:val="16"/>
          <w:szCs w:val="16"/>
          <w:color w:val="auto"/>
        </w:rPr>
        <w:t>additional supplies of raw materials on terms that are acceptable to us, or at all, or we may be unable to locate any supplier with sufficient capacity to meet our requirements or to fill our orders in a timely manner. Identifying a suitable supplier is an involved process that requires us to become satisfied with their quality control, responsiveness and service, financial stability and labor and other ethical practices. Even if we are able to expand existing sources, we may encounter delays in production and added costs as a result of the time it takes to train suppliers in our methods, products and quality control standards.</w:t>
      </w:r>
    </w:p>
    <w:p>
      <w:pPr>
        <w:spacing w:after="0" w:line="26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b w:val="1"/>
          <w:bCs w:val="1"/>
          <w:i w:val="1"/>
          <w:iCs w:val="1"/>
          <w:color w:val="auto"/>
        </w:rPr>
        <w:t>The manufacture of biotechnology products is complex, and manufacturers often encounter difficulties in production. If we or any of our third-party manufacturers encounter any loss of materials or if any of our third-party manufacturers encounter other difficulties, or otherwise fail to comply with their contractual or regulatory obligations, our ability to provide product candidates for clinical trials or our products to patients, once approved, the development or commercialization of our product candidates could be delayed or stopped.</w:t>
      </w:r>
    </w:p>
    <w:p>
      <w:pPr>
        <w:spacing w:after="0" w:line="63" w:lineRule="exact"/>
        <w:rPr>
          <w:sz w:val="20"/>
          <w:szCs w:val="20"/>
          <w:color w:val="auto"/>
        </w:rPr>
      </w:pPr>
    </w:p>
    <w:p>
      <w:pPr>
        <w:ind w:right="80" w:firstLine="509"/>
        <w:spacing w:after="0" w:line="289" w:lineRule="auto"/>
        <w:rPr>
          <w:sz w:val="20"/>
          <w:szCs w:val="20"/>
          <w:color w:val="auto"/>
        </w:rPr>
      </w:pPr>
      <w:r>
        <w:rPr>
          <w:rFonts w:ascii="Arial" w:cs="Arial" w:eastAsia="Arial" w:hAnsi="Arial"/>
          <w:sz w:val="16"/>
          <w:szCs w:val="16"/>
          <w:color w:val="auto"/>
        </w:rPr>
        <w:t>The manufacture of biotechnology products is complex and requires significant expertise and capital investment, including the development of advanced manufacturing techniques and process controls. We and our contract manufacturers must comply with cGMPs, regulations and guidelines for the manufacturing of biologics used in clinical trials and, if approved, marketed products. In order to conduct clinical trials of our product candidates, we and existing and future collaborators will need to manufacture them in large quantities and in accordance with cGMPs. Manufacturers of biotechnology products often encounter difficulties in production, particularly in scaling up and validating initial production. In addition, if microbial, viral or other contaminations are discovered in our products or in the manufacturing facilities in which our products are made, such manufacturing facilities may need to be closed for an extended period of time to investigate and remedy the contamination. Delays in raw materials availability and supply may also extend the period of time required to develop our products. Furthermore, changes in our manufacturing methods may require comparability studies, including clinical bridging studies, which may result in delays to the approval process for our product candidates.</w:t>
      </w:r>
    </w:p>
    <w:p>
      <w:pPr>
        <w:spacing w:after="0" w:line="166" w:lineRule="exact"/>
        <w:rPr>
          <w:sz w:val="20"/>
          <w:szCs w:val="20"/>
          <w:color w:val="auto"/>
        </w:rPr>
      </w:pPr>
    </w:p>
    <w:p>
      <w:pPr>
        <w:ind w:right="120" w:firstLine="509"/>
        <w:spacing w:after="0" w:line="279" w:lineRule="auto"/>
        <w:rPr>
          <w:sz w:val="20"/>
          <w:szCs w:val="20"/>
          <w:color w:val="auto"/>
        </w:rPr>
      </w:pPr>
      <w:r>
        <w:rPr>
          <w:rFonts w:ascii="Arial" w:cs="Arial" w:eastAsia="Arial" w:hAnsi="Arial"/>
          <w:sz w:val="17"/>
          <w:szCs w:val="17"/>
          <w:color w:val="auto"/>
        </w:rPr>
        <w:t>All of our therapeutic antibodies are manufactured by starting with cells which are stored in a cell bank. We have one master cell bank for each antibody manufactured in accordance with cGMPs, which is stored in multiple locations. We are currently creating multiple working cell banks. While we believe we will have adequate backup should any cell bank be lost in a catastrophic event, and we take precautions when transporting our cell banks, it is possible that we could lose multiple cell banks and have our manufacturing severely impacted by the need to replace the cell banks.</w:t>
      </w:r>
    </w:p>
    <w:p>
      <w:pPr>
        <w:spacing w:after="0" w:line="171"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We cannot assure you that any stability or other issues relating to the manufacture of any of our product candidates or products will not occur in the future. Additionally, our manufacturers may experience manufacturing difficulties due to resource constraints or as a result of labor disputes or unstable political environments. For example, the extent to which the COVID-19 pandemic impacts the ability to procure sufficient supplies for the development of our product candidates will depend on future developments, including the severity and duration of any resurgence of COVID-19 and its variants. If our manufacturers were to encounter any of these difficulties, or otherwise fail to comply with their contractual obligations, our ability to provide any product candidates to patients in planned clinical trials and products to patients, once approved, would be jeopardized. Any delay or interruption in the supply of clinical trial supplies 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 or enforcement actions by regulatory authorities. We may also have to take inventory write-offs and incur other charges and expenses for product candidates or products that fail to meet specifications, undertake costly remediation efforts or seek more costly manufacturing alternatives. Accordingly, failures or difficulties faced at any level of our supply chain could adversely affect our business and delay or impede the development and commercialization of any of our product candidates or products and could have an adverse effect on our business, financial condition, results of operations and prospects.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b w:val="1"/>
          <w:bCs w:val="1"/>
          <w:i w:val="1"/>
          <w:iCs w:val="1"/>
          <w:color w:val="auto"/>
        </w:rPr>
        <w:t>If we are not able to obtain, maintain and protect our intellectual property rights in any product candidates or technologies we develop, or if the scope of the intellectual property protection obtained is not sufficiently broad, third parties could develop and commercialize products and technology similar or identical to ours, and we may not be able to compete effectively in our market.</w:t>
      </w:r>
    </w:p>
    <w:p>
      <w:pPr>
        <w:spacing w:after="0" w:line="76" w:lineRule="exact"/>
        <w:rPr>
          <w:sz w:val="20"/>
          <w:szCs w:val="20"/>
          <w:color w:val="auto"/>
        </w:rPr>
      </w:pPr>
    </w:p>
    <w:p>
      <w:pPr>
        <w:ind w:right="40" w:firstLine="509"/>
        <w:spacing w:after="0" w:line="284" w:lineRule="auto"/>
        <w:rPr>
          <w:sz w:val="20"/>
          <w:szCs w:val="20"/>
          <w:color w:val="auto"/>
        </w:rPr>
      </w:pPr>
      <w:r>
        <w:rPr>
          <w:rFonts w:ascii="Arial" w:cs="Arial" w:eastAsia="Arial" w:hAnsi="Arial"/>
          <w:sz w:val="16"/>
          <w:szCs w:val="16"/>
          <w:color w:val="auto"/>
        </w:rPr>
        <w:t>Our success depends in part on our ability to obtain and maintain patents and other forms of intellectual property rights, including in-licenses of intellectual property rights of others, for our product candidates, methods used to develop and manufacture our product candidates and methods for treating patients using our product candidates, as well as our ability to preserve our trade secrets, to prevent third parties from infringing upon our proprietary rights and to operate without infringing upon the proprietary rights of others. The patent process is expensive and time-consuming, and we may not be able to apply for patents on certain aspects of our product candidates in a timely fashion, at a reasonable cost, in all jurisdictions, or at all. Our existing issued and granted patents and any future patents we obtain may not be sufficiently broad to prevent others from using our technology or from developing competing products and technology. There is no guarantee that any of our pending patent applications will result in issued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4" w:name="page55"/>
    <w:bookmarkEnd w:id="54"/>
    <w:p>
      <w:pPr>
        <w:ind w:right="120"/>
        <w:spacing w:after="0" w:line="308" w:lineRule="auto"/>
        <w:rPr>
          <w:sz w:val="20"/>
          <w:szCs w:val="20"/>
          <w:color w:val="auto"/>
        </w:rPr>
      </w:pPr>
      <w:r>
        <w:rPr>
          <w:rFonts w:ascii="Arial" w:cs="Arial" w:eastAsia="Arial" w:hAnsi="Arial"/>
          <w:sz w:val="17"/>
          <w:szCs w:val="17"/>
          <w:color w:val="auto"/>
        </w:rPr>
        <w:t>or granted patents, that any of our issued or granted patents will not later be found to be invalid or unenforceable or that any issued or granted patents will include claims that are sufficiently broad to cover our product candidates or to provide meaningful protection from our competitors.</w:t>
      </w:r>
    </w:p>
    <w:p>
      <w:pPr>
        <w:spacing w:after="0" w:line="146" w:lineRule="exact"/>
        <w:rPr>
          <w:sz w:val="20"/>
          <w:szCs w:val="20"/>
          <w:color w:val="auto"/>
        </w:rPr>
      </w:pPr>
    </w:p>
    <w:p>
      <w:pPr>
        <w:ind w:right="220" w:firstLine="509"/>
        <w:spacing w:after="0" w:line="255" w:lineRule="auto"/>
        <w:rPr>
          <w:sz w:val="20"/>
          <w:szCs w:val="20"/>
          <w:color w:val="auto"/>
        </w:rPr>
      </w:pPr>
      <w:r>
        <w:rPr>
          <w:rFonts w:ascii="Arial" w:cs="Arial" w:eastAsia="Arial" w:hAnsi="Arial"/>
          <w:sz w:val="18"/>
          <w:szCs w:val="18"/>
          <w:color w:val="auto"/>
        </w:rPr>
        <w:t>Moreover, the patent position of biotechnology and biopharmaceutical companies can be highly uncertain because it involves complex legal and factual issues. We will be able to protect our proprietary rights from unauthorized use by third parties only to the extent that our current and future proprietary technology and product candidates are covered by valid and enforceable patents or are effectively maintained as trade secrets. If third parties disclose or misappropriate our proprietary rights, it may materially and adversely affect our position in the market. Furthermore, even if they are unchallenged, our patents and patent applications may not adequately protect our intellectual property, provide exclusivity for our product candidates, or prevent others from designing around our patent claims.</w:t>
      </w:r>
    </w:p>
    <w:p>
      <w:pPr>
        <w:spacing w:after="0" w:line="192"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Once granted, patents may remain open to opposition, interference, re-examination, post-grant review, inter partes review, nullification or derivation action in court or before patent offices or similar proceedings for a given period after allowance or grant, during which time third parties can raise objections against granted patents. In the course of such proceedings, which may continue for a protracted period of time, the patent owner may be compelled to limit the scope of the allowed or granted patent claims thus attacked, or may lose the allowed or granted claims altogether. In the past, we have been party to a patent opposition proceeding at the European Patent Office, or EPO, and we may in the future become party to patent opposition proceedings in the EPO or similar proceedings in other foreign patent offices. In addition, we cannot assure you that:</w:t>
      </w:r>
    </w:p>
    <w:p>
      <w:pPr>
        <w:spacing w:after="0" w:line="70" w:lineRule="exact"/>
        <w:rPr>
          <w:sz w:val="20"/>
          <w:szCs w:val="20"/>
          <w:color w:val="auto"/>
        </w:rPr>
      </w:pPr>
    </w:p>
    <w:p>
      <w:pPr>
        <w:ind w:left="1000" w:hanging="36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obtain, maintain, protect and enforce intellectual property protection for our technologies and product candidates.</w:t>
      </w:r>
    </w:p>
    <w:p>
      <w:pPr>
        <w:spacing w:after="0" w:line="117" w:lineRule="exact"/>
        <w:rPr>
          <w:rFonts w:ascii="Arial" w:cs="Arial" w:eastAsia="Arial" w:hAnsi="Arial"/>
          <w:sz w:val="18"/>
          <w:szCs w:val="18"/>
          <w:color w:val="auto"/>
        </w:rPr>
      </w:pPr>
    </w:p>
    <w:p>
      <w:pPr>
        <w:ind w:left="1000" w:right="220" w:hanging="368"/>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Others will not or may not be able to make, use or sell compounds that are the same as or similar to our product candidates but that are not covered by the claims of the patents that we own or license.</w:t>
      </w:r>
    </w:p>
    <w:p>
      <w:pPr>
        <w:spacing w:after="0" w:line="62" w:lineRule="exact"/>
        <w:rPr>
          <w:rFonts w:ascii="Arial" w:cs="Arial" w:eastAsia="Arial" w:hAnsi="Arial"/>
          <w:sz w:val="18"/>
          <w:szCs w:val="18"/>
          <w:color w:val="auto"/>
        </w:rPr>
      </w:pPr>
    </w:p>
    <w:p>
      <w:pPr>
        <w:ind w:left="1000" w:right="420" w:hanging="368"/>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or our licensors, or our existing or future collaborators are the first to make the inventions covered by each of our issued patents and pending patent applications that we own or license.</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or our licensors, or our existing or future collaborators are the first to file patent applications covering certain aspects of our inventions.</w:t>
      </w:r>
    </w:p>
    <w:p>
      <w:pPr>
        <w:spacing w:after="0" w:line="140" w:lineRule="exact"/>
        <w:rPr>
          <w:rFonts w:ascii="Arial" w:cs="Arial" w:eastAsia="Arial" w:hAnsi="Arial"/>
          <w:sz w:val="16"/>
          <w:szCs w:val="16"/>
          <w:color w:val="auto"/>
        </w:rPr>
      </w:pPr>
    </w:p>
    <w:p>
      <w:pPr>
        <w:ind w:left="1000" w:right="660" w:hanging="368"/>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Others will not independently develop similar or alternative technologies or duplicate any of our technologies without infringing our intellectual property rights.</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third party may not challenge our patents and, if challenged, that a court would hold that our patents are valid, enforceable and infringed.</w:t>
      </w:r>
    </w:p>
    <w:p>
      <w:pPr>
        <w:spacing w:after="0" w:line="140" w:lineRule="exact"/>
        <w:rPr>
          <w:rFonts w:ascii="Arial" w:cs="Arial" w:eastAsia="Arial" w:hAnsi="Arial"/>
          <w:sz w:val="16"/>
          <w:szCs w:val="16"/>
          <w:color w:val="auto"/>
        </w:rPr>
      </w:pPr>
    </w:p>
    <w:p>
      <w:pPr>
        <w:ind w:left="1000" w:hanging="368"/>
        <w:spacing w:after="0"/>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Any issued patents that we own or have licensed will provide us with any competitive advantage, or will not be challenged by third parties.</w:t>
      </w:r>
    </w:p>
    <w:p>
      <w:pPr>
        <w:spacing w:after="0" w:line="140" w:lineRule="exact"/>
        <w:rPr>
          <w:rFonts w:ascii="Arial" w:cs="Arial" w:eastAsia="Arial" w:hAnsi="Arial"/>
          <w:sz w:val="16"/>
          <w:szCs w:val="16"/>
          <w:color w:val="auto"/>
        </w:rPr>
      </w:pPr>
    </w:p>
    <w:p>
      <w:pPr>
        <w:ind w:left="1000" w:hanging="36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develop or in-license additional proprietary technologies that are patentable.</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Pending patent applications that we own or may license will lead to issued patents.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patents of others will not have a material or adverse effect on our business, financial condition, results of operations and prospects.</w:t>
      </w:r>
    </w:p>
    <w:p>
      <w:pPr>
        <w:spacing w:after="0" w:line="128" w:lineRule="exact"/>
        <w:rPr>
          <w:rFonts w:ascii="Arial" w:cs="Arial" w:eastAsia="Arial" w:hAnsi="Arial"/>
          <w:sz w:val="17"/>
          <w:szCs w:val="17"/>
          <w:color w:val="auto"/>
        </w:rPr>
      </w:pPr>
    </w:p>
    <w:p>
      <w:pPr>
        <w:ind w:left="1000" w:hanging="368"/>
        <w:spacing w:after="0" w:line="308" w:lineRule="auto"/>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competitors do not conduct research and development activities in countries where we do not have enforceable patent rights and then use the information learned from such activities to develop competitive products for sale in our commercial markets.</w:t>
      </w:r>
    </w:p>
    <w:p>
      <w:pPr>
        <w:spacing w:after="0" w:line="146"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If the breadth or strength of protection provided by the patents and patent applications we hold, obtain or pursue with respect to our product candidates is challenged, or if they fail to provide meaningful exclusivity for our product candidates, it could threaten our ability to practice our technologies or commercialize our product candidates. We cannot offer any assurances about which, if any, patents will issue, the breadth of any such patent, or whether any issued patents will be found invalid and unenforceable or will be threatened by third parties. Furthermore, an interference or derivation proceeding can be provoked by a third party or instituted by a patent office or in a court proceeding, to determine who was the first to invent any of the subject matter covered by the patent claims of our applications.</w:t>
      </w:r>
    </w:p>
    <w:p>
      <w:pPr>
        <w:spacing w:after="0" w:line="192"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Where we obtain licenses from third parties, in some circumstances, we may not have the right to control the preparation, filing and prosecution of patent applications, or to maintain the patents, covering technology that we license from third parties. We may also require the cooperation of our licensors to enforce any licensed patent rights, and such cooperation may not be provided. Therefore, these patents and applications may not be prosecuted and enforced in a manner consistent with the best interests of our business. Moreover, if we do obtain necessary licenses, we will likely have obligations under those licenses, and any failure to satisfy those</w:t>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55" w:name="page56"/>
    <w:bookmarkEnd w:id="55"/>
    <w:p>
      <w:pPr>
        <w:ind w:right="540"/>
        <w:spacing w:after="0" w:line="277" w:lineRule="auto"/>
        <w:rPr>
          <w:sz w:val="20"/>
          <w:szCs w:val="20"/>
          <w:color w:val="auto"/>
        </w:rPr>
      </w:pPr>
      <w:r>
        <w:rPr>
          <w:rFonts w:ascii="Arial" w:cs="Arial" w:eastAsia="Arial" w:hAnsi="Arial"/>
          <w:sz w:val="18"/>
          <w:szCs w:val="18"/>
          <w:color w:val="auto"/>
        </w:rPr>
        <w:t>obligations could give our licensor the right to terminate the license. Termination of a necessary license could have a material adverse impact on our business.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In addition to seeking patent protection for certain aspects of our product candidates, we also consider trade secrets, including confidential and unpatented know-how, important to the maintenance of our competitive position. We seek to protect trade secrets and confidential and unpatented know-how, in part, by entering into non-disclosure and confidentiality agreements with parties who have access to such knowledge, such as our employees, corporate collaborators, outside scientific collaborators, CROs, contract manufacturers, consultants, advisors and other third parties. We also enter into confidentiality and invention or patent assignment agreements with our employees and consultants that obligate them to maintain confidentiality and assign their inventions to us. We also seek to preserve the integrity and confidentiality of our data, trade secrets and know-how by maintaining physical security of our premises and physical and electronic security of our information technology systems. Monitoring unauthorized uses and disclosures is difficult, and we do not know whether the steps we have taken to protect our proprietary technologies will be effective. We cannot guarantee that our trade secrets and other proprietary and confidential information will not be disclosed or that competitors will not otherwise gain access to our trade secrets.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United States and certain foreign jurisdictions are less willing or unwilling to protect trade secrets. If any of our trade secrets were to be lawfully obtained or independently developed by a competitor, we would have no right to prevent them from using that technology or information to compete with us. If any of our trade secrets were to be disclosed to or independently developed by a competitor, our competitive position could be harmed.</w:t>
      </w:r>
    </w:p>
    <w:p>
      <w:pPr>
        <w:spacing w:after="0" w:line="167"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Trade secrets and know-how can be difficult to protect as trade secrets and know-how will over time be disseminated within the industry through independent development, the publication of journal articles, and the movement of personnel skilled in the art from company to company or academic to industry scientific positions. If any of our trade secrets were to be lawfully obtained or independently developed by a competitor, we would have no right to prevent such competitor from using that technology or information to compete with us, which could harm our competitive position. If we are unable to prevent material disclosure of the intellectual property related to our technologies to third parties, we will not be able to establish or maintain a competitive advantage in our market, which could materially adversely affect our business, results of operations and financial condition. Even if we are able to adequately protect our trade secrets and proprietary information, our trade secrets could otherwise become known or could be independently discovered by our competitors. Competitors could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in the absence of patent protection, we would have no right to prevent them, or those to whom they communicate, from using that technology or information to compete with us. If our trade secrets are not adequately protected so as to protect our market against competitors’ products, others may be able to exploit our product candidates and discovery technologies to identify and develop competing product candidates, and thus our competitive position could be adversely affected, as could our business.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terms of our patents may not protect our competitive position on our product candidates for an adequate amount of time.</w:t>
      </w:r>
    </w:p>
    <w:p>
      <w:pPr>
        <w:spacing w:after="0" w:line="117"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Patents have a limited lifespan. In the United States, if all maintenance fees are timely paid, the natural expiration of a patent is generally 20 years after its earliest U.S. non-provisional effective filing date. Although various extensions may be available, the life of a patent, and the protection it affords, is limited. Even if patents covering our technologies or product candidates are obtained, once the patent life has expired, we may be open to competition. Our issued patents will expire on dates ranging from 2030 to 2040, subject to any additional patent extensions that may be available for such patents. If patents are issued on our pending patent applications, the resulting patents are projected to expire on dates ranging from 2030 to 2043 plus any potential patent extensions that may be available for such patents. Due to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obtain patent term extension for our product candidates, our business may be materially harmed.</w:t>
      </w:r>
    </w:p>
    <w:p>
      <w:pPr>
        <w:spacing w:after="0" w:line="117"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Depending upon the timing, duration and specifics of FDA marketing approval of our product candidates, one or more of our U.S. patents may be eligible for limited patent term restoration under the Drug Price Competition and Patent Term Restoration Act of 1984, or the Hatch-Waxman Amendments. The Hatch-Waxman Amendments permit a patent restoration term of up to five years as compensation for patent term lost during product development and the FDA regulatory review process. A maximum of one patent may be extended per FDA-approved product as compensation for the patent term lost during the FDA regulatory review process. A patent term extension cannot extend the remaining term of a patent beyond a total of 14 years from the date of product approval and only</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6" w:name="page57"/>
    <w:bookmarkEnd w:id="56"/>
    <w:p>
      <w:pPr>
        <w:spacing w:after="0" w:line="254" w:lineRule="auto"/>
        <w:rPr>
          <w:sz w:val="20"/>
          <w:szCs w:val="20"/>
          <w:color w:val="auto"/>
        </w:rPr>
      </w:pPr>
      <w:r>
        <w:rPr>
          <w:rFonts w:ascii="Arial" w:cs="Arial" w:eastAsia="Arial" w:hAnsi="Arial"/>
          <w:sz w:val="18"/>
          <w:szCs w:val="18"/>
          <w:color w:val="auto"/>
        </w:rPr>
        <w:t>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or require. If we are unable to obtain patent term extension or restoration or the term of any such extension is less than we request or require,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30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Recent patent reform legislation could increase the uncertainties and costs surrounding the prosecution of our patent applications and the enforcement or defense of our issued patents.</w:t>
      </w:r>
    </w:p>
    <w:p>
      <w:pPr>
        <w:spacing w:after="0" w:line="62"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In September 2011, the Leahy-Smith America Invents Act, or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another party was first to invent the claimed invention. A third party that filed or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render our technology to be patentable over the prior art. Since patent applications in the United States and most other countries are confidential for a period of time after filing or until issuance, we cannot be certain that we were the first to either (i) file any patent application related to our product candidates or (ii) invent any of the inventions claimed in our patents or patent applications.</w:t>
      </w:r>
    </w:p>
    <w:p>
      <w:pPr>
        <w:spacing w:after="0" w:line="182" w:lineRule="exact"/>
        <w:rPr>
          <w:sz w:val="20"/>
          <w:szCs w:val="20"/>
          <w:color w:val="auto"/>
        </w:rPr>
      </w:pPr>
    </w:p>
    <w:p>
      <w:pPr>
        <w:ind w:right="160" w:firstLine="509"/>
        <w:spacing w:after="0" w:line="257" w:lineRule="auto"/>
        <w:rPr>
          <w:sz w:val="20"/>
          <w:szCs w:val="20"/>
          <w:color w:val="auto"/>
        </w:rPr>
      </w:pPr>
      <w:r>
        <w:rPr>
          <w:rFonts w:ascii="Arial" w:cs="Arial" w:eastAsia="Arial" w:hAnsi="Arial"/>
          <w:sz w:val="18"/>
          <w:szCs w:val="18"/>
          <w:color w:val="auto"/>
        </w:rPr>
        <w:t>The Leahy-Smith Act also includes a number of significant changes that affect the way patent applications will be prosecuted and also may affect patent litigation. These include allowing third-party submission of prior art to the USPTO during patent prosecution and the provision of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188"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Because of the application of a lower evidentiary standard in USPTO proceedings compared to the evidentiary standard applied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patent claims that would not have been invalidated if first challenged by the third party as a defendant in a district court action. Thus, the Leahy-Smith Act and its implementation could increase the uncertainties and costs surrounding the prosecution and defense of our or our licensors’ patent applications and the enforcement or defense of our issued patents, all of which could have a material adverse effect on our business, financial condition, results of operations and prospects.</w:t>
      </w:r>
    </w:p>
    <w:p>
      <w:pPr>
        <w:spacing w:after="0" w:line="28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Changes in U.S. patent law or laws in other countries could diminish the value of patents in general, thereby impairing our ability to protect our product candidates.</w:t>
      </w:r>
    </w:p>
    <w:p>
      <w:pPr>
        <w:spacing w:after="0" w:line="62"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involves a high degree of technological and legal complexity. Therefore, obtaining and enforcing biopharmaceutical patents is costly, time-consuming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spacing w:after="0" w:line="195"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For example, the U.S. Supreme Court has ruled on several patent cases in recent years, sometimes narrowing the scope of patent protection available in certain circumstances, weakening the rights of patent owners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patents and the patents we might obtain or license in the future.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7" w:name="page58"/>
    <w:bookmarkEnd w:id="57"/>
    <w:p>
      <w:pPr>
        <w:ind w:right="300"/>
        <w:spacing w:after="0" w:line="277" w:lineRule="auto"/>
        <w:rPr>
          <w:sz w:val="20"/>
          <w:szCs w:val="20"/>
          <w:color w:val="auto"/>
        </w:rPr>
      </w:pPr>
      <w:r>
        <w:rPr>
          <w:rFonts w:ascii="Arial" w:cs="Arial" w:eastAsia="Arial" w:hAnsi="Arial"/>
          <w:sz w:val="18"/>
          <w:szCs w:val="18"/>
          <w:b w:val="1"/>
          <w:bCs w:val="1"/>
          <w:i w:val="1"/>
          <w:iCs w:val="1"/>
          <w:color w:val="auto"/>
        </w:rPr>
        <w:t>Other companies or organizations may challenge our or our licensors’ patent rights or may assert patent rights that prevent us from developing and commercializing our products.</w:t>
      </w:r>
    </w:p>
    <w:p>
      <w:pPr>
        <w:spacing w:after="0" w:line="62"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CAB therapeutics are a new scientific field. We have obtained grants and issuances of CAB therapeutic patents and the various technologies used in discovering and producing CAB therapeutic proteins. The issued patents and pending patent applications in the United States and in key markets around the world that we own or license claim many different methods, compositions and processes relating to the discovery, development, manufacture and commercialization of antibody and immunoregulatory therapeutics. Specifically, we own a portfolio of patents, patent applications and other intellectual property covering CAB compositions of matter as well as their development and methods of use.</w:t>
      </w:r>
    </w:p>
    <w:p>
      <w:pPr>
        <w:spacing w:after="0" w:line="176" w:lineRule="exact"/>
        <w:rPr>
          <w:sz w:val="20"/>
          <w:szCs w:val="20"/>
          <w:color w:val="auto"/>
        </w:rPr>
      </w:pPr>
    </w:p>
    <w:p>
      <w:pPr>
        <w:ind w:right="140" w:firstLine="509"/>
        <w:spacing w:after="0" w:line="255" w:lineRule="auto"/>
        <w:rPr>
          <w:sz w:val="20"/>
          <w:szCs w:val="20"/>
          <w:color w:val="auto"/>
        </w:rPr>
      </w:pPr>
      <w:r>
        <w:rPr>
          <w:rFonts w:ascii="Arial" w:cs="Arial" w:eastAsia="Arial" w:hAnsi="Arial"/>
          <w:sz w:val="18"/>
          <w:szCs w:val="18"/>
          <w:color w:val="auto"/>
        </w:rPr>
        <w:t>As the field of antibody and immunoregulatory therapeutics matures, patent applications are being processed by national patent offices around the world. There is uncertainty about which patents will issue, and, if they do, as to when, to whom, and with what claims. In addition, third parties may attempt to invalidate our intellectual property rights. Even if our rights are not directly challenged, disputes could lead to the weakening of our intellectual property rights. Our defense against any attempt by third parties to circumvent or invalidate our intellectual property rights could be costly to us, could require significant time and attention of our management and could have a material and adverse effect on our business, financial condition, results of operations and prospects or our ability to successfully compete.</w:t>
      </w:r>
    </w:p>
    <w:p>
      <w:pPr>
        <w:spacing w:after="0" w:line="192"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There are many issued and pending patents that claim aspects of our product candidates and modifications that we may need to apply to our product candidates. There are also many issued patents that claim antibodies or portions of antibodies that may be relevant for CAB products we wish to develop. Thus, it is possible that one or more organizations will hold patent rights to which we will need a license. If those organizations refuse to grant us a license to such patent rights on reasonable terms, we may not be able to market products or perform research and development or other activities covered by these patents.</w:t>
      </w:r>
    </w:p>
    <w:p>
      <w:pPr>
        <w:spacing w:after="0" w:line="296"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b w:val="1"/>
          <w:bCs w:val="1"/>
          <w:i w:val="1"/>
          <w:iCs w:val="1"/>
          <w:color w:val="auto"/>
        </w:rPr>
        <w:t>Intellectual property rights of third parties could prevent or delay our drug discovery and development efforts and could adversely affect our ability to commercialize our product candidates, and we might be required to litigate or obtain licenses from third parties in order to discover, develop or market our product candidates. Such litigation or licenses could be costly or not available on commercially reasonable terms.</w:t>
      </w:r>
    </w:p>
    <w:p>
      <w:pPr>
        <w:spacing w:after="0" w:line="41" w:lineRule="exact"/>
        <w:rPr>
          <w:sz w:val="20"/>
          <w:szCs w:val="20"/>
          <w:color w:val="auto"/>
        </w:rPr>
      </w:pPr>
    </w:p>
    <w:p>
      <w:pPr>
        <w:ind w:right="40" w:firstLine="509"/>
        <w:spacing w:after="0" w:line="284" w:lineRule="auto"/>
        <w:rPr>
          <w:sz w:val="20"/>
          <w:szCs w:val="20"/>
          <w:color w:val="auto"/>
        </w:rPr>
      </w:pPr>
      <w:r>
        <w:rPr>
          <w:rFonts w:ascii="Arial" w:cs="Arial" w:eastAsia="Arial" w:hAnsi="Arial"/>
          <w:sz w:val="16"/>
          <w:szCs w:val="16"/>
          <w:color w:val="auto"/>
        </w:rPr>
        <w:t xml:space="preserve">Our commercial success depends in part on our ability to develop, manufacture, market and sell our product candidates and use our proprietary technologies without infringing or otherwise violating the patents and proprietary rights of third parties. There is a substantial amount of litigation involving patent and other intellectual property rights in the biotechnology and pharmaceutical industries, including patent infringement lawsuits, interferences, derivation proceedings, post grant reviews,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reviews, and reexamination proceedings before the USPTO or oppositions and other comparable proceedings in foreign jurisdictions. Given the vast number of patents in our field of technology, we cannot assure you that marketing of our product candidates or practice of our technologies will not infringe existing patents or patents that may be granted in the future. Because the antibody landscape is still evolving and the CAB antibody landscape is a new field, it is difficult to conclusively assess our freedom to operate without infringing on third-party rights. There are numerous companies that have pending patent applications and issued patents broadly covering many aspects of antibodies generally or covering antibodies directed against the same targets as, or targets similar to, those we are pursuing. Our competitive position may suffer if patents issued to third parties or other third-party intellectual property rights cover our products or product candidates or elements thereof, or our manufacture or uses relevant to our development plans. If any third-party patents were held by a court of competent jurisdiction to cover the manufacturing process of any of our product candidates, any molecules formed during the manufacturing process or any final product or formulation itself, the holders of any such patents may be able to block our ability to commercialize such product candidate. In such cases, we may not be in a position to develop or commercialize products or product candidates unless we successfully pursue litigation to nullify or invalidate the third-party intellectual property right concerned, or enter into a license agreement with the intellectual property right holder, if available on commercially reasonable terms. Parties making claims against us may obtain injunctive or other equitable relief, which could effectively block our ability to further practice our technologies or develop and commercialize one or more of our product candidates. There may be issued patents of which we are not aware, held by third parties that, if found to be valid and enforceable, could be alleged to be infringed by our CAB technologies. There also may be pending patent applications of which we are not aware that may result in issued patents, which could be alleged to be infringed by our CAB technologies. If such an infringement claim should be brought and be successful, we may be required to pay substantial damages, be forced to abandon our product candidates or seek a license from any patent holders, and would most likely be required to pay license fees or royalties or both, each of which could be substantial. No assurances can be given that a license will be available on commercially reasonable terms, if at all. Even if we were able to obtain a license, the rights we obtain may be nonexclusive, which would provide our competitors access to the same intellectual property rights upon which we are forced to rely. As the biotechnology and pharmaceutical industries expand and more patents are issued, the risk increases that our product candidates or technologies may give rise to claims of infringement of the patent rights of others.</w:t>
      </w:r>
    </w:p>
    <w:p>
      <w:pPr>
        <w:spacing w:after="0" w:line="391" w:lineRule="exact"/>
        <w:rPr>
          <w:sz w:val="20"/>
          <w:szCs w:val="20"/>
          <w:color w:val="auto"/>
        </w:rPr>
      </w:pPr>
    </w:p>
    <w:p>
      <w:pPr>
        <w:ind w:right="160" w:firstLine="509"/>
        <w:spacing w:after="0" w:line="258" w:lineRule="auto"/>
        <w:rPr>
          <w:sz w:val="20"/>
          <w:szCs w:val="20"/>
          <w:color w:val="auto"/>
        </w:rPr>
      </w:pPr>
      <w:r>
        <w:rPr>
          <w:rFonts w:ascii="Arial" w:cs="Arial" w:eastAsia="Arial" w:hAnsi="Arial"/>
          <w:sz w:val="18"/>
          <w:szCs w:val="18"/>
          <w:color w:val="auto"/>
        </w:rPr>
        <w:t>We or our collaboration partner, or any future strategic partners may be subject to third-party claims for infringement or misappropriation of patent or other proprietary rights. If we or our licensors, or any future strategic partners are found to infringe a</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8" w:name="page59"/>
    <w:bookmarkEnd w:id="58"/>
    <w:p>
      <w:pPr>
        <w:ind w:right="20"/>
        <w:spacing w:after="0" w:line="269" w:lineRule="auto"/>
        <w:rPr>
          <w:sz w:val="20"/>
          <w:szCs w:val="20"/>
          <w:color w:val="auto"/>
        </w:rPr>
      </w:pPr>
      <w:r>
        <w:rPr>
          <w:rFonts w:ascii="Arial" w:cs="Arial" w:eastAsia="Arial" w:hAnsi="Arial"/>
          <w:sz w:val="17"/>
          <w:szCs w:val="17"/>
          <w:color w:val="auto"/>
        </w:rPr>
        <w:t>third-party patent or other intellectual property rights, we could be required to pay damages, potentially including treble damages, if we are found to have willfully infringed. In addition, we or our licensors, or any future strategic partners may choose to seek, or be required to seek, a license from a third party, which may not be available on acceptable terms, if at all. Even if a license can be obtained on acceptable terms, the rights may be non-exclusive, which could give our competitors access to the same technology or intellectual property rights licensed to us. If we fail to obtain a required license, we or our existing or future collaborators may be unable to effectively market product candidates based on our technology, which could limit our ability to generate revenue or achieve profitability and possibly prevent us from generating revenue sufficient to sustain our operations. In addition, we may find it necessary to pursue claims or initiate lawsuits to protect or enforce our patent or other intellectual property rights. 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spacing w:after="0" w:line="29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62"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For example, U.S. applications filed before November 29, 2000, and certain U.S. applications filed after that date that will not be filed outside the United States, remain confidential until patents issue. Patent applications in the United States and elsewhere are published approximately 18 months after the earliest filing for which priority is claimed, with such earliest filing date being commonly referred to as the priority date. Therefore, patent applications covering our product candidates or technologies could have been filed by others without our knowledge. Additionally, pending patent applications that have been published can, subject to certain limitations, be later amended in a manner that could cover our platform technologies, our products or the use of our products. Third-party intellectual property right holders may also actively bring infringement claims against us, even if we have received patent protection for our technologies and product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product candidates.</w:t>
      </w:r>
    </w:p>
    <w:p>
      <w:pPr>
        <w:spacing w:after="0" w:line="182" w:lineRule="exact"/>
        <w:rPr>
          <w:sz w:val="20"/>
          <w:szCs w:val="20"/>
          <w:color w:val="auto"/>
        </w:rPr>
      </w:pPr>
    </w:p>
    <w:p>
      <w:pPr>
        <w:ind w:right="40" w:firstLine="509"/>
        <w:spacing w:after="0" w:line="291" w:lineRule="auto"/>
        <w:rPr>
          <w:sz w:val="20"/>
          <w:szCs w:val="20"/>
          <w:color w:val="auto"/>
        </w:rPr>
      </w:pPr>
      <w:r>
        <w:rPr>
          <w:rFonts w:ascii="Arial" w:cs="Arial" w:eastAsia="Arial" w:hAnsi="Arial"/>
          <w:sz w:val="16"/>
          <w:szCs w:val="16"/>
          <w:color w:val="auto"/>
        </w:rPr>
        <w:t>If we fail to identify and correctly interpret relevant patents, we may be subject to infringement claims. We cannot guarantee that we will be able to successfully settle or otherwise resolve such infringement claims. If we are unable to successfully settle future claims on terms acceptable to us, we may be required to engage in or continue costly, unpredictable and time-consuming litigation and may be prevented from or experience substantial delays in marketing our products. If we fail in any such dispute, in addition to being forced to pay damages, we may be temporarily or permanently prohibited from commercializing any of our product candidates that are held to be infringing. We might, if possible, also be forced to redesign product candidates or our technologies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17" w:lineRule="exact"/>
        <w:rPr>
          <w:sz w:val="20"/>
          <w:szCs w:val="20"/>
          <w:color w:val="auto"/>
        </w:rPr>
      </w:pPr>
    </w:p>
    <w:p>
      <w:pPr>
        <w:ind w:right="20" w:firstLine="509"/>
        <w:spacing w:after="0" w:line="293" w:lineRule="auto"/>
        <w:rPr>
          <w:sz w:val="20"/>
          <w:szCs w:val="20"/>
          <w:color w:val="auto"/>
        </w:rPr>
      </w:pPr>
      <w:r>
        <w:rPr>
          <w:rFonts w:ascii="Arial" w:cs="Arial" w:eastAsia="Arial" w:hAnsi="Arial"/>
          <w:sz w:val="16"/>
          <w:szCs w:val="16"/>
          <w:color w:val="auto"/>
        </w:rPr>
        <w:t>We may also be subject to claims that former employees, collaborators or other third parties have an ownership interest in our patents or other intellectual property. We may have ownership disputes in the future arising, for example, from conflicting obligations of consultants or others who are involved in developing our product candidates.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7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time-consuming and unsuccessful, and issued patents covering our product candidates could be found invalid or unenforceable if challenged in court in the United States or abroad.</w:t>
      </w:r>
    </w:p>
    <w:p>
      <w:pPr>
        <w:spacing w:after="0" w:line="76" w:lineRule="exact"/>
        <w:rPr>
          <w:sz w:val="20"/>
          <w:szCs w:val="20"/>
          <w:color w:val="auto"/>
        </w:rPr>
      </w:pPr>
    </w:p>
    <w:p>
      <w:pPr>
        <w:ind w:right="100" w:firstLine="509"/>
        <w:spacing w:after="0" w:line="258" w:lineRule="auto"/>
        <w:rPr>
          <w:sz w:val="20"/>
          <w:szCs w:val="20"/>
          <w:color w:val="auto"/>
        </w:rPr>
      </w:pPr>
      <w:r>
        <w:rPr>
          <w:rFonts w:ascii="Arial" w:cs="Arial" w:eastAsia="Arial" w:hAnsi="Arial"/>
          <w:sz w:val="18"/>
          <w:szCs w:val="18"/>
          <w:color w:val="auto"/>
        </w:rPr>
        <w:t>Competitors may infringe our patents or the patents of our licensors. If we were to initiate legal proceedings against a third party to enforce a patent covering one of our products or our technology, the defendant could counterclaim that our patent is invalid or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9" w:name="page60"/>
    <w:bookmarkEnd w:id="59"/>
    <w:p>
      <w:pPr>
        <w:spacing w:after="0" w:line="269" w:lineRule="auto"/>
        <w:rPr>
          <w:sz w:val="20"/>
          <w:szCs w:val="20"/>
          <w:color w:val="auto"/>
        </w:rPr>
      </w:pPr>
      <w:r>
        <w:rPr>
          <w:rFonts w:ascii="Arial" w:cs="Arial" w:eastAsia="Arial" w:hAnsi="Arial"/>
          <w:sz w:val="17"/>
          <w:szCs w:val="17"/>
          <w:color w:val="auto"/>
        </w:rPr>
        <w:t>unenforceable, or the court may refuse to stop the defendant in such infringement proceeding from using the technology at issue on the grounds that our patents do not cover the technology in question. In patent litigation in the United States,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one or more of our products or certain aspects of our platform technology. Such a loss of patent protection could have a material and adverse effect on our business, financial condition, results of operations and prospects. Patents and other intellectual property rights also will not protect our technology if competitors design around our protected technology without legally infringing our patents or other intellectual property rights.</w:t>
      </w:r>
    </w:p>
    <w:p>
      <w:pPr>
        <w:spacing w:after="0" w:line="182" w:lineRule="exact"/>
        <w:rPr>
          <w:sz w:val="20"/>
          <w:szCs w:val="20"/>
          <w:color w:val="auto"/>
        </w:rPr>
      </w:pPr>
    </w:p>
    <w:p>
      <w:pPr>
        <w:ind w:right="160" w:firstLine="509"/>
        <w:spacing w:after="0" w:line="296" w:lineRule="auto"/>
        <w:rPr>
          <w:sz w:val="20"/>
          <w:szCs w:val="20"/>
          <w:color w:val="auto"/>
        </w:rPr>
      </w:pPr>
      <w:r>
        <w:rPr>
          <w:rFonts w:ascii="Arial" w:cs="Arial" w:eastAsia="Arial" w:hAnsi="Arial"/>
          <w:sz w:val="16"/>
          <w:szCs w:val="16"/>
          <w:color w:val="auto"/>
        </w:rPr>
        <w:t>Interference or derivation proceedings provoked by third parties or brought by us, the USPTO or any foreign patent authority may be necessary to determine the priority and/or ownership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if any license is offered at all. Our defense of litigation or interference proceedings may fail and, even if successful, may result in substantial costs and distract our management and other employees.</w:t>
      </w:r>
    </w:p>
    <w:p>
      <w:pPr>
        <w:spacing w:after="0" w:line="161"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We may not be able to prevent, alone or with our licensors, misappropriation of our intellectual property, trade secrets or confidential information, particularly in countries where the laws may not protect those rights as fully as in the United States.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40" w:firstLine="509"/>
        <w:spacing w:after="0" w:line="287" w:lineRule="auto"/>
        <w:rPr>
          <w:sz w:val="20"/>
          <w:szCs w:val="20"/>
          <w:color w:val="auto"/>
        </w:rPr>
      </w:pPr>
      <w:r>
        <w:rPr>
          <w:rFonts w:ascii="Arial" w:cs="Arial" w:eastAsia="Arial" w:hAnsi="Arial"/>
          <w:sz w:val="16"/>
          <w:szCs w:val="16"/>
          <w:color w:val="auto"/>
        </w:rPr>
        <w:t>Obtaining a valid and enforceable issued or granted patent covering our technology in the United States and worldwide can be extremely costly. In jurisdictions where we have not obtained patent protection, competitors may use our technology to develop their own products and further, may export otherwise infringing products to territories where we have patent protection, but where it is more difficult to enforce a patent as compared to the United States. Competitor products may compete with our future products in jurisdictions where we do not have issued or granted patents or where our issued or granted patent claims or other intellectual property rights are not sufficient to prevent competitor activities in these jurisdictions. The legal systems of certain countries, particularly certain developing countries, make it difficult to enforce patents and such countries may not recognize other types of intellectual property protection, particularly that relating to biopharmaceuticals. This could make it difficult for us to prevent the infringement of our patents or marketing of competing products in violation of our proprietary rights in certain jurisdictions. Proceedings to enforce our patent rights in foreign jurisdictions, regardless of whether they are successful, could result in substantial cost and divert our efforts and attention from other aspects of our business. Similarly, if our trade secrets are disclosed in a foreign jurisdiction, competitors worldwide could have access to our proprietary information and we may be without satisfactory recourse. Such disclosure could have a material adverse effect on our business. Moreover, our ability to protect and enforce our intellectual property rights may be adversely affected by unforeseen changes in foreign intellectual property laws.</w:t>
      </w:r>
    </w:p>
    <w:p>
      <w:pPr>
        <w:spacing w:after="0" w:line="168" w:lineRule="exact"/>
        <w:rPr>
          <w:sz w:val="20"/>
          <w:szCs w:val="20"/>
          <w:color w:val="auto"/>
        </w:rPr>
      </w:pPr>
    </w:p>
    <w:p>
      <w:pPr>
        <w:ind w:right="40" w:firstLine="509"/>
        <w:spacing w:after="0" w:line="266" w:lineRule="auto"/>
        <w:rPr>
          <w:sz w:val="20"/>
          <w:szCs w:val="20"/>
          <w:color w:val="auto"/>
        </w:rPr>
      </w:pPr>
      <w:r>
        <w:rPr>
          <w:rFonts w:ascii="Arial" w:cs="Arial" w:eastAsia="Arial" w:hAnsi="Arial"/>
          <w:sz w:val="17"/>
          <w:szCs w:val="17"/>
          <w:color w:val="auto"/>
        </w:rPr>
        <w:t xml:space="preserve">We generally file a provisional patent application first (a priority filing) at the USPTO. An international application under the Patent Cooperation Treaty, or PCT, is usually filed within 12 months after the priority filing. Based on the PCT filing, national and regional patent applications may be filed in the United States, Europe, Japan, Australia and Canada and, depending on the individual case, also in any or all of, </w:t>
      </w:r>
      <w:r>
        <w:rPr>
          <w:rFonts w:ascii="Arial" w:cs="Arial" w:eastAsia="Arial" w:hAnsi="Arial"/>
          <w:sz w:val="17"/>
          <w:szCs w:val="17"/>
          <w:i w:val="1"/>
          <w:iCs w:val="1"/>
          <w:color w:val="auto"/>
        </w:rPr>
        <w:t>inter alia</w:t>
      </w:r>
      <w:r>
        <w:rPr>
          <w:rFonts w:ascii="Arial" w:cs="Arial" w:eastAsia="Arial" w:hAnsi="Arial"/>
          <w:sz w:val="17"/>
          <w:szCs w:val="17"/>
          <w:color w:val="auto"/>
        </w:rPr>
        <w:t>, Brazil, China, Hong Kong, India, Israel, Mexico, New Zealand, Russia, South Africa, South Korea and other jurisdictions. We have so far not filed for patent protection in all national and regional jurisdictions where such protection may be available. In addition, we may decide to abandon national and regional patent applications before grant. Finally, the grant proceeding of each national or regional patent is an independent proceeding which may lead to situations in which applications might in some jurisdictions be refused by the relevant registration authorities, while granted in other jurisdictions. It is also quite common that depending on the country, various scopes of patent protection may be granted on the same product candidate or technology. 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0" w:name="page61"/>
    <w:bookmarkEnd w:id="60"/>
    <w:p>
      <w:pPr>
        <w:ind w:right="20" w:firstLine="509"/>
        <w:spacing w:after="0" w:line="269" w:lineRule="auto"/>
        <w:rPr>
          <w:sz w:val="20"/>
          <w:szCs w:val="20"/>
          <w:color w:val="auto"/>
        </w:rPr>
      </w:pPr>
      <w:r>
        <w:rPr>
          <w:rFonts w:ascii="Arial" w:cs="Arial" w:eastAsia="Arial" w:hAnsi="Arial"/>
          <w:sz w:val="17"/>
          <w:szCs w:val="17"/>
          <w:color w:val="auto"/>
        </w:rPr>
        <w:t>The laws of some jurisdictions do not protect intellectual property rights to the same extent as the laws in the United States, and many companies have encountered significant difficulties in protecting and defending such rights in such jurisdictions. The requirements for patentability differ, in varying degrees, from country to country, and the laws of some foreign countries do not protect intellectual property rights, including trade secrets, to the same extent as federal and state laws of the United States.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in the relevant jurisdiction may be impaired and our business and results of operations may be adversely affected.</w:t>
      </w: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litigation could cause us to spend substantial resources and distract our personnel from their normal responsibilities.</w:t>
      </w:r>
    </w:p>
    <w:p>
      <w:pPr>
        <w:spacing w:after="0" w:line="129"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Litigation or other legal proceedings relating to intellectual property claims, with or without merit, is unpredictable and generally expensive and time-consuming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66" w:lineRule="exact"/>
        <w:rPr>
          <w:sz w:val="20"/>
          <w:szCs w:val="20"/>
          <w:color w:val="auto"/>
        </w:rPr>
      </w:pPr>
    </w:p>
    <w:p>
      <w:pPr>
        <w:ind w:right="160" w:firstLine="509"/>
        <w:spacing w:after="0" w:line="275" w:lineRule="auto"/>
        <w:rPr>
          <w:sz w:val="20"/>
          <w:szCs w:val="20"/>
          <w:color w:val="auto"/>
        </w:rPr>
      </w:pPr>
      <w:r>
        <w:rPr>
          <w:rFonts w:ascii="Arial" w:cs="Arial" w:eastAsia="Arial" w:hAnsi="Arial"/>
          <w:sz w:val="17"/>
          <w:szCs w:val="17"/>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284" w:lineRule="exact"/>
        <w:rPr>
          <w:sz w:val="20"/>
          <w:szCs w:val="20"/>
          <w:color w:val="auto"/>
        </w:rPr>
      </w:pPr>
    </w:p>
    <w:p>
      <w:pPr>
        <w:ind w:right="60"/>
        <w:spacing w:after="0" w:line="375" w:lineRule="auto"/>
        <w:rPr>
          <w:sz w:val="20"/>
          <w:szCs w:val="20"/>
          <w:color w:val="auto"/>
        </w:rPr>
      </w:pPr>
      <w:r>
        <w:rPr>
          <w:rFonts w:ascii="Arial" w:cs="Arial" w:eastAsia="Arial" w:hAnsi="Arial"/>
          <w:sz w:val="15"/>
          <w:szCs w:val="15"/>
          <w:b w:val="1"/>
          <w:bCs w:val="1"/>
          <w:i w:val="1"/>
          <w:iCs w:val="1"/>
          <w:color w:val="auto"/>
        </w:rPr>
        <w:t>If we fail to comply with our obligations under any license, collaboration or other agreements, we may be required to pay damages and could lose intellectual property rights that are necessary for developing and protecting our product candidates or we could lose certain rights to grant sublicenses.</w:t>
      </w:r>
    </w:p>
    <w:p>
      <w:pPr>
        <w:spacing w:after="0" w:line="1"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Our current and any future collaboration agreements or license agreements we enter into are likely to impose various development, commercialization, funding, milestone, royalty, diligence, sublicensing, insurance, patent prosecution and enforcement and/or other obligations on us. If we breach any of these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 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our product candidates through acquisitions and in-licenses.</w:t>
      </w:r>
    </w:p>
    <w:p>
      <w:pPr>
        <w:spacing w:after="0" w:line="129" w:lineRule="exact"/>
        <w:rPr>
          <w:sz w:val="20"/>
          <w:szCs w:val="20"/>
          <w:color w:val="auto"/>
        </w:rPr>
      </w:pPr>
    </w:p>
    <w:p>
      <w:pPr>
        <w:ind w:right="100" w:firstLine="509"/>
        <w:spacing w:after="0" w:line="284" w:lineRule="auto"/>
        <w:rPr>
          <w:sz w:val="20"/>
          <w:szCs w:val="20"/>
          <w:color w:val="auto"/>
        </w:rPr>
      </w:pPr>
      <w:r>
        <w:rPr>
          <w:rFonts w:ascii="Arial" w:cs="Arial" w:eastAsia="Arial" w:hAnsi="Arial"/>
          <w:sz w:val="16"/>
          <w:szCs w:val="16"/>
          <w:color w:val="auto"/>
        </w:rPr>
        <w:t>We may find that our programs require the use of proprietary rights held by third parties, and the growth of our business may depend in part on our ability to acquire, in-license or use these proprietary rights. We may be unable to acquire or in-license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Moreover, collaboration arrangements are complex and time-consuming</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1" w:name="page62"/>
    <w:bookmarkEnd w:id="61"/>
    <w:p>
      <w:pPr>
        <w:ind w:right="340"/>
        <w:spacing w:after="0" w:line="301" w:lineRule="auto"/>
        <w:rPr>
          <w:sz w:val="20"/>
          <w:szCs w:val="20"/>
          <w:color w:val="auto"/>
        </w:rPr>
      </w:pPr>
      <w:r>
        <w:rPr>
          <w:rFonts w:ascii="Arial" w:cs="Arial" w:eastAsia="Arial" w:hAnsi="Arial"/>
          <w:sz w:val="16"/>
          <w:szCs w:val="16"/>
          <w:color w:val="auto"/>
        </w:rPr>
        <w:t>to negotiate, document, implement and maintain. We may not be successful in our efforts to establish and implement collaborations or other alternative arrangements should we choose to enter into such arrangements. We also may be unable to license or acquire third-party intellectual property rights on terms that that would be favorable to us or would allow us to make an appropriate return on our investment. Even if we are able to obtain a license to intellectual property of interest, we may not be able to secure exclusive rights, in which case others could use the same rights and compete with us.</w:t>
      </w:r>
    </w:p>
    <w:p>
      <w:pPr>
        <w:spacing w:after="0" w:line="265"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6" w:lineRule="exact"/>
        <w:rPr>
          <w:sz w:val="20"/>
          <w:szCs w:val="20"/>
          <w:color w:val="auto"/>
        </w:rPr>
      </w:pPr>
    </w:p>
    <w:p>
      <w:pPr>
        <w:ind w:right="40" w:firstLine="509"/>
        <w:spacing w:after="0" w:line="286" w:lineRule="auto"/>
        <w:rPr>
          <w:sz w:val="20"/>
          <w:szCs w:val="20"/>
          <w:color w:val="auto"/>
        </w:rPr>
      </w:pPr>
      <w:r>
        <w:rPr>
          <w:rFonts w:ascii="Arial" w:cs="Arial" w:eastAsia="Arial" w:hAnsi="Arial"/>
          <w:sz w:val="16"/>
          <w:szCs w:val="16"/>
          <w:color w:val="auto"/>
        </w:rPr>
        <w:t>The USPTO and various foreign governmental patent agencies require compliance with a number of procedural, documentary, fee payment and other provisions during the patent process. Periodic maintenance fees, renewal fees, annuity fees and various other governmental fees on patents and/or applications will be due to be paid to the USPTO and various governmental patent agencies outside of the United States in several stages over the lifetime of the patents and/or applications. We employ reputable law firms and other professionals and rely on such third parties to help us comply with these requirements and effect payment of these fees with respect to the patents and patent applications that we own, and if we in-license intellectual property we may have to rely upon our licensors to comply with these requirements and effect payment of these fees with respect to any patents and patent applications that we license. In many cases, an inadvertent lapse can be cured by payment of a late fee or by other means in accordance with the applicable rules. However,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 The standards applied by the USPTO and foreign patent offices in granting patents are not always applied uniformly or predictably. For example, there is no uniform worldwide policy regarding patentable subject matter or the scope of claims allowable in biotechnology and biopharmaceutical patents. As such, we do not know the degree of future protection that we will have on our technologies and product candidates. While we will endeavor to try to protect our technologies and product candidates with intellectual property rights such as patents, as appropriate, the process of obtaining patents is time-consuming, expensive and sometimes unpredictable.</w:t>
      </w:r>
    </w:p>
    <w:p>
      <w:pPr>
        <w:spacing w:after="0" w:line="279" w:lineRule="exact"/>
        <w:rPr>
          <w:sz w:val="20"/>
          <w:szCs w:val="20"/>
          <w:color w:val="auto"/>
        </w:rPr>
      </w:pPr>
    </w:p>
    <w:p>
      <w:pPr>
        <w:jc w:val="both"/>
        <w:ind w:right="380"/>
        <w:spacing w:after="0" w:line="286" w:lineRule="auto"/>
        <w:rPr>
          <w:sz w:val="20"/>
          <w:szCs w:val="20"/>
          <w:color w:val="auto"/>
        </w:rPr>
      </w:pPr>
      <w:r>
        <w:rPr>
          <w:rFonts w:ascii="Arial" w:cs="Arial" w:eastAsia="Arial" w:hAnsi="Arial"/>
          <w:sz w:val="17"/>
          <w:szCs w:val="17"/>
          <w:b w:val="1"/>
          <w:bCs w:val="1"/>
          <w:i w:val="1"/>
          <w:iCs w:val="1"/>
          <w:color w:val="auto"/>
        </w:rPr>
        <w:t>We may be subject to claims that we or our employees or consultants have wrongfully used or disclosed alleged trade secrets of our employees’ or consultants’ former employers or their clients. These claims may be costly to defend and if we do not successfully do so, we may be required to pay monetary damages and may lose valuable intellectual property rights or personnel.</w:t>
      </w:r>
    </w:p>
    <w:p>
      <w:pPr>
        <w:spacing w:after="0" w:line="57" w:lineRule="exact"/>
        <w:rPr>
          <w:sz w:val="20"/>
          <w:szCs w:val="20"/>
          <w:color w:val="auto"/>
        </w:rPr>
      </w:pPr>
    </w:p>
    <w:p>
      <w:pPr>
        <w:ind w:right="80" w:firstLine="509"/>
        <w:spacing w:after="0" w:line="254" w:lineRule="auto"/>
        <w:rPr>
          <w:sz w:val="20"/>
          <w:szCs w:val="20"/>
          <w:color w:val="auto"/>
        </w:rPr>
      </w:pPr>
      <w:r>
        <w:rPr>
          <w:rFonts w:ascii="Arial" w:cs="Arial" w:eastAsia="Arial" w:hAnsi="Arial"/>
          <w:sz w:val="18"/>
          <w:szCs w:val="18"/>
          <w:color w:val="auto"/>
        </w:rPr>
        <w:t>Many of our employees were previously employed at universities or biotechnology or biopharmaceutical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commercialize, or prevent us from commercializing, our product candidates, which could severely harm our business. Even if we are successful in defending against these claims, litigation could result in substantial costs and be a distraction to management.</w:t>
      </w:r>
    </w:p>
    <w:p>
      <w:pPr>
        <w:spacing w:after="0" w:line="30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Our trademarks or trade names may be challenged, infringed, circumvented, declared generic or determined to be infringing on other marks. We only have one currently registered trademark, and rely on common law protection for the rest of our trademarks.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or may fall below the expectations of investors or securities analysts, each of which may cause our stock price to fluctuate or decline.</w:t>
      </w:r>
    </w:p>
    <w:p>
      <w:pPr>
        <w:spacing w:after="0" w:line="62" w:lineRule="exact"/>
        <w:rPr>
          <w:sz w:val="20"/>
          <w:szCs w:val="20"/>
          <w:color w:val="auto"/>
        </w:rPr>
      </w:pPr>
    </w:p>
    <w:p>
      <w:pPr>
        <w:ind w:right="560" w:firstLine="509"/>
        <w:spacing w:after="0" w:line="258" w:lineRule="auto"/>
        <w:rPr>
          <w:sz w:val="20"/>
          <w:szCs w:val="20"/>
          <w:color w:val="auto"/>
        </w:rPr>
      </w:pPr>
      <w:r>
        <w:rPr>
          <w:rFonts w:ascii="Arial" w:cs="Arial" w:eastAsia="Arial" w:hAnsi="Arial"/>
          <w:sz w:val="18"/>
          <w:szCs w:val="18"/>
          <w:color w:val="auto"/>
        </w:rPr>
        <w:t>We expect our operating results to be subject to annual and quarterly fluctuations. Our net loss and other operating results will be affected by numerous factors, including, among others: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2" w:name="page63"/>
    <w:bookmarkEnd w:id="62"/>
    <w:p>
      <w:pPr>
        <w:ind w:left="1000" w:hanging="368"/>
        <w:spacing w:after="0"/>
        <w:tabs>
          <w:tab w:leader="none" w:pos="10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variations in the level of expense related to the ongoing development of our product candidates or future development programs;</w:t>
      </w:r>
    </w:p>
    <w:p>
      <w:pPr>
        <w:spacing w:after="0" w:line="128" w:lineRule="exact"/>
        <w:rPr>
          <w:rFonts w:ascii="Arial" w:cs="Arial" w:eastAsia="Arial" w:hAnsi="Arial"/>
          <w:sz w:val="17"/>
          <w:szCs w:val="17"/>
          <w:color w:val="auto"/>
        </w:rPr>
      </w:pPr>
    </w:p>
    <w:p>
      <w:pPr>
        <w:ind w:left="1000" w:hanging="36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results of preclinical studies and clinical trials, or the addition or termination of clinical trials;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success of our existing collaborations and any potential additional collaborations, licensing or similar arrangements;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any intellectual property infringement lawsuit or opposition, interference or cancellation proceeding in which we may become involved;</w:t>
      </w:r>
    </w:p>
    <w:p>
      <w:pPr>
        <w:spacing w:after="0" w:line="128" w:lineRule="exact"/>
        <w:rPr>
          <w:rFonts w:ascii="Arial" w:cs="Arial" w:eastAsia="Arial" w:hAnsi="Arial"/>
          <w:sz w:val="17"/>
          <w:szCs w:val="17"/>
          <w:color w:val="auto"/>
        </w:rPr>
      </w:pPr>
    </w:p>
    <w:p>
      <w:pPr>
        <w:ind w:left="1000" w:hanging="36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17" w:lineRule="exact"/>
        <w:rPr>
          <w:rFonts w:ascii="Arial" w:cs="Arial" w:eastAsia="Arial" w:hAnsi="Arial"/>
          <w:sz w:val="18"/>
          <w:szCs w:val="18"/>
          <w:color w:val="auto"/>
        </w:rPr>
      </w:pPr>
    </w:p>
    <w:p>
      <w:pPr>
        <w:ind w:left="1000" w:right="240" w:hanging="368"/>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62" w:lineRule="exact"/>
        <w:rPr>
          <w:rFonts w:ascii="Arial" w:cs="Arial" w:eastAsia="Arial" w:hAnsi="Arial"/>
          <w:sz w:val="18"/>
          <w:szCs w:val="18"/>
          <w:color w:val="auto"/>
        </w:rPr>
      </w:pPr>
    </w:p>
    <w:p>
      <w:pPr>
        <w:ind w:left="1000" w:hanging="368"/>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any of our product candidates receives regulatory approval, the terms of such approval and market acceptance and demand for such product candidates;</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developments affecting our product candidates or those of our competitors; and</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general market and economic conditions.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If our operating results fall below the expectations of investors or securities analysts, the price of our common stock could decline substantially.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Furthermore, any fluctuations in our operating results may, in turn, cause the price of our stock to fluctuate substantially.</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could lose all or part of your investment.</w:t>
      </w:r>
    </w:p>
    <w:p>
      <w:pPr>
        <w:spacing w:after="0" w:line="117" w:lineRule="exact"/>
        <w:rPr>
          <w:sz w:val="20"/>
          <w:szCs w:val="20"/>
          <w:color w:val="auto"/>
        </w:rPr>
      </w:pPr>
    </w:p>
    <w:p>
      <w:pPr>
        <w:ind w:right="420" w:firstLine="509"/>
        <w:spacing w:after="0" w:line="277" w:lineRule="auto"/>
        <w:rPr>
          <w:sz w:val="20"/>
          <w:szCs w:val="20"/>
          <w:color w:val="auto"/>
        </w:rPr>
      </w:pPr>
      <w:r>
        <w:rPr>
          <w:rFonts w:ascii="Arial" w:cs="Arial" w:eastAsia="Arial" w:hAnsi="Arial"/>
          <w:sz w:val="18"/>
          <w:szCs w:val="18"/>
          <w:color w:val="auto"/>
        </w:rPr>
        <w:t>The trading price of our common stock has been and is likely to continue to be highly volatile. The market price for our common stock may be influenced by many factors, including the other risks described in this section and the following:</w:t>
      </w:r>
    </w:p>
    <w:p>
      <w:pPr>
        <w:spacing w:after="0" w:line="62" w:lineRule="exact"/>
        <w:rPr>
          <w:sz w:val="20"/>
          <w:szCs w:val="20"/>
          <w:color w:val="auto"/>
        </w:rPr>
      </w:pPr>
    </w:p>
    <w:p>
      <w:pPr>
        <w:ind w:left="1000" w:hanging="368"/>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and results of our clinical trials or those of our competitors;</w:t>
      </w:r>
    </w:p>
    <w:p>
      <w:pPr>
        <w:spacing w:after="0" w:line="117" w:lineRule="exact"/>
        <w:rPr>
          <w:rFonts w:ascii="Arial" w:cs="Arial" w:eastAsia="Arial" w:hAnsi="Arial"/>
          <w:sz w:val="18"/>
          <w:szCs w:val="18"/>
          <w:color w:val="auto"/>
        </w:rPr>
      </w:pPr>
    </w:p>
    <w:p>
      <w:pPr>
        <w:ind w:left="1000" w:right="680" w:hanging="368"/>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 especially changes in laws or regulations applicable to our products;</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7" w:lineRule="exact"/>
        <w:rPr>
          <w:rFonts w:ascii="Arial" w:cs="Arial" w:eastAsia="Arial" w:hAnsi="Arial"/>
          <w:sz w:val="18"/>
          <w:szCs w:val="18"/>
          <w:color w:val="auto"/>
        </w:rPr>
      </w:pPr>
    </w:p>
    <w:p>
      <w:pPr>
        <w:ind w:left="1000" w:right="500" w:hanging="368"/>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introductions and announcements of new products by us, our current or future collaborators or our competitors, and the timing of these introductions or announcements;</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announcements of new collaboration agreements, or the restructuring or termination of current collaboration agreements;</w:t>
      </w:r>
    </w:p>
    <w:p>
      <w:pPr>
        <w:spacing w:after="0" w:line="117" w:lineRule="exact"/>
        <w:rPr>
          <w:rFonts w:ascii="Arial" w:cs="Arial" w:eastAsia="Arial" w:hAnsi="Arial"/>
          <w:sz w:val="18"/>
          <w:szCs w:val="18"/>
          <w:color w:val="auto"/>
        </w:rPr>
      </w:pPr>
    </w:p>
    <w:p>
      <w:pPr>
        <w:ind w:left="1000" w:right="500" w:hanging="368"/>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actions taken by regulatory agencies with respect to our products, preclinical studies, clinical trials, manufacturing process or sales and marketing terms;</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actual or anticipated 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success of our efforts to acquire or in-license additional technologies, products or product candidates;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developments concerning any future collaborations, including those regarding manufacturing, supply and commercialization of our products;</w:t>
      </w:r>
    </w:p>
    <w:p>
      <w:pPr>
        <w:spacing w:after="0" w:line="140" w:lineRule="exact"/>
        <w:rPr>
          <w:rFonts w:ascii="Arial" w:cs="Arial" w:eastAsia="Arial" w:hAnsi="Arial"/>
          <w:sz w:val="16"/>
          <w:szCs w:val="16"/>
          <w:color w:val="auto"/>
        </w:rPr>
      </w:pPr>
    </w:p>
    <w:p>
      <w:pPr>
        <w:ind w:left="1000" w:hanging="368"/>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collaborations, joint ventures or capital commitments;</w:t>
      </w:r>
    </w:p>
    <w:p>
      <w:pPr>
        <w:spacing w:after="0" w:line="128" w:lineRule="exact"/>
        <w:rPr>
          <w:rFonts w:ascii="Arial" w:cs="Arial" w:eastAsia="Arial" w:hAnsi="Arial"/>
          <w:sz w:val="17"/>
          <w:szCs w:val="17"/>
          <w:color w:val="auto"/>
        </w:rPr>
      </w:pPr>
    </w:p>
    <w:p>
      <w:pPr>
        <w:ind w:left="1000" w:right="180" w:hanging="368"/>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 including patents, litigation matters and our ability to obtain patent protection for our products;</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or inability to raise additional capital and the terms on which we raise it;</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actual or anticipated changes in earnings estimates or changes in stock market analysts’ recommendations regarding our common stock, other</w:t>
      </w:r>
    </w:p>
    <w:p>
      <w:pPr>
        <w:spacing w:after="0" w:line="4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comparable companies or our industry generally;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3" w:name="page64"/>
    <w:bookmarkEnd w:id="63"/>
    <w:p>
      <w:pPr>
        <w:ind w:left="1000" w:hanging="368"/>
        <w:spacing w:after="0"/>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failure or the failure of our competitors to meet analysts’ projections or guidance that we or our competitors may give to the market;</w:t>
      </w:r>
    </w:p>
    <w:p>
      <w:pPr>
        <w:spacing w:after="0" w:line="128" w:lineRule="exact"/>
        <w:rPr>
          <w:rFonts w:ascii="Arial" w:cs="Arial" w:eastAsia="Arial" w:hAnsi="Arial"/>
          <w:sz w:val="17"/>
          <w:szCs w:val="17"/>
          <w:color w:val="auto"/>
        </w:rPr>
      </w:pPr>
    </w:p>
    <w:p>
      <w:pPr>
        <w:ind w:left="1000" w:hanging="36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 and expectation of additional financing efforts;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expiration of market stand-off or lock-up agreements;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concentrated ownership of our common stock;</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terrorist acts, acts of war or periods of widespread civil unrest;</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 of any natural disasters or public health emergencies, such as the COVID-19 pandemic; and</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25" w:lineRule="exact"/>
        <w:rPr>
          <w:sz w:val="20"/>
          <w:szCs w:val="20"/>
          <w:color w:val="auto"/>
        </w:rPr>
      </w:pPr>
    </w:p>
    <w:p>
      <w:pPr>
        <w:jc w:val="both"/>
        <w:ind w:right="520" w:firstLine="509"/>
        <w:spacing w:after="0" w:line="263" w:lineRule="auto"/>
        <w:rPr>
          <w:sz w:val="20"/>
          <w:szCs w:val="20"/>
          <w:color w:val="auto"/>
        </w:rPr>
      </w:pPr>
      <w:r>
        <w:rPr>
          <w:rFonts w:ascii="Arial" w:cs="Arial" w:eastAsia="Arial" w:hAnsi="Arial"/>
          <w:sz w:val="18"/>
          <w:szCs w:val="18"/>
          <w:color w:val="auto"/>
        </w:rPr>
        <w:t>In addition, the stock markets in general, and the markets for pharmaceutical, biopharmaceutical and biotechnology stocks in particular, have experienced extreme volatility that has been often unrelated to the operating performance of the issuer. These broad market and industry factors may seriously harm the market price of our common stock, regardless of our operating performance.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future issuance of equity or of debt securities that are convertible into equity will dilute our share capital.</w:t>
      </w:r>
    </w:p>
    <w:p>
      <w:pPr>
        <w:spacing w:after="0" w:line="117" w:lineRule="exact"/>
        <w:rPr>
          <w:sz w:val="20"/>
          <w:szCs w:val="20"/>
          <w:color w:val="auto"/>
        </w:rPr>
      </w:pPr>
    </w:p>
    <w:p>
      <w:pPr>
        <w:ind w:right="120" w:firstLine="509"/>
        <w:spacing w:after="0" w:line="291" w:lineRule="auto"/>
        <w:rPr>
          <w:sz w:val="20"/>
          <w:szCs w:val="20"/>
          <w:color w:val="auto"/>
        </w:rPr>
      </w:pPr>
      <w:r>
        <w:rPr>
          <w:rFonts w:ascii="Arial" w:cs="Arial" w:eastAsia="Arial" w:hAnsi="Arial"/>
          <w:sz w:val="16"/>
          <w:szCs w:val="16"/>
          <w:color w:val="auto"/>
        </w:rPr>
        <w:t>We will need to raise additional capital in the future. To the extent we raise additional capital through the issuance of equity or convertible debt securities in the future, there will be further dilution to investors and the terms of these securities may include liquidation or other preferences that adversely affect our stockholders’ rights. Future issuances of our common stock or other equity securities, or the perception that such sales may occur, could adversely affect the trading price of our common stock and impair our ability to raise capital through future offerings of shares or equity securities. We may choose to raise additional capital through the issuance of equity or convertible debt securities due to market conditions or strategic considerations even if we believe we have sufficient funds for our current or future operating plans. No prediction can be made as to the effect, if any, that future sales of common stock or the availability of common stock for future sales will have on the trading price of our common stock.</w:t>
      </w:r>
    </w:p>
    <w:p>
      <w:pPr>
        <w:spacing w:after="0" w:line="27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adverse or misleading research or reports regarding us, our business or our market, our stock price and trading volume could decline.</w:t>
      </w:r>
    </w:p>
    <w:p>
      <w:pPr>
        <w:spacing w:after="0" w:line="62"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The trading market for our common stock is influenced by the research and reports that industry or securities analysts publish about us, our business or our market. If no or few securities or industry analysts commence or maintain coverage of us, the trading price for our stock would be negatively impacted.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300"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Our principal stockholders and management own a significant percentage of our stock and will be able to exert significant control over matters subject to stockholder approval and their interests may conflict with your interests as an owner of our common stock.</w:t>
      </w:r>
    </w:p>
    <w:p>
      <w:pPr>
        <w:spacing w:after="0" w:line="38" w:lineRule="exact"/>
        <w:rPr>
          <w:sz w:val="20"/>
          <w:szCs w:val="20"/>
          <w:color w:val="auto"/>
        </w:rPr>
      </w:pPr>
    </w:p>
    <w:p>
      <w:pPr>
        <w:ind w:right="260" w:firstLine="509"/>
        <w:spacing w:after="0" w:line="311" w:lineRule="auto"/>
        <w:rPr>
          <w:sz w:val="20"/>
          <w:szCs w:val="20"/>
          <w:color w:val="auto"/>
        </w:rPr>
      </w:pPr>
      <w:r>
        <w:rPr>
          <w:rFonts w:ascii="Arial" w:cs="Arial" w:eastAsia="Arial" w:hAnsi="Arial"/>
          <w:sz w:val="16"/>
          <w:szCs w:val="16"/>
          <w:color w:val="auto"/>
        </w:rPr>
        <w:t>As of September 30, 2023, executive officers and directors, together with holders of 5% or more of our outstanding common stock and their respective affiliates, beneficially own approximately 36.5% of our outstanding common stock. More specifically, Jay M. Short, Ph.D, our Chairman and Chief Executive Officer, together with his spouse, beneficially own approximately 6.3%, of our outstanding common stock, as of September 30, 2023.</w:t>
      </w:r>
    </w:p>
    <w:p>
      <w:pPr>
        <w:spacing w:after="0" w:line="149"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As a result, Dr. Short and our other principal stockholders will continue to have significant influence over the outcome of corporate actions requiring stockholder approval, including the election of directors,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4" w:name="page65"/>
    <w:bookmarkEnd w:id="64"/>
    <w:p>
      <w:pPr>
        <w:jc w:val="both"/>
        <w:ind w:right="40"/>
        <w:spacing w:after="0" w:line="263" w:lineRule="auto"/>
        <w:rPr>
          <w:sz w:val="20"/>
          <w:szCs w:val="20"/>
          <w:color w:val="auto"/>
        </w:rPr>
      </w:pPr>
      <w:r>
        <w:rPr>
          <w:rFonts w:ascii="Arial" w:cs="Arial" w:eastAsia="Arial" w:hAnsi="Arial"/>
          <w:sz w:val="18"/>
          <w:szCs w:val="18"/>
          <w:color w:val="auto"/>
        </w:rPr>
        <w:t>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184" w:lineRule="exact"/>
        <w:rPr>
          <w:sz w:val="20"/>
          <w:szCs w:val="20"/>
          <w:color w:val="auto"/>
        </w:rPr>
      </w:pPr>
    </w:p>
    <w:p>
      <w:pPr>
        <w:ind w:right="180" w:firstLine="509"/>
        <w:spacing w:after="0" w:line="257" w:lineRule="auto"/>
        <w:rPr>
          <w:sz w:val="20"/>
          <w:szCs w:val="20"/>
          <w:color w:val="auto"/>
        </w:rPr>
      </w:pPr>
      <w:r>
        <w:rPr>
          <w:rFonts w:ascii="Arial" w:cs="Arial" w:eastAsia="Arial" w:hAnsi="Arial"/>
          <w:sz w:val="18"/>
          <w:szCs w:val="18"/>
          <w:color w:val="auto"/>
        </w:rPr>
        <w:t>In addition, we have entered into certain related party transactions with Himalaya Therapeutics SEZC, Inversagen, LLC and BioAtla Holdings, LLC, including various licensing arrangements with respect to certain CAB antibodies. Dr. Short and his spouse are each a manager of Inversagen, LLC and BioAtla Holdings, LLC and a director of Himalaya Therapeutics SEZC. In addition, Dr. Short’s spouse is also an officer of Himalaya Therapeutics SEZC. These related party transactions, and any future related party transactions, create the possibility of actual conflicts of interest with regard to Dr. Short.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17"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Our common stock price could decline as a result of sales of a large number of shares of common stock or the perception that these sales could occur. These sales, or the possibility that these sales may occur, might also make it more difficult for us to sell equity securities in the future at a time and price that we deem appropriate.</w:t>
      </w:r>
    </w:p>
    <w:p>
      <w:pPr>
        <w:spacing w:after="0" w:line="184"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All of our outstanding shares of common stock are freely tradable without restriction or further registration under the Securities Act unless held by our “affiliates” as defined in Rule 144 under the Securities Act, or Rule 144. Shares issued upon the exercise of stock options and warrants outstanding under our equity incentive plans or pursuant to future awards granted under those plans will become available for sale in the public market to the extent permitted by Rules 144 and 701 under the Securities Act.</w:t>
      </w:r>
    </w:p>
    <w:p>
      <w:pPr>
        <w:spacing w:after="0" w:line="187"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We registered the offer and sale of all shares of common stock that we may issue under our equity compensation plans, which shares will be able to be sold in the public market upon issuance, subject to applicable securities laws and the lock-up agreements.</w:t>
      </w:r>
    </w:p>
    <w:p>
      <w:pPr>
        <w:spacing w:after="0" w:line="278" w:lineRule="exact"/>
        <w:rPr>
          <w:sz w:val="20"/>
          <w:szCs w:val="20"/>
          <w:color w:val="auto"/>
        </w:rPr>
      </w:pPr>
    </w:p>
    <w:p>
      <w:pPr>
        <w:ind w:right="760"/>
        <w:spacing w:after="0" w:line="342"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6"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Provisions in the amended and restated certificate of incorporation and our amended and restated bylaws may delay or prevent an acquisition of us or a change in our management.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These provisions include:</w:t>
      </w:r>
    </w:p>
    <w:p>
      <w:pPr>
        <w:spacing w:after="0" w:line="80" w:lineRule="exact"/>
        <w:rPr>
          <w:sz w:val="20"/>
          <w:szCs w:val="20"/>
          <w:color w:val="auto"/>
        </w:rPr>
      </w:pPr>
    </w:p>
    <w:p>
      <w:pPr>
        <w:ind w:left="1000" w:hanging="36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prohibition on actions by our stockholders by written consent;</w:t>
      </w:r>
    </w:p>
    <w:p>
      <w:pPr>
        <w:spacing w:after="0" w:line="117" w:lineRule="exact"/>
        <w:rPr>
          <w:rFonts w:ascii="Arial" w:cs="Arial" w:eastAsia="Arial" w:hAnsi="Arial"/>
          <w:sz w:val="18"/>
          <w:szCs w:val="18"/>
          <w:color w:val="auto"/>
        </w:rPr>
      </w:pPr>
    </w:p>
    <w:p>
      <w:pPr>
        <w:ind w:left="1000" w:right="180" w:hanging="368"/>
        <w:spacing w:after="0" w:line="308" w:lineRule="auto"/>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 requirement that special meetings of stockholders be called only by the chairman of our board of directors, our chief executive officer, or our board of directors pursuant to a resolution adopted by a majority of the total number of authorized directors;</w:t>
      </w:r>
    </w:p>
    <w:p>
      <w:pPr>
        <w:spacing w:after="0" w:line="38" w:lineRule="exact"/>
        <w:rPr>
          <w:rFonts w:ascii="Arial" w:cs="Arial" w:eastAsia="Arial" w:hAnsi="Arial"/>
          <w:sz w:val="17"/>
          <w:szCs w:val="17"/>
          <w:color w:val="auto"/>
        </w:rPr>
      </w:pPr>
    </w:p>
    <w:p>
      <w:pPr>
        <w:ind w:left="1000" w:hanging="368"/>
        <w:spacing w:after="0"/>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advance notice requirements for election to our board of directors and for proposing matters that can be acted upon at stockholder meetings;</w:t>
      </w:r>
    </w:p>
    <w:p>
      <w:pPr>
        <w:spacing w:after="0" w:line="140" w:lineRule="exact"/>
        <w:rPr>
          <w:rFonts w:ascii="Arial" w:cs="Arial" w:eastAsia="Arial" w:hAnsi="Arial"/>
          <w:sz w:val="16"/>
          <w:szCs w:val="16"/>
          <w:color w:val="auto"/>
        </w:rPr>
      </w:pPr>
    </w:p>
    <w:p>
      <w:pPr>
        <w:ind w:left="1000" w:hanging="36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requirement that directors may only be removed “for cause” and only with 66 2/3% voting stock of our stockholders;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requirement that only the board of directors may change the number of directors and fill vacancies on the board;</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division of our board of directors into three classes, serving staggered terms of three years each; and</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authority of the board of directors to issue preferred stock with such terms as the board of directors may determine.</w:t>
      </w:r>
    </w:p>
    <w:p>
      <w:pPr>
        <w:spacing w:after="0" w:line="225"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as amended,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These provisions would apply even if the proposed merger or acquisition could be considered beneficial by some stockholders.</w:t>
      </w:r>
    </w:p>
    <w:p>
      <w:pPr>
        <w:spacing w:after="0" w:line="29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Company’s ability to attract and retain qualified members of our board of directors may be impacted due to new state laws, including recently enacted gender quotas.</w:t>
      </w:r>
    </w:p>
    <w:p>
      <w:pPr>
        <w:spacing w:after="0" w:line="62" w:lineRule="exact"/>
        <w:rPr>
          <w:sz w:val="20"/>
          <w:szCs w:val="20"/>
          <w:color w:val="auto"/>
        </w:rPr>
      </w:pPr>
    </w:p>
    <w:p>
      <w:pPr>
        <w:ind w:right="40" w:firstLine="509"/>
        <w:spacing w:after="0" w:line="258" w:lineRule="auto"/>
        <w:rPr>
          <w:sz w:val="20"/>
          <w:szCs w:val="20"/>
          <w:color w:val="auto"/>
        </w:rPr>
      </w:pPr>
      <w:r>
        <w:rPr>
          <w:rFonts w:ascii="Arial" w:cs="Arial" w:eastAsia="Arial" w:hAnsi="Arial"/>
          <w:sz w:val="18"/>
          <w:szCs w:val="18"/>
          <w:color w:val="auto"/>
        </w:rPr>
        <w:t>In September 2018, California enacted SB 826 requiring public companies headquartered in California to maintain minimum female representation on their boards of directors as follows: by the end of 2019, at least one woman on its board, by the end of 2020,</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57" w:right="419" w:bottom="1440" w:gutter="0" w:footer="0" w:header="0"/>
        </w:sectPr>
      </w:pPr>
    </w:p>
    <w:bookmarkStart w:id="65" w:name="page66"/>
    <w:bookmarkEnd w:id="65"/>
    <w:p>
      <w:pPr>
        <w:ind w:right="300"/>
        <w:spacing w:after="0" w:line="277" w:lineRule="auto"/>
        <w:rPr>
          <w:sz w:val="20"/>
          <w:szCs w:val="20"/>
          <w:color w:val="auto"/>
        </w:rPr>
      </w:pPr>
      <w:r>
        <w:rPr>
          <w:rFonts w:ascii="Arial" w:cs="Arial" w:eastAsia="Arial" w:hAnsi="Arial"/>
          <w:sz w:val="18"/>
          <w:szCs w:val="18"/>
          <w:color w:val="auto"/>
        </w:rPr>
        <w:t>public company boards with five members will be required to have at least two female directors, and public company boards with six or more members will be required to have at least three female directors.</w:t>
      </w:r>
    </w:p>
    <w:p>
      <w:pPr>
        <w:spacing w:after="0" w:line="62" w:lineRule="exact"/>
        <w:rPr>
          <w:sz w:val="20"/>
          <w:szCs w:val="20"/>
          <w:color w:val="auto"/>
        </w:rPr>
      </w:pPr>
    </w:p>
    <w:p>
      <w:pPr>
        <w:ind w:right="40" w:firstLine="509"/>
        <w:spacing w:after="0" w:line="311" w:lineRule="auto"/>
        <w:rPr>
          <w:sz w:val="20"/>
          <w:szCs w:val="20"/>
          <w:color w:val="auto"/>
        </w:rPr>
      </w:pPr>
      <w:r>
        <w:rPr>
          <w:rFonts w:ascii="Arial" w:cs="Arial" w:eastAsia="Arial" w:hAnsi="Arial"/>
          <w:sz w:val="16"/>
          <w:szCs w:val="16"/>
          <w:color w:val="auto"/>
        </w:rPr>
        <w:t>In September 2020, California enacted AB 979, which requires that by the end of 2021 California-headquartered public companies have at least one director on their boards who is from an underrepresented community, defined as “an individual who self-identifies as Black, African American, Hispanic, Latino, Asian, Pacific Islander, Native American, Native Hawaiian, or Alaska Native, or who self-identifies as gay, lesbian, bisexual, or transgender.”</w:t>
      </w:r>
    </w:p>
    <w:p>
      <w:pPr>
        <w:spacing w:after="0" w:line="41"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In addition to that initial 2021 requirement, the law mandates that the number of directors from underrepresented communities be increased by the end of calendar year 2022, depending on the size of the board.</w:t>
      </w:r>
    </w:p>
    <w:p>
      <w:pPr>
        <w:spacing w:after="0" w:line="62"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Each of these measures has been challenged in court, and although judges of the California Superior Court ruled that AB 979 and SB 826 violate the California constitution in April 2022 and May 2022, respectively, the Secretary of State of the State of California has appealed such rulings, and the ultimate enforceability of these or similar laws remains uncertain.</w:t>
      </w:r>
    </w:p>
    <w:p>
      <w:pPr>
        <w:spacing w:after="0" w:line="292"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In addition, the Company is subject to the listing rules from Nasdaq related to board diversity and disclosure, which require all companies listed on Nasdaq’s U.S. exchanges to publicly disclose consistent, transparent diversity statistics regarding their board of directors. Additionally, the rules require most Nasdaq-listed companies to have, or explain why they do not have, at least two diverse directors, including one who self-identifies as female and one who self-identifies as either an underrepresented minority or LGBTQ+.</w:t>
      </w:r>
    </w:p>
    <w:p>
      <w:pPr>
        <w:spacing w:after="0" w:line="79" w:lineRule="exact"/>
        <w:rPr>
          <w:sz w:val="20"/>
          <w:szCs w:val="20"/>
          <w:color w:val="auto"/>
        </w:rPr>
      </w:pPr>
    </w:p>
    <w:p>
      <w:pPr>
        <w:ind w:right="360" w:firstLine="509"/>
        <w:spacing w:after="0" w:line="259" w:lineRule="auto"/>
        <w:rPr>
          <w:sz w:val="20"/>
          <w:szCs w:val="20"/>
          <w:color w:val="auto"/>
        </w:rPr>
      </w:pPr>
      <w:r>
        <w:rPr>
          <w:rFonts w:ascii="Arial" w:cs="Arial" w:eastAsia="Arial" w:hAnsi="Arial"/>
          <w:sz w:val="18"/>
          <w:szCs w:val="18"/>
          <w:color w:val="auto"/>
        </w:rPr>
        <w:t>Failure to achieve designated minimum gender and diversity levels in a timely manner exposes such companies to financial penalties and reputational harm. While we are currently in compliance with these regulations, we cannot assure that we can recruit, attract and/or retain qualified members of the board and meet gender and diversity quotas as a result of the California laws or Nasdaq rules, which may expose us to penalties and/or reputational harm.</w:t>
      </w:r>
    </w:p>
    <w:p>
      <w:pPr>
        <w:spacing w:after="0" w:line="29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b w:val="1"/>
          <w:bCs w:val="1"/>
          <w:i w:val="1"/>
          <w:iCs w:val="1"/>
          <w:color w:val="auto"/>
        </w:rPr>
        <w:t>We have incurred, and will continue to incur, significant costs as a result of operating as a public company, and our management is required to devote substantial time to compliance initiatives and corporate governance practices. Additionally, if we fail to maintain proper and effective internal controls, our ability to produce accurate financial statements on a timely basis could be impaired.</w:t>
      </w:r>
    </w:p>
    <w:p>
      <w:pPr>
        <w:spacing w:after="0" w:line="57"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As a public company, we have incurred and will continue to incur significant legal, accounting and other expenses that we did not incur as a private company. The Sarbanes-Oxley Act,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Also, the Exchange Act requires, among other things, that we file annual, quarterly and current reports with respect to our business and operating results. Our management and other personnel need to devote a substantial amount of time to these compliance initiatives. Moreover, these rules and regulations increase our legal and financial compliance costs and make some activities, including obtaining director and officer liability insurance and maintaining such coverage, more time-consuming and costly. These rules and regulations could also make it more difficult for us to attract and retain qualified members of our board of directors or our board committees or as executive officers. 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72" w:lineRule="exact"/>
        <w:rPr>
          <w:sz w:val="20"/>
          <w:szCs w:val="20"/>
          <w:color w:val="auto"/>
        </w:rPr>
      </w:pPr>
    </w:p>
    <w:p>
      <w:pPr>
        <w:ind w:firstLine="509"/>
        <w:spacing w:after="0" w:line="283" w:lineRule="auto"/>
        <w:rPr>
          <w:sz w:val="20"/>
          <w:szCs w:val="20"/>
          <w:color w:val="auto"/>
        </w:rPr>
      </w:pPr>
      <w:r>
        <w:rPr>
          <w:rFonts w:ascii="Arial" w:cs="Arial" w:eastAsia="Arial" w:hAnsi="Arial"/>
          <w:sz w:val="16"/>
          <w:szCs w:val="16"/>
          <w:color w:val="auto"/>
        </w:rPr>
        <w:t>In addition, as a public company, we are required to incur costs and obligations in order to comply with SEC rules that implement Section 404 of the Sarbanes-Oxley Act. Under these rules, we are required to make a formal assessment of the effectiveness of our internal control over financial reporting, and if we cease to be a smaller reporting company, we will be required to include an attestation report on internal control over financial reporting issued by our independent registered public accounting firm. We engaged outside consultants to assist in a process to document and evaluate our internal control over financial reporting, which is both costly and challenging. In this regard, we have dedicated, and will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 As a result of the complexity involved in complying with the rules and regulations applicable to public companies, our management’s attention may be diverted from other business concerns, which could harm our business, operating results, and financial condition. Since becoming a public company, we increased, and may in the future further increase, the number of employees dedicated to finance and reporting, and the services of outside consultants to meet requirements, which has increased our operating expenses. Since January 1, 2023, we are a smaller reporting company and therefore, are no longer required to include an attestation report on internal control over financial reporting by our independent registered public accounting firm for as long as we remain a smaller reporting company.</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6" w:name="page67"/>
    <w:bookmarkEnd w:id="66"/>
    <w:p>
      <w:pPr>
        <w:ind w:firstLine="509"/>
        <w:spacing w:after="0" w:line="259" w:lineRule="auto"/>
        <w:rPr>
          <w:sz w:val="20"/>
          <w:szCs w:val="20"/>
          <w:color w:val="auto"/>
        </w:rPr>
      </w:pPr>
      <w:r>
        <w:rPr>
          <w:rFonts w:ascii="Arial" w:cs="Arial" w:eastAsia="Arial" w:hAnsi="Arial"/>
          <w:sz w:val="18"/>
          <w:szCs w:val="18"/>
          <w:color w:val="auto"/>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Our internal control over financial reporting may not prevent or detect all errors and all fraud.</w:t>
      </w:r>
    </w:p>
    <w:p>
      <w:pPr>
        <w:spacing w:after="0" w:line="187"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 In addition, if we are not able to continue to meet these requirements, we may not be able to remain listed on The Nasdaq Global Market.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88"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9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your ability to achieve a return on your investment will depend on appreciation of the value of our common stock.</w:t>
      </w:r>
    </w:p>
    <w:p>
      <w:pPr>
        <w:spacing w:after="0" w:line="62"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and do not anticipate declaring or paying any cash dividends for the foreseeable future. Any return to stockholders will therefore be limited to any appreciation in the value of our common stock, which is not certain.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our management’s attention.</w:t>
      </w:r>
    </w:p>
    <w:p>
      <w:pPr>
        <w:spacing w:after="0" w:line="117" w:lineRule="exact"/>
        <w:rPr>
          <w:sz w:val="20"/>
          <w:szCs w:val="20"/>
          <w:color w:val="auto"/>
        </w:rPr>
      </w:pPr>
    </w:p>
    <w:p>
      <w:pPr>
        <w:jc w:val="both"/>
        <w:ind w:right="260" w:firstLine="509"/>
        <w:spacing w:after="0" w:line="286" w:lineRule="auto"/>
        <w:rPr>
          <w:sz w:val="20"/>
          <w:szCs w:val="20"/>
          <w:color w:val="auto"/>
        </w:rPr>
      </w:pPr>
      <w:r>
        <w:rPr>
          <w:rFonts w:ascii="Arial" w:cs="Arial" w:eastAsia="Arial" w:hAnsi="Arial"/>
          <w:sz w:val="17"/>
          <w:szCs w:val="17"/>
          <w:color w:val="auto"/>
        </w:rPr>
        <w:t>In the past, companies that have experienced volatility in the market price of their securities have been subject to securities class action litigation. We may be the target of this type of litigation in the future. Regardless of the merits or the ultimate results of such litigation, securities litigation brought against us could result in substantial costs and divert our management’s attention from other business concerns.</w:t>
      </w:r>
    </w:p>
    <w:p>
      <w:pPr>
        <w:spacing w:after="0" w:line="27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Our certificate of incorporation and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76" w:lineRule="exact"/>
        <w:rPr>
          <w:sz w:val="20"/>
          <w:szCs w:val="20"/>
          <w:color w:val="auto"/>
        </w:rPr>
      </w:pPr>
    </w:p>
    <w:p>
      <w:pPr>
        <w:ind w:firstLine="509"/>
        <w:spacing w:after="0" w:line="283" w:lineRule="auto"/>
        <w:rPr>
          <w:sz w:val="20"/>
          <w:szCs w:val="20"/>
          <w:color w:val="auto"/>
        </w:rPr>
      </w:pPr>
      <w:r>
        <w:rPr>
          <w:rFonts w:ascii="Arial" w:cs="Arial" w:eastAsia="Arial" w:hAnsi="Arial"/>
          <w:sz w:val="16"/>
          <w:szCs w:val="16"/>
          <w:color w:val="auto"/>
        </w:rPr>
        <w:t>Our amended and restated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shall be the sole and exclusive forum for the following types of proceedings: (i) any derivative action or proceeding brought on behalf of our company, (ii) any action asserting a claim of breach of a fiduciary duty owed by any of our directors, officers, employees or stockholders to our company or our stockholders, (iii) any action asserting a claim arising pursuant to any provision of the General Corporation Law of the State of Delaware or as to which the General Corporation Law of the State of Delaware confers jurisdiction on the Court of Chancery of the State of Delaware or (iv) any action asserting a claim arising pursuant to any provision of our amended and restated certificate of incorporation or amended and restated bylaws (in each case, as they may be amended from time to time) or governed by the internal affairs doctrine. This provision would not apply to suits brought to enforce a duty or liability created by the Exchange Act or any other claim for which the U.S. federal courts have exclusive jurisdiction. Furthermore, Section 22 of the Securities Act creates concurrent jurisdiction for federal and state courts over all such Securities Act actions. Accordingly, both state and federal courts have jurisdiction to entertain such claims. Our amended and restated bylaws further provide that the federal district courts of the United States of America will be the exclusive forum to the fullest extent permitted by law, for resolving any complaint asserting a cause of action arising under the Securities Act. This choice of forum provision may limit a stockholder’s ability to bring a claim in a judicial forum that it finds favorable for disputes with us or our directors, officers or other employees, which may discourage such lawsuits against us and our directors, officers and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7" w:name="page68"/>
    <w:bookmarkEnd w:id="67"/>
    <w:p>
      <w:pPr>
        <w:spacing w:after="0" w:line="275" w:lineRule="auto"/>
        <w:rPr>
          <w:sz w:val="20"/>
          <w:szCs w:val="20"/>
          <w:color w:val="auto"/>
        </w:rPr>
      </w:pPr>
      <w:r>
        <w:rPr>
          <w:rFonts w:ascii="Arial" w:cs="Arial" w:eastAsia="Arial" w:hAnsi="Arial"/>
          <w:sz w:val="17"/>
          <w:szCs w:val="17"/>
          <w:color w:val="auto"/>
        </w:rPr>
        <w:t>employees. Alternatively, if a court were to find these provisions of our amended and restated certificate of incorporation and amended and restated bylaws inapplicable to, or unenforceable in respect of, one or more of the specified types of actions or proceedings, we may incur additional costs associated with resolving such matters in other jurisdictions, which could adversely affect our business and financial condition. Any person or entity purchasing or otherwise acquiring any interest in shares of our capital stock shall be deemed to have notice of and to have consented to the provisions of our amended and restated certificate of incorporation and amended and restated bylaws described above.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Registered Securities</w:t>
      </w:r>
    </w:p>
    <w:p>
      <w:pPr>
        <w:spacing w:after="0" w:line="121"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On December 15, 2020, the SEC declared effective our registration statement on Form S-1 (File No. 333-250093), as amended, filed in connection with our IPO. At the closing of the offering on December 18, 2020, we issued and sold 12,075,000 shares of our common stock at the initial public offering price to the public of $18.00 per share, which included the exercise in full of the underwriters’ option to purchase additional shares. We received gross proceeds from the IPO of $217.4 million, before deducting underwriting discounts and commissions of approximately $15.2 million and estimated offering costs of approximately $3.8 million.</w:t>
      </w:r>
    </w:p>
    <w:p>
      <w:pPr>
        <w:spacing w:after="0" w:line="188" w:lineRule="exact"/>
        <w:rPr>
          <w:sz w:val="20"/>
          <w:szCs w:val="20"/>
          <w:color w:val="auto"/>
        </w:rPr>
      </w:pPr>
    </w:p>
    <w:p>
      <w:pPr>
        <w:ind w:right="380" w:firstLine="509"/>
        <w:spacing w:after="0" w:line="277" w:lineRule="auto"/>
        <w:rPr>
          <w:sz w:val="20"/>
          <w:szCs w:val="20"/>
          <w:color w:val="auto"/>
        </w:rPr>
      </w:pPr>
      <w:r>
        <w:rPr>
          <w:rFonts w:ascii="Arial" w:cs="Arial" w:eastAsia="Arial" w:hAnsi="Arial"/>
          <w:sz w:val="18"/>
          <w:szCs w:val="18"/>
          <w:color w:val="auto"/>
        </w:rPr>
        <w:t>As of September 30, 2023, we have used approximately $189.7 million of the proceeds from our IPO. There has been no material change in the planned use of such proceeds from that described in the final prospectus filed by us with the SEC on December 17,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4"/>
                <w:szCs w:val="14"/>
                <w:color w:val="auto"/>
              </w:rPr>
            </w:pPr>
          </w:p>
        </w:tc>
        <w:tc>
          <w:tcPr>
            <w:tcW w:w="3720" w:type="dxa"/>
            <w:vAlign w:val="bottom"/>
            <w:gridSpan w:val="5"/>
            <w:vMerge w:val="restart"/>
          </w:tcPr>
          <w:p>
            <w:pPr>
              <w:ind w:left="1520"/>
              <w:spacing w:after="0"/>
              <w:rPr>
                <w:sz w:val="20"/>
                <w:szCs w:val="20"/>
                <w:color w:val="auto"/>
              </w:rPr>
            </w:pPr>
            <w:r>
              <w:rPr>
                <w:rFonts w:ascii="Arial" w:cs="Arial" w:eastAsia="Arial" w:hAnsi="Arial"/>
                <w:sz w:val="14"/>
                <w:szCs w:val="14"/>
                <w:b w:val="1"/>
                <w:bCs w:val="1"/>
                <w:color w:val="auto"/>
              </w:rPr>
              <w:t>Description</w:t>
            </w:r>
          </w:p>
        </w:tc>
        <w:tc>
          <w:tcPr>
            <w:tcW w:w="1280" w:type="dxa"/>
            <w:vAlign w:val="bottom"/>
            <w:vMerge w:val="restart"/>
          </w:tcPr>
          <w:p>
            <w:pPr>
              <w:jc w:val="right"/>
              <w:ind w:right="359"/>
              <w:spacing w:after="0"/>
              <w:rPr>
                <w:sz w:val="20"/>
                <w:szCs w:val="20"/>
                <w:color w:val="auto"/>
              </w:rPr>
            </w:pPr>
            <w:r>
              <w:rPr>
                <w:rFonts w:ascii="Arial" w:cs="Arial" w:eastAsia="Arial" w:hAnsi="Arial"/>
                <w:sz w:val="14"/>
                <w:szCs w:val="14"/>
                <w:b w:val="1"/>
                <w:bCs w:val="1"/>
                <w:color w:val="auto"/>
              </w:rPr>
              <w:t>Form</w:t>
            </w:r>
          </w:p>
        </w:tc>
        <w:tc>
          <w:tcPr>
            <w:tcW w:w="130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File No.</w:t>
            </w:r>
          </w:p>
        </w:tc>
        <w:tc>
          <w:tcPr>
            <w:tcW w:w="106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Exhibit</w:t>
            </w:r>
          </w:p>
        </w:tc>
        <w:tc>
          <w:tcPr>
            <w:tcW w:w="15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Exhibit Filing Date</w:t>
            </w:r>
          </w:p>
        </w:tc>
        <w:tc>
          <w:tcPr>
            <w:tcW w:w="1220" w:type="dxa"/>
            <w:vAlign w:val="bottom"/>
          </w:tcPr>
          <w:p>
            <w:pPr>
              <w:jc w:val="center"/>
              <w:ind w:right="36"/>
              <w:spacing w:after="0"/>
              <w:rPr>
                <w:sz w:val="20"/>
                <w:szCs w:val="20"/>
                <w:color w:val="auto"/>
              </w:rPr>
            </w:pPr>
            <w:r>
              <w:rPr>
                <w:rFonts w:ascii="Arial" w:cs="Arial" w:eastAsia="Arial" w:hAnsi="Arial"/>
                <w:sz w:val="14"/>
                <w:szCs w:val="14"/>
                <w:b w:val="1"/>
                <w:bCs w:val="1"/>
                <w:color w:val="auto"/>
                <w:w w:val="94"/>
              </w:rPr>
              <w:t>File/Furnished</w:t>
            </w:r>
          </w:p>
        </w:tc>
        <w:tc>
          <w:tcPr>
            <w:tcW w:w="0" w:type="dxa"/>
            <w:vAlign w:val="bottom"/>
          </w:tcPr>
          <w:p>
            <w:pPr>
              <w:spacing w:after="0"/>
              <w:rPr>
                <w:sz w:val="1"/>
                <w:szCs w:val="1"/>
                <w:color w:val="auto"/>
              </w:rPr>
            </w:pPr>
          </w:p>
        </w:tc>
      </w:tr>
      <w:tr>
        <w:trPr>
          <w:trHeight w:val="185"/>
        </w:trPr>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6"/>
                <w:szCs w:val="16"/>
                <w:color w:val="auto"/>
              </w:rPr>
            </w:pPr>
          </w:p>
        </w:tc>
        <w:tc>
          <w:tcPr>
            <w:tcW w:w="3720" w:type="dxa"/>
            <w:vAlign w:val="bottom"/>
            <w:tcBorders>
              <w:bottom w:val="single" w:sz="8" w:color="auto"/>
            </w:tcBorders>
            <w:gridSpan w:val="5"/>
            <w:vMerge w:val="continue"/>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425"/>
        </w:trPr>
        <w:tc>
          <w:tcPr>
            <w:tcW w:w="1000" w:type="dxa"/>
            <w:vAlign w:val="bottom"/>
          </w:tcPr>
          <w:p>
            <w:pPr>
              <w:ind w:left="2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3720" w:type="dxa"/>
            <w:vAlign w:val="bottom"/>
            <w:gridSpan w:val="5"/>
          </w:tcPr>
          <w:p>
            <w:pPr>
              <w:spacing w:after="0"/>
              <w:rPr>
                <w:sz w:val="20"/>
                <w:szCs w:val="20"/>
                <w:color w:val="auto"/>
              </w:rPr>
            </w:pPr>
            <w:r>
              <w:rPr>
                <w:rFonts w:ascii="Arial" w:cs="Arial" w:eastAsia="Arial" w:hAnsi="Arial"/>
                <w:sz w:val="18"/>
                <w:szCs w:val="18"/>
                <w:color w:val="0000FF"/>
                <w:w w:val="91"/>
              </w:rPr>
              <w:t>Certification of Chief Executive Officer Pursuant to</w:t>
            </w: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80" w:type="dxa"/>
            <w:vAlign w:val="bottom"/>
            <w:tcBorders>
              <w:left w:val="single" w:sz="8" w:color="0000FF"/>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20" w:type="dxa"/>
            <w:vAlign w:val="bottom"/>
            <w:gridSpan w:val="5"/>
          </w:tcPr>
          <w:p>
            <w:pPr>
              <w:spacing w:after="0" w:line="196" w:lineRule="exact"/>
              <w:rPr>
                <w:sz w:val="20"/>
                <w:szCs w:val="20"/>
                <w:color w:val="auto"/>
              </w:rPr>
            </w:pPr>
            <w:r>
              <w:rPr>
                <w:rFonts w:ascii="Arial" w:cs="Arial" w:eastAsia="Arial" w:hAnsi="Arial"/>
                <w:sz w:val="18"/>
                <w:szCs w:val="18"/>
                <w:color w:val="0000FF"/>
                <w:w w:val="87"/>
              </w:rPr>
              <w:t>Rules 13a-14(a) and 15d-14(a) as Adopted Pursuant</w:t>
            </w: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80" w:type="dxa"/>
            <w:vAlign w:val="bottom"/>
            <w:tcBorders>
              <w:left w:val="single" w:sz="8" w:color="0000FF"/>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20" w:type="dxa"/>
            <w:vAlign w:val="bottom"/>
            <w:gridSpan w:val="5"/>
          </w:tcPr>
          <w:p>
            <w:pPr>
              <w:spacing w:after="0" w:line="196" w:lineRule="exact"/>
              <w:rPr>
                <w:sz w:val="20"/>
                <w:szCs w:val="20"/>
                <w:color w:val="auto"/>
              </w:rPr>
            </w:pPr>
            <w:r>
              <w:rPr>
                <w:rFonts w:ascii="Arial" w:cs="Arial" w:eastAsia="Arial" w:hAnsi="Arial"/>
                <w:sz w:val="18"/>
                <w:szCs w:val="18"/>
                <w:color w:val="0000FF"/>
                <w:w w:val="91"/>
              </w:rPr>
              <w:t>to Section 302 of the Sarbanes-Oxley Act of 2002.</w:t>
            </w: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19"/>
                <w:szCs w:val="19"/>
                <w:color w:val="auto"/>
              </w:rPr>
            </w:pPr>
          </w:p>
        </w:tc>
        <w:tc>
          <w:tcPr>
            <w:tcW w:w="3720" w:type="dxa"/>
            <w:vAlign w:val="bottom"/>
            <w:gridSpan w:val="5"/>
          </w:tcPr>
          <w:p>
            <w:pPr>
              <w:spacing w:after="0"/>
              <w:rPr>
                <w:sz w:val="20"/>
                <w:szCs w:val="20"/>
                <w:color w:val="auto"/>
              </w:rPr>
            </w:pPr>
            <w:r>
              <w:rPr>
                <w:rFonts w:ascii="Arial" w:cs="Arial" w:eastAsia="Arial" w:hAnsi="Arial"/>
                <w:sz w:val="18"/>
                <w:szCs w:val="18"/>
                <w:color w:val="0000FF"/>
                <w:w w:val="93"/>
              </w:rPr>
              <w:t>Certification of Chief Financial Officer Pursuant to</w:t>
            </w:r>
          </w:p>
        </w:tc>
        <w:tc>
          <w:tcPr>
            <w:tcW w:w="1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20" w:type="dxa"/>
            <w:vAlign w:val="bottom"/>
            <w:gridSpan w:val="5"/>
          </w:tcPr>
          <w:p>
            <w:pPr>
              <w:spacing w:after="0" w:line="196" w:lineRule="exact"/>
              <w:rPr>
                <w:sz w:val="20"/>
                <w:szCs w:val="20"/>
                <w:color w:val="auto"/>
              </w:rPr>
            </w:pPr>
            <w:r>
              <w:rPr>
                <w:rFonts w:ascii="Arial" w:cs="Arial" w:eastAsia="Arial" w:hAnsi="Arial"/>
                <w:sz w:val="18"/>
                <w:szCs w:val="18"/>
                <w:color w:val="0000FF"/>
                <w:w w:val="87"/>
              </w:rPr>
              <w:t>Rules 13a-14(a) and 15d-14(a) as Adopted Pursuant</w:t>
            </w: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80" w:type="dxa"/>
            <w:vAlign w:val="bottom"/>
            <w:tcBorders>
              <w:left w:val="single" w:sz="8" w:color="0000FF"/>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20" w:type="dxa"/>
            <w:vAlign w:val="bottom"/>
            <w:gridSpan w:val="5"/>
          </w:tcPr>
          <w:p>
            <w:pPr>
              <w:spacing w:after="0" w:line="196" w:lineRule="exact"/>
              <w:rPr>
                <w:sz w:val="20"/>
                <w:szCs w:val="20"/>
                <w:color w:val="auto"/>
              </w:rPr>
            </w:pPr>
            <w:r>
              <w:rPr>
                <w:rFonts w:ascii="Arial" w:cs="Arial" w:eastAsia="Arial" w:hAnsi="Arial"/>
                <w:sz w:val="18"/>
                <w:szCs w:val="18"/>
                <w:color w:val="0000FF"/>
                <w:w w:val="91"/>
              </w:rPr>
              <w:t>to Section 302 of the Sarbanes-Oxley Act of 2002.</w:t>
            </w: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19"/>
                <w:szCs w:val="19"/>
                <w:color w:val="auto"/>
              </w:rPr>
            </w:pPr>
          </w:p>
        </w:tc>
        <w:tc>
          <w:tcPr>
            <w:tcW w:w="3720" w:type="dxa"/>
            <w:vAlign w:val="bottom"/>
            <w:gridSpan w:val="5"/>
          </w:tcPr>
          <w:p>
            <w:pPr>
              <w:spacing w:after="0"/>
              <w:rPr>
                <w:sz w:val="20"/>
                <w:szCs w:val="20"/>
                <w:color w:val="auto"/>
              </w:rPr>
            </w:pPr>
            <w:r>
              <w:rPr>
                <w:rFonts w:ascii="Arial" w:cs="Arial" w:eastAsia="Arial" w:hAnsi="Arial"/>
                <w:sz w:val="18"/>
                <w:szCs w:val="18"/>
                <w:color w:val="0000FF"/>
                <w:w w:val="95"/>
              </w:rPr>
              <w:t>Certification of Chief Executive Officer and Chief</w:t>
            </w:r>
          </w:p>
        </w:tc>
        <w:tc>
          <w:tcPr>
            <w:tcW w:w="1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20" w:type="dxa"/>
            <w:vAlign w:val="bottom"/>
            <w:gridSpan w:val="5"/>
          </w:tcPr>
          <w:p>
            <w:pPr>
              <w:spacing w:after="0" w:line="196" w:lineRule="exact"/>
              <w:rPr>
                <w:sz w:val="20"/>
                <w:szCs w:val="20"/>
                <w:color w:val="auto"/>
              </w:rPr>
            </w:pPr>
            <w:r>
              <w:rPr>
                <w:rFonts w:ascii="Arial" w:cs="Arial" w:eastAsia="Arial" w:hAnsi="Arial"/>
                <w:sz w:val="18"/>
                <w:szCs w:val="18"/>
                <w:color w:val="0000FF"/>
                <w:w w:val="98"/>
              </w:rPr>
              <w:t>Financial Officer Pursuant to 18 U.S.C. Section</w:t>
            </w: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20" w:type="dxa"/>
            <w:vAlign w:val="bottom"/>
            <w:gridSpan w:val="5"/>
          </w:tcPr>
          <w:p>
            <w:pPr>
              <w:spacing w:after="0" w:line="196" w:lineRule="exact"/>
              <w:rPr>
                <w:sz w:val="20"/>
                <w:szCs w:val="20"/>
                <w:color w:val="auto"/>
              </w:rPr>
            </w:pPr>
            <w:r>
              <w:rPr>
                <w:rFonts w:ascii="Arial" w:cs="Arial" w:eastAsia="Arial" w:hAnsi="Arial"/>
                <w:sz w:val="18"/>
                <w:szCs w:val="18"/>
                <w:color w:val="0000FF"/>
                <w:w w:val="94"/>
              </w:rPr>
              <w:t>1350, as Adopted Pursuant to Section 906 of the</w:t>
            </w: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20" w:type="dxa"/>
            <w:vAlign w:val="bottom"/>
            <w:gridSpan w:val="5"/>
          </w:tcPr>
          <w:p>
            <w:pPr>
              <w:spacing w:after="0" w:line="196" w:lineRule="exact"/>
              <w:rPr>
                <w:sz w:val="20"/>
                <w:szCs w:val="20"/>
                <w:color w:val="auto"/>
              </w:rPr>
            </w:pPr>
            <w:r>
              <w:rPr>
                <w:rFonts w:ascii="Arial" w:cs="Arial" w:eastAsia="Arial" w:hAnsi="Arial"/>
                <w:sz w:val="18"/>
                <w:szCs w:val="18"/>
                <w:color w:val="0000FF"/>
              </w:rPr>
              <w:t>Sarbanes-Oxley Act of 2002.</w:t>
            </w: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EE"/>
            </w:tcBorders>
            <w:shd w:val="clear" w:color="auto" w:fill="0000FF"/>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000" w:type="dxa"/>
            <w:vAlign w:val="bottom"/>
          </w:tcPr>
          <w:p>
            <w:pPr>
              <w:ind w:left="20"/>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21"/>
                <w:szCs w:val="21"/>
                <w:color w:val="auto"/>
              </w:rPr>
            </w:pPr>
          </w:p>
        </w:tc>
        <w:tc>
          <w:tcPr>
            <w:tcW w:w="3720" w:type="dxa"/>
            <w:vAlign w:val="bottom"/>
            <w:gridSpan w:val="5"/>
          </w:tcPr>
          <w:p>
            <w:pPr>
              <w:spacing w:after="0"/>
              <w:rPr>
                <w:sz w:val="20"/>
                <w:szCs w:val="20"/>
                <w:color w:val="auto"/>
              </w:rPr>
            </w:pPr>
            <w:r>
              <w:rPr>
                <w:rFonts w:ascii="Arial" w:cs="Arial" w:eastAsia="Arial" w:hAnsi="Arial"/>
                <w:sz w:val="18"/>
                <w:szCs w:val="18"/>
                <w:color w:val="auto"/>
                <w:w w:val="98"/>
              </w:rPr>
              <w:t>Inline XBRL Instance Document – the instance</w:t>
            </w:r>
          </w:p>
        </w:tc>
        <w:tc>
          <w:tcPr>
            <w:tcW w:w="1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20" w:type="dxa"/>
            <w:vAlign w:val="bottom"/>
            <w:gridSpan w:val="5"/>
          </w:tcPr>
          <w:p>
            <w:pPr>
              <w:spacing w:after="0"/>
              <w:rPr>
                <w:sz w:val="20"/>
                <w:szCs w:val="20"/>
                <w:color w:val="auto"/>
              </w:rPr>
            </w:pPr>
            <w:r>
              <w:rPr>
                <w:rFonts w:ascii="Arial" w:cs="Arial" w:eastAsia="Arial" w:hAnsi="Arial"/>
                <w:sz w:val="18"/>
                <w:szCs w:val="18"/>
                <w:color w:val="auto"/>
                <w:w w:val="93"/>
              </w:rPr>
              <w:t>document does not appear in the Interactive Data</w:t>
            </w: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20" w:type="dxa"/>
            <w:vAlign w:val="bottom"/>
            <w:gridSpan w:val="5"/>
          </w:tcPr>
          <w:p>
            <w:pPr>
              <w:spacing w:after="0"/>
              <w:rPr>
                <w:sz w:val="20"/>
                <w:szCs w:val="20"/>
                <w:color w:val="auto"/>
              </w:rPr>
            </w:pPr>
            <w:r>
              <w:rPr>
                <w:rFonts w:ascii="Arial" w:cs="Arial" w:eastAsia="Arial" w:hAnsi="Arial"/>
                <w:sz w:val="18"/>
                <w:szCs w:val="18"/>
                <w:color w:val="auto"/>
                <w:w w:val="93"/>
              </w:rPr>
              <w:t>File because XBRL tags are embedded within the</w:t>
            </w: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20" w:type="dxa"/>
            <w:vAlign w:val="bottom"/>
            <w:gridSpan w:val="5"/>
          </w:tcPr>
          <w:p>
            <w:pPr>
              <w:spacing w:after="0"/>
              <w:rPr>
                <w:sz w:val="20"/>
                <w:szCs w:val="20"/>
                <w:color w:val="auto"/>
              </w:rPr>
            </w:pPr>
            <w:r>
              <w:rPr>
                <w:rFonts w:ascii="Arial" w:cs="Arial" w:eastAsia="Arial" w:hAnsi="Arial"/>
                <w:sz w:val="18"/>
                <w:szCs w:val="18"/>
                <w:color w:val="auto"/>
              </w:rPr>
              <w:t>Inline XBRL document.</w:t>
            </w:r>
          </w:p>
        </w:tc>
        <w:tc>
          <w:tcPr>
            <w:tcW w:w="1280" w:type="dxa"/>
            <w:vAlign w:val="bottom"/>
            <w:vMerge w:val="restart"/>
          </w:tcPr>
          <w:p>
            <w:pPr>
              <w:jc w:val="right"/>
              <w:ind w:right="339"/>
              <w:spacing w:after="0"/>
              <w:rPr>
                <w:sz w:val="20"/>
                <w:szCs w:val="20"/>
                <w:color w:val="auto"/>
              </w:rPr>
            </w:pPr>
            <w:r>
              <w:rPr>
                <w:rFonts w:ascii="Arial" w:cs="Arial" w:eastAsia="Arial" w:hAnsi="Arial"/>
                <w:sz w:val="18"/>
                <w:szCs w:val="18"/>
                <w:color w:val="auto"/>
              </w:rPr>
              <w:t>66</w:t>
            </w:r>
          </w:p>
        </w:tc>
        <w:tc>
          <w:tcPr>
            <w:tcW w:w="1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8" w:name="page69"/>
    <w:bookmarkEnd w:id="68"/>
    <w:p>
      <w:pPr>
        <w:ind w:left="1120" w:hanging="1099"/>
        <w:spacing w:after="0" w:line="258" w:lineRule="auto"/>
        <w:tabs>
          <w:tab w:leader="none" w:pos="11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The following materials from BioAtla’s Quarterly X Report on Form 10-Q for the quarter ended</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September 30, 2023, formatted in iXBRL (inline</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eXtensible Business Reporting Language): (i) the</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Condensed Balance Sheets, (ii) the Condensed</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Statements of Operations and Comprehensive Loss,</w:t>
      </w:r>
    </w:p>
    <w:p>
      <w:pPr>
        <w:spacing w:after="0" w:line="9" w:lineRule="exact"/>
        <w:rPr>
          <w:sz w:val="20"/>
          <w:szCs w:val="20"/>
          <w:color w:val="auto"/>
        </w:rPr>
      </w:pPr>
    </w:p>
    <w:p>
      <w:pPr>
        <w:ind w:left="1120" w:right="5920" w:firstLine="8"/>
        <w:spacing w:after="0" w:line="253" w:lineRule="auto"/>
        <w:tabs>
          <w:tab w:leader="none" w:pos="14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Condensed Statements of Stockholders’ Equity (iv) the Condensed Statements of Cash Flows, and (v) Notes to Condensed Financial Statements, tagged as blocks of text and including detailed tags</w:t>
      </w:r>
    </w:p>
    <w:p>
      <w:pPr>
        <w:spacing w:after="0" w:line="2" w:lineRule="exact"/>
        <w:rPr>
          <w:sz w:val="20"/>
          <w:szCs w:val="20"/>
          <w:color w:val="auto"/>
        </w:rPr>
      </w:pPr>
    </w:p>
    <w:p>
      <w:pPr>
        <w:ind w:left="1120" w:hanging="1099"/>
        <w:spacing w:after="0" w:line="258" w:lineRule="auto"/>
        <w:tabs>
          <w:tab w:leader="none" w:pos="11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X Inline XBRL document and contained in exhibit</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95123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 Furnished and not filed.</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320" w:top="355" w:right="91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40"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3260" w:type="dxa"/>
            <w:vAlign w:val="bottom"/>
            <w:gridSpan w:val="2"/>
          </w:tcPr>
          <w:p>
            <w:pPr>
              <w:ind w:left="1940"/>
              <w:spacing w:after="0"/>
              <w:rPr>
                <w:sz w:val="20"/>
                <w:szCs w:val="20"/>
                <w:color w:val="auto"/>
              </w:rPr>
            </w:pPr>
            <w:r>
              <w:rPr>
                <w:rFonts w:ascii="Arial" w:cs="Arial" w:eastAsia="Arial" w:hAnsi="Arial"/>
                <w:sz w:val="18"/>
                <w:szCs w:val="18"/>
                <w:color w:val="auto"/>
                <w:w w:val="99"/>
              </w:rPr>
              <w:t>Company Name</w:t>
            </w:r>
          </w:p>
        </w:tc>
        <w:tc>
          <w:tcPr>
            <w:tcW w:w="4320" w:type="dxa"/>
            <w:vAlign w:val="bottom"/>
          </w:tcPr>
          <w:p>
            <w:pPr>
              <w:spacing w:after="0"/>
              <w:rPr>
                <w:sz w:val="20"/>
                <w:szCs w:val="20"/>
                <w:color w:val="auto"/>
              </w:rPr>
            </w:pPr>
          </w:p>
        </w:tc>
      </w:tr>
      <w:tr>
        <w:trPr>
          <w:trHeight w:val="472"/>
        </w:trPr>
        <w:tc>
          <w:tcPr>
            <w:tcW w:w="3660" w:type="dxa"/>
            <w:vAlign w:val="bottom"/>
          </w:tcPr>
          <w:p>
            <w:pPr>
              <w:ind w:left="20"/>
              <w:spacing w:after="0"/>
              <w:rPr>
                <w:sz w:val="20"/>
                <w:szCs w:val="20"/>
                <w:color w:val="auto"/>
              </w:rPr>
            </w:pPr>
            <w:r>
              <w:rPr>
                <w:rFonts w:ascii="Arial" w:cs="Arial" w:eastAsia="Arial" w:hAnsi="Arial"/>
                <w:sz w:val="18"/>
                <w:szCs w:val="18"/>
                <w:color w:val="auto"/>
              </w:rPr>
              <w:t>Date: November 7, 2023</w:t>
            </w:r>
          </w:p>
        </w:tc>
        <w:tc>
          <w:tcPr>
            <w:tcW w:w="3260" w:type="dxa"/>
            <w:vAlign w:val="bottom"/>
            <w:gridSpan w:val="2"/>
          </w:tcPr>
          <w:p>
            <w:pPr>
              <w:ind w:left="1940"/>
              <w:spacing w:after="0"/>
              <w:rPr>
                <w:sz w:val="20"/>
                <w:szCs w:val="20"/>
                <w:color w:val="auto"/>
              </w:rPr>
            </w:pPr>
            <w:r>
              <w:rPr>
                <w:rFonts w:ascii="Arial" w:cs="Arial" w:eastAsia="Arial" w:hAnsi="Arial"/>
                <w:sz w:val="18"/>
                <w:szCs w:val="18"/>
                <w:color w:val="auto"/>
              </w:rPr>
              <w:t>By:</w:t>
            </w:r>
          </w:p>
        </w:tc>
        <w:tc>
          <w:tcPr>
            <w:tcW w:w="4320" w:type="dxa"/>
            <w:vAlign w:val="bottom"/>
          </w:tcPr>
          <w:p>
            <w:pPr>
              <w:ind w:left="900"/>
              <w:spacing w:after="0"/>
              <w:rPr>
                <w:sz w:val="20"/>
                <w:szCs w:val="20"/>
                <w:color w:val="auto"/>
              </w:rPr>
            </w:pPr>
            <w:r>
              <w:rPr>
                <w:rFonts w:ascii="Arial" w:cs="Arial" w:eastAsia="Arial" w:hAnsi="Arial"/>
                <w:sz w:val="18"/>
                <w:szCs w:val="18"/>
                <w:color w:val="auto"/>
              </w:rPr>
              <w:t>/s/ Jay M. Short, Ph.D.</w:t>
            </w:r>
          </w:p>
        </w:tc>
      </w:tr>
      <w:tr>
        <w:trPr>
          <w:trHeight w:val="209"/>
        </w:trPr>
        <w:tc>
          <w:tcPr>
            <w:tcW w:w="36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320" w:type="dxa"/>
            <w:vAlign w:val="bottom"/>
            <w:tcBorders>
              <w:top w:val="single" w:sz="8" w:color="auto"/>
            </w:tcBorders>
          </w:tcPr>
          <w:p>
            <w:pPr>
              <w:ind w:left="1000"/>
              <w:spacing w:after="0"/>
              <w:rPr>
                <w:sz w:val="20"/>
                <w:szCs w:val="20"/>
                <w:color w:val="auto"/>
              </w:rPr>
            </w:pPr>
            <w:r>
              <w:rPr>
                <w:rFonts w:ascii="Arial" w:cs="Arial" w:eastAsia="Arial" w:hAnsi="Arial"/>
                <w:sz w:val="18"/>
                <w:szCs w:val="18"/>
                <w:color w:val="auto"/>
              </w:rPr>
              <w:t>Jay M. Short, Ph.D.</w:t>
            </w:r>
          </w:p>
        </w:tc>
      </w:tr>
      <w:tr>
        <w:trPr>
          <w:trHeight w:val="216"/>
        </w:trPr>
        <w:tc>
          <w:tcPr>
            <w:tcW w:w="36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320" w:type="dxa"/>
            <w:vAlign w:val="bottom"/>
          </w:tcPr>
          <w:p>
            <w:pPr>
              <w:ind w:left="880"/>
              <w:spacing w:after="0"/>
              <w:rPr>
                <w:sz w:val="20"/>
                <w:szCs w:val="20"/>
                <w:color w:val="auto"/>
              </w:rPr>
            </w:pPr>
            <w:r>
              <w:rPr>
                <w:rFonts w:ascii="Arial" w:cs="Arial" w:eastAsia="Arial" w:hAnsi="Arial"/>
                <w:sz w:val="18"/>
                <w:szCs w:val="18"/>
                <w:color w:val="auto"/>
              </w:rPr>
              <w:t>Chief Executive Officer</w:t>
            </w:r>
          </w:p>
        </w:tc>
      </w:tr>
      <w:tr>
        <w:trPr>
          <w:trHeight w:val="230"/>
        </w:trPr>
        <w:tc>
          <w:tcPr>
            <w:tcW w:w="36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320" w:type="dxa"/>
            <w:vAlign w:val="bottom"/>
          </w:tcPr>
          <w:p>
            <w:pPr>
              <w:ind w:left="700"/>
              <w:spacing w:after="0"/>
              <w:rPr>
                <w:sz w:val="20"/>
                <w:szCs w:val="20"/>
                <w:color w:val="auto"/>
              </w:rPr>
            </w:pPr>
            <w:r>
              <w:rPr>
                <w:rFonts w:ascii="Arial" w:cs="Arial" w:eastAsia="Arial" w:hAnsi="Arial"/>
                <w:sz w:val="18"/>
                <w:szCs w:val="18"/>
                <w:color w:val="auto"/>
              </w:rPr>
              <w:t>(Principal Executive Officer)</w:t>
            </w:r>
          </w:p>
        </w:tc>
      </w:tr>
      <w:tr>
        <w:trPr>
          <w:trHeight w:val="472"/>
        </w:trPr>
        <w:tc>
          <w:tcPr>
            <w:tcW w:w="3660" w:type="dxa"/>
            <w:vAlign w:val="bottom"/>
          </w:tcPr>
          <w:p>
            <w:pPr>
              <w:ind w:left="20"/>
              <w:spacing w:after="0"/>
              <w:rPr>
                <w:sz w:val="20"/>
                <w:szCs w:val="20"/>
                <w:color w:val="auto"/>
              </w:rPr>
            </w:pPr>
            <w:r>
              <w:rPr>
                <w:rFonts w:ascii="Arial" w:cs="Arial" w:eastAsia="Arial" w:hAnsi="Arial"/>
                <w:sz w:val="18"/>
                <w:szCs w:val="18"/>
                <w:color w:val="auto"/>
              </w:rPr>
              <w:t>Date: November 7, 2023</w:t>
            </w:r>
          </w:p>
        </w:tc>
        <w:tc>
          <w:tcPr>
            <w:tcW w:w="3260" w:type="dxa"/>
            <w:vAlign w:val="bottom"/>
            <w:gridSpan w:val="2"/>
          </w:tcPr>
          <w:p>
            <w:pPr>
              <w:ind w:left="1940"/>
              <w:spacing w:after="0"/>
              <w:rPr>
                <w:sz w:val="20"/>
                <w:szCs w:val="20"/>
                <w:color w:val="auto"/>
              </w:rPr>
            </w:pPr>
            <w:r>
              <w:rPr>
                <w:rFonts w:ascii="Arial" w:cs="Arial" w:eastAsia="Arial" w:hAnsi="Arial"/>
                <w:sz w:val="18"/>
                <w:szCs w:val="18"/>
                <w:color w:val="auto"/>
              </w:rPr>
              <w:t>By:</w:t>
            </w:r>
          </w:p>
        </w:tc>
        <w:tc>
          <w:tcPr>
            <w:tcW w:w="4320" w:type="dxa"/>
            <w:vAlign w:val="bottom"/>
          </w:tcPr>
          <w:p>
            <w:pPr>
              <w:ind w:left="880"/>
              <w:spacing w:after="0"/>
              <w:rPr>
                <w:sz w:val="20"/>
                <w:szCs w:val="20"/>
                <w:color w:val="auto"/>
              </w:rPr>
            </w:pPr>
            <w:r>
              <w:rPr>
                <w:rFonts w:ascii="Arial" w:cs="Arial" w:eastAsia="Arial" w:hAnsi="Arial"/>
                <w:sz w:val="18"/>
                <w:szCs w:val="18"/>
                <w:color w:val="auto"/>
              </w:rPr>
              <w:t>/s/ Richard A. Waldron</w:t>
            </w:r>
          </w:p>
        </w:tc>
      </w:tr>
      <w:tr>
        <w:trPr>
          <w:trHeight w:val="209"/>
        </w:trPr>
        <w:tc>
          <w:tcPr>
            <w:tcW w:w="36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320" w:type="dxa"/>
            <w:vAlign w:val="bottom"/>
            <w:tcBorders>
              <w:top w:val="single" w:sz="8" w:color="auto"/>
            </w:tcBorders>
          </w:tcPr>
          <w:p>
            <w:pPr>
              <w:ind w:left="1000"/>
              <w:spacing w:after="0"/>
              <w:rPr>
                <w:sz w:val="20"/>
                <w:szCs w:val="20"/>
                <w:color w:val="auto"/>
              </w:rPr>
            </w:pPr>
            <w:r>
              <w:rPr>
                <w:rFonts w:ascii="Arial" w:cs="Arial" w:eastAsia="Arial" w:hAnsi="Arial"/>
                <w:sz w:val="18"/>
                <w:szCs w:val="18"/>
                <w:color w:val="auto"/>
              </w:rPr>
              <w:t>Richard A. Waldron</w:t>
            </w:r>
          </w:p>
        </w:tc>
      </w:tr>
      <w:tr>
        <w:trPr>
          <w:trHeight w:val="216"/>
        </w:trPr>
        <w:tc>
          <w:tcPr>
            <w:tcW w:w="36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320" w:type="dxa"/>
            <w:vAlign w:val="bottom"/>
          </w:tcPr>
          <w:p>
            <w:pPr>
              <w:ind w:left="900"/>
              <w:spacing w:after="0"/>
              <w:rPr>
                <w:sz w:val="20"/>
                <w:szCs w:val="20"/>
                <w:color w:val="auto"/>
              </w:rPr>
            </w:pPr>
            <w:r>
              <w:rPr>
                <w:rFonts w:ascii="Arial" w:cs="Arial" w:eastAsia="Arial" w:hAnsi="Arial"/>
                <w:sz w:val="18"/>
                <w:szCs w:val="18"/>
                <w:color w:val="auto"/>
              </w:rPr>
              <w:t>Chief Financial Officer</w:t>
            </w:r>
          </w:p>
        </w:tc>
      </w:tr>
      <w:tr>
        <w:trPr>
          <w:trHeight w:val="230"/>
        </w:trPr>
        <w:tc>
          <w:tcPr>
            <w:tcW w:w="36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320" w:type="dxa"/>
            <w:vAlign w:val="bottom"/>
          </w:tcPr>
          <w:p>
            <w:pPr>
              <w:ind w:left="120"/>
              <w:spacing w:after="0"/>
              <w:rPr>
                <w:sz w:val="20"/>
                <w:szCs w:val="20"/>
                <w:color w:val="auto"/>
              </w:rPr>
            </w:pPr>
            <w:r>
              <w:rPr>
                <w:rFonts w:ascii="Arial" w:cs="Arial" w:eastAsia="Arial" w:hAnsi="Arial"/>
                <w:sz w:val="18"/>
                <w:szCs w:val="18"/>
                <w:color w:val="auto"/>
              </w:rPr>
              <w:t>(Principal Financial and Accounting Officer)</w:t>
            </w:r>
          </w:p>
        </w:tc>
      </w:tr>
      <w:tr>
        <w:trPr>
          <w:trHeight w:val="446"/>
        </w:trPr>
        <w:tc>
          <w:tcPr>
            <w:tcW w:w="3660" w:type="dxa"/>
            <w:vAlign w:val="bottom"/>
          </w:tcPr>
          <w:p>
            <w:pPr>
              <w:spacing w:after="0"/>
              <w:rPr>
                <w:sz w:val="24"/>
                <w:szCs w:val="24"/>
                <w:color w:val="auto"/>
              </w:rPr>
            </w:pPr>
          </w:p>
        </w:tc>
        <w:tc>
          <w:tcPr>
            <w:tcW w:w="2360" w:type="dxa"/>
            <w:vAlign w:val="bottom"/>
          </w:tcPr>
          <w:p>
            <w:pPr>
              <w:jc w:val="right"/>
              <w:ind w:right="210"/>
              <w:spacing w:after="0"/>
              <w:rPr>
                <w:sz w:val="20"/>
                <w:szCs w:val="20"/>
                <w:color w:val="auto"/>
              </w:rPr>
            </w:pPr>
            <w:r>
              <w:rPr>
                <w:rFonts w:ascii="Arial" w:cs="Arial" w:eastAsia="Arial" w:hAnsi="Arial"/>
                <w:sz w:val="18"/>
                <w:szCs w:val="18"/>
                <w:color w:val="auto"/>
              </w:rPr>
              <w:t>68</w:t>
            </w:r>
          </w:p>
        </w:tc>
        <w:tc>
          <w:tcPr>
            <w:tcW w:w="90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115"/>
        </w:trPr>
        <w:tc>
          <w:tcPr>
            <w:tcW w:w="366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43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Jay M. Short, Ph.D., certify that:</w:t>
      </w:r>
    </w:p>
    <w:p>
      <w:pPr>
        <w:spacing w:after="0" w:line="225" w:lineRule="exact"/>
        <w:rPr>
          <w:sz w:val="20"/>
          <w:szCs w:val="20"/>
          <w:color w:val="auto"/>
        </w:rPr>
      </w:pPr>
    </w:p>
    <w:p>
      <w:pPr>
        <w:ind w:left="520" w:hanging="512"/>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BioAtla, Inc.;</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80" w:hanging="512"/>
        <w:spacing w:after="0" w:line="291" w:lineRule="auto"/>
        <w:tabs>
          <w:tab w:leader="none" w:pos="5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 Rules 13a-15(f) and</w:t>
      </w:r>
    </w:p>
    <w:p>
      <w:pPr>
        <w:ind w:left="52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1020" w:hanging="503"/>
        <w:spacing w:after="0" w:line="263" w:lineRule="auto"/>
        <w:tabs>
          <w:tab w:leader="none" w:pos="10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20" w:right="40" w:hanging="503"/>
        <w:spacing w:after="0" w:line="263" w:lineRule="auto"/>
        <w:tabs>
          <w:tab w:leader="none" w:pos="10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3" w:lineRule="exact"/>
        <w:rPr>
          <w:rFonts w:ascii="Arial" w:cs="Arial" w:eastAsia="Arial" w:hAnsi="Arial"/>
          <w:sz w:val="18"/>
          <w:szCs w:val="18"/>
          <w:color w:val="auto"/>
        </w:rPr>
      </w:pPr>
    </w:p>
    <w:p>
      <w:pPr>
        <w:ind w:left="520" w:right="240" w:hanging="512"/>
        <w:spacing w:after="0" w:line="342" w:lineRule="auto"/>
        <w:tabs>
          <w:tab w:leader="none" w:pos="5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20" w:right="440" w:hanging="503"/>
        <w:spacing w:after="0" w:line="277" w:lineRule="auto"/>
        <w:tabs>
          <w:tab w:leader="none" w:pos="10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760" w:type="dxa"/>
            <w:vAlign w:val="bottom"/>
          </w:tcPr>
          <w:p>
            <w:pPr>
              <w:ind w:left="20"/>
              <w:spacing w:after="0"/>
              <w:rPr>
                <w:sz w:val="20"/>
                <w:szCs w:val="20"/>
                <w:color w:val="auto"/>
              </w:rPr>
            </w:pPr>
            <w:r>
              <w:rPr>
                <w:rFonts w:ascii="Arial" w:cs="Arial" w:eastAsia="Arial" w:hAnsi="Arial"/>
                <w:sz w:val="18"/>
                <w:szCs w:val="18"/>
                <w:color w:val="auto"/>
              </w:rPr>
              <w:t>Date: November 7, 2023</w:t>
            </w:r>
          </w:p>
        </w:tc>
        <w:tc>
          <w:tcPr>
            <w:tcW w:w="2260" w:type="dxa"/>
            <w:vAlign w:val="bottom"/>
          </w:tcPr>
          <w:p>
            <w:pPr>
              <w:ind w:left="194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Jay M. Short, Ph.D.</w:t>
            </w:r>
          </w:p>
        </w:tc>
      </w:tr>
      <w:tr>
        <w:trPr>
          <w:trHeight w:val="209"/>
        </w:trPr>
        <w:tc>
          <w:tcPr>
            <w:tcW w:w="3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0"/>
              </w:rPr>
              <w:t>Jay M. Short, Ph.D.</w:t>
            </w:r>
          </w:p>
        </w:tc>
      </w:tr>
      <w:tr>
        <w:trPr>
          <w:trHeight w:val="230"/>
        </w:trPr>
        <w:tc>
          <w:tcPr>
            <w:tcW w:w="37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3"/>
              </w:rPr>
              <w:t>Chief Executive Officer and Director</w:t>
            </w:r>
          </w:p>
        </w:tc>
      </w:tr>
      <w:tr>
        <w:trPr>
          <w:trHeight w:val="560"/>
        </w:trPr>
        <w:tc>
          <w:tcPr>
            <w:tcW w:w="376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Richard A. Waldron, certify that:</w:t>
      </w:r>
    </w:p>
    <w:p>
      <w:pPr>
        <w:spacing w:after="0" w:line="225" w:lineRule="exact"/>
        <w:rPr>
          <w:sz w:val="20"/>
          <w:szCs w:val="20"/>
          <w:color w:val="auto"/>
        </w:rPr>
      </w:pPr>
    </w:p>
    <w:p>
      <w:pPr>
        <w:ind w:left="520" w:hanging="512"/>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BioAtla, Inc.;</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80" w:hanging="512"/>
        <w:spacing w:after="0" w:line="291" w:lineRule="auto"/>
        <w:tabs>
          <w:tab w:leader="none" w:pos="5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 Rules 13a-15(f) and</w:t>
      </w:r>
    </w:p>
    <w:p>
      <w:pPr>
        <w:ind w:left="52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1020" w:hanging="503"/>
        <w:spacing w:after="0" w:line="263" w:lineRule="auto"/>
        <w:tabs>
          <w:tab w:leader="none" w:pos="10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20" w:right="40" w:hanging="503"/>
        <w:spacing w:after="0" w:line="263" w:lineRule="auto"/>
        <w:tabs>
          <w:tab w:leader="none" w:pos="10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3" w:lineRule="exact"/>
        <w:rPr>
          <w:rFonts w:ascii="Arial" w:cs="Arial" w:eastAsia="Arial" w:hAnsi="Arial"/>
          <w:sz w:val="18"/>
          <w:szCs w:val="18"/>
          <w:color w:val="auto"/>
        </w:rPr>
      </w:pPr>
    </w:p>
    <w:p>
      <w:pPr>
        <w:ind w:left="520" w:right="240" w:hanging="512"/>
        <w:spacing w:after="0" w:line="342" w:lineRule="auto"/>
        <w:tabs>
          <w:tab w:leader="none" w:pos="5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20" w:right="440" w:hanging="503"/>
        <w:spacing w:after="0" w:line="277" w:lineRule="auto"/>
        <w:tabs>
          <w:tab w:leader="none" w:pos="10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760" w:type="dxa"/>
            <w:vAlign w:val="bottom"/>
          </w:tcPr>
          <w:p>
            <w:pPr>
              <w:ind w:left="20"/>
              <w:spacing w:after="0"/>
              <w:rPr>
                <w:sz w:val="20"/>
                <w:szCs w:val="20"/>
                <w:color w:val="auto"/>
              </w:rPr>
            </w:pPr>
            <w:r>
              <w:rPr>
                <w:rFonts w:ascii="Arial" w:cs="Arial" w:eastAsia="Arial" w:hAnsi="Arial"/>
                <w:sz w:val="18"/>
                <w:szCs w:val="18"/>
                <w:color w:val="auto"/>
              </w:rPr>
              <w:t>Date: November 7, 2023</w:t>
            </w:r>
          </w:p>
        </w:tc>
        <w:tc>
          <w:tcPr>
            <w:tcW w:w="2260" w:type="dxa"/>
            <w:vAlign w:val="bottom"/>
          </w:tcPr>
          <w:p>
            <w:pPr>
              <w:ind w:left="194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Richard A. Waldron</w:t>
            </w:r>
          </w:p>
        </w:tc>
      </w:tr>
      <w:tr>
        <w:trPr>
          <w:trHeight w:val="209"/>
        </w:trPr>
        <w:tc>
          <w:tcPr>
            <w:tcW w:w="3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2"/>
              </w:rPr>
              <w:t>Richard A. Waldron</w:t>
            </w:r>
          </w:p>
        </w:tc>
      </w:tr>
      <w:tr>
        <w:trPr>
          <w:trHeight w:val="216"/>
        </w:trPr>
        <w:tc>
          <w:tcPr>
            <w:tcW w:w="3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30"/>
        </w:trPr>
        <w:tc>
          <w:tcPr>
            <w:tcW w:w="37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r>
      <w:tr>
        <w:trPr>
          <w:trHeight w:val="344"/>
        </w:trPr>
        <w:tc>
          <w:tcPr>
            <w:tcW w:w="376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auto"/>
        </w:rPr>
        <w:t>In connection with the Quarterly Report of BioAtla, Inc. (the “Company”) on Form 10-Q for the period ending September 30, 2023 as filed with the Securities and Exchange Commission on the date hereof (the “Report”), I certify, pursuant to 18 U.S.C. § 1350, as adopted pursuant to § 906 of the Sarbanes-Oxley Act of 2002, that, to my knowledge:</w:t>
      </w:r>
    </w:p>
    <w:p>
      <w:pPr>
        <w:spacing w:after="0" w:line="184" w:lineRule="exact"/>
        <w:rPr>
          <w:sz w:val="20"/>
          <w:szCs w:val="20"/>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20" w:right="620" w:hanging="503"/>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244"/>
        </w:trPr>
        <w:tc>
          <w:tcPr>
            <w:tcW w:w="3740" w:type="dxa"/>
            <w:vAlign w:val="bottom"/>
          </w:tcPr>
          <w:p>
            <w:pPr>
              <w:spacing w:after="0"/>
              <w:rPr>
                <w:sz w:val="20"/>
                <w:szCs w:val="20"/>
                <w:color w:val="auto"/>
              </w:rPr>
            </w:pPr>
            <w:r>
              <w:rPr>
                <w:rFonts w:ascii="Arial" w:cs="Arial" w:eastAsia="Arial" w:hAnsi="Arial"/>
                <w:sz w:val="18"/>
                <w:szCs w:val="18"/>
                <w:color w:val="auto"/>
              </w:rPr>
              <w:t>Date: November 7, 2023</w:t>
            </w:r>
          </w:p>
        </w:tc>
        <w:tc>
          <w:tcPr>
            <w:tcW w:w="2260" w:type="dxa"/>
            <w:vAlign w:val="bottom"/>
          </w:tcPr>
          <w:p>
            <w:pPr>
              <w:ind w:left="194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Jay M. Short, Ph.D.</w:t>
            </w:r>
          </w:p>
        </w:tc>
      </w:tr>
      <w:tr>
        <w:trPr>
          <w:trHeight w:val="209"/>
        </w:trPr>
        <w:tc>
          <w:tcPr>
            <w:tcW w:w="37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0"/>
              </w:rPr>
              <w:t>Jay M. Short, Ph.D.</w:t>
            </w:r>
          </w:p>
        </w:tc>
      </w:tr>
      <w:tr>
        <w:trPr>
          <w:trHeight w:val="216"/>
        </w:trPr>
        <w:tc>
          <w:tcPr>
            <w:tcW w:w="37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220" w:type="dxa"/>
            <w:vAlign w:val="bottom"/>
          </w:tcPr>
          <w:p>
            <w:pPr>
              <w:ind w:left="1780"/>
              <w:spacing w:after="0"/>
              <w:rPr>
                <w:sz w:val="20"/>
                <w:szCs w:val="20"/>
                <w:color w:val="auto"/>
              </w:rPr>
            </w:pPr>
            <w:r>
              <w:rPr>
                <w:rFonts w:ascii="Arial" w:cs="Arial" w:eastAsia="Arial" w:hAnsi="Arial"/>
                <w:sz w:val="18"/>
                <w:szCs w:val="18"/>
                <w:color w:val="auto"/>
              </w:rPr>
              <w:t>Chief Executive Officer</w:t>
            </w:r>
          </w:p>
        </w:tc>
      </w:tr>
      <w:tr>
        <w:trPr>
          <w:trHeight w:val="230"/>
        </w:trPr>
        <w:tc>
          <w:tcPr>
            <w:tcW w:w="37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459"/>
        </w:trPr>
        <w:tc>
          <w:tcPr>
            <w:tcW w:w="3740" w:type="dxa"/>
            <w:vAlign w:val="bottom"/>
          </w:tcPr>
          <w:p>
            <w:pPr>
              <w:spacing w:after="0"/>
              <w:rPr>
                <w:sz w:val="20"/>
                <w:szCs w:val="20"/>
                <w:color w:val="auto"/>
              </w:rPr>
            </w:pPr>
            <w:r>
              <w:rPr>
                <w:rFonts w:ascii="Arial" w:cs="Arial" w:eastAsia="Arial" w:hAnsi="Arial"/>
                <w:sz w:val="18"/>
                <w:szCs w:val="18"/>
                <w:color w:val="auto"/>
              </w:rPr>
              <w:t>Date: November 7, 2023</w:t>
            </w:r>
          </w:p>
        </w:tc>
        <w:tc>
          <w:tcPr>
            <w:tcW w:w="2260" w:type="dxa"/>
            <w:vAlign w:val="bottom"/>
          </w:tcPr>
          <w:p>
            <w:pPr>
              <w:ind w:left="194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Richard A. Waldron</w:t>
            </w:r>
          </w:p>
        </w:tc>
      </w:tr>
      <w:tr>
        <w:trPr>
          <w:trHeight w:val="209"/>
        </w:trPr>
        <w:tc>
          <w:tcPr>
            <w:tcW w:w="37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2"/>
              </w:rPr>
              <w:t>Richard A. Waldron</w:t>
            </w:r>
          </w:p>
        </w:tc>
      </w:tr>
      <w:tr>
        <w:trPr>
          <w:trHeight w:val="216"/>
        </w:trPr>
        <w:tc>
          <w:tcPr>
            <w:tcW w:w="37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30"/>
        </w:trPr>
        <w:tc>
          <w:tcPr>
            <w:tcW w:w="37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r>
    </w:tbl>
    <w:p>
      <w:pPr>
        <w:spacing w:after="0" w:line="215" w:lineRule="exact"/>
        <w:rPr>
          <w:sz w:val="20"/>
          <w:szCs w:val="20"/>
          <w:color w:val="auto"/>
        </w:rPr>
      </w:pPr>
    </w:p>
    <w:p>
      <w:pPr>
        <w:ind w:right="100" w:firstLine="509"/>
        <w:spacing w:after="0" w:line="2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3" w:name="page74"/>
    <w:bookmarkEnd w:id="7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lvl w:ilvl="1">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1)"/>
      <w:numFmt w:val="lowerRoman"/>
      <w:start w:val="3"/>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2023-11-08T14:21:12Z</dcterms:created>
  <dcterms:modified xsi:type="dcterms:W3CDTF">2023-11-08T14:21:12Z</dcterms:modified>
</cp:coreProperties>
</file>