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wp:posOffset>
            </wp:positionH>
            <wp:positionV relativeFrom="paragraph">
              <wp:posOffset>140335</wp:posOffset>
            </wp:positionV>
            <wp:extent cx="69691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157480</wp:posOffset>
            </wp:positionV>
            <wp:extent cx="69691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94615</wp:posOffset>
            </wp:positionV>
            <wp:extent cx="1045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66040</wp:posOffset>
            </wp:positionV>
            <wp:extent cx="1045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7" w:lineRule="exact"/>
        <w:rPr>
          <w:sz w:val="24"/>
          <w:szCs w:val="24"/>
          <w:color w:val="auto"/>
        </w:rPr>
      </w:pPr>
    </w:p>
    <w:p>
      <w:pPr>
        <w:ind w:left="26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740" w:hanging="459"/>
        <w:spacing w:after="0"/>
        <w:tabs>
          <w:tab w:leader="none" w:pos="740" w:val="left"/>
        </w:tabs>
        <w:numPr>
          <w:ilvl w:val="0"/>
          <w:numId w:val="1"/>
        </w:numPr>
        <w:rPr>
          <w:rFonts w:ascii="MS PGothic" w:cs="MS PGothic" w:eastAsia="MS PGothic" w:hAnsi="MS PGothic"/>
          <w:sz w:val="20"/>
          <w:szCs w:val="20"/>
          <w:color w:val="auto"/>
        </w:rPr>
      </w:pPr>
      <w:r>
        <w:rPr>
          <w:rFonts w:ascii="Arial" w:cs="Arial" w:eastAsia="Arial" w:hAnsi="Arial"/>
          <w:sz w:val="19"/>
          <w:szCs w:val="19"/>
          <w:b w:val="1"/>
          <w:bCs w:val="1"/>
          <w:color w:val="auto"/>
        </w:rPr>
        <w:t>ANNUAL REPORT PURSUANT TO SECTION 13 OR 15(d) OF THE SECURITIES EXCHANGE ACT OF 1934</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95" w:lineRule="exact"/>
        <w:rPr>
          <w:sz w:val="24"/>
          <w:szCs w:val="24"/>
          <w:color w:val="auto"/>
        </w:rPr>
      </w:pPr>
    </w:p>
    <w:p>
      <w:pPr>
        <w:ind w:left="740" w:hanging="459"/>
        <w:spacing w:after="0"/>
        <w:tabs>
          <w:tab w:leader="none" w:pos="7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2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90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transition period from</w:t>
            </w: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w:t>
            </w:r>
          </w:p>
        </w:tc>
        <w:tc>
          <w:tcPr>
            <w:tcW w:w="3460" w:type="dxa"/>
            <w:vAlign w:val="bottom"/>
            <w:gridSpan w:val="2"/>
          </w:tcPr>
          <w:p>
            <w:pPr>
              <w:jc w:val="right"/>
              <w:ind w:right="3354"/>
              <w:spacing w:after="0"/>
              <w:rPr>
                <w:sz w:val="20"/>
                <w:szCs w:val="20"/>
                <w:color w:val="auto"/>
              </w:rPr>
            </w:pPr>
            <w:r>
              <w:rPr>
                <w:rFonts w:ascii="Arial" w:cs="Arial" w:eastAsia="Arial" w:hAnsi="Arial"/>
                <w:sz w:val="10"/>
                <w:szCs w:val="10"/>
                <w:b w:val="1"/>
                <w:bCs w:val="1"/>
                <w:color w:val="auto"/>
                <w:w w:val="70"/>
              </w:rPr>
              <w:t>.</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1"/>
              </w:rPr>
              <w:t>Commission file number 001-39787</w:t>
            </w: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4"/>
          </w:tcPr>
          <w:p>
            <w:pPr>
              <w:jc w:val="center"/>
              <w:ind w:right="380"/>
              <w:spacing w:after="0"/>
              <w:rPr>
                <w:sz w:val="20"/>
                <w:szCs w:val="20"/>
                <w:color w:val="auto"/>
              </w:rPr>
            </w:pPr>
            <w:r>
              <w:rPr>
                <w:rFonts w:ascii="Arial" w:cs="Arial" w:eastAsia="Arial" w:hAnsi="Arial"/>
                <w:sz w:val="40"/>
                <w:szCs w:val="40"/>
                <w:b w:val="1"/>
                <w:bCs w:val="1"/>
                <w:color w:val="auto"/>
              </w:rPr>
              <w:t>BIOATLA, INC.</w:t>
            </w: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4040" w:type="dxa"/>
            <w:vAlign w:val="bottom"/>
            <w:gridSpan w:val="6"/>
          </w:tcPr>
          <w:p>
            <w:pPr>
              <w:jc w:val="center"/>
              <w:ind w:left="6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280" w:type="dxa"/>
            <w:vAlign w:val="bottom"/>
            <w:vMerge w:val="restart"/>
          </w:tcPr>
          <w:p>
            <w:pPr>
              <w:jc w:val="center"/>
              <w:ind w:left="2113"/>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gridSpan w:val="2"/>
            <w:vMerge w:val="restart"/>
          </w:tcPr>
          <w:p>
            <w:pPr>
              <w:jc w:val="right"/>
              <w:ind w:right="2134"/>
              <w:spacing w:after="0"/>
              <w:rPr>
                <w:sz w:val="20"/>
                <w:szCs w:val="20"/>
                <w:color w:val="auto"/>
              </w:rPr>
            </w:pPr>
            <w:r>
              <w:rPr>
                <w:rFonts w:ascii="Arial" w:cs="Arial" w:eastAsia="Arial" w:hAnsi="Arial"/>
                <w:sz w:val="14"/>
                <w:szCs w:val="14"/>
                <w:b w:val="1"/>
                <w:bCs w:val="1"/>
                <w:color w:val="auto"/>
              </w:rPr>
              <w:t>85-1922320</w:t>
            </w:r>
          </w:p>
        </w:tc>
        <w:tc>
          <w:tcPr>
            <w:tcW w:w="0" w:type="dxa"/>
            <w:vAlign w:val="bottom"/>
          </w:tcPr>
          <w:p>
            <w:pPr>
              <w:spacing w:after="0"/>
              <w:rPr>
                <w:sz w:val="1"/>
                <w:szCs w:val="1"/>
                <w:color w:val="auto"/>
              </w:rPr>
            </w:pPr>
          </w:p>
        </w:tc>
      </w:tr>
      <w:tr>
        <w:trPr>
          <w:trHeight w:val="556"/>
        </w:trPr>
        <w:tc>
          <w:tcPr>
            <w:tcW w:w="3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80" w:type="dxa"/>
            <w:vAlign w:val="bottom"/>
            <w:gridSpan w:val="5"/>
          </w:tcPr>
          <w:p>
            <w:pPr>
              <w:jc w:val="center"/>
              <w:ind w:right="65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40" w:type="dxa"/>
            <w:vAlign w:val="bottom"/>
          </w:tcPr>
          <w:p>
            <w:pPr>
              <w:jc w:val="center"/>
              <w:ind w:right="1614"/>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6180" w:type="dxa"/>
            <w:vAlign w:val="bottom"/>
            <w:gridSpan w:val="5"/>
          </w:tcPr>
          <w:p>
            <w:pPr>
              <w:jc w:val="center"/>
              <w:ind w:right="634"/>
              <w:spacing w:after="0"/>
              <w:rPr>
                <w:sz w:val="20"/>
                <w:szCs w:val="20"/>
                <w:color w:val="auto"/>
              </w:rPr>
            </w:pPr>
            <w:r>
              <w:rPr>
                <w:rFonts w:ascii="Arial" w:cs="Arial" w:eastAsia="Arial" w:hAnsi="Arial"/>
                <w:sz w:val="13"/>
                <w:szCs w:val="13"/>
                <w:b w:val="1"/>
                <w:bCs w:val="1"/>
                <w:color w:val="auto"/>
                <w:w w:val="88"/>
              </w:rPr>
              <w:t>incorporation or organization)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Pr>
          <w:p>
            <w:pPr>
              <w:jc w:val="center"/>
              <w:ind w:right="1614"/>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443"/>
        </w:trPr>
        <w:tc>
          <w:tcPr>
            <w:tcW w:w="6180" w:type="dxa"/>
            <w:vAlign w:val="bottom"/>
            <w:gridSpan w:val="5"/>
          </w:tcPr>
          <w:p>
            <w:pPr>
              <w:jc w:val="center"/>
              <w:ind w:right="654"/>
              <w:spacing w:after="0"/>
              <w:rPr>
                <w:sz w:val="20"/>
                <w:szCs w:val="20"/>
                <w:color w:val="auto"/>
              </w:rPr>
            </w:pPr>
            <w:r>
              <w:rPr>
                <w:rFonts w:ascii="Arial" w:cs="Arial" w:eastAsia="Arial" w:hAnsi="Arial"/>
                <w:sz w:val="14"/>
                <w:szCs w:val="14"/>
                <w:b w:val="1"/>
                <w:bCs w:val="1"/>
                <w:color w:val="auto"/>
                <w:w w:val="93"/>
              </w:rPr>
              <w:t>11085 Torreyana Road, San Diego, California</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2"/>
          </w:tcPr>
          <w:p>
            <w:pPr>
              <w:jc w:val="right"/>
              <w:ind w:right="2314"/>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64"/>
        </w:trPr>
        <w:tc>
          <w:tcPr>
            <w:tcW w:w="6180" w:type="dxa"/>
            <w:vAlign w:val="bottom"/>
            <w:gridSpan w:val="5"/>
          </w:tcPr>
          <w:p>
            <w:pPr>
              <w:jc w:val="center"/>
              <w:ind w:right="63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Pr>
          <w:p>
            <w:pPr>
              <w:jc w:val="center"/>
              <w:ind w:right="159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900" w:type="dxa"/>
            <w:vAlign w:val="bottom"/>
            <w:gridSpan w:val="4"/>
          </w:tcPr>
          <w:p>
            <w:pPr>
              <w:jc w:val="center"/>
              <w:ind w:left="1204"/>
              <w:spacing w:after="0"/>
              <w:rPr>
                <w:sz w:val="20"/>
                <w:szCs w:val="20"/>
                <w:color w:val="auto"/>
              </w:rPr>
            </w:pPr>
            <w:r>
              <w:rPr>
                <w:rFonts w:ascii="Arial" w:cs="Arial" w:eastAsia="Arial" w:hAnsi="Arial"/>
                <w:sz w:val="14"/>
                <w:szCs w:val="14"/>
                <w:b w:val="1"/>
                <w:bCs w:val="1"/>
                <w:color w:val="auto"/>
                <w:w w:val="93"/>
              </w:rPr>
              <w:t>(858) 558-0708</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4040" w:type="dxa"/>
            <w:vAlign w:val="bottom"/>
            <w:gridSpan w:val="6"/>
          </w:tcPr>
          <w:p>
            <w:pPr>
              <w:jc w:val="center"/>
              <w:ind w:left="4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jc w:val="center"/>
              <w:ind w:left="254"/>
              <w:spacing w:after="0"/>
              <w:rPr>
                <w:sz w:val="20"/>
                <w:szCs w:val="20"/>
                <w:color w:val="auto"/>
              </w:rPr>
            </w:pPr>
            <w:r>
              <w:rPr>
                <w:rFonts w:ascii="Arial" w:cs="Arial" w:eastAsia="Arial" w:hAnsi="Arial"/>
                <w:sz w:val="13"/>
                <w:szCs w:val="13"/>
                <w:b w:val="1"/>
                <w:bCs w:val="1"/>
                <w:color w:val="auto"/>
                <w:w w:val="92"/>
              </w:rPr>
              <w:t>Trading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5"/>
        </w:trPr>
        <w:tc>
          <w:tcPr>
            <w:tcW w:w="32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Title of each class</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left="234"/>
              <w:spacing w:after="0"/>
              <w:rPr>
                <w:sz w:val="20"/>
                <w:szCs w:val="20"/>
                <w:color w:val="auto"/>
              </w:rPr>
            </w:pPr>
            <w:r>
              <w:rPr>
                <w:rFonts w:ascii="Arial" w:cs="Arial" w:eastAsia="Arial" w:hAnsi="Arial"/>
                <w:sz w:val="13"/>
                <w:szCs w:val="13"/>
                <w:b w:val="1"/>
                <w:bCs w:val="1"/>
                <w:color w:val="auto"/>
                <w:w w:val="85"/>
              </w:rPr>
              <w:t>Symbol(s)</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81"/>
        </w:trPr>
        <w:tc>
          <w:tcPr>
            <w:tcW w:w="3280" w:type="dxa"/>
            <w:vAlign w:val="bottom"/>
          </w:tcPr>
          <w:p>
            <w:pPr>
              <w:ind w:left="480"/>
              <w:spacing w:after="0"/>
              <w:rPr>
                <w:sz w:val="20"/>
                <w:szCs w:val="20"/>
                <w:color w:val="auto"/>
              </w:rPr>
            </w:pPr>
            <w:r>
              <w:rPr>
                <w:rFonts w:ascii="Arial" w:cs="Arial" w:eastAsia="Arial" w:hAnsi="Arial"/>
                <w:sz w:val="14"/>
                <w:szCs w:val="14"/>
                <w:b w:val="1"/>
                <w:bCs w:val="1"/>
                <w:color w:val="auto"/>
                <w:w w:val="94"/>
              </w:rPr>
              <w:t>Common Stock, $0.0001 par value per share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jc w:val="center"/>
              <w:ind w:left="254"/>
              <w:spacing w:after="0"/>
              <w:rPr>
                <w:sz w:val="20"/>
                <w:szCs w:val="20"/>
                <w:color w:val="auto"/>
              </w:rPr>
            </w:pPr>
            <w:r>
              <w:rPr>
                <w:rFonts w:ascii="Arial" w:cs="Arial" w:eastAsia="Arial" w:hAnsi="Arial"/>
                <w:sz w:val="14"/>
                <w:szCs w:val="14"/>
                <w:b w:val="1"/>
                <w:bCs w:val="1"/>
                <w:color w:val="auto"/>
                <w:w w:val="98"/>
              </w:rPr>
              <w:t>BCAB</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Global Market</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4040" w:type="dxa"/>
            <w:vAlign w:val="bottom"/>
            <w:gridSpan w:val="6"/>
          </w:tcPr>
          <w:p>
            <w:pPr>
              <w:jc w:val="center"/>
              <w:ind w:left="64"/>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4540" w:type="dxa"/>
            <w:vAlign w:val="bottom"/>
            <w:gridSpan w:val="4"/>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1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440" w:type="dxa"/>
            <w:vAlign w:val="bottom"/>
            <w:vMerge w:val="restart"/>
          </w:tcPr>
          <w:p>
            <w:pPr>
              <w:jc w:val="right"/>
              <w:ind w:right="2374"/>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or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27"/>
        </w:trPr>
        <w:tc>
          <w:tcPr>
            <w:tcW w:w="7320" w:type="dxa"/>
            <w:vAlign w:val="bottom"/>
            <w:gridSpan w:val="7"/>
          </w:tcPr>
          <w:p>
            <w:pPr>
              <w:ind w:left="4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20" w:type="dxa"/>
            <w:vAlign w:val="bottom"/>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720"/>
        <w:spacing w:after="0" w:line="188" w:lineRule="exact"/>
        <w:tabs>
          <w:tab w:leader="none" w:pos="774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or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ind w:left="260" w:right="320" w:firstLine="464"/>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or No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260" w:right="80" w:firstLine="464"/>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left="7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 w:lineRule="exact"/>
        <w:rPr>
          <w:sz w:val="24"/>
          <w:szCs w:val="24"/>
          <w:color w:val="auto"/>
        </w:rPr>
      </w:pPr>
    </w:p>
    <w:p>
      <w:pPr>
        <w:ind w:left="26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300" w:type="dxa"/>
        <w:tblCellMar>
          <w:top w:w="0" w:type="dxa"/>
          <w:left w:w="0" w:type="dxa"/>
          <w:bottom w:w="0" w:type="dxa"/>
          <w:right w:w="0" w:type="dxa"/>
        </w:tblCellMar>
      </w:tblPr>
      <w:tr>
        <w:trPr>
          <w:trHeight w:val="226"/>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88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2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88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24"/>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6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5" w:lineRule="exact"/>
        <w:rPr>
          <w:sz w:val="24"/>
          <w:szCs w:val="24"/>
          <w:color w:val="auto"/>
        </w:rPr>
      </w:pPr>
    </w:p>
    <w:p>
      <w:pPr>
        <w:ind w:left="260" w:right="480" w:firstLine="458"/>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left="260" w:right="120" w:firstLine="458"/>
        <w:spacing w:after="0" w:line="16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260" w:firstLine="458"/>
        <w:spacing w:after="0" w:line="17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260" w:right="100" w:firstLine="458"/>
        <w:spacing w:after="0" w:line="17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720"/>
        <w:spacing w:after="0" w:line="188" w:lineRule="exact"/>
        <w:tabs>
          <w:tab w:leader="none" w:pos="678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33" w:lineRule="exact"/>
        <w:rPr>
          <w:sz w:val="24"/>
          <w:szCs w:val="24"/>
          <w:color w:val="auto"/>
        </w:rPr>
      </w:pPr>
    </w:p>
    <w:p>
      <w:pPr>
        <w:ind w:left="260" w:right="40" w:firstLine="458"/>
        <w:spacing w:after="0" w:line="246"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registrant’s common stock held by non-affiliates of the registrant was approximately $69.0 million based on the closing sales price of $2.85 per share as reported on the Nasdaq Global Market.</w:t>
      </w:r>
    </w:p>
    <w:p>
      <w:pPr>
        <w:spacing w:after="0" w:line="1" w:lineRule="exact"/>
        <w:rPr>
          <w:sz w:val="24"/>
          <w:szCs w:val="24"/>
          <w:color w:val="auto"/>
        </w:rPr>
      </w:pPr>
    </w:p>
    <w:p>
      <w:pPr>
        <w:ind w:left="260" w:right="480" w:firstLine="458"/>
        <w:spacing w:after="0" w:line="243" w:lineRule="auto"/>
        <w:rPr>
          <w:sz w:val="20"/>
          <w:szCs w:val="20"/>
          <w:color w:val="auto"/>
        </w:rPr>
      </w:pPr>
      <w:r>
        <w:rPr>
          <w:rFonts w:ascii="Arial" w:cs="Arial" w:eastAsia="Arial" w:hAnsi="Arial"/>
          <w:sz w:val="14"/>
          <w:szCs w:val="14"/>
          <w:color w:val="auto"/>
        </w:rPr>
        <w:t>As of March 16, 2023, the number of shares of the registrant’s common stock outstanding was 47,607,133 and the number of shares of the registrant’s Class B common stock outstanding was 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left="720"/>
        <w:spacing w:after="0"/>
        <w:rPr>
          <w:sz w:val="20"/>
          <w:szCs w:val="20"/>
          <w:color w:val="auto"/>
        </w:rPr>
      </w:pPr>
      <w:r>
        <w:rPr>
          <w:rFonts w:ascii="Arial" w:cs="Arial" w:eastAsia="Arial" w:hAnsi="Arial"/>
          <w:sz w:val="13"/>
          <w:szCs w:val="13"/>
          <w:color w:val="auto"/>
        </w:rPr>
        <w:t>Part III incorporates by reference certain information from the registrant’s definitive proxy statement (the “Proxy Statement”) relating to its 2023 Annual Meeting of Stockholders.</w:t>
      </w:r>
    </w:p>
    <w:p>
      <w:pPr>
        <w:spacing w:after="0" w:line="11" w:lineRule="exact"/>
        <w:rPr>
          <w:sz w:val="24"/>
          <w:szCs w:val="24"/>
          <w:color w:val="auto"/>
        </w:rPr>
      </w:pPr>
    </w:p>
    <w:p>
      <w:pPr>
        <w:ind w:left="260"/>
        <w:spacing w:after="0"/>
        <w:rPr>
          <w:sz w:val="20"/>
          <w:szCs w:val="20"/>
          <w:color w:val="auto"/>
        </w:rPr>
      </w:pPr>
      <w:r>
        <w:rPr>
          <w:rFonts w:ascii="Arial" w:cs="Arial" w:eastAsia="Arial" w:hAnsi="Arial"/>
          <w:sz w:val="14"/>
          <w:szCs w:val="14"/>
          <w:color w:val="auto"/>
        </w:rPr>
        <w:t>The Proxy Statement will be filed with the United States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wp:posOffset>
            </wp:positionH>
            <wp:positionV relativeFrom="paragraph">
              <wp:posOffset>142240</wp:posOffset>
            </wp:positionV>
            <wp:extent cx="6969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159385</wp:posOffset>
            </wp:positionV>
            <wp:extent cx="6969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0" w:type="dxa"/>
            <w:vAlign w:val="bottom"/>
            <w:gridSpan w:val="7"/>
          </w:tcPr>
          <w:p>
            <w:pPr>
              <w:jc w:val="center"/>
              <w:ind w:right="3440"/>
              <w:spacing w:after="0"/>
              <w:rPr>
                <w:sz w:val="20"/>
                <w:szCs w:val="20"/>
                <w:color w:val="auto"/>
              </w:rPr>
            </w:pPr>
            <w:r>
              <w:rPr>
                <w:rFonts w:ascii="Arial" w:cs="Arial" w:eastAsia="Arial" w:hAnsi="Arial"/>
                <w:sz w:val="16"/>
                <w:szCs w:val="16"/>
                <w:b w:val="1"/>
                <w:bCs w:val="1"/>
                <w:color w:val="auto"/>
              </w:rPr>
              <w:t>BIOATLA, INC.</w:t>
            </w:r>
          </w:p>
        </w:tc>
        <w:tc>
          <w:tcPr>
            <w:tcW w:w="16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gridSpan w:val="8"/>
          </w:tcPr>
          <w:p>
            <w:pPr>
              <w:jc w:val="center"/>
              <w:ind w:right="2760"/>
              <w:spacing w:after="0"/>
              <w:rPr>
                <w:sz w:val="20"/>
                <w:szCs w:val="20"/>
                <w:color w:val="auto"/>
              </w:rPr>
            </w:pPr>
            <w:r>
              <w:rPr>
                <w:rFonts w:ascii="Arial" w:cs="Arial" w:eastAsia="Arial" w:hAnsi="Arial"/>
                <w:sz w:val="16"/>
                <w:szCs w:val="16"/>
                <w:color w:val="auto"/>
                <w:w w:val="93"/>
              </w:rPr>
              <w:t>Annual Report on Form 10-K</w:t>
            </w:r>
          </w:p>
        </w:tc>
        <w:tc>
          <w:tcPr>
            <w:tcW w:w="160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20" w:type="dxa"/>
            <w:vAlign w:val="bottom"/>
            <w:gridSpan w:val="10"/>
          </w:tcPr>
          <w:p>
            <w:pPr>
              <w:jc w:val="center"/>
              <w:ind w:right="2320"/>
              <w:spacing w:after="0"/>
              <w:rPr>
                <w:sz w:val="20"/>
                <w:szCs w:val="20"/>
                <w:color w:val="auto"/>
              </w:rPr>
            </w:pPr>
            <w:r>
              <w:rPr>
                <w:rFonts w:ascii="Arial" w:cs="Arial" w:eastAsia="Arial" w:hAnsi="Arial"/>
                <w:sz w:val="16"/>
                <w:szCs w:val="16"/>
                <w:color w:val="auto"/>
                <w:w w:val="90"/>
              </w:rPr>
              <w:t>For the Fiscal Year Ended December 31, 2022</w:t>
            </w:r>
          </w:p>
        </w:tc>
        <w:tc>
          <w:tcPr>
            <w:tcW w:w="1600" w:type="dxa"/>
            <w:vAlign w:val="bottom"/>
          </w:tcPr>
          <w:p>
            <w:pPr>
              <w:spacing w:after="0"/>
              <w:rPr>
                <w:sz w:val="17"/>
                <w:szCs w:val="17"/>
                <w:color w:val="auto"/>
              </w:rPr>
            </w:pPr>
          </w:p>
        </w:tc>
      </w:tr>
      <w:tr>
        <w:trPr>
          <w:trHeight w:val="39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gridSpan w:val="8"/>
          </w:tcPr>
          <w:p>
            <w:pPr>
              <w:jc w:val="center"/>
              <w:ind w:right="2740"/>
              <w:spacing w:after="0"/>
              <w:rPr>
                <w:sz w:val="20"/>
                <w:szCs w:val="20"/>
                <w:color w:val="auto"/>
              </w:rPr>
            </w:pPr>
            <w:r>
              <w:rPr>
                <w:rFonts w:ascii="Arial" w:cs="Arial" w:eastAsia="Arial" w:hAnsi="Arial"/>
                <w:sz w:val="16"/>
                <w:szCs w:val="16"/>
                <w:b w:val="1"/>
                <w:bCs w:val="1"/>
                <w:color w:val="auto"/>
              </w:rPr>
              <w:t>TABLE OF CONTENTS</w:t>
            </w:r>
          </w:p>
        </w:tc>
        <w:tc>
          <w:tcPr>
            <w:tcW w:w="1600" w:type="dxa"/>
            <w:vAlign w:val="bottom"/>
          </w:tcPr>
          <w:p>
            <w:pPr>
              <w:spacing w:after="0"/>
              <w:rPr>
                <w:sz w:val="24"/>
                <w:szCs w:val="24"/>
                <w:color w:val="auto"/>
              </w:rPr>
            </w:pPr>
          </w:p>
        </w:tc>
      </w:tr>
      <w:tr>
        <w:trPr>
          <w:trHeight w:val="716"/>
        </w:trPr>
        <w:tc>
          <w:tcPr>
            <w:tcW w:w="280" w:type="dxa"/>
            <w:vAlign w:val="bottom"/>
          </w:tcPr>
          <w:p>
            <w:pPr>
              <w:spacing w:after="0"/>
              <w:rPr>
                <w:sz w:val="24"/>
                <w:szCs w:val="24"/>
                <w:color w:val="auto"/>
              </w:rPr>
            </w:pPr>
          </w:p>
        </w:tc>
        <w:tc>
          <w:tcPr>
            <w:tcW w:w="9360" w:type="dxa"/>
            <w:vAlign w:val="bottom"/>
            <w:gridSpan w:val="23"/>
          </w:tcPr>
          <w:p>
            <w:pPr>
              <w:spacing w:after="0"/>
              <w:rPr>
                <w:sz w:val="20"/>
                <w:szCs w:val="20"/>
                <w:color w:val="auto"/>
              </w:rPr>
            </w:pPr>
            <w:r>
              <w:rPr>
                <w:rFonts w:ascii="Arial" w:cs="Arial" w:eastAsia="Arial" w:hAnsi="Arial"/>
                <w:sz w:val="16"/>
                <w:szCs w:val="16"/>
                <w:color w:val="auto"/>
              </w:rPr>
              <w:t>SPECIAL NOTE REGARDING FORWARD-LOOKING STATEMENTS</w:t>
            </w:r>
          </w:p>
        </w:tc>
        <w:tc>
          <w:tcPr>
            <w:tcW w:w="1600" w:type="dxa"/>
            <w:vAlign w:val="bottom"/>
          </w:tcPr>
          <w:p>
            <w:pPr>
              <w:spacing w:after="0"/>
              <w:rPr>
                <w:sz w:val="24"/>
                <w:szCs w:val="24"/>
                <w:color w:val="auto"/>
              </w:rPr>
            </w:pPr>
          </w:p>
        </w:tc>
      </w:tr>
      <w:tr>
        <w:trPr>
          <w:trHeight w:val="499"/>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PART 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8"/>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w:t>
            </w:r>
          </w:p>
        </w:tc>
        <w:tc>
          <w:tcPr>
            <w:tcW w:w="8300" w:type="dxa"/>
            <w:vAlign w:val="bottom"/>
            <w:gridSpan w:val="21"/>
          </w:tcPr>
          <w:p>
            <w:pPr>
              <w:spacing w:after="0"/>
              <w:rPr>
                <w:sz w:val="20"/>
                <w:szCs w:val="20"/>
                <w:color w:val="auto"/>
              </w:rPr>
            </w:pPr>
            <w:r>
              <w:rPr>
                <w:rFonts w:ascii="Arial" w:cs="Arial" w:eastAsia="Arial" w:hAnsi="Arial"/>
                <w:sz w:val="16"/>
                <w:szCs w:val="16"/>
                <w:color w:val="0000FF"/>
              </w:rPr>
              <w:t>Business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2</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300" w:type="dxa"/>
            <w:vAlign w:val="bottom"/>
            <w:gridSpan w:val="21"/>
          </w:tcPr>
          <w:p>
            <w:pPr>
              <w:spacing w:after="0"/>
              <w:rPr>
                <w:sz w:val="20"/>
                <w:szCs w:val="20"/>
                <w:color w:val="auto"/>
              </w:rPr>
            </w:pPr>
            <w:r>
              <w:rPr>
                <w:rFonts w:ascii="Arial" w:cs="Arial" w:eastAsia="Arial" w:hAnsi="Arial"/>
                <w:sz w:val="16"/>
                <w:szCs w:val="16"/>
                <w:color w:val="0000FF"/>
              </w:rPr>
              <w:t>Risk Factors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31</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1B.</w:t>
            </w:r>
          </w:p>
        </w:tc>
        <w:tc>
          <w:tcPr>
            <w:tcW w:w="8300" w:type="dxa"/>
            <w:vAlign w:val="bottom"/>
            <w:gridSpan w:val="21"/>
          </w:tcPr>
          <w:p>
            <w:pPr>
              <w:spacing w:after="0"/>
              <w:rPr>
                <w:sz w:val="20"/>
                <w:szCs w:val="20"/>
                <w:color w:val="auto"/>
              </w:rPr>
            </w:pPr>
            <w:r>
              <w:rPr>
                <w:rFonts w:ascii="Arial" w:cs="Arial" w:eastAsia="Arial" w:hAnsi="Arial"/>
                <w:sz w:val="16"/>
                <w:szCs w:val="16"/>
                <w:color w:val="0000FF"/>
              </w:rPr>
              <w:t>Unresolved Staff Comments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70</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2.</w:t>
            </w:r>
          </w:p>
        </w:tc>
        <w:tc>
          <w:tcPr>
            <w:tcW w:w="184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0000FF"/>
              </w:rPr>
              <w:t>Properties</w:t>
            </w:r>
          </w:p>
        </w:tc>
        <w:tc>
          <w:tcPr>
            <w:tcW w:w="6460" w:type="dxa"/>
            <w:vAlign w:val="bottom"/>
            <w:gridSpan w:val="11"/>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70</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3.</w:t>
            </w:r>
          </w:p>
        </w:tc>
        <w:tc>
          <w:tcPr>
            <w:tcW w:w="8300" w:type="dxa"/>
            <w:vAlign w:val="bottom"/>
            <w:gridSpan w:val="21"/>
          </w:tcPr>
          <w:p>
            <w:pPr>
              <w:spacing w:after="0"/>
              <w:rPr>
                <w:sz w:val="20"/>
                <w:szCs w:val="20"/>
                <w:color w:val="auto"/>
              </w:rPr>
            </w:pPr>
            <w:r>
              <w:rPr>
                <w:rFonts w:ascii="Arial" w:cs="Arial" w:eastAsia="Arial" w:hAnsi="Arial"/>
                <w:sz w:val="16"/>
                <w:szCs w:val="16"/>
                <w:color w:val="0000FF"/>
              </w:rPr>
              <w:t>Legal Proceedings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70</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300" w:type="dxa"/>
            <w:vAlign w:val="bottom"/>
            <w:gridSpan w:val="21"/>
          </w:tcPr>
          <w:p>
            <w:pPr>
              <w:spacing w:after="0"/>
              <w:rPr>
                <w:sz w:val="20"/>
                <w:szCs w:val="20"/>
                <w:color w:val="auto"/>
              </w:rPr>
            </w:pPr>
            <w:r>
              <w:rPr>
                <w:rFonts w:ascii="Arial" w:cs="Arial" w:eastAsia="Arial" w:hAnsi="Arial"/>
                <w:sz w:val="16"/>
                <w:szCs w:val="16"/>
                <w:color w:val="0000FF"/>
              </w:rPr>
              <w:t>Mine Safety Disclosures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70</w:t>
            </w:r>
          </w:p>
        </w:tc>
      </w:tr>
      <w:tr>
        <w:trPr>
          <w:trHeight w:val="514"/>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PART II</w:t>
            </w: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8"/>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5.</w:t>
            </w:r>
          </w:p>
        </w:tc>
        <w:tc>
          <w:tcPr>
            <w:tcW w:w="72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1"/>
              </w:rPr>
              <w:t>Market for Registrant’s Common Equity, Related Stockholder Matters and Issuer Purchases of Equity Securities</w:t>
            </w:r>
          </w:p>
        </w:tc>
        <w:tc>
          <w:tcPr>
            <w:tcW w:w="1020" w:type="dxa"/>
            <w:vAlign w:val="bottom"/>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72</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300" w:type="dxa"/>
            <w:vAlign w:val="bottom"/>
            <w:gridSpan w:val="21"/>
          </w:tcPr>
          <w:p>
            <w:pPr>
              <w:spacing w:after="0"/>
              <w:rPr>
                <w:sz w:val="20"/>
                <w:szCs w:val="20"/>
                <w:color w:val="auto"/>
              </w:rPr>
            </w:pPr>
            <w:r>
              <w:rPr>
                <w:rFonts w:ascii="Arial" w:cs="Arial" w:eastAsia="Arial" w:hAnsi="Arial"/>
                <w:sz w:val="16"/>
                <w:szCs w:val="16"/>
                <w:color w:val="0000FF"/>
              </w:rPr>
              <w:t>Selected Financial Data</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72</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7.</w:t>
            </w:r>
          </w:p>
        </w:tc>
        <w:tc>
          <w:tcPr>
            <w:tcW w:w="8300" w:type="dxa"/>
            <w:vAlign w:val="bottom"/>
            <w:gridSpan w:val="2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73</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7A.</w:t>
            </w:r>
          </w:p>
        </w:tc>
        <w:tc>
          <w:tcPr>
            <w:tcW w:w="394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1880" w:type="dxa"/>
            <w:vAlign w:val="bottom"/>
            <w:tcBorders>
              <w:top w:val="single" w:sz="8" w:color="0000FF"/>
            </w:tcBorders>
            <w:gridSpan w:val="2"/>
          </w:tcPr>
          <w:p>
            <w:pPr>
              <w:spacing w:after="0"/>
              <w:rPr>
                <w:sz w:val="24"/>
                <w:szCs w:val="24"/>
                <w:color w:val="auto"/>
              </w:rPr>
            </w:pPr>
          </w:p>
        </w:tc>
        <w:tc>
          <w:tcPr>
            <w:tcW w:w="2480" w:type="dxa"/>
            <w:vAlign w:val="bottom"/>
            <w:gridSpan w:val="4"/>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79</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8.</w:t>
            </w:r>
          </w:p>
        </w:tc>
        <w:tc>
          <w:tcPr>
            <w:tcW w:w="8300" w:type="dxa"/>
            <w:vAlign w:val="bottom"/>
            <w:gridSpan w:val="21"/>
          </w:tcPr>
          <w:p>
            <w:pPr>
              <w:spacing w:after="0"/>
              <w:rPr>
                <w:sz w:val="20"/>
                <w:szCs w:val="20"/>
                <w:color w:val="auto"/>
              </w:rPr>
            </w:pPr>
            <w:r>
              <w:rPr>
                <w:rFonts w:ascii="Arial" w:cs="Arial" w:eastAsia="Arial" w:hAnsi="Arial"/>
                <w:sz w:val="16"/>
                <w:szCs w:val="16"/>
                <w:color w:val="0000FF"/>
              </w:rPr>
              <w:t>Financial Statements and Supplementary Data</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80</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9.</w:t>
            </w:r>
          </w:p>
        </w:tc>
        <w:tc>
          <w:tcPr>
            <w:tcW w:w="584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1"/>
              </w:rPr>
              <w:t>Changes in and Disagreements with Accountants on Accounting and Financial Disclosure</w:t>
            </w:r>
          </w:p>
        </w:tc>
        <w:tc>
          <w:tcPr>
            <w:tcW w:w="2460" w:type="dxa"/>
            <w:vAlign w:val="bottom"/>
            <w:gridSpan w:val="3"/>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100</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9A.</w:t>
            </w:r>
          </w:p>
        </w:tc>
        <w:tc>
          <w:tcPr>
            <w:tcW w:w="830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100</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9B.</w:t>
            </w:r>
          </w:p>
        </w:tc>
        <w:tc>
          <w:tcPr>
            <w:tcW w:w="16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Other Information</w:t>
            </w:r>
          </w:p>
        </w:tc>
        <w:tc>
          <w:tcPr>
            <w:tcW w:w="6700" w:type="dxa"/>
            <w:vAlign w:val="bottom"/>
            <w:gridSpan w:val="14"/>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101</w:t>
            </w:r>
          </w:p>
        </w:tc>
      </w:tr>
      <w:tr>
        <w:trPr>
          <w:trHeight w:val="71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PART III</w:t>
            </w: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8"/>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10.</w:t>
            </w: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1"/>
              </w:rPr>
              <w:t>Directors, Executive Officers and Corporate Governance</w:t>
            </w:r>
          </w:p>
        </w:tc>
        <w:tc>
          <w:tcPr>
            <w:tcW w:w="4600" w:type="dxa"/>
            <w:vAlign w:val="bottom"/>
            <w:gridSpan w:val="7"/>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102</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11.</w:t>
            </w:r>
          </w:p>
        </w:tc>
        <w:tc>
          <w:tcPr>
            <w:tcW w:w="16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1"/>
              </w:rPr>
              <w:t>Executive Compensation</w:t>
            </w:r>
          </w:p>
        </w:tc>
        <w:tc>
          <w:tcPr>
            <w:tcW w:w="20" w:type="dxa"/>
            <w:vAlign w:val="bottom"/>
            <w:tcBorders>
              <w:bottom w:val="single" w:sz="8" w:color="0000EE"/>
            </w:tcBorders>
          </w:tcPr>
          <w:p>
            <w:pPr>
              <w:spacing w:after="0"/>
              <w:rPr>
                <w:sz w:val="24"/>
                <w:szCs w:val="24"/>
                <w:color w:val="auto"/>
              </w:rPr>
            </w:pPr>
          </w:p>
        </w:tc>
        <w:tc>
          <w:tcPr>
            <w:tcW w:w="6640" w:type="dxa"/>
            <w:vAlign w:val="bottom"/>
            <w:gridSpan w:val="12"/>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102</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12.</w:t>
            </w:r>
          </w:p>
        </w:tc>
        <w:tc>
          <w:tcPr>
            <w:tcW w:w="658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2"/>
              </w:rPr>
              <w:t>Security Ownership of Certain Beneficial Owners and Management and Related Stockholder Matters</w:t>
            </w:r>
          </w:p>
        </w:tc>
        <w:tc>
          <w:tcPr>
            <w:tcW w:w="1720" w:type="dxa"/>
            <w:vAlign w:val="bottom"/>
            <w:gridSpan w:val="2"/>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102</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13.</w:t>
            </w:r>
          </w:p>
        </w:tc>
        <w:tc>
          <w:tcPr>
            <w:tcW w:w="49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0"/>
              </w:rPr>
              <w:t>Certain Relationships and Related Transactions, and Director Independence</w:t>
            </w:r>
          </w:p>
        </w:tc>
        <w:tc>
          <w:tcPr>
            <w:tcW w:w="3380" w:type="dxa"/>
            <w:vAlign w:val="bottom"/>
            <w:gridSpan w:val="5"/>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102</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14.</w:t>
            </w:r>
          </w:p>
        </w:tc>
        <w:tc>
          <w:tcPr>
            <w:tcW w:w="8300" w:type="dxa"/>
            <w:vAlign w:val="bottom"/>
            <w:gridSpan w:val="21"/>
          </w:tcPr>
          <w:p>
            <w:pPr>
              <w:spacing w:after="0"/>
              <w:rPr>
                <w:sz w:val="20"/>
                <w:szCs w:val="20"/>
                <w:color w:val="auto"/>
              </w:rPr>
            </w:pPr>
            <w:r>
              <w:rPr>
                <w:rFonts w:ascii="Arial" w:cs="Arial" w:eastAsia="Arial" w:hAnsi="Arial"/>
                <w:sz w:val="16"/>
                <w:szCs w:val="16"/>
                <w:color w:val="0000FF"/>
              </w:rPr>
              <w:t>Principal Accountant Fees and Services</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102</w:t>
            </w:r>
          </w:p>
        </w:tc>
      </w:tr>
      <w:tr>
        <w:trPr>
          <w:trHeight w:val="71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PART IV</w:t>
            </w: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8"/>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15.</w:t>
            </w:r>
          </w:p>
        </w:tc>
        <w:tc>
          <w:tcPr>
            <w:tcW w:w="28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0"/>
              </w:rPr>
              <w:t>Exhibits and Financial Statement Schedules</w:t>
            </w:r>
          </w:p>
        </w:tc>
        <w:tc>
          <w:tcPr>
            <w:tcW w:w="5440" w:type="dxa"/>
            <w:vAlign w:val="bottom"/>
            <w:gridSpan w:val="9"/>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103</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Item 16.</w:t>
            </w:r>
          </w:p>
        </w:tc>
        <w:tc>
          <w:tcPr>
            <w:tcW w:w="8300" w:type="dxa"/>
            <w:vAlign w:val="bottom"/>
            <w:gridSpan w:val="21"/>
          </w:tcPr>
          <w:p>
            <w:pPr>
              <w:spacing w:after="0"/>
              <w:rPr>
                <w:sz w:val="20"/>
                <w:szCs w:val="20"/>
                <w:color w:val="auto"/>
              </w:rPr>
            </w:pPr>
            <w:r>
              <w:rPr>
                <w:rFonts w:ascii="Arial" w:cs="Arial" w:eastAsia="Arial" w:hAnsi="Arial"/>
                <w:sz w:val="16"/>
                <w:szCs w:val="16"/>
                <w:color w:val="0000FF"/>
              </w:rPr>
              <w:t>Form 10-K Summary</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103</w:t>
            </w:r>
          </w:p>
        </w:tc>
      </w:tr>
      <w:tr>
        <w:trPr>
          <w:trHeight w:val="412"/>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0000FF"/>
                <w:w w:val="98"/>
              </w:rPr>
              <w:t>SIGNATURES</w:t>
            </w: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106</w:t>
            </w:r>
          </w:p>
        </w:tc>
      </w:tr>
      <w:tr>
        <w:trPr>
          <w:trHeight w:val="784"/>
        </w:trPr>
        <w:tc>
          <w:tcPr>
            <w:tcW w:w="280" w:type="dxa"/>
            <w:vAlign w:val="bottom"/>
            <w:tcBorders>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FORWARD-LOOKING STATEMENTS</w:t>
      </w:r>
    </w:p>
    <w:p>
      <w:pPr>
        <w:spacing w:after="0" w:line="131" w:lineRule="exact"/>
        <w:rPr>
          <w:sz w:val="20"/>
          <w:szCs w:val="20"/>
          <w:color w:val="auto"/>
        </w:rPr>
      </w:pPr>
    </w:p>
    <w:p>
      <w:pPr>
        <w:ind w:left="260" w:right="40" w:firstLine="458"/>
        <w:spacing w:after="0" w:line="273" w:lineRule="auto"/>
        <w:rPr>
          <w:sz w:val="20"/>
          <w:szCs w:val="20"/>
          <w:color w:val="auto"/>
        </w:rPr>
      </w:pPr>
      <w:r>
        <w:rPr>
          <w:rFonts w:ascii="Arial" w:cs="Arial" w:eastAsia="Arial" w:hAnsi="Arial"/>
          <w:sz w:val="16"/>
          <w:szCs w:val="16"/>
          <w:color w:val="auto"/>
        </w:rPr>
        <w:t>This Annual Report on Form 10-K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spacing w:after="0" w:line="162" w:lineRule="exact"/>
        <w:rPr>
          <w:sz w:val="20"/>
          <w:szCs w:val="20"/>
          <w:color w:val="auto"/>
        </w:rPr>
      </w:pPr>
    </w:p>
    <w:p>
      <w:pPr>
        <w:ind w:left="260" w:firstLine="458"/>
        <w:spacing w:after="0" w:line="311"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 Item 1A of this Annual Report on Form 10-K and in our other filings with the Securities and Exchange Commission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may differ materially and adversely from those anticipated or implied in the forward-looking statements. Forward-looking statements contained in this Annual Report on Form 10-K include, but are not limited to, statements about:</w:t>
      </w:r>
    </w:p>
    <w:p>
      <w:pPr>
        <w:spacing w:after="0" w:line="59" w:lineRule="exact"/>
        <w:rPr>
          <w:sz w:val="20"/>
          <w:szCs w:val="20"/>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advance our current product candidates and programs into, and successfully complete,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clinical trials to demonstrate safety and efficacy of our product candidates and other positive results;</w:t>
      </w:r>
    </w:p>
    <w:p>
      <w:pPr>
        <w:spacing w:after="0" w:line="126" w:lineRule="exact"/>
        <w:rPr>
          <w:rFonts w:ascii="Arial" w:cs="Arial" w:eastAsia="Arial" w:hAnsi="Arial"/>
          <w:sz w:val="16"/>
          <w:szCs w:val="16"/>
          <w:color w:val="auto"/>
        </w:rPr>
      </w:pPr>
    </w:p>
    <w:p>
      <w:pPr>
        <w:ind w:left="1280" w:right="380" w:hanging="509"/>
        <w:spacing w:after="0" w:line="293"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of the market opportunity for our product candidates, including our estimates of the number of patients who suffer from the diseases we are targeting;</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commercialization and marketing capabilities and strategy;</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and strategies to develop and commercialize our CAB antibodies;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further develop our technology platform and expand our pipeline of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benefits and advantages of our current and future product candidates that we may develop from our patented technology platform;</w:t>
      </w:r>
    </w:p>
    <w:p>
      <w:pPr>
        <w:spacing w:after="0" w:line="138" w:lineRule="exact"/>
        <w:rPr>
          <w:rFonts w:ascii="Arial" w:cs="Arial" w:eastAsia="Arial" w:hAnsi="Arial"/>
          <w:sz w:val="15"/>
          <w:szCs w:val="15"/>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 financial condition, results of operations, and prospects;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 for our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developments in the United States and Europe and other foreign countries;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and plans to obtain funding for our operations, including from our existing and potential future collaboration and licensing agreements;</w:t>
      </w:r>
    </w:p>
    <w:p>
      <w:pPr>
        <w:spacing w:after="0" w:line="149" w:lineRule="exact"/>
        <w:rPr>
          <w:rFonts w:ascii="Arial" w:cs="Arial" w:eastAsia="Arial" w:hAnsi="Arial"/>
          <w:sz w:val="14"/>
          <w:szCs w:val="14"/>
          <w:color w:val="auto"/>
        </w:rPr>
      </w:pPr>
    </w:p>
    <w:p>
      <w:pPr>
        <w:ind w:left="1280" w:hanging="509"/>
        <w:spacing w:after="0"/>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our ability to obtain and maintain intellectual property protection for our technology platform and product candidates;</w:t>
      </w:r>
    </w:p>
    <w:p>
      <w:pPr>
        <w:spacing w:after="0" w:line="138" w:lineRule="exact"/>
        <w:rPr>
          <w:rFonts w:ascii="Arial" w:cs="Arial" w:eastAsia="Arial" w:hAnsi="Arial"/>
          <w:sz w:val="15"/>
          <w:szCs w:val="15"/>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benefits of our strategic relationships and our plans to pursue additional strategic relationships;</w:t>
      </w:r>
    </w:p>
    <w:p>
      <w:pPr>
        <w:spacing w:after="0" w:line="126" w:lineRule="exact"/>
        <w:rPr>
          <w:rFonts w:ascii="Arial" w:cs="Arial" w:eastAsia="Arial" w:hAnsi="Arial"/>
          <w:sz w:val="16"/>
          <w:szCs w:val="16"/>
          <w:color w:val="auto"/>
        </w:rPr>
      </w:pPr>
    </w:p>
    <w:p>
      <w:pPr>
        <w:ind w:left="1280" w:right="200" w:hanging="509"/>
        <w:spacing w:after="0" w:line="293"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continued reliance on third parties to conduct additional clinical trials of our product candidates and for the manufacture of our product candidates for preclinical studies and clinical trials; and</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Annual Report on Form 10-K.</w:t>
      </w:r>
    </w:p>
    <w:p>
      <w:pPr>
        <w:spacing w:after="0" w:line="221" w:lineRule="exact"/>
        <w:rPr>
          <w:sz w:val="20"/>
          <w:szCs w:val="20"/>
          <w:color w:val="auto"/>
        </w:rPr>
      </w:pPr>
    </w:p>
    <w:p>
      <w:pPr>
        <w:ind w:left="260" w:right="100" w:firstLine="458"/>
        <w:spacing w:after="0" w:line="273"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Annual Report on Form 10-K or to conform these statements to actual results or revised expectations.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700" w:firstLine="458"/>
        <w:spacing w:after="0" w:line="293" w:lineRule="auto"/>
        <w:rPr>
          <w:sz w:val="20"/>
          <w:szCs w:val="20"/>
          <w:color w:val="auto"/>
        </w:rPr>
      </w:pPr>
      <w:r>
        <w:rPr>
          <w:rFonts w:ascii="Arial" w:cs="Arial" w:eastAsia="Arial" w:hAnsi="Arial"/>
          <w:sz w:val="16"/>
          <w:szCs w:val="16"/>
          <w:color w:val="auto"/>
        </w:rPr>
        <w:t>You should read this Annual Report on Form 10-K with the understanding that our actual future results, levels of activity, performance and events and circumstances may be materially different from what we expect.</w:t>
      </w:r>
    </w:p>
    <w:p>
      <w:pPr>
        <w:spacing w:after="0" w:line="158" w:lineRule="exact"/>
        <w:rPr>
          <w:sz w:val="20"/>
          <w:szCs w:val="20"/>
          <w:color w:val="auto"/>
        </w:rPr>
      </w:pPr>
    </w:p>
    <w:p>
      <w:pPr>
        <w:ind w:left="260" w:right="80" w:firstLine="458"/>
        <w:spacing w:after="0" w:line="269" w:lineRule="auto"/>
        <w:rPr>
          <w:sz w:val="20"/>
          <w:szCs w:val="20"/>
          <w:color w:val="auto"/>
        </w:rPr>
      </w:pPr>
      <w:r>
        <w:rPr>
          <w:rFonts w:ascii="Arial" w:cs="Arial" w:eastAsia="Arial" w:hAnsi="Arial"/>
          <w:sz w:val="16"/>
          <w:szCs w:val="16"/>
          <w:color w:val="auto"/>
        </w:rPr>
        <w:t>This Annual Report on Form 10-K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the context requires otherwise, references in this Annual Report on Form 10-K to “BioAtla,” “we,” “us” and “our” refer to BioAtla, Inc.</w:t>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 Business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Overview</w:t>
      </w:r>
    </w:p>
    <w:p>
      <w:pPr>
        <w:spacing w:after="0" w:line="117" w:lineRule="exact"/>
        <w:rPr>
          <w:sz w:val="20"/>
          <w:szCs w:val="20"/>
          <w:color w:val="auto"/>
        </w:rPr>
      </w:pPr>
    </w:p>
    <w:p>
      <w:pPr>
        <w:ind w:left="260" w:firstLine="458"/>
        <w:spacing w:after="0" w:line="309" w:lineRule="auto"/>
        <w:rPr>
          <w:sz w:val="20"/>
          <w:szCs w:val="20"/>
          <w:color w:val="auto"/>
        </w:rPr>
      </w:pPr>
      <w:r>
        <w:rPr>
          <w:rFonts w:ascii="Arial" w:cs="Arial" w:eastAsia="Arial" w:hAnsi="Arial"/>
          <w:sz w:val="14"/>
          <w:szCs w:val="14"/>
          <w:color w:val="auto"/>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The enhanced selectivity of our CAB technology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p>
    <w:p>
      <w:pPr>
        <w:spacing w:after="0" w:line="155" w:lineRule="exact"/>
        <w:rPr>
          <w:sz w:val="20"/>
          <w:szCs w:val="20"/>
          <w:color w:val="auto"/>
        </w:rPr>
      </w:pPr>
    </w:p>
    <w:p>
      <w:pPr>
        <w:ind w:left="260" w:right="40" w:firstLine="458"/>
        <w:spacing w:after="0" w:line="302" w:lineRule="auto"/>
        <w:rPr>
          <w:sz w:val="20"/>
          <w:szCs w:val="20"/>
          <w:color w:val="auto"/>
        </w:rPr>
      </w:pPr>
      <w:r>
        <w:rPr>
          <w:rFonts w:ascii="Arial" w:cs="Arial" w:eastAsia="Arial" w:hAnsi="Arial"/>
          <w:sz w:val="14"/>
          <w:szCs w:val="14"/>
          <w:color w:val="auto"/>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The broad applicability of our CAB technology allows us to develop a wide array of product candidate modalities, such as monoclonal antibodies, antibody-drug conjugates, or ADCs, T cell-engaging bispecific antibodies and chimeric antigen receptor T cells, or CAR-T cells. In 2021, we published a paper in the Proceedings of the National Academy of Sciences ("PNAS") describing a novel mechanism using physiological chemicals as Protein-activated Chemical Switches</w:t>
      </w:r>
      <w:r>
        <w:rPr>
          <w:rFonts w:ascii="Arial" w:cs="Arial" w:eastAsia="Arial" w:hAnsi="Arial"/>
          <w:sz w:val="18"/>
          <w:szCs w:val="18"/>
          <w:color w:val="auto"/>
          <w:vertAlign w:val="superscript"/>
        </w:rPr>
        <w:t>TM</w:t>
      </w:r>
      <w:r>
        <w:rPr>
          <w:rFonts w:ascii="Arial" w:cs="Arial" w:eastAsia="Arial" w:hAnsi="Arial"/>
          <w:sz w:val="14"/>
          <w:szCs w:val="14"/>
          <w:color w:val="auto"/>
        </w:rPr>
        <w:t>, or PaCS</w:t>
      </w:r>
      <w:r>
        <w:rPr>
          <w:rFonts w:ascii="Arial" w:cs="Arial" w:eastAsia="Arial" w:hAnsi="Arial"/>
          <w:sz w:val="18"/>
          <w:szCs w:val="18"/>
          <w:color w:val="auto"/>
          <w:vertAlign w:val="superscript"/>
        </w:rPr>
        <w:t>TM</w:t>
      </w:r>
      <w:r>
        <w:rPr>
          <w:rFonts w:ascii="Arial" w:cs="Arial" w:eastAsia="Arial" w:hAnsi="Arial"/>
          <w:sz w:val="14"/>
          <w:szCs w:val="14"/>
          <w:color w:val="auto"/>
        </w:rPr>
        <w:t>, for generating CAB antibodies. Initially, we applied the reversible binding and precision capability of our CAB technology to advance next-generation ADC therapies. We also generated antibodies for immuno-oncology and more recently, for bispecific, T cell engagement. The bispecific CAB antibodies are comprised of two different binding specificities, which allows the antibody to bind to two specific targets at the same time, generally one target on the tumor cell and one target on an immune system cell.</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Our pipeline</w:t>
      </w:r>
    </w:p>
    <w:p>
      <w:pPr>
        <w:spacing w:after="0" w:line="117" w:lineRule="exact"/>
        <w:rPr>
          <w:sz w:val="20"/>
          <w:szCs w:val="20"/>
          <w:color w:val="auto"/>
        </w:rPr>
      </w:pPr>
    </w:p>
    <w:p>
      <w:pPr>
        <w:ind w:left="260" w:right="540" w:firstLine="458"/>
        <w:spacing w:after="0" w:line="293" w:lineRule="auto"/>
        <w:rPr>
          <w:sz w:val="20"/>
          <w:szCs w:val="20"/>
          <w:color w:val="auto"/>
        </w:rPr>
      </w:pPr>
      <w:r>
        <w:rPr>
          <w:rFonts w:ascii="Arial" w:cs="Arial" w:eastAsia="Arial" w:hAnsi="Arial"/>
          <w:sz w:val="16"/>
          <w:szCs w:val="16"/>
          <w:color w:val="auto"/>
        </w:rPr>
        <w:t>We believe that there is significant potential to improve therapeutics for our patients with our proprietary CAB antibody technology across well-validated oncology targets in solid tumors. The following table summarizes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123825</wp:posOffset>
            </wp:positionV>
            <wp:extent cx="6172200" cy="3163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316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b w:val="1"/>
          <w:bCs w:val="1"/>
          <w:color w:val="auto"/>
        </w:rPr>
        <w:t xml:space="preserve">Mecbotamab vedotin (BA3011): </w:t>
      </w:r>
      <w:r>
        <w:rPr>
          <w:rFonts w:ascii="Arial" w:cs="Arial" w:eastAsia="Arial" w:hAnsi="Arial"/>
          <w:sz w:val="15"/>
          <w:szCs w:val="15"/>
          <w:color w:val="auto"/>
        </w:rPr>
        <w:t>Our lead clinical stage product candidate, mecbotamab vedotin, or BA3011, is a CAB ADC that targets AXL, a protein kinase</w:t>
      </w:r>
      <w:r>
        <w:rPr>
          <w:rFonts w:ascii="Arial" w:cs="Arial" w:eastAsia="Arial" w:hAnsi="Arial"/>
          <w:sz w:val="15"/>
          <w:szCs w:val="15"/>
          <w:b w:val="1"/>
          <w:bCs w:val="1"/>
          <w:color w:val="auto"/>
        </w:rPr>
        <w:t xml:space="preserve"> </w:t>
      </w:r>
      <w:r>
        <w:rPr>
          <w:rFonts w:ascii="Arial" w:cs="Arial" w:eastAsia="Arial" w:hAnsi="Arial"/>
          <w:sz w:val="15"/>
          <w:szCs w:val="15"/>
          <w:color w:val="auto"/>
        </w:rPr>
        <w:t>receptor that is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AXL has been shown to be involved in the epithelial-mesenchymal transition, or EMT, a process by which epithelial cells lose their cell polarity and cell-cell adhesion, and gain migratory and invasive properties to become mesenchymal stem cells, or MSCs. MSCs are home to developing aggressive tumors, where they exacerbate cancer cell proliferation, motility, invasion and metastasis, foster angiogenesis, promote tumor fibrosis and suppress antitumor immune responses. Multiple therapeutic agents that target AXL have been developed and investigated in clinical trials. A number of small-molecule AXL kinase inhibitors have been developed; however, the majority of these inhibitors, including one that is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spacing w:after="0" w:line="169" w:lineRule="exact"/>
        <w:rPr>
          <w:sz w:val="20"/>
          <w:szCs w:val="20"/>
          <w:color w:val="auto"/>
        </w:rPr>
      </w:pPr>
    </w:p>
    <w:p>
      <w:pPr>
        <w:ind w:left="260" w:right="140" w:firstLine="458"/>
        <w:spacing w:after="0" w:line="297" w:lineRule="auto"/>
        <w:rPr>
          <w:sz w:val="20"/>
          <w:szCs w:val="20"/>
          <w:color w:val="auto"/>
        </w:rPr>
      </w:pPr>
      <w:r>
        <w:rPr>
          <w:rFonts w:ascii="Arial" w:cs="Arial" w:eastAsia="Arial" w:hAnsi="Arial"/>
          <w:sz w:val="15"/>
          <w:szCs w:val="15"/>
          <w:color w:val="auto"/>
        </w:rPr>
        <w:t>Mecbotamab vedotin is an ADC consisting of a CAB humanized immunoglobulin G, or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spacing w:after="0" w:line="145" w:lineRule="exact"/>
        <w:rPr>
          <w:sz w:val="20"/>
          <w:szCs w:val="20"/>
          <w:color w:val="auto"/>
        </w:rPr>
      </w:pPr>
    </w:p>
    <w:p>
      <w:pPr>
        <w:ind w:left="260" w:right="240" w:firstLine="458"/>
        <w:spacing w:after="0" w:line="297" w:lineRule="auto"/>
        <w:rPr>
          <w:sz w:val="20"/>
          <w:szCs w:val="20"/>
          <w:color w:val="auto"/>
        </w:rPr>
      </w:pPr>
      <w:r>
        <w:rPr>
          <w:rFonts w:ascii="Arial" w:cs="Arial" w:eastAsia="Arial" w:hAnsi="Arial"/>
          <w:sz w:val="15"/>
          <w:szCs w:val="15"/>
          <w:color w:val="auto"/>
        </w:rPr>
        <w:t>We have developed a biomarker assay that quantifies the AXL Tumor membrane Percent Score (0-100%), or TmPS. The TmPS measures the percentage of cancer cells within the tumor that expresses the AXL target expression generally on the tumor membrane which, consistent with industry standard, we use to identify those patients who we believe will be the most likely to respond to our product candidates. In several tumor types, we believe that the larger percentage of cells expressing the target on the tumor membrane, the more likely it is that our product candidates may have the potential to provide clinical benefit.</w:t>
      </w:r>
    </w:p>
    <w:p>
      <w:pPr>
        <w:spacing w:after="0" w:line="145" w:lineRule="exact"/>
        <w:rPr>
          <w:sz w:val="20"/>
          <w:szCs w:val="20"/>
          <w:color w:val="auto"/>
        </w:rPr>
      </w:pPr>
    </w:p>
    <w:p>
      <w:pPr>
        <w:ind w:left="260" w:firstLine="458"/>
        <w:spacing w:after="0" w:line="289" w:lineRule="auto"/>
        <w:rPr>
          <w:sz w:val="20"/>
          <w:szCs w:val="20"/>
          <w:color w:val="auto"/>
        </w:rPr>
      </w:pPr>
      <w:r>
        <w:rPr>
          <w:rFonts w:ascii="Arial" w:cs="Arial" w:eastAsia="Arial" w:hAnsi="Arial"/>
          <w:sz w:val="15"/>
          <w:szCs w:val="15"/>
          <w:color w:val="auto"/>
        </w:rPr>
        <w:t>We are developing mecbotamab vedotin as a potential therapeutic for multiple solid tumor types, including soft tissue and bone sarcoma and non-small cell lung cancer (NSCLC), with other potential indications in the future. The Office of Orphan Drug Products (OODP) at the FDA has granted Orphan Drug Designation to mecbotamab vedotin for the treatment of soft tissue sarcoma. Phase 1 results in sarcoma patients indicated mecbotamab vedotin was generally well-tolerated in this refractory sarcoma population. Few patients discontinued due to an adverse event and no clinically meaningful on-target toxicity to normal AXL-expressing tissue was observed over baseline levels. Dose-limiting toxicities were limited to free circulating MMAE payload-associated toxicity at the highest dose tested, including reversible neutropenia. Higher levels of AXL tumor membrane expression correlated with response to treatment. Overall, we believe mecbotamab vedotin has the potential for a favorable benefit-risk profile, and importantly this is one of the few studies employing a biomarker that is not only highly expressed in sarcomas,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40"/>
        <w:spacing w:after="0" w:line="271" w:lineRule="auto"/>
        <w:rPr>
          <w:sz w:val="20"/>
          <w:szCs w:val="20"/>
          <w:color w:val="auto"/>
        </w:rPr>
      </w:pPr>
      <w:r>
        <w:rPr>
          <w:rFonts w:ascii="Arial" w:cs="Arial" w:eastAsia="Arial" w:hAnsi="Arial"/>
          <w:sz w:val="16"/>
          <w:szCs w:val="16"/>
          <w:color w:val="auto"/>
        </w:rPr>
        <w:t>but also may help select patients across multiple sarcoma subtypes who may benefit from therapy. In our ongoing potentially registration-enabling sarcoma Phase 2 study, patients are enrolled for therapy by prescreening for AXL expression. We are also conducting a Phase 2 study (BA3011-002) in AXL positive NSCLC patients who have previously progressed on PD-1/L1, EGFR, or ALK inhibitor therapy. In both Phase 2 indications, we are enrolling patients either as a monotherapy or in combination with the PD-1 inhibitor nivolumab. In addition, a multi-center investigator-initiated Phase 2 clinical trial of mecbotamab vedotin in combination with a PD-1 inhibitor in patients with platinum-resistant ovarian cancer is underway.</w:t>
      </w:r>
    </w:p>
    <w:p>
      <w:pPr>
        <w:spacing w:after="0" w:line="172" w:lineRule="exact"/>
        <w:rPr>
          <w:sz w:val="20"/>
          <w:szCs w:val="20"/>
          <w:color w:val="auto"/>
        </w:rPr>
      </w:pPr>
    </w:p>
    <w:p>
      <w:pPr>
        <w:ind w:left="260" w:right="20" w:firstLine="464"/>
        <w:spacing w:after="0" w:line="288" w:lineRule="auto"/>
        <w:rPr>
          <w:sz w:val="20"/>
          <w:szCs w:val="20"/>
          <w:color w:val="auto"/>
        </w:rPr>
      </w:pPr>
      <w:r>
        <w:rPr>
          <w:rFonts w:ascii="Arial" w:cs="Arial" w:eastAsia="Arial" w:hAnsi="Arial"/>
          <w:sz w:val="15"/>
          <w:szCs w:val="15"/>
          <w:b w:val="1"/>
          <w:bCs w:val="1"/>
          <w:color w:val="auto"/>
        </w:rPr>
        <w:t xml:space="preserve">Ozuriftabmab vedotin (BA3021): </w:t>
      </w:r>
      <w:r>
        <w:rPr>
          <w:rFonts w:ascii="Arial" w:cs="Arial" w:eastAsia="Arial" w:hAnsi="Arial"/>
          <w:sz w:val="15"/>
          <w:szCs w:val="15"/>
          <w:color w:val="auto"/>
        </w:rPr>
        <w:t>We are developing our second clinical stage product candidate, ozuriftamab vedotin or BA3021, a CAB antibody drug</w:t>
      </w:r>
      <w:r>
        <w:rPr>
          <w:rFonts w:ascii="Arial" w:cs="Arial" w:eastAsia="Arial" w:hAnsi="Arial"/>
          <w:sz w:val="15"/>
          <w:szCs w:val="15"/>
          <w:b w:val="1"/>
          <w:bCs w:val="1"/>
          <w:color w:val="auto"/>
        </w:rPr>
        <w:t xml:space="preserve"> </w:t>
      </w:r>
      <w:r>
        <w:rPr>
          <w:rFonts w:ascii="Arial" w:cs="Arial" w:eastAsia="Arial" w:hAnsi="Arial"/>
          <w:sz w:val="15"/>
          <w:szCs w:val="15"/>
          <w:color w:val="auto"/>
        </w:rPr>
        <w:t>conjugate directed against ROR2, or Receptor Tyrosine Kinase Like Orphan Receptor 2. ROR2 is overexpressed across many different solid tumors, including breast, lung, pancreatic, renal, ovarian, and colorectal cancers, squamous cell cancer of the head and neck, or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Robinow syndrome and brachydactyly type B.</w:t>
      </w:r>
    </w:p>
    <w:p>
      <w:pPr>
        <w:spacing w:after="0" w:line="153" w:lineRule="exact"/>
        <w:rPr>
          <w:sz w:val="20"/>
          <w:szCs w:val="20"/>
          <w:color w:val="auto"/>
        </w:rPr>
      </w:pPr>
    </w:p>
    <w:p>
      <w:pPr>
        <w:ind w:left="260" w:right="40" w:firstLine="458"/>
        <w:spacing w:after="0" w:line="293" w:lineRule="auto"/>
        <w:rPr>
          <w:sz w:val="20"/>
          <w:szCs w:val="20"/>
          <w:color w:val="auto"/>
        </w:rPr>
      </w:pPr>
      <w:r>
        <w:rPr>
          <w:rFonts w:ascii="Arial" w:cs="Arial" w:eastAsia="Arial" w:hAnsi="Arial"/>
          <w:sz w:val="16"/>
          <w:szCs w:val="16"/>
          <w:color w:val="auto"/>
        </w:rPr>
        <w:t>Employing a similar approach as with mecbotamab vedotin, we developed a TmPS quantitative assay based on ROR2 tumor membrane expression that we use to identify those patients who we believe will be the most likely to respond to our product candidates.</w:t>
      </w:r>
    </w:p>
    <w:p>
      <w:pPr>
        <w:spacing w:after="0" w:line="158"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spacing w:after="0" w:line="162" w:lineRule="exact"/>
        <w:rPr>
          <w:sz w:val="20"/>
          <w:szCs w:val="20"/>
          <w:color w:val="auto"/>
        </w:rPr>
      </w:pPr>
    </w:p>
    <w:p>
      <w:pPr>
        <w:ind w:left="260" w:right="120" w:firstLine="458"/>
        <w:spacing w:after="0" w:line="291" w:lineRule="auto"/>
        <w:rPr>
          <w:sz w:val="20"/>
          <w:szCs w:val="20"/>
          <w:color w:val="auto"/>
        </w:rPr>
      </w:pPr>
      <w:r>
        <w:rPr>
          <w:rFonts w:ascii="Arial" w:cs="Arial" w:eastAsia="Arial" w:hAnsi="Arial"/>
          <w:sz w:val="15"/>
          <w:szCs w:val="15"/>
          <w:color w:val="auto"/>
        </w:rPr>
        <w:t>We are developing ozuriftamab vedotin as a potential therapeutic for multiple solid tumor types, including NSCLC, melanoma, and cancer of the head and neck. Based on Phase 1 data, we believe ozuriftamab vedotin has broad potential as a cancer therapy for patients with advanced solid tumors who have experienced prior failure of PD-1 blockade. We are enrolling a Phase 2 trial of ozuriftamab vedotin monotherapy or in combination with a PD-1 inhibitor in patients with ROR2 positive melanoma who have previously progressed on PD-1/L1 inhibitor and patients with ROR2 high NSCLC who have previously progressed on PD-1/L1, EGFR or ALK inhibitor therapy. A Phase 2 study in patients with ROR2 positive SCCHN has begun. In addition, a multi-center investigator-initiated Phase 2 clinical trial of ozuriftamab vedotin in combination with a PD-1 inhibitor in patients with platinum-resistant ovarian cancer is underway.</w:t>
      </w:r>
    </w:p>
    <w:p>
      <w:pPr>
        <w:spacing w:after="0" w:line="145" w:lineRule="exact"/>
        <w:rPr>
          <w:sz w:val="20"/>
          <w:szCs w:val="20"/>
          <w:color w:val="auto"/>
        </w:rPr>
      </w:pPr>
    </w:p>
    <w:p>
      <w:pPr>
        <w:ind w:left="260" w:right="100" w:firstLine="458"/>
        <w:spacing w:after="0" w:line="267" w:lineRule="auto"/>
        <w:rPr>
          <w:sz w:val="20"/>
          <w:szCs w:val="20"/>
          <w:color w:val="auto"/>
        </w:rPr>
      </w:pPr>
      <w:r>
        <w:rPr>
          <w:rFonts w:ascii="Arial" w:cs="Arial" w:eastAsia="Arial" w:hAnsi="Arial"/>
          <w:sz w:val="16"/>
          <w:szCs w:val="16"/>
          <w:b w:val="1"/>
          <w:bCs w:val="1"/>
          <w:color w:val="auto"/>
        </w:rPr>
        <w:t xml:space="preserve">BA3071: </w:t>
      </w:r>
      <w:r>
        <w:rPr>
          <w:rFonts w:ascii="Arial" w:cs="Arial" w:eastAsia="Arial" w:hAnsi="Arial"/>
          <w:sz w:val="16"/>
          <w:szCs w:val="16"/>
          <w:color w:val="auto"/>
        </w:rPr>
        <w:t>Our third clinical stage product candidate, BA3071, is a CAB anti-CTLA-4 antibody that is being developed as an immuno-oncology agent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goal of delivering at least the efficacy of approved CTLA-4 antibodies, such as ipilimumab, but with lower toxicity rate as a result of the CAB’s unique tumor microenvironment-restricted binding. CTLA-4, or cytotoxic T-lymphocyte-associated antigen 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and recently approved tremelimumab currently are the only anti-CTLA-4 monoclonal antibodies approved by the FDA. Ipilimumab is approved as a single agent for the treatment of melanoma, and in combination with an anti-PD-1 antibody for the treatment of multiple solid tumors, including melanoma, RCC, colorectal cancer and NSCLC, and tremelimumab is approved in combination with an anti-PD-L-1 antibody for the treatment of unresectable hepatocellular carcinoma and NSCLC. Patients treated with these checkpoint inhibitors face a risk of a number of adverse events associated with inappropriate activation of the immune system beyond the tumor site including severe and sometimes fatal enterocolitis, hepatitis, dermatitis, neuropathy and endocrinopathy. Consequently, and for example, usage and dosage of ipilimumab is highly limited due to its safety profile, resulting in the average number of doses on therapy not exceeding four doses.</w:t>
      </w:r>
    </w:p>
    <w:p>
      <w:pPr>
        <w:spacing w:after="0" w:line="169" w:lineRule="exact"/>
        <w:rPr>
          <w:sz w:val="20"/>
          <w:szCs w:val="20"/>
          <w:color w:val="auto"/>
        </w:rPr>
      </w:pPr>
    </w:p>
    <w:p>
      <w:pPr>
        <w:ind w:left="260" w:right="440" w:firstLine="458"/>
        <w:spacing w:after="0" w:line="305" w:lineRule="auto"/>
        <w:rPr>
          <w:sz w:val="20"/>
          <w:szCs w:val="20"/>
          <w:color w:val="auto"/>
        </w:rPr>
      </w:pPr>
      <w:r>
        <w:rPr>
          <w:rFonts w:ascii="Arial" w:cs="Arial" w:eastAsia="Arial" w:hAnsi="Arial"/>
          <w:sz w:val="15"/>
          <w:szCs w:val="15"/>
          <w:color w:val="auto"/>
        </w:rPr>
        <w:t>We are developing BA3071 as a potential therapeutic for multiple solid tumor indications, possibly including renal cell carcinoma, NSCLC, small cell lung cancer, hepatocellular carcinoma, melanoma, bladder cancer, gastric cancer and cervical cancer. We have initiated a Phase 1/2 dose-escalation trial of BA3071 as monotherapy and in combination with an anti-PD-1 antibody with expansion cohorts to be enrolled upon identification of the recommended dose.</w:t>
      </w:r>
    </w:p>
    <w:p>
      <w:pPr>
        <w:spacing w:after="0" w:line="148" w:lineRule="exact"/>
        <w:rPr>
          <w:sz w:val="20"/>
          <w:szCs w:val="20"/>
          <w:color w:val="auto"/>
        </w:rPr>
      </w:pPr>
    </w:p>
    <w:p>
      <w:pPr>
        <w:ind w:left="260" w:right="20" w:firstLine="458"/>
        <w:spacing w:after="0" w:line="281" w:lineRule="auto"/>
        <w:rPr>
          <w:sz w:val="20"/>
          <w:szCs w:val="20"/>
          <w:color w:val="auto"/>
        </w:rPr>
      </w:pPr>
      <w:r>
        <w:rPr>
          <w:rFonts w:ascii="Arial" w:cs="Arial" w:eastAsia="Arial" w:hAnsi="Arial"/>
          <w:sz w:val="16"/>
          <w:szCs w:val="16"/>
          <w:b w:val="1"/>
          <w:bCs w:val="1"/>
          <w:color w:val="auto"/>
        </w:rPr>
        <w:t xml:space="preserve">CAB EpCAM x CD3 (BA3182): </w:t>
      </w:r>
      <w:r>
        <w:rPr>
          <w:rFonts w:ascii="Arial" w:cs="Arial" w:eastAsia="Arial" w:hAnsi="Arial"/>
          <w:sz w:val="16"/>
          <w:szCs w:val="16"/>
          <w:color w:val="auto"/>
        </w:rPr>
        <w:t>We have leveraged our CAB technology to develop bispecific antibodies, which bind both a tumor-specific antigen and a T cell</w:t>
      </w:r>
      <w:r>
        <w:rPr>
          <w:rFonts w:ascii="Arial" w:cs="Arial" w:eastAsia="Arial" w:hAnsi="Arial"/>
          <w:sz w:val="16"/>
          <w:szCs w:val="16"/>
          <w:b w:val="1"/>
          <w:bCs w:val="1"/>
          <w:color w:val="auto"/>
        </w:rPr>
        <w:t xml:space="preserve"> </w:t>
      </w:r>
      <w:r>
        <w:rPr>
          <w:rFonts w:ascii="Arial" w:cs="Arial" w:eastAsia="Arial" w:hAnsi="Arial"/>
          <w:sz w:val="16"/>
          <w:szCs w:val="16"/>
          <w:color w:val="auto"/>
        </w:rPr>
        <w:t>receptor using CAB antigen-binding domains. A bispecific antibody is a type of engineered antibody that can simultaneously bind two separate and unique antigens, unlike conventional monospecific antibodies that only bind to one type of target.</w:t>
      </w:r>
    </w:p>
    <w:p>
      <w:pPr>
        <w:spacing w:after="0" w:line="154" w:lineRule="exact"/>
        <w:rPr>
          <w:sz w:val="20"/>
          <w:szCs w:val="20"/>
          <w:color w:val="auto"/>
        </w:rPr>
      </w:pPr>
    </w:p>
    <w:p>
      <w:pPr>
        <w:ind w:left="260" w:right="240" w:firstLine="458"/>
        <w:spacing w:after="0" w:line="271" w:lineRule="auto"/>
        <w:rPr>
          <w:sz w:val="20"/>
          <w:szCs w:val="20"/>
          <w:color w:val="auto"/>
        </w:rPr>
      </w:pPr>
      <w:r>
        <w:rPr>
          <w:rFonts w:ascii="Arial" w:cs="Arial" w:eastAsia="Arial" w:hAnsi="Arial"/>
          <w:sz w:val="16"/>
          <w:szCs w:val="16"/>
          <w:color w:val="auto"/>
        </w:rPr>
        <w:t>A common design feature for a bispecific antibody is to include a T cell engager component (</w:t>
      </w:r>
      <w:r>
        <w:rPr>
          <w:rFonts w:ascii="Arial" w:cs="Arial" w:eastAsia="Arial" w:hAnsi="Arial"/>
          <w:sz w:val="16"/>
          <w:szCs w:val="16"/>
          <w:i w:val="1"/>
          <w:iCs w:val="1"/>
          <w:color w:val="auto"/>
        </w:rPr>
        <w:t>i.e.</w:t>
      </w:r>
      <w:r>
        <w:rPr>
          <w:rFonts w:ascii="Arial" w:cs="Arial" w:eastAsia="Arial" w:hAnsi="Arial"/>
          <w:sz w:val="16"/>
          <w:szCs w:val="16"/>
          <w:color w:val="auto"/>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 approved bispecific antibody was a T cell engager, blinatumomab, which contained antigen-binding domains for CD19, an antigen found on B-cell leukemias, and CD3, a T cell activating receptor.</w:t>
      </w:r>
    </w:p>
    <w:p>
      <w:pPr>
        <w:spacing w:after="0" w:line="176" w:lineRule="exact"/>
        <w:rPr>
          <w:sz w:val="20"/>
          <w:szCs w:val="20"/>
          <w:color w:val="auto"/>
        </w:rPr>
      </w:pPr>
    </w:p>
    <w:p>
      <w:pPr>
        <w:jc w:val="both"/>
        <w:ind w:left="260" w:right="220" w:firstLine="458"/>
        <w:spacing w:after="0" w:line="278" w:lineRule="auto"/>
        <w:rPr>
          <w:sz w:val="20"/>
          <w:szCs w:val="20"/>
          <w:color w:val="auto"/>
        </w:rPr>
      </w:pPr>
      <w:r>
        <w:rPr>
          <w:rFonts w:ascii="Arial" w:cs="Arial" w:eastAsia="Arial" w:hAnsi="Arial"/>
          <w:sz w:val="16"/>
          <w:szCs w:val="16"/>
          <w:color w:val="auto"/>
        </w:rPr>
        <w:t>There are multiple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due to systemic immune activation.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40" w:firstLine="458"/>
        <w:spacing w:after="0" w:line="273" w:lineRule="auto"/>
        <w:rPr>
          <w:sz w:val="20"/>
          <w:szCs w:val="20"/>
          <w:color w:val="auto"/>
        </w:rPr>
      </w:pPr>
      <w:r>
        <w:rPr>
          <w:rFonts w:ascii="Arial" w:cs="Arial" w:eastAsia="Arial" w:hAnsi="Arial"/>
          <w:sz w:val="16"/>
          <w:szCs w:val="16"/>
          <w:color w:val="auto"/>
        </w:rPr>
        <w:t>We have applied our CAB antibody technology to develop bispecific CAB antibodies in which one or both antigen-binding domains are active only in the tumor microenvironment. An example of this approach is our CAB EpCAM x CD3 bispecific. EpCAM, or epithelial cell adhesion molecule, is a protein that is over-expressed in many cancers including carcinomas derived from colon, intestine, breast, lung and prostate. Expression of EpCAM has been extensively associated with cell growth and proliferation of both healthy and cancer cells.</w:t>
      </w:r>
    </w:p>
    <w:p>
      <w:pPr>
        <w:spacing w:after="0" w:line="175" w:lineRule="exact"/>
        <w:rPr>
          <w:sz w:val="20"/>
          <w:szCs w:val="20"/>
          <w:color w:val="auto"/>
        </w:rPr>
      </w:pPr>
    </w:p>
    <w:p>
      <w:pPr>
        <w:ind w:left="260" w:right="80" w:firstLine="458"/>
        <w:spacing w:after="0" w:line="315" w:lineRule="auto"/>
        <w:rPr>
          <w:sz w:val="20"/>
          <w:szCs w:val="20"/>
          <w:color w:val="auto"/>
        </w:rPr>
      </w:pPr>
      <w:r>
        <w:rPr>
          <w:rFonts w:ascii="Arial" w:cs="Arial" w:eastAsia="Arial" w:hAnsi="Arial"/>
          <w:sz w:val="14"/>
          <w:szCs w:val="14"/>
          <w:color w:val="auto"/>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an EpCAM x CD3 bispecific led to over 95% of patients in a Phase 1 dose-escalation trial to experience at least one Grade 3 or above adverse event. Over 20% of patients experienced dose-limiting toxicities, and at these required low doses, there was only one unconfirmed partial response observed among 65 patients.</w:t>
      </w:r>
    </w:p>
    <w:p>
      <w:pPr>
        <w:spacing w:after="0" w:line="136" w:lineRule="exact"/>
        <w:rPr>
          <w:sz w:val="20"/>
          <w:szCs w:val="20"/>
          <w:color w:val="auto"/>
        </w:rPr>
      </w:pPr>
    </w:p>
    <w:p>
      <w:pPr>
        <w:ind w:left="260" w:right="220" w:firstLine="458"/>
        <w:spacing w:after="0" w:line="273" w:lineRule="auto"/>
        <w:rPr>
          <w:sz w:val="20"/>
          <w:szCs w:val="20"/>
          <w:color w:val="auto"/>
        </w:rPr>
      </w:pPr>
      <w:r>
        <w:rPr>
          <w:rFonts w:ascii="Arial" w:cs="Arial" w:eastAsia="Arial" w:hAnsi="Arial"/>
          <w:sz w:val="16"/>
          <w:szCs w:val="16"/>
          <w:color w:val="auto"/>
        </w:rPr>
        <w:t>Our first bispecific candidate, CAB EpCAM x CD3 received IND clearance from the FDA in February 2023. We are conducting IND-enabling studies for two additional CAB product candidates, B7-H3 x CD3, a bispecific antibody, and one next-generation CAB ADC, Nectin-4. We also are evaluating additional candidates including EGFR x CD3 bispecific, Nectin4 x CD3 bispecific, and B7-H4 as a next-generation CAB ADC candidate. Overall, we are advancing multiple pre-clinical assets with potential INDs in the 2023 to 2024 timeframe.</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Our strategy</w:t>
      </w:r>
    </w:p>
    <w:p>
      <w:pPr>
        <w:spacing w:after="0" w:line="117" w:lineRule="exact"/>
        <w:rPr>
          <w:sz w:val="20"/>
          <w:szCs w:val="20"/>
          <w:color w:val="auto"/>
        </w:rPr>
      </w:pPr>
    </w:p>
    <w:p>
      <w:pPr>
        <w:ind w:left="260" w:right="60" w:firstLine="458"/>
        <w:spacing w:after="0" w:line="278" w:lineRule="auto"/>
        <w:rPr>
          <w:sz w:val="20"/>
          <w:szCs w:val="20"/>
          <w:color w:val="auto"/>
        </w:rPr>
      </w:pPr>
      <w:r>
        <w:rPr>
          <w:rFonts w:ascii="Arial" w:cs="Arial" w:eastAsia="Arial" w:hAnsi="Arial"/>
          <w:sz w:val="16"/>
          <w:szCs w:val="16"/>
          <w:color w:val="auto"/>
        </w:rPr>
        <w:t>Our mission is to develop and commercialize innovative antibody-based therapeutics for the treatment of solid tumors that are designed to bind depending on the physical and chemical properties of tumors and their microenvironment. We believe that our proprietary CAB technology and approach have the potential to transform cancer therapy by decreasing systemic toxicities and improving efficacy. Our strategy to achieve this mission is as follows:</w:t>
      </w:r>
    </w:p>
    <w:p>
      <w:pPr>
        <w:spacing w:after="0" w:line="72" w:lineRule="exact"/>
        <w:rPr>
          <w:sz w:val="20"/>
          <w:szCs w:val="20"/>
          <w:color w:val="auto"/>
        </w:rPr>
      </w:pPr>
    </w:p>
    <w:p>
      <w:pPr>
        <w:ind w:left="1280" w:hanging="509"/>
        <w:spacing w:after="0"/>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Advance our lead product candidates through regulatory approval and commercialization.</w:t>
      </w:r>
    </w:p>
    <w:p>
      <w:pPr>
        <w:spacing w:after="0" w:line="131" w:lineRule="exact"/>
        <w:rPr>
          <w:sz w:val="20"/>
          <w:szCs w:val="20"/>
          <w:color w:val="auto"/>
        </w:rPr>
      </w:pPr>
    </w:p>
    <w:p>
      <w:pPr>
        <w:ind w:left="1540" w:right="20" w:hanging="514"/>
        <w:spacing w:after="0" w:line="293" w:lineRule="auto"/>
        <w:tabs>
          <w:tab w:leader="none" w:pos="1540" w:val="left"/>
        </w:tabs>
        <w:numPr>
          <w:ilvl w:val="1"/>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Mecbotamab vedotin: </w:t>
      </w:r>
      <w:r>
        <w:rPr>
          <w:rFonts w:ascii="Arial" w:cs="Arial" w:eastAsia="Arial" w:hAnsi="Arial"/>
          <w:sz w:val="15"/>
          <w:szCs w:val="15"/>
          <w:color w:val="auto"/>
        </w:rPr>
        <w:t>Clinical data from our Phase 1 and Phase 2 part 1 trials with mecbotamab vedotin are supportive of its development in</w:t>
      </w:r>
      <w:r>
        <w:rPr>
          <w:rFonts w:ascii="Arial" w:cs="Arial" w:eastAsia="Arial" w:hAnsi="Arial"/>
          <w:sz w:val="15"/>
          <w:szCs w:val="15"/>
          <w:i w:val="1"/>
          <w:iCs w:val="1"/>
          <w:color w:val="auto"/>
        </w:rPr>
        <w:t xml:space="preserve"> </w:t>
      </w:r>
      <w:r>
        <w:rPr>
          <w:rFonts w:ascii="Arial" w:cs="Arial" w:eastAsia="Arial" w:hAnsi="Arial"/>
          <w:sz w:val="15"/>
          <w:szCs w:val="15"/>
          <w:color w:val="auto"/>
        </w:rPr>
        <w:t>metastatic sarcomas, a set of cancers with a high unmet clinical need, and in metastatic PD-1 failure NSCLC. We are conducting a potentially registration-enabling Phase 2 trial for mecbotamab vedotin in undifferentiated pleomorphic sarcoma, or UPS, patients (12 years of age or older). In addition, we are planning to discuss with the FDA initiating a potentially registration-enabling Phase 2 trial in NSCLC later this year. In both studies, we are using a quantitative biomarker assay/TmPS score to identify likely responders and to help enrich our clinical trial programs.</w:t>
      </w:r>
    </w:p>
    <w:p>
      <w:pPr>
        <w:spacing w:after="0" w:line="67" w:lineRule="exact"/>
        <w:rPr>
          <w:rFonts w:ascii="Arial" w:cs="Arial" w:eastAsia="Arial" w:hAnsi="Arial"/>
          <w:sz w:val="15"/>
          <w:szCs w:val="15"/>
          <w:color w:val="auto"/>
        </w:rPr>
      </w:pPr>
    </w:p>
    <w:p>
      <w:pPr>
        <w:ind w:left="1540" w:right="20" w:hanging="514"/>
        <w:spacing w:after="0" w:line="278" w:lineRule="auto"/>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Ozuriftamab vedotin: </w:t>
      </w:r>
      <w:r>
        <w:rPr>
          <w:rFonts w:ascii="Arial" w:cs="Arial" w:eastAsia="Arial" w:hAnsi="Arial"/>
          <w:sz w:val="16"/>
          <w:szCs w:val="16"/>
          <w:color w:val="auto"/>
        </w:rPr>
        <w:t>We have observed antitumor activity in PD-1 failure NSCLC, melanoma and SCCHN patients in our Phase 1 trial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initiated Phase 2 trials of ozuriftamab vedotin in each of these indications. We are using a quantitative biomarker assay/TmPS score to identify based on the TmPS score the likely responders and to help enrich our clinical trial programs.</w:t>
      </w:r>
    </w:p>
    <w:p>
      <w:pPr>
        <w:spacing w:after="0" w:line="76" w:lineRule="exact"/>
        <w:rPr>
          <w:rFonts w:ascii="Arial" w:cs="Arial" w:eastAsia="Arial" w:hAnsi="Arial"/>
          <w:sz w:val="16"/>
          <w:szCs w:val="16"/>
          <w:color w:val="auto"/>
        </w:rPr>
      </w:pPr>
    </w:p>
    <w:p>
      <w:pPr>
        <w:ind w:left="1540" w:right="280" w:hanging="514"/>
        <w:spacing w:after="0" w:line="305" w:lineRule="auto"/>
        <w:tabs>
          <w:tab w:leader="none" w:pos="1540" w:val="left"/>
        </w:tabs>
        <w:numPr>
          <w:ilvl w:val="1"/>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CAB BA3071 anti CTLA-4 immune checkpoint inhibitor: </w:t>
      </w:r>
      <w:r>
        <w:rPr>
          <w:rFonts w:ascii="Arial" w:cs="Arial" w:eastAsia="Arial" w:hAnsi="Arial"/>
          <w:sz w:val="15"/>
          <w:szCs w:val="15"/>
          <w:color w:val="auto"/>
        </w:rPr>
        <w:t>The design of BA3071 is to provide the efficacy similar to that of ipilimumab, an anti-CTLA-4 monoclonal antibody approved by the FDA, but with a significantly enhanced safety profile. This may allow for patients to be treated at higher dosage and/or for more cycles of treatment in combination with an anti-PD-1 antibody that may lead to better therapeutic results.</w:t>
      </w:r>
    </w:p>
    <w:p>
      <w:pPr>
        <w:spacing w:after="0" w:line="57" w:lineRule="exact"/>
        <w:rPr>
          <w:rFonts w:ascii="Arial" w:cs="Arial" w:eastAsia="Arial" w:hAnsi="Arial"/>
          <w:sz w:val="15"/>
          <w:szCs w:val="15"/>
          <w:color w:val="auto"/>
        </w:rPr>
      </w:pPr>
    </w:p>
    <w:p>
      <w:pPr>
        <w:ind w:left="1540" w:right="180" w:hanging="514"/>
        <w:spacing w:after="0" w:line="318" w:lineRule="auto"/>
        <w:tabs>
          <w:tab w:leader="none" w:pos="1540" w:val="left"/>
        </w:tabs>
        <w:numPr>
          <w:ilvl w:val="1"/>
          <w:numId w:val="5"/>
        </w:numPr>
        <w:rPr>
          <w:rFonts w:ascii="Arial" w:cs="Arial" w:eastAsia="Arial" w:hAnsi="Arial"/>
          <w:sz w:val="14"/>
          <w:szCs w:val="14"/>
          <w:color w:val="auto"/>
        </w:rPr>
      </w:pPr>
      <w:r>
        <w:rPr>
          <w:rFonts w:ascii="Arial" w:cs="Arial" w:eastAsia="Arial" w:hAnsi="Arial"/>
          <w:sz w:val="14"/>
          <w:szCs w:val="14"/>
          <w:i w:val="1"/>
          <w:iCs w:val="1"/>
          <w:color w:val="auto"/>
        </w:rPr>
        <w:t>CAB EpCAM x CAB CD3 (BA3182)</w:t>
      </w:r>
      <w:r>
        <w:rPr>
          <w:rFonts w:ascii="Arial" w:cs="Arial" w:eastAsia="Arial" w:hAnsi="Arial"/>
          <w:sz w:val="14"/>
          <w:szCs w:val="14"/>
          <w:color w:val="auto"/>
        </w:rPr>
        <w:t>: Our first bispecific candidate with an investigational new drug application, or IND, cleared by FDA,</w:t>
      </w:r>
      <w:r>
        <w:rPr>
          <w:rFonts w:ascii="Arial" w:cs="Arial" w:eastAsia="Arial" w:hAnsi="Arial"/>
          <w:sz w:val="14"/>
          <w:szCs w:val="14"/>
          <w:i w:val="1"/>
          <w:iCs w:val="1"/>
          <w:color w:val="auto"/>
        </w:rPr>
        <w:t xml:space="preserve"> </w:t>
      </w:r>
      <w:r>
        <w:rPr>
          <w:rFonts w:ascii="Arial" w:cs="Arial" w:eastAsia="Arial" w:hAnsi="Arial"/>
          <w:sz w:val="14"/>
          <w:szCs w:val="14"/>
          <w:color w:val="auto"/>
        </w:rPr>
        <w:t>demonstrated in its IND-enabling studies a more than 100-fold improvement in the therapeutic window. We are initiating a Phase 1 study in advanced adenocarcinoma. Carcinoma is the most common form of cancer and adenocarcinoma is the most common subtype. Adenocarcinoma is most prevalent in the lung, prostate, breast, pancreas, esophagus, colon/rectum and stomach. Almost all prostate and breast cancers are adenocarcinoma, and about 96% of colorectal and 40% of non-small cell lung cancers are adenocarcinoma (American Cancer Society 2022).</w:t>
      </w:r>
    </w:p>
    <w:p>
      <w:pPr>
        <w:spacing w:after="0" w:line="49" w:lineRule="exact"/>
        <w:rPr>
          <w:rFonts w:ascii="Arial" w:cs="Arial" w:eastAsia="Arial" w:hAnsi="Arial"/>
          <w:sz w:val="14"/>
          <w:szCs w:val="14"/>
          <w:color w:val="auto"/>
        </w:rPr>
      </w:pPr>
    </w:p>
    <w:p>
      <w:pPr>
        <w:ind w:left="1280" w:right="220" w:hanging="509"/>
        <w:spacing w:after="0" w:line="299" w:lineRule="auto"/>
        <w:tabs>
          <w:tab w:leader="none" w:pos="12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Advance into clinical development multiple CAB bispecific and next generation CAB ADC candidates to further address areas of high unmet needs in treating solid tumors. </w:t>
      </w:r>
      <w:r>
        <w:rPr>
          <w:rFonts w:ascii="Arial" w:cs="Arial" w:eastAsia="Arial" w:hAnsi="Arial"/>
          <w:sz w:val="15"/>
          <w:szCs w:val="15"/>
          <w:color w:val="auto"/>
        </w:rPr>
        <w:t>We have shown in preclinical experiments, including in EpCAM x CD3, that our CAB bispecific molecules meet or</w:t>
      </w:r>
      <w:r>
        <w:rPr>
          <w:rFonts w:ascii="Arial" w:cs="Arial" w:eastAsia="Arial" w:hAnsi="Arial"/>
          <w:sz w:val="15"/>
          <w:szCs w:val="15"/>
          <w:b w:val="1"/>
          <w:bCs w:val="1"/>
          <w:color w:val="auto"/>
        </w:rPr>
        <w:t xml:space="preserve"> </w:t>
      </w:r>
      <w:r>
        <w:rPr>
          <w:rFonts w:ascii="Arial" w:cs="Arial" w:eastAsia="Arial" w:hAnsi="Arial"/>
          <w:sz w:val="15"/>
          <w:szCs w:val="15"/>
          <w:color w:val="auto"/>
        </w:rPr>
        <w:t>exceed the activity of conventional bispecifics and reduce systemic activation of potentially fatal immune responses. For example, our first CAB EpCAM x CAB CD3 (BA3182) demonstrated in its IND-enabling studies a more than 100-fold improvement in the therapeutic window.</w:t>
      </w:r>
    </w:p>
    <w:p>
      <w:pPr>
        <w:spacing w:after="0" w:line="62" w:lineRule="exact"/>
        <w:rPr>
          <w:rFonts w:ascii="Arial" w:cs="Arial" w:eastAsia="Arial" w:hAnsi="Arial"/>
          <w:sz w:val="15"/>
          <w:szCs w:val="15"/>
          <w:color w:val="auto"/>
        </w:rPr>
      </w:pPr>
    </w:p>
    <w:p>
      <w:pPr>
        <w:ind w:left="1280"/>
        <w:spacing w:after="0" w:line="273" w:lineRule="auto"/>
        <w:rPr>
          <w:rFonts w:ascii="Arial" w:cs="Arial" w:eastAsia="Arial" w:hAnsi="Arial"/>
          <w:sz w:val="15"/>
          <w:szCs w:val="15"/>
          <w:color w:val="auto"/>
        </w:rPr>
      </w:pPr>
      <w:r>
        <w:rPr>
          <w:rFonts w:ascii="Arial" w:cs="Arial" w:eastAsia="Arial" w:hAnsi="Arial"/>
          <w:sz w:val="16"/>
          <w:szCs w:val="16"/>
          <w:color w:val="auto"/>
        </w:rPr>
        <w:t>We believe that our next generation CAB-ADC platform further widens that therapeutic window by enhancing the linker-payload system. Combining our CAB technology with our newly developed next generation CAB-ADC platform replaces the traditional peptide linker with a novel sugar-based linker to deliver the MMAE payload. It is expected that this new CAB ADC system will further reduce off-target, off-tumor toxicity and thereby expand the therapeutic window.</w:t>
      </w:r>
    </w:p>
    <w:p>
      <w:pPr>
        <w:spacing w:after="0" w:line="76" w:lineRule="exact"/>
        <w:rPr>
          <w:rFonts w:ascii="Arial" w:cs="Arial" w:eastAsia="Arial" w:hAnsi="Arial"/>
          <w:sz w:val="15"/>
          <w:szCs w:val="15"/>
          <w:color w:val="auto"/>
        </w:rPr>
      </w:pPr>
    </w:p>
    <w:p>
      <w:pPr>
        <w:ind w:left="1280" w:right="180" w:hanging="509"/>
        <w:spacing w:after="0" w:line="299" w:lineRule="auto"/>
        <w:tabs>
          <w:tab w:leader="none" w:pos="12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Maintain and strengthen our intellectual property portfolio. </w:t>
      </w:r>
      <w:r>
        <w:rPr>
          <w:rFonts w:ascii="Arial" w:cs="Arial" w:eastAsia="Arial" w:hAnsi="Arial"/>
          <w:sz w:val="15"/>
          <w:szCs w:val="15"/>
          <w:color w:val="auto"/>
        </w:rPr>
        <w:t>As of March 1, 2023, we had a total of 711 patents and patent applications with 435</w:t>
      </w:r>
      <w:r>
        <w:rPr>
          <w:rFonts w:ascii="Arial" w:cs="Arial" w:eastAsia="Arial" w:hAnsi="Arial"/>
          <w:sz w:val="15"/>
          <w:szCs w:val="15"/>
          <w:b w:val="1"/>
          <w:bCs w:val="1"/>
          <w:color w:val="auto"/>
        </w:rPr>
        <w:t xml:space="preserve"> </w:t>
      </w:r>
      <w:r>
        <w:rPr>
          <w:rFonts w:ascii="Arial" w:cs="Arial" w:eastAsia="Arial" w:hAnsi="Arial"/>
          <w:sz w:val="15"/>
          <w:szCs w:val="15"/>
          <w:color w:val="auto"/>
        </w:rPr>
        <w:t>issued patents, 5 allowed applications and 271 pending applications covering our CAB technology and product candidates. This broad patent coverage was designed such that protection of our product candidates is not dependent on any single patent but rather, each product candidate provides multiple layers of protection. We plan to continue to maintain, monitor, enforce and defend our intellectual property.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ind w:left="1280" w:right="260" w:hanging="509"/>
        <w:spacing w:after="0" w:line="320" w:lineRule="auto"/>
        <w:tabs>
          <w:tab w:leader="none" w:pos="12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Selectively enter into collaborations to maximize the value of our platform and pipeline. </w:t>
      </w:r>
      <w:r>
        <w:rPr>
          <w:rFonts w:ascii="Arial" w:cs="Arial" w:eastAsia="Arial" w:hAnsi="Arial"/>
          <w:sz w:val="14"/>
          <w:szCs w:val="14"/>
          <w:color w:val="auto"/>
        </w:rPr>
        <w:t>Given the potential of our technology to generate novel</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addressing a wide variety of solid tumors, we may opportunistically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These collaborations could advance and accelerate our programs to maximize their market potential and expand the worldwide commercial potential of our CAB technology and assets.</w:t>
      </w:r>
    </w:p>
    <w:p>
      <w:pPr>
        <w:spacing w:after="0" w:line="23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Our technology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Challenges in developing antibody-based therapies for solid tumors</w:t>
      </w:r>
    </w:p>
    <w:p>
      <w:pPr>
        <w:spacing w:after="0" w:line="113" w:lineRule="exact"/>
        <w:rPr>
          <w:sz w:val="20"/>
          <w:szCs w:val="20"/>
          <w:color w:val="auto"/>
        </w:rPr>
      </w:pPr>
    </w:p>
    <w:p>
      <w:pPr>
        <w:ind w:left="260" w:right="240" w:firstLine="458"/>
        <w:spacing w:after="0" w:line="305" w:lineRule="auto"/>
        <w:rPr>
          <w:sz w:val="20"/>
          <w:szCs w:val="20"/>
          <w:color w:val="auto"/>
        </w:rPr>
      </w:pPr>
      <w:r>
        <w:rPr>
          <w:rFonts w:ascii="Arial" w:cs="Arial" w:eastAsia="Arial" w:hAnsi="Arial"/>
          <w:sz w:val="15"/>
          <w:szCs w:val="15"/>
          <w:color w:val="auto"/>
        </w:rPr>
        <w:t>Monoclonal antibody therapeutics have been approved for dozens of therapeutic targets, most commonly cancer. Antibodies have become the backbone of the pharmaceutical industry, which previously relied on small molecules. Treatment with monoclonal antibodies has established itself as one of the most successful therapeutic strategies for both hematologic malignancies and solid tumors. Oncology targets of safe, effective antibodies fall into two broad categories:</w:t>
      </w:r>
    </w:p>
    <w:p>
      <w:pPr>
        <w:spacing w:after="0" w:line="58" w:lineRule="exact"/>
        <w:rPr>
          <w:sz w:val="20"/>
          <w:szCs w:val="20"/>
          <w:color w:val="auto"/>
        </w:rPr>
      </w:pPr>
    </w:p>
    <w:p>
      <w:pPr>
        <w:ind w:left="1280" w:right="80" w:hanging="509"/>
        <w:spacing w:after="0" w:line="293" w:lineRule="auto"/>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Antibodies targeting antigens, usually proteins, preferentially expressed on the surface of cancer cells, against which antibodies are used to directly bind and inhibit or destroy these cells; and</w:t>
      </w:r>
    </w:p>
    <w:p>
      <w:pPr>
        <w:spacing w:after="0" w:line="63" w:lineRule="exact"/>
        <w:rPr>
          <w:rFonts w:ascii="Arial" w:cs="Arial" w:eastAsia="Arial" w:hAnsi="Arial"/>
          <w:sz w:val="16"/>
          <w:szCs w:val="16"/>
          <w:color w:val="auto"/>
        </w:rPr>
      </w:pPr>
    </w:p>
    <w:p>
      <w:pPr>
        <w:ind w:left="1280" w:right="60" w:hanging="509"/>
        <w:spacing w:after="0" w:line="293" w:lineRule="auto"/>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Antibodies targeting antigens affecting directly or indirectly tumor cells and non-tumor cells that activate the immune system or induce other changes in the tumor, such as limiting the growth of tumor-related blood vessels.</w:t>
      </w:r>
    </w:p>
    <w:p>
      <w:pPr>
        <w:spacing w:after="0" w:line="145" w:lineRule="exact"/>
        <w:rPr>
          <w:sz w:val="20"/>
          <w:szCs w:val="20"/>
          <w:color w:val="auto"/>
        </w:rPr>
      </w:pPr>
    </w:p>
    <w:p>
      <w:pPr>
        <w:ind w:left="260" w:right="480" w:firstLine="458"/>
        <w:spacing w:after="0" w:line="293" w:lineRule="auto"/>
        <w:rPr>
          <w:sz w:val="20"/>
          <w:szCs w:val="20"/>
          <w:color w:val="auto"/>
        </w:rPr>
      </w:pPr>
      <w:r>
        <w:rPr>
          <w:rFonts w:ascii="Arial" w:cs="Arial" w:eastAsia="Arial" w:hAnsi="Arial"/>
          <w:sz w:val="16"/>
          <w:szCs w:val="16"/>
          <w:color w:val="auto"/>
        </w:rPr>
        <w:t>There are significant limitations of targeting important antigens with traditional antibodies that can result in reduced efficacy, difficulties related to dosing, decreased durability, and drug-related toxicities, all of which significantly limit the potential for cures with traditional antibodies:</w:t>
      </w:r>
    </w:p>
    <w:p>
      <w:pPr>
        <w:spacing w:after="0" w:line="60" w:lineRule="exact"/>
        <w:rPr>
          <w:sz w:val="20"/>
          <w:szCs w:val="20"/>
          <w:color w:val="auto"/>
        </w:rPr>
      </w:pPr>
    </w:p>
    <w:p>
      <w:pPr>
        <w:ind w:left="1280" w:right="80" w:hanging="509"/>
        <w:spacing w:after="0" w:line="298"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Increased toxicity</w:t>
      </w:r>
      <w:r>
        <w:rPr>
          <w:rFonts w:ascii="Arial" w:cs="Arial" w:eastAsia="Arial" w:hAnsi="Arial"/>
          <w:sz w:val="16"/>
          <w:szCs w:val="16"/>
          <w:color w:val="auto"/>
        </w:rPr>
        <w:t>: Antigens are typically expressed in many normal tissues, which for traditional antibodies, including ADCs, could lead to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on-target, off-tumor toxicity reducing dosing and durability.</w:t>
      </w:r>
    </w:p>
    <w:p>
      <w:pPr>
        <w:spacing w:after="0" w:line="56" w:lineRule="exact"/>
        <w:rPr>
          <w:rFonts w:ascii="Arial" w:cs="Arial" w:eastAsia="Arial" w:hAnsi="Arial"/>
          <w:sz w:val="16"/>
          <w:szCs w:val="16"/>
          <w:color w:val="auto"/>
        </w:rPr>
      </w:pPr>
    </w:p>
    <w:p>
      <w:pPr>
        <w:ind w:left="1280" w:right="20" w:hanging="509"/>
        <w:spacing w:after="0" w:line="272"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Target-mediated drug disposition limitation</w:t>
      </w:r>
      <w:r>
        <w:rPr>
          <w:rFonts w:ascii="Arial" w:cs="Arial" w:eastAsia="Arial" w:hAnsi="Arial"/>
          <w:sz w:val="16"/>
          <w:szCs w:val="16"/>
          <w:color w:val="auto"/>
        </w:rPr>
        <w:t>: Target-mediated drug disposition, or TMDD, is the phenomenon in which a drug binds somewhat</w:t>
      </w:r>
      <w:r>
        <w:rPr>
          <w:rFonts w:ascii="Arial" w:cs="Arial" w:eastAsia="Arial" w:hAnsi="Arial"/>
          <w:sz w:val="16"/>
          <w:szCs w:val="16"/>
          <w:b w:val="1"/>
          <w:bCs w:val="1"/>
          <w:color w:val="auto"/>
        </w:rPr>
        <w:t xml:space="preserve"> </w:t>
      </w:r>
      <w:r>
        <w:rPr>
          <w:rFonts w:ascii="Arial" w:cs="Arial" w:eastAsia="Arial" w:hAnsi="Arial"/>
          <w:sz w:val="16"/>
          <w:szCs w:val="16"/>
          <w:color w:val="auto"/>
        </w:rPr>
        <w:t>indiscriminately to its pharmacological target on normal tissue as well as on the intended diseased tissue, thereby causing the antibody to be depleted more rapidly from circulation. As a consequence, the pharmacokinetic characteristics of the drug can be adversely impacted, leading to reduced half-life, lower tumor exposure, which requires more frequent or higher dosing that increases toxicity and ultimately can result in undesirable side-effects, patient treatment-related inconveniences and greater costs.</w:t>
      </w:r>
    </w:p>
    <w:p>
      <w:pPr>
        <w:spacing w:after="0" w:line="77" w:lineRule="exact"/>
        <w:rPr>
          <w:rFonts w:ascii="Arial" w:cs="Arial" w:eastAsia="Arial" w:hAnsi="Arial"/>
          <w:sz w:val="16"/>
          <w:szCs w:val="16"/>
          <w:color w:val="auto"/>
        </w:rPr>
      </w:pPr>
    </w:p>
    <w:p>
      <w:pPr>
        <w:ind w:left="1280" w:right="40" w:hanging="509"/>
        <w:spacing w:after="0" w:line="281"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Immunogenicity</w:t>
      </w:r>
      <w:r>
        <w:rPr>
          <w:rFonts w:ascii="Arial" w:cs="Arial" w:eastAsia="Arial" w:hAnsi="Arial"/>
          <w:sz w:val="16"/>
          <w:szCs w:val="16"/>
          <w:color w:val="auto"/>
        </w:rPr>
        <w:t>: Antibodies also can be sensitive to modifications that can lead to immunogenicity, or a strong negative immune system response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body, which can induce anti-drug antibodies that can reduce efficacy or lead to severe infusion reactions, thereby restricting the potential improvements that could be made with emerging technologies.</w:t>
      </w:r>
    </w:p>
    <w:p>
      <w:pPr>
        <w:spacing w:after="0" w:line="168" w:lineRule="exact"/>
        <w:rPr>
          <w:sz w:val="20"/>
          <w:szCs w:val="20"/>
          <w:color w:val="auto"/>
        </w:rPr>
      </w:pPr>
    </w:p>
    <w:p>
      <w:pPr>
        <w:ind w:left="260" w:right="100" w:firstLine="491"/>
        <w:spacing w:after="0" w:line="269" w:lineRule="auto"/>
        <w:rPr>
          <w:sz w:val="20"/>
          <w:szCs w:val="20"/>
          <w:color w:val="auto"/>
        </w:rPr>
      </w:pPr>
      <w:r>
        <w:rPr>
          <w:rFonts w:ascii="Arial" w:cs="Arial" w:eastAsia="Arial" w:hAnsi="Arial"/>
          <w:sz w:val="16"/>
          <w:szCs w:val="16"/>
          <w:color w:val="auto"/>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 For example, cetuximab targets an antigen that is highly expressed in colorectal cancer, but this antigen is also expressed in epidermal cells throughout the body. Consequently, treatment with cetuximab results in over 80% of patients developing skin toxicities that can severely impact patients’ physical, psychological and social well-being and can lead to treatment discontinuation and dose reduction.</w:t>
      </w:r>
    </w:p>
    <w:p>
      <w:pPr>
        <w:spacing w:after="0" w:line="167" w:lineRule="exact"/>
        <w:rPr>
          <w:sz w:val="20"/>
          <w:szCs w:val="20"/>
          <w:color w:val="auto"/>
        </w:rPr>
      </w:pPr>
    </w:p>
    <w:p>
      <w:pPr>
        <w:ind w:left="260" w:right="40" w:firstLine="458"/>
        <w:spacing w:after="0" w:line="271" w:lineRule="auto"/>
        <w:rPr>
          <w:sz w:val="20"/>
          <w:szCs w:val="20"/>
          <w:color w:val="auto"/>
        </w:rPr>
      </w:pPr>
      <w:r>
        <w:rPr>
          <w:rFonts w:ascii="Arial" w:cs="Arial" w:eastAsia="Arial" w:hAnsi="Arial"/>
          <w:sz w:val="16"/>
          <w:szCs w:val="16"/>
          <w:color w:val="auto"/>
        </w:rPr>
        <w:t>These examples, however, only represent antibodies where the therapeutic benefit clearly outweighs the consequences associated with the adverse events. There are many potential protein targets that do not offer such clear-cut therapeutic windows. 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CAB leverages the low pH found in the tumor microenvironment</w:t>
      </w:r>
    </w:p>
    <w:p>
      <w:pPr>
        <w:spacing w:after="0" w:line="113"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The tumor microenvironment has been widely implicated in tumorigenesis because it harbors tumor cells that interact with surrounding cells through the circulatory and lymphatic systems to influence the development and progression of cancer. The tumor microenvironment has conditions distinct from the normal cellular and extracellular environments found in non-cancerous tissue, blood or other parts of a normal body. It has been long appreciated that the extracellular milieu inside and surrounding the growing tumor mass is distinct and unique. One of the most profound physicochemical differences between the tumor microenvironment and normal cellular environment is an increase in lactic acid and an associated decrease in pH in the tumor microenvironment from the normal physiological pH of about 7.4 or higher.</w:t>
      </w:r>
    </w:p>
    <w:p>
      <w:pPr>
        <w:spacing w:after="0" w:line="167"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While the tumor is acidic, some of the most acidic regions of tumors can be observed at the edge of the tumors, just at the interface with the surrounding tissue or blood, according to a paper published in 2019 in the journal Cancer Research. In this study, pH low insertion peptide, or pHLIP, a peptide that is taken up by cells at a pH below 6.5, was injected into human tumor-bearing mice. While nearly all tumor cells took up this peptide, normal tissue cells did not take up this peptide except in the liver and kidney, which was expected in a pH-independent manner in order to be metabolized and excreted. Certain regions within the tumor and in the cells at the edge of tumors took up some of the highest concentration of the probe, indicating that these areas had pH substantially lower than 6.5. These findings are important when considering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160"/>
        <w:spacing w:after="0" w:line="293" w:lineRule="auto"/>
        <w:rPr>
          <w:sz w:val="20"/>
          <w:szCs w:val="20"/>
          <w:color w:val="auto"/>
        </w:rPr>
      </w:pPr>
      <w:r>
        <w:rPr>
          <w:rFonts w:ascii="Arial" w:cs="Arial" w:eastAsia="Arial" w:hAnsi="Arial"/>
          <w:sz w:val="16"/>
          <w:szCs w:val="16"/>
          <w:color w:val="auto"/>
        </w:rPr>
        <w:t>design of therapies for solid tumors because they point to the fact that while the overall tumor is acidic, the most accessible and rapidly growing portions of tumors are likely to have some of the lowest pHs.</w:t>
      </w:r>
    </w:p>
    <w:p>
      <w:pPr>
        <w:spacing w:after="0" w:line="158" w:lineRule="exact"/>
        <w:rPr>
          <w:sz w:val="20"/>
          <w:szCs w:val="20"/>
          <w:color w:val="auto"/>
        </w:rPr>
      </w:pPr>
    </w:p>
    <w:p>
      <w:pPr>
        <w:ind w:left="260" w:right="100" w:firstLine="458"/>
        <w:spacing w:after="0" w:line="286" w:lineRule="auto"/>
        <w:rPr>
          <w:sz w:val="20"/>
          <w:szCs w:val="20"/>
          <w:color w:val="auto"/>
        </w:rPr>
      </w:pPr>
      <w:r>
        <w:rPr>
          <w:rFonts w:ascii="Arial" w:cs="Arial" w:eastAsia="Arial" w:hAnsi="Arial"/>
          <w:sz w:val="15"/>
          <w:szCs w:val="15"/>
          <w:color w:val="auto"/>
        </w:rPr>
        <w:t>One reason for the low pH in tumors compared to normal cells is that there are distinct differences in the metabolic processes found in normal and cancer cells. Normal cells generate the energy they need primarily through the oxygen-dependent process called oxidative phosphorylation. In comparison, cancer cells have switched their mechanism of energy production preferentially to the non-oxygen-dependent process known as glycolysis, even in the presence and availability of oxygen. This process switch was first described nearly a century ago and is the basis of modern tumor screening technologies. The dependence of a tumor cell on glycolysis results in the tumor cell metabolizing up to 200 times more glucose than a healthy cell and causing the secretion of significant levels of lactic acid into the tumor microenvironment. This inherent buildup of lactic acid in the tumor microenvironment has been shown to reduce immune cell function and modulate other defense mechanisms of the body, promoting tumor growth and tumor survival. The presence of lactic acid in the tumor microenvironment causes it to have a distinctly acidic pH of less than 6.8 and even lower at the tumor cell surface, a pH so low that it is rarely found in the body except in organs designed for low pH, such as the stomach, where antibodies in the blood do not access, and in special circumstances, such as cancer. In some cancers, the pH goes as low as 5.8, an extremely low level given the normal, slightly alkaline, pH in the body. The body’s blood holds its pH within a tight range around a pH of 7.4, with normal tissue typically being even more alkaline, even in the non-cancerous regions of tissues afflicted with cancer.</w:t>
      </w:r>
    </w:p>
    <w:p>
      <w:pPr>
        <w:spacing w:after="0" w:line="156" w:lineRule="exact"/>
        <w:rPr>
          <w:sz w:val="20"/>
          <w:szCs w:val="20"/>
          <w:color w:val="auto"/>
        </w:rPr>
      </w:pPr>
    </w:p>
    <w:p>
      <w:pPr>
        <w:ind w:left="260" w:right="60" w:firstLine="458"/>
        <w:spacing w:after="0" w:line="291" w:lineRule="auto"/>
        <w:rPr>
          <w:sz w:val="20"/>
          <w:szCs w:val="20"/>
          <w:color w:val="auto"/>
        </w:rPr>
      </w:pPr>
      <w:r>
        <w:rPr>
          <w:rFonts w:ascii="Arial" w:cs="Arial" w:eastAsia="Arial" w:hAnsi="Arial"/>
          <w:sz w:val="15"/>
          <w:szCs w:val="15"/>
          <w:color w:val="auto"/>
        </w:rPr>
        <w:t>Tumors not only have characteristically low pH, which assists them in reducing the body’s immune defenses, along with acidity they also generate other aberrant conditions and secrete other chemicals and proteins into the tumor microenvironment that may stimulate tumor growth, promote the development of new blood vessels or angiogenesis, degrade surrounding tissues allowing the tumor to spread or metastasize or actively suppress detection and destruction by the immune system. In view of our preclinical studies and clinical trial results and the substantial supporting scientific literature, we believe that there is an opportunity to develop cancer therapies with improved selectivity for tumors by taking advantage of changes in pH, as do our initial product candidates, as well as in the conditions and levels of temperature, pressure and chemical composition in the tumor microenvironment.</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CAB technology</w:t>
      </w:r>
    </w:p>
    <w:p>
      <w:pPr>
        <w:spacing w:after="0" w:line="113" w:lineRule="exact"/>
        <w:rPr>
          <w:sz w:val="20"/>
          <w:szCs w:val="20"/>
          <w:color w:val="auto"/>
        </w:rPr>
      </w:pPr>
    </w:p>
    <w:p>
      <w:pPr>
        <w:ind w:left="260" w:right="20" w:firstLine="464"/>
        <w:spacing w:after="0" w:line="271" w:lineRule="auto"/>
        <w:rPr>
          <w:sz w:val="20"/>
          <w:szCs w:val="20"/>
          <w:color w:val="auto"/>
        </w:rPr>
      </w:pPr>
      <w:r>
        <w:rPr>
          <w:rFonts w:ascii="Arial" w:cs="Arial" w:eastAsia="Arial" w:hAnsi="Arial"/>
          <w:sz w:val="16"/>
          <w:szCs w:val="16"/>
          <w:color w:val="auto"/>
        </w:rPr>
        <w:t>Our CABs are based on our patented protein discovery and engineering technology. We invented, developed, and refined this technology, which we believe selectively enables the binding of proteins and antibodies to targeted cells in the tumor microenvironment based on differences in local conditions such as pH, temperature,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spacing w:after="0" w:line="163" w:lineRule="exact"/>
        <w:rPr>
          <w:sz w:val="20"/>
          <w:szCs w:val="20"/>
          <w:color w:val="auto"/>
        </w:rPr>
      </w:pPr>
    </w:p>
    <w:p>
      <w:pPr>
        <w:ind w:left="260" w:firstLine="464"/>
        <w:spacing w:after="0" w:line="270" w:lineRule="auto"/>
        <w:rPr>
          <w:sz w:val="20"/>
          <w:szCs w:val="20"/>
          <w:color w:val="auto"/>
        </w:rPr>
      </w:pPr>
      <w:r>
        <w:rPr>
          <w:rFonts w:ascii="Arial" w:cs="Arial" w:eastAsia="Arial" w:hAnsi="Arial"/>
          <w:sz w:val="15"/>
          <w:szCs w:val="15"/>
          <w:color w:val="auto"/>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Protein-associated Chemical Switch(es)</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or PaCS</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mechanism. The ability to design conditionally active therapeutics with strong selectivity over narrower pH ranges using the PaCS mechanism, offers the opportunity to greatly enhance both the safety and potency of future therapies for solid tumors.</w:t>
      </w:r>
    </w:p>
    <w:p>
      <w:pPr>
        <w:spacing w:after="0" w:line="171" w:lineRule="exact"/>
        <w:rPr>
          <w:sz w:val="20"/>
          <w:szCs w:val="20"/>
          <w:color w:val="auto"/>
        </w:rPr>
      </w:pPr>
    </w:p>
    <w:p>
      <w:pPr>
        <w:ind w:left="260" w:right="40" w:firstLine="464"/>
        <w:spacing w:after="0" w:line="271" w:lineRule="auto"/>
        <w:rPr>
          <w:sz w:val="20"/>
          <w:szCs w:val="20"/>
          <w:color w:val="auto"/>
        </w:rPr>
      </w:pPr>
      <w:r>
        <w:rPr>
          <w:rFonts w:ascii="Arial" w:cs="Arial" w:eastAsia="Arial" w:hAnsi="Arial"/>
          <w:sz w:val="16"/>
          <w:szCs w:val="16"/>
          <w:color w:val="auto"/>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spacing w:after="0" w:line="163" w:lineRule="exact"/>
        <w:rPr>
          <w:sz w:val="20"/>
          <w:szCs w:val="20"/>
          <w:color w:val="auto"/>
        </w:rPr>
      </w:pPr>
    </w:p>
    <w:p>
      <w:pPr>
        <w:ind w:left="260" w:right="40" w:firstLine="464"/>
        <w:spacing w:after="0" w:line="269" w:lineRule="auto"/>
        <w:rPr>
          <w:sz w:val="20"/>
          <w:szCs w:val="20"/>
          <w:color w:val="auto"/>
        </w:rPr>
      </w:pPr>
      <w:r>
        <w:rPr>
          <w:rFonts w:ascii="Arial" w:cs="Arial" w:eastAsia="Arial" w:hAnsi="Arial"/>
          <w:sz w:val="16"/>
          <w:szCs w:val="16"/>
          <w:color w:val="auto"/>
        </w:rPr>
        <w:t xml:space="preserve">Our CAB antibodies have been designed to be active in the acidic, lower pH of the tumor microenvironment and inactive under the alkaline pH’s of 7.4 and above found in normal physiological conditions. In a quantitative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binding assay, we compared a CAB antibody and a non-CAB antibody that both bind to the target AXL with matched strength of binding to the target, or affinities, when measured at pH 6.0. The binding of the CAB antibody was highly sensitive to pH with binding becoming much weaker as it approached pH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spacing w:after="0" w:line="180" w:lineRule="exact"/>
        <w:rPr>
          <w:sz w:val="20"/>
          <w:szCs w:val="20"/>
          <w:color w:val="auto"/>
        </w:rPr>
      </w:pPr>
    </w:p>
    <w:p>
      <w:pPr>
        <w:ind w:left="260" w:right="680" w:firstLine="464"/>
        <w:spacing w:after="0" w:line="293" w:lineRule="auto"/>
        <w:rPr>
          <w:sz w:val="20"/>
          <w:szCs w:val="20"/>
          <w:color w:val="auto"/>
        </w:rPr>
      </w:pPr>
      <w:r>
        <w:rPr>
          <w:rFonts w:ascii="Arial" w:cs="Arial" w:eastAsia="Arial" w:hAnsi="Arial"/>
          <w:sz w:val="16"/>
          <w:szCs w:val="16"/>
          <w:color w:val="auto"/>
        </w:rPr>
        <w:t>Low pH-dependent CAB antibodies are far less likely to bind to targets outside of tumors, resulting in a number of potential advantages over traditional antibodies:</w:t>
      </w:r>
    </w:p>
    <w:p>
      <w:pPr>
        <w:spacing w:after="0" w:line="60" w:lineRule="exact"/>
        <w:rPr>
          <w:sz w:val="20"/>
          <w:szCs w:val="20"/>
          <w:color w:val="auto"/>
        </w:rPr>
      </w:pPr>
    </w:p>
    <w:p>
      <w:pPr>
        <w:jc w:val="both"/>
        <w:ind w:left="1280" w:right="500" w:hanging="509"/>
        <w:spacing w:after="0" w:line="375" w:lineRule="auto"/>
        <w:tabs>
          <w:tab w:leader="none" w:pos="128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Wide therapeutic window. </w:t>
      </w:r>
      <w:r>
        <w:rPr>
          <w:rFonts w:ascii="Arial" w:cs="Arial" w:eastAsia="Arial" w:hAnsi="Arial"/>
          <w:sz w:val="14"/>
          <w:szCs w:val="14"/>
          <w:color w:val="auto"/>
        </w:rPr>
        <w:t>Reduced binding to target antigens outside of the tumor has the potential to reduce toxicities that arise from systemic</w:t>
      </w:r>
      <w:r>
        <w:rPr>
          <w:rFonts w:ascii="Arial" w:cs="Arial" w:eastAsia="Arial" w:hAnsi="Arial"/>
          <w:sz w:val="14"/>
          <w:szCs w:val="14"/>
          <w:b w:val="1"/>
          <w:bCs w:val="1"/>
          <w:color w:val="auto"/>
        </w:rPr>
        <w:t xml:space="preserve"> </w:t>
      </w:r>
      <w:r>
        <w:rPr>
          <w:rFonts w:ascii="Arial" w:cs="Arial" w:eastAsia="Arial" w:hAnsi="Arial"/>
          <w:sz w:val="14"/>
          <w:szCs w:val="14"/>
          <w:color w:val="auto"/>
        </w:rPr>
        <w:t>exposure. We believe this may enable higher doses or increased potency to be safely delivered to patients with the potential for increased efficacy.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ind w:left="1280" w:right="120" w:hanging="509"/>
        <w:spacing w:after="0" w:line="275"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Opportunity to increase tumor-specific killing. </w:t>
      </w:r>
      <w:r>
        <w:rPr>
          <w:rFonts w:ascii="Arial" w:cs="Arial" w:eastAsia="Arial" w:hAnsi="Arial"/>
          <w:sz w:val="16"/>
          <w:szCs w:val="16"/>
          <w:color w:val="auto"/>
        </w:rPr>
        <w:t>The wide therapeutic window imparted by tumor-specific targeting enables CAB antibodies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with cytotoxic drugs to create ADCs. Similarly, bispecific antibodies can be developed using CAB antibody domains targeting pairs of targets that direct T cells to attack the tumor, which may exhibit unacceptable toxicities such as cytokine release syndrome and neurological toxicity if constructed using traditional antibody domains.</w:t>
      </w:r>
    </w:p>
    <w:p>
      <w:pPr>
        <w:spacing w:after="0" w:line="74" w:lineRule="exact"/>
        <w:rPr>
          <w:rFonts w:ascii="Arial" w:cs="Arial" w:eastAsia="Arial" w:hAnsi="Arial"/>
          <w:sz w:val="16"/>
          <w:szCs w:val="16"/>
          <w:color w:val="auto"/>
        </w:rPr>
      </w:pPr>
    </w:p>
    <w:p>
      <w:pPr>
        <w:ind w:left="1280" w:right="220" w:hanging="509"/>
        <w:spacing w:after="0" w:line="298"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Increased drug exposure to tumors. </w:t>
      </w:r>
      <w:r>
        <w:rPr>
          <w:rFonts w:ascii="Arial" w:cs="Arial" w:eastAsia="Arial" w:hAnsi="Arial"/>
          <w:sz w:val="16"/>
          <w:szCs w:val="16"/>
          <w:color w:val="auto"/>
        </w:rPr>
        <w:t>Limited binding to targets outside of tumors allows more of the administered CAB antibodies to be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bind to target sites in the tumor, potentially increasing the concentrations and exposure of these antibodies in tumors.</w:t>
      </w:r>
    </w:p>
    <w:p>
      <w:pPr>
        <w:spacing w:after="0" w:line="56" w:lineRule="exact"/>
        <w:rPr>
          <w:rFonts w:ascii="Arial" w:cs="Arial" w:eastAsia="Arial" w:hAnsi="Arial"/>
          <w:sz w:val="16"/>
          <w:szCs w:val="16"/>
          <w:color w:val="auto"/>
        </w:rPr>
      </w:pPr>
    </w:p>
    <w:p>
      <w:pPr>
        <w:jc w:val="both"/>
        <w:ind w:left="1280" w:right="220" w:hanging="509"/>
        <w:spacing w:after="0" w:line="281"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Improved pharmacokinetics. </w:t>
      </w:r>
      <w:r>
        <w:rPr>
          <w:rFonts w:ascii="Arial" w:cs="Arial" w:eastAsia="Arial" w:hAnsi="Arial"/>
          <w:sz w:val="16"/>
          <w:szCs w:val="16"/>
          <w:color w:val="auto"/>
        </w:rPr>
        <w:t>Limited binding to targets outside of tumors effectively increases their half-life in plasma. The phenomenon of Target-mediated Drug Disposition, or TMDD, is a well-known limitation facing the development of many biologics which CAB antibodies can significantly reduce.</w:t>
      </w:r>
    </w:p>
    <w:p>
      <w:pPr>
        <w:spacing w:after="0" w:line="69" w:lineRule="exact"/>
        <w:rPr>
          <w:rFonts w:ascii="Arial" w:cs="Arial" w:eastAsia="Arial" w:hAnsi="Arial"/>
          <w:sz w:val="16"/>
          <w:szCs w:val="16"/>
          <w:color w:val="auto"/>
        </w:rPr>
      </w:pPr>
    </w:p>
    <w:p>
      <w:pPr>
        <w:ind w:left="1280" w:hanging="509"/>
        <w:spacing w:after="0" w:line="272"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Broader universe of tumor-specific antigens that can be targeted. </w:t>
      </w:r>
      <w:r>
        <w:rPr>
          <w:rFonts w:ascii="Arial" w:cs="Arial" w:eastAsia="Arial" w:hAnsi="Arial"/>
          <w:sz w:val="16"/>
          <w:szCs w:val="16"/>
          <w:color w:val="auto"/>
        </w:rPr>
        <w:t>There are few highly prevalent tumor-specific antigens expressed on solid tumors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not expressed at some level in normal tissues, particularly for solid tumors, which represent approximately 90% of tumor types.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p>
      <w:pPr>
        <w:spacing w:after="0" w:line="163" w:lineRule="exact"/>
        <w:rPr>
          <w:sz w:val="20"/>
          <w:szCs w:val="20"/>
          <w:color w:val="auto"/>
        </w:rPr>
      </w:pPr>
    </w:p>
    <w:p>
      <w:pPr>
        <w:ind w:left="260" w:right="60" w:firstLine="458"/>
        <w:spacing w:after="0" w:line="288" w:lineRule="auto"/>
        <w:rPr>
          <w:sz w:val="20"/>
          <w:szCs w:val="20"/>
          <w:color w:val="auto"/>
        </w:rPr>
      </w:pPr>
      <w:r>
        <w:rPr>
          <w:rFonts w:ascii="Arial" w:cs="Arial" w:eastAsia="Arial" w:hAnsi="Arial"/>
          <w:sz w:val="15"/>
          <w:szCs w:val="15"/>
          <w:color w:val="auto"/>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Programs in clinical development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Mecbotamab Vedotin (BA3011) targeting AXL</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i w:val="1"/>
          <w:iCs w:val="1"/>
          <w:u w:val="single" w:color="auto"/>
          <w:color w:val="auto"/>
        </w:rPr>
        <w:t>Phase 1 clinical trial</w:t>
      </w:r>
    </w:p>
    <w:p>
      <w:pPr>
        <w:spacing w:after="0" w:line="127" w:lineRule="exact"/>
        <w:rPr>
          <w:sz w:val="20"/>
          <w:szCs w:val="20"/>
          <w:color w:val="auto"/>
        </w:rPr>
      </w:pPr>
    </w:p>
    <w:p>
      <w:pPr>
        <w:ind w:left="260" w:right="80" w:firstLine="458"/>
        <w:spacing w:after="0" w:line="278" w:lineRule="auto"/>
        <w:rPr>
          <w:sz w:val="20"/>
          <w:szCs w:val="20"/>
          <w:color w:val="auto"/>
        </w:rPr>
      </w:pPr>
      <w:r>
        <w:rPr>
          <w:rFonts w:ascii="Arial" w:cs="Arial" w:eastAsia="Arial" w:hAnsi="Arial"/>
          <w:sz w:val="16"/>
          <w:szCs w:val="16"/>
          <w:color w:val="auto"/>
        </w:rPr>
        <w:t>We have conducted a Phase 1 trial of mecbotamab vedotin in patients with advanced solid tumors, including sarcoma, pancreatic cancer and NSCLC who were refractory or resistant to standard therapies. In the Phase 1 trial, patients were treated with doses of mecbotamab vedotin ranging from 0.3 mg/kg to 3 mg/kg once every three weeks (Q3W) or doses ranging from 1.2 mg/kg to 1.8 mg/kg twice every three weeks on days 1 and 8 (2Q3W).</w:t>
      </w:r>
    </w:p>
    <w:p>
      <w:pPr>
        <w:spacing w:after="0" w:line="157" w:lineRule="exact"/>
        <w:rPr>
          <w:sz w:val="20"/>
          <w:szCs w:val="20"/>
          <w:color w:val="auto"/>
        </w:rPr>
      </w:pPr>
    </w:p>
    <w:p>
      <w:pPr>
        <w:ind w:left="260" w:right="280" w:firstLine="458"/>
        <w:spacing w:after="0" w:line="278" w:lineRule="auto"/>
        <w:rPr>
          <w:sz w:val="20"/>
          <w:szCs w:val="20"/>
          <w:color w:val="auto"/>
        </w:rPr>
      </w:pPr>
      <w:r>
        <w:rPr>
          <w:rFonts w:ascii="Arial" w:cs="Arial" w:eastAsia="Arial" w:hAnsi="Arial"/>
          <w:sz w:val="16"/>
          <w:szCs w:val="16"/>
          <w:color w:val="auto"/>
        </w:rPr>
        <w:t>The main goals of this trial were to evaluate the safety, tolerability, antitumor activity, pharmacokinetics and immunogenicity of mecbotamab vedotin in solid tumor patients. Based upon the overall safety and response rates, the initial recommended Phase 2 dose was determined to be 1.8 mg/kg delivered every two weeks (Q2W).</w:t>
      </w:r>
    </w:p>
    <w:p>
      <w:pPr>
        <w:spacing w:after="0" w:line="157" w:lineRule="exact"/>
        <w:rPr>
          <w:sz w:val="20"/>
          <w:szCs w:val="20"/>
          <w:color w:val="auto"/>
        </w:rPr>
      </w:pPr>
    </w:p>
    <w:p>
      <w:pPr>
        <w:ind w:left="260" w:right="80" w:firstLine="464"/>
        <w:spacing w:after="0" w:line="303" w:lineRule="auto"/>
        <w:rPr>
          <w:sz w:val="20"/>
          <w:szCs w:val="20"/>
          <w:color w:val="auto"/>
        </w:rPr>
      </w:pPr>
      <w:r>
        <w:rPr>
          <w:rFonts w:ascii="Arial" w:cs="Arial" w:eastAsia="Arial" w:hAnsi="Arial"/>
          <w:sz w:val="14"/>
          <w:szCs w:val="14"/>
          <w:color w:val="auto"/>
        </w:rPr>
        <w:t>In the Phase 1 studies, mecbotamab vedotin was generally well-tolerated. Grade 3 or greater adverse events, or AEs, or serious adverse events, or SAEs, deemed related to mecbotamab vedotin were consistent with MMAE-based toxicity and could generally be classified as either reversible myelosuppression (AEs: neutropenia and anemia), transient liver enzyme elevations (AEs: AST/ALT increased) or metabolic disturbances (AEs: hyperglycemia, hyponatremia, hypokalemia). At a dose of</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2.4 mg/kg Q3W mecbotamab vedotin, two patients experienced dose-limiting toxicities: one with Grade 3 febrile neutropenia and the other with Grade 4 hyperglycemia.</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Dosing continued at the 2.4 mg/kg with prophylactic administration of pegfilgrastim without any additional dose limiting toxicities.</w:t>
      </w:r>
    </w:p>
    <w:p>
      <w:pPr>
        <w:spacing w:after="0" w:line="217" w:lineRule="exact"/>
        <w:rPr>
          <w:sz w:val="20"/>
          <w:szCs w:val="20"/>
          <w:color w:val="auto"/>
        </w:rPr>
      </w:pPr>
    </w:p>
    <w:p>
      <w:pPr>
        <w:ind w:left="260" w:right="60" w:firstLine="464"/>
        <w:spacing w:after="0" w:line="328" w:lineRule="auto"/>
        <w:rPr>
          <w:sz w:val="20"/>
          <w:szCs w:val="20"/>
          <w:color w:val="auto"/>
        </w:rPr>
      </w:pPr>
      <w:r>
        <w:rPr>
          <w:rFonts w:ascii="Arial" w:cs="Arial" w:eastAsia="Arial" w:hAnsi="Arial"/>
          <w:sz w:val="15"/>
          <w:szCs w:val="15"/>
          <w:color w:val="auto"/>
        </w:rPr>
        <w:t>We have not observed adverse events that appear to be related to on-target injury of normal, AXL expressing tissues, i.e., on-target, off-tumor toxicity, consistent with the increase in tumor selectivity from the CAB technology. The estimated half-life of mecbotamab vedotin was approximately four days.</w:t>
      </w:r>
    </w:p>
    <w:p>
      <w:pPr>
        <w:spacing w:after="0" w:line="123" w:lineRule="exact"/>
        <w:rPr>
          <w:sz w:val="20"/>
          <w:szCs w:val="20"/>
          <w:color w:val="auto"/>
        </w:rPr>
      </w:pPr>
    </w:p>
    <w:p>
      <w:pPr>
        <w:jc w:val="both"/>
        <w:ind w:left="260" w:right="80" w:firstLine="458"/>
        <w:spacing w:after="0" w:line="335" w:lineRule="auto"/>
        <w:rPr>
          <w:sz w:val="20"/>
          <w:szCs w:val="20"/>
          <w:color w:val="auto"/>
        </w:rPr>
      </w:pPr>
      <w:r>
        <w:rPr>
          <w:rFonts w:ascii="Arial" w:cs="Arial" w:eastAsia="Arial" w:hAnsi="Arial"/>
          <w:sz w:val="14"/>
          <w:szCs w:val="14"/>
          <w:color w:val="auto"/>
        </w:rPr>
        <w:t>We identified a preliminary correlation between tumoral expression of AXL and the observed antitumor clinical response. To select for patients who were most likely to experience clinical benefit, we developed and validated, as required by CLIA (the Clinical Laboratory Improvement Amendments, or CLIA, which establishes federal quality standards for laboratory testing), an AXL immunohistochemical assay to quantify the level of target expression on the tumor membrane and cytoplasm.</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observed that most sarcoma patients screened for enrollment had tumors that expressed high levels of AXL.</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i w:val="1"/>
          <w:iCs w:val="1"/>
          <w:u w:val="single" w:color="auto"/>
          <w:color w:val="auto"/>
        </w:rPr>
        <w:t>Phase 2 Clinical Development</w:t>
      </w:r>
    </w:p>
    <w:p>
      <w:pPr>
        <w:spacing w:after="0" w:line="113" w:lineRule="exact"/>
        <w:rPr>
          <w:sz w:val="20"/>
          <w:szCs w:val="20"/>
          <w:color w:val="auto"/>
        </w:rPr>
      </w:pPr>
    </w:p>
    <w:p>
      <w:pPr>
        <w:ind w:left="260" w:right="520" w:firstLine="458"/>
        <w:spacing w:after="0" w:line="293" w:lineRule="auto"/>
        <w:rPr>
          <w:sz w:val="20"/>
          <w:szCs w:val="20"/>
          <w:color w:val="auto"/>
        </w:rPr>
      </w:pPr>
      <w:r>
        <w:rPr>
          <w:rFonts w:ascii="Arial" w:cs="Arial" w:eastAsia="Arial" w:hAnsi="Arial"/>
          <w:sz w:val="16"/>
          <w:szCs w:val="16"/>
          <w:color w:val="auto"/>
        </w:rPr>
        <w:t>We are conducting two Phase 2, potentially registration-enabling trials with mecbotamab vedotin in NSCLC and sarcoma. We are conducting further dose optimization in Phase 2, part 1 using a more frequent, intense-dosing regime that will be compared to the doses used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line="278" w:lineRule="auto"/>
        <w:rPr>
          <w:sz w:val="20"/>
          <w:szCs w:val="20"/>
          <w:color w:val="auto"/>
        </w:rPr>
      </w:pPr>
      <w:r>
        <w:rPr>
          <w:rFonts w:ascii="Arial" w:cs="Arial" w:eastAsia="Arial" w:hAnsi="Arial"/>
          <w:sz w:val="16"/>
          <w:szCs w:val="16"/>
          <w:color w:val="auto"/>
        </w:rPr>
        <w:t>Phase 1 and/or 2. We also intend to initiate discussions with the FDA regarding our plans for a potentially registration-enabling Phase 2, part 2 study. This overlapping approach is intended to allow the company to maintain its overall development timelines, while further aligning with FDA’s Project Optimus goals that encourage testing of multiple doses to optimize a patient’s treatment risk/benefit.</w:t>
      </w:r>
    </w:p>
    <w:p>
      <w:pPr>
        <w:spacing w:after="0" w:line="63" w:lineRule="exact"/>
        <w:rPr>
          <w:sz w:val="20"/>
          <w:szCs w:val="20"/>
          <w:color w:val="auto"/>
        </w:rPr>
      </w:pPr>
    </w:p>
    <w:p>
      <w:pPr>
        <w:jc w:val="both"/>
        <w:ind w:left="260" w:right="60" w:firstLine="458"/>
        <w:spacing w:after="0" w:line="273" w:lineRule="auto"/>
        <w:rPr>
          <w:sz w:val="20"/>
          <w:szCs w:val="20"/>
          <w:color w:val="auto"/>
        </w:rPr>
      </w:pPr>
      <w:r>
        <w:rPr>
          <w:rFonts w:ascii="Arial" w:cs="Arial" w:eastAsia="Arial" w:hAnsi="Arial"/>
          <w:sz w:val="16"/>
          <w:szCs w:val="16"/>
          <w:color w:val="auto"/>
        </w:rPr>
        <w:t>Prior to seeking accelerated approval for either indication, we will seek feedback from the FDA and evaluate our ability to obtain accelerated approval. The FDA requires that the sponsor verify and describe the clinical benefit as a condition of accelerated approval, which is generally in the form of at least one adequate and well-controlled post-marketing confirmatory clinical trial. Therefore, we plan to submit our proposed confirmatory trial design for FDA feedback and commence enrollment prior to our BLA submission.</w:t>
      </w:r>
    </w:p>
    <w:p>
      <w:pPr>
        <w:spacing w:after="0" w:line="175" w:lineRule="exact"/>
        <w:rPr>
          <w:sz w:val="20"/>
          <w:szCs w:val="20"/>
          <w:color w:val="auto"/>
        </w:rPr>
      </w:pPr>
    </w:p>
    <w:p>
      <w:pPr>
        <w:ind w:left="260" w:right="140" w:firstLine="458"/>
        <w:spacing w:after="0" w:line="293" w:lineRule="auto"/>
        <w:rPr>
          <w:sz w:val="20"/>
          <w:szCs w:val="20"/>
          <w:color w:val="auto"/>
        </w:rPr>
      </w:pPr>
      <w:r>
        <w:rPr>
          <w:rFonts w:ascii="Arial" w:cs="Arial" w:eastAsia="Arial" w:hAnsi="Arial"/>
          <w:sz w:val="16"/>
          <w:szCs w:val="16"/>
          <w:color w:val="auto"/>
        </w:rPr>
        <w:t>Additionally, a multi-center investigator-initiated trial of mecbotamab vedotin led by the Canadian Cancer Trials Group, or CCTG, in platinum-resistant ovarian cancer patients is underway.</w:t>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illustrates each of the different dosing schedules under evaluation for mecbotamab vedotin.</w:t>
      </w:r>
    </w:p>
    <w:p>
      <w:pPr>
        <w:spacing w:after="0" w:line="200" w:lineRule="exact"/>
        <w:rPr>
          <w:sz w:val="20"/>
          <w:szCs w:val="20"/>
          <w:color w:val="auto"/>
        </w:rPr>
      </w:pPr>
    </w:p>
    <w:p>
      <w:pPr>
        <w:spacing w:after="0" w:line="308" w:lineRule="exact"/>
        <w:rPr>
          <w:sz w:val="20"/>
          <w:szCs w:val="20"/>
          <w:color w:val="auto"/>
        </w:rPr>
      </w:pPr>
    </w:p>
    <w:tbl>
      <w:tblPr>
        <w:tblLayout w:type="fixed"/>
        <w:tblInd w:w="870" w:type="dxa"/>
        <w:tblCellMar>
          <w:top w:w="0" w:type="dxa"/>
          <w:left w:w="0" w:type="dxa"/>
          <w:bottom w:w="0" w:type="dxa"/>
          <w:right w:w="0" w:type="dxa"/>
        </w:tblCellMar>
      </w:tblPr>
      <w:tr>
        <w:trPr>
          <w:trHeight w:val="243"/>
        </w:trPr>
        <w:tc>
          <w:tcPr>
            <w:tcW w:w="4180" w:type="dxa"/>
            <w:vAlign w:val="bottom"/>
            <w:tcBorders>
              <w:top w:val="single" w:sz="8" w:color="auto"/>
              <w:left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 xml:space="preserve">Dose </w:t>
            </w:r>
            <w:r>
              <w:rPr>
                <w:rFonts w:ascii="Arial" w:cs="Arial" w:eastAsia="Arial" w:hAnsi="Arial"/>
                <w:sz w:val="21"/>
                <w:szCs w:val="21"/>
                <w:b w:val="1"/>
                <w:bCs w:val="1"/>
                <w:color w:val="auto"/>
                <w:vertAlign w:val="superscript"/>
              </w:rPr>
              <w:t>a</w:t>
            </w:r>
          </w:p>
        </w:tc>
        <w:tc>
          <w:tcPr>
            <w:tcW w:w="2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right w:val="single" w:sz="8" w:color="auto"/>
            </w:tcBorders>
          </w:tcPr>
          <w:p>
            <w:pPr>
              <w:spacing w:after="0"/>
              <w:rPr>
                <w:sz w:val="21"/>
                <w:szCs w:val="21"/>
                <w:color w:val="auto"/>
              </w:rPr>
            </w:pPr>
          </w:p>
        </w:tc>
      </w:tr>
      <w:tr>
        <w:trPr>
          <w:trHeight w:val="183"/>
        </w:trPr>
        <w:tc>
          <w:tcPr>
            <w:tcW w:w="4180" w:type="dxa"/>
            <w:vAlign w:val="bottom"/>
            <w:tcBorders>
              <w:lef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2"/>
          </w:tcPr>
          <w:p>
            <w:pPr>
              <w:jc w:val="center"/>
              <w:ind w:right="420"/>
              <w:spacing w:after="0" w:line="182" w:lineRule="exact"/>
              <w:rPr>
                <w:sz w:val="20"/>
                <w:szCs w:val="20"/>
                <w:color w:val="auto"/>
              </w:rPr>
            </w:pPr>
            <w:r>
              <w:rPr>
                <w:rFonts w:ascii="Arial" w:cs="Arial" w:eastAsia="Arial" w:hAnsi="Arial"/>
                <w:sz w:val="18"/>
                <w:szCs w:val="18"/>
                <w:b w:val="1"/>
                <w:bCs w:val="1"/>
                <w:color w:val="auto"/>
                <w:w w:val="91"/>
              </w:rPr>
              <w:t>Day 1</w:t>
            </w:r>
          </w:p>
        </w:tc>
        <w:tc>
          <w:tcPr>
            <w:tcW w:w="118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5"/>
              </w:rPr>
              <w:t>Day 8</w:t>
            </w:r>
          </w:p>
        </w:tc>
        <w:tc>
          <w:tcPr>
            <w:tcW w:w="1180" w:type="dxa"/>
            <w:vAlign w:val="bottom"/>
            <w:gridSpan w:val="3"/>
          </w:tcPr>
          <w:p>
            <w:pPr>
              <w:jc w:val="center"/>
              <w:ind w:right="260"/>
              <w:spacing w:after="0" w:line="182" w:lineRule="exact"/>
              <w:rPr>
                <w:sz w:val="20"/>
                <w:szCs w:val="20"/>
                <w:color w:val="auto"/>
              </w:rPr>
            </w:pPr>
            <w:r>
              <w:rPr>
                <w:rFonts w:ascii="Arial" w:cs="Arial" w:eastAsia="Arial" w:hAnsi="Arial"/>
                <w:sz w:val="18"/>
                <w:szCs w:val="18"/>
                <w:b w:val="1"/>
                <w:bCs w:val="1"/>
                <w:color w:val="auto"/>
                <w:w w:val="89"/>
              </w:rPr>
              <w:t>Day 15</w:t>
            </w:r>
          </w:p>
        </w:tc>
        <w:tc>
          <w:tcPr>
            <w:tcW w:w="780" w:type="dxa"/>
            <w:vAlign w:val="bottom"/>
            <w:tcBorders>
              <w:right w:val="single" w:sz="8" w:color="auto"/>
            </w:tcBorders>
            <w:gridSpan w:val="2"/>
          </w:tcPr>
          <w:p>
            <w:pPr>
              <w:jc w:val="center"/>
              <w:ind w:right="240"/>
              <w:spacing w:after="0" w:line="182" w:lineRule="exact"/>
              <w:rPr>
                <w:sz w:val="20"/>
                <w:szCs w:val="20"/>
                <w:color w:val="auto"/>
              </w:rPr>
            </w:pPr>
            <w:r>
              <w:rPr>
                <w:rFonts w:ascii="Arial" w:cs="Arial" w:eastAsia="Arial" w:hAnsi="Arial"/>
                <w:sz w:val="18"/>
                <w:szCs w:val="18"/>
                <w:b w:val="1"/>
                <w:bCs w:val="1"/>
                <w:color w:val="auto"/>
                <w:w w:val="92"/>
              </w:rPr>
              <w:t>Day 22</w:t>
            </w:r>
          </w:p>
        </w:tc>
      </w:tr>
      <w:tr>
        <w:trPr>
          <w:trHeight w:val="34"/>
        </w:trPr>
        <w:tc>
          <w:tcPr>
            <w:tcW w:w="418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180" w:type="dxa"/>
            <w:vAlign w:val="bottom"/>
            <w:tcBorders>
              <w:left w:val="single" w:sz="8" w:color="auto"/>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gridSpan w:val="4"/>
            <w:shd w:val="clear" w:color="auto" w:fill="CFF0FC"/>
          </w:tcPr>
          <w:p>
            <w:pPr>
              <w:jc w:val="center"/>
              <w:ind w:right="1060"/>
              <w:spacing w:after="0"/>
              <w:rPr>
                <w:sz w:val="20"/>
                <w:szCs w:val="20"/>
                <w:color w:val="auto"/>
              </w:rPr>
            </w:pPr>
            <w:r>
              <w:rPr>
                <w:rFonts w:ascii="Arial" w:cs="Arial" w:eastAsia="Arial" w:hAnsi="Arial"/>
                <w:sz w:val="16"/>
                <w:szCs w:val="16"/>
                <w:b w:val="1"/>
                <w:bCs w:val="1"/>
                <w:color w:val="auto"/>
                <w:w w:val="98"/>
              </w:rPr>
              <w:t>Q2W</w:t>
            </w:r>
          </w:p>
        </w:tc>
        <w:tc>
          <w:tcPr>
            <w:tcW w:w="4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23"/>
        </w:trPr>
        <w:tc>
          <w:tcPr>
            <w:tcW w:w="4180" w:type="dxa"/>
            <w:vAlign w:val="bottom"/>
            <w:tcBorders>
              <w:left w:val="single" w:sz="8" w:color="auto"/>
              <w:bottom w:val="single" w:sz="8" w:color="auto"/>
            </w:tcBorders>
          </w:tcPr>
          <w:p>
            <w:pPr>
              <w:jc w:val="center"/>
              <w:ind w:left="719"/>
              <w:spacing w:after="0"/>
              <w:rPr>
                <w:sz w:val="20"/>
                <w:szCs w:val="20"/>
                <w:color w:val="auto"/>
              </w:rPr>
            </w:pPr>
            <w:r>
              <w:rPr>
                <w:rFonts w:ascii="Arial" w:cs="Arial" w:eastAsia="Arial" w:hAnsi="Arial"/>
                <w:sz w:val="16"/>
                <w:szCs w:val="16"/>
                <w:color w:val="auto"/>
                <w:w w:val="94"/>
              </w:rPr>
              <w:t>All cycles (28 days)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color w:val="auto"/>
                <w:w w:val="93"/>
              </w:rPr>
              <w:t>1.8 mg/kg</w:t>
            </w: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2"/>
              </w:rPr>
              <w:t>no drug</w:t>
            </w:r>
          </w:p>
        </w:tc>
        <w:tc>
          <w:tcPr>
            <w:tcW w:w="11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color w:val="auto"/>
                <w:w w:val="93"/>
              </w:rPr>
              <w:t>1.8 mg/kg</w:t>
            </w:r>
          </w:p>
        </w:tc>
        <w:tc>
          <w:tcPr>
            <w:tcW w:w="78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2"/>
              </w:rPr>
              <w:t>no drug</w:t>
            </w:r>
          </w:p>
        </w:tc>
      </w:tr>
      <w:tr>
        <w:trPr>
          <w:trHeight w:val="223"/>
        </w:trPr>
        <w:tc>
          <w:tcPr>
            <w:tcW w:w="4180" w:type="dxa"/>
            <w:vAlign w:val="bottom"/>
            <w:tcBorders>
              <w:left w:val="single" w:sz="8" w:color="auto"/>
              <w:bottom w:val="single" w:sz="8" w:color="auto"/>
            </w:tcBorders>
            <w:shd w:val="clear" w:color="auto" w:fill="CFF0FC"/>
          </w:tcPr>
          <w:p>
            <w:pPr>
              <w:spacing w:after="0"/>
              <w:rPr>
                <w:sz w:val="19"/>
                <w:szCs w:val="19"/>
                <w:color w:val="auto"/>
              </w:rPr>
            </w:pPr>
          </w:p>
        </w:tc>
        <w:tc>
          <w:tcPr>
            <w:tcW w:w="2220" w:type="dxa"/>
            <w:vAlign w:val="bottom"/>
            <w:tcBorders>
              <w:bottom w:val="single" w:sz="8" w:color="auto"/>
            </w:tcBorders>
            <w:gridSpan w:val="4"/>
            <w:shd w:val="clear" w:color="auto" w:fill="CFF0FC"/>
          </w:tcPr>
          <w:p>
            <w:pPr>
              <w:jc w:val="center"/>
              <w:ind w:right="1060"/>
              <w:spacing w:after="0"/>
              <w:rPr>
                <w:sz w:val="20"/>
                <w:szCs w:val="20"/>
                <w:color w:val="auto"/>
              </w:rPr>
            </w:pPr>
            <w:r>
              <w:rPr>
                <w:rFonts w:ascii="Arial" w:cs="Arial" w:eastAsia="Arial" w:hAnsi="Arial"/>
                <w:sz w:val="16"/>
                <w:szCs w:val="16"/>
                <w:b w:val="1"/>
                <w:bCs w:val="1"/>
                <w:color w:val="auto"/>
                <w:w w:val="96"/>
              </w:rPr>
              <w:t>2Q3W</w:t>
            </w:r>
          </w:p>
        </w:tc>
        <w:tc>
          <w:tcPr>
            <w:tcW w:w="4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auto"/>
            </w:tcBorders>
            <w:shd w:val="clear" w:color="auto" w:fill="CFF0FC"/>
          </w:tcPr>
          <w:p>
            <w:pPr>
              <w:spacing w:after="0"/>
              <w:rPr>
                <w:sz w:val="19"/>
                <w:szCs w:val="19"/>
                <w:color w:val="auto"/>
              </w:rPr>
            </w:pPr>
          </w:p>
        </w:tc>
      </w:tr>
      <w:tr>
        <w:trPr>
          <w:trHeight w:val="223"/>
        </w:trPr>
        <w:tc>
          <w:tcPr>
            <w:tcW w:w="4180" w:type="dxa"/>
            <w:vAlign w:val="bottom"/>
            <w:tcBorders>
              <w:left w:val="single" w:sz="8" w:color="auto"/>
              <w:bottom w:val="single" w:sz="8" w:color="auto"/>
            </w:tcBorders>
          </w:tcPr>
          <w:p>
            <w:pPr>
              <w:jc w:val="center"/>
              <w:ind w:left="719"/>
              <w:spacing w:after="0"/>
              <w:rPr>
                <w:sz w:val="20"/>
                <w:szCs w:val="20"/>
                <w:color w:val="auto"/>
              </w:rPr>
            </w:pPr>
            <w:r>
              <w:rPr>
                <w:rFonts w:ascii="Arial" w:cs="Arial" w:eastAsia="Arial" w:hAnsi="Arial"/>
                <w:sz w:val="16"/>
                <w:szCs w:val="16"/>
                <w:color w:val="auto"/>
                <w:w w:val="94"/>
              </w:rPr>
              <w:t>All cycles (21 days)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color w:val="auto"/>
                <w:w w:val="93"/>
              </w:rPr>
              <w:t>1.8 mg/kg</w:t>
            </w: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3"/>
              </w:rPr>
              <w:t>1.8 mg/kg</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color w:val="auto"/>
                <w:w w:val="92"/>
              </w:rPr>
              <w:t>no drug</w:t>
            </w:r>
          </w:p>
        </w:tc>
        <w:tc>
          <w:tcPr>
            <w:tcW w:w="78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7"/>
              </w:rPr>
              <w:t>N/A</w:t>
            </w:r>
          </w:p>
        </w:tc>
      </w:tr>
      <w:tr>
        <w:trPr>
          <w:trHeight w:val="223"/>
        </w:trPr>
        <w:tc>
          <w:tcPr>
            <w:tcW w:w="4180" w:type="dxa"/>
            <w:vAlign w:val="bottom"/>
            <w:tcBorders>
              <w:left w:val="single" w:sz="8" w:color="auto"/>
              <w:bottom w:val="single" w:sz="8" w:color="auto"/>
            </w:tcBorders>
            <w:shd w:val="clear" w:color="auto" w:fill="CFF0FC"/>
          </w:tcPr>
          <w:p>
            <w:pPr>
              <w:spacing w:after="0"/>
              <w:rPr>
                <w:sz w:val="19"/>
                <w:szCs w:val="19"/>
                <w:color w:val="auto"/>
              </w:rPr>
            </w:pPr>
          </w:p>
        </w:tc>
        <w:tc>
          <w:tcPr>
            <w:tcW w:w="2220" w:type="dxa"/>
            <w:vAlign w:val="bottom"/>
            <w:tcBorders>
              <w:bottom w:val="single" w:sz="8" w:color="auto"/>
            </w:tcBorders>
            <w:gridSpan w:val="4"/>
            <w:shd w:val="clear" w:color="auto" w:fill="CFF0FC"/>
          </w:tcPr>
          <w:p>
            <w:pPr>
              <w:jc w:val="center"/>
              <w:ind w:right="1060"/>
              <w:spacing w:after="0"/>
              <w:rPr>
                <w:sz w:val="20"/>
                <w:szCs w:val="20"/>
                <w:color w:val="auto"/>
              </w:rPr>
            </w:pPr>
            <w:r>
              <w:rPr>
                <w:rFonts w:ascii="Arial" w:cs="Arial" w:eastAsia="Arial" w:hAnsi="Arial"/>
                <w:sz w:val="16"/>
                <w:szCs w:val="16"/>
                <w:b w:val="1"/>
                <w:bCs w:val="1"/>
                <w:color w:val="auto"/>
                <w:w w:val="96"/>
              </w:rPr>
              <w:t>3Q4W</w:t>
            </w:r>
          </w:p>
        </w:tc>
        <w:tc>
          <w:tcPr>
            <w:tcW w:w="4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auto"/>
            </w:tcBorders>
            <w:shd w:val="clear" w:color="auto" w:fill="CFF0FC"/>
          </w:tcPr>
          <w:p>
            <w:pPr>
              <w:spacing w:after="0"/>
              <w:rPr>
                <w:sz w:val="19"/>
                <w:szCs w:val="19"/>
                <w:color w:val="auto"/>
              </w:rPr>
            </w:pPr>
          </w:p>
        </w:tc>
      </w:tr>
      <w:tr>
        <w:trPr>
          <w:trHeight w:val="210"/>
        </w:trPr>
        <w:tc>
          <w:tcPr>
            <w:tcW w:w="4180" w:type="dxa"/>
            <w:vAlign w:val="bottom"/>
            <w:tcBorders>
              <w:left w:val="single" w:sz="8" w:color="auto"/>
            </w:tcBorders>
          </w:tcPr>
          <w:p>
            <w:pPr>
              <w:jc w:val="center"/>
              <w:ind w:left="719"/>
              <w:spacing w:after="0"/>
              <w:rPr>
                <w:sz w:val="20"/>
                <w:szCs w:val="20"/>
                <w:color w:val="auto"/>
              </w:rPr>
            </w:pPr>
            <w:r>
              <w:rPr>
                <w:rFonts w:ascii="Arial" w:cs="Arial" w:eastAsia="Arial" w:hAnsi="Arial"/>
                <w:sz w:val="16"/>
                <w:szCs w:val="16"/>
                <w:color w:val="auto"/>
                <w:w w:val="91"/>
              </w:rPr>
              <w:t>Cycle 1 (21 days)</w:t>
            </w:r>
          </w:p>
        </w:tc>
        <w:tc>
          <w:tcPr>
            <w:tcW w:w="820" w:type="dxa"/>
            <w:vAlign w:val="bottom"/>
          </w:tcPr>
          <w:p>
            <w:pPr>
              <w:spacing w:after="0"/>
              <w:rPr>
                <w:sz w:val="18"/>
                <w:szCs w:val="18"/>
                <w:color w:val="auto"/>
              </w:rPr>
            </w:pPr>
          </w:p>
        </w:tc>
        <w:tc>
          <w:tcPr>
            <w:tcW w:w="1400" w:type="dxa"/>
            <w:vAlign w:val="bottom"/>
            <w:gridSpan w:val="3"/>
          </w:tcPr>
          <w:p>
            <w:pPr>
              <w:jc w:val="center"/>
              <w:ind w:left="19"/>
              <w:spacing w:after="0"/>
              <w:rPr>
                <w:sz w:val="20"/>
                <w:szCs w:val="20"/>
                <w:color w:val="auto"/>
              </w:rPr>
            </w:pPr>
            <w:r>
              <w:rPr>
                <w:rFonts w:ascii="Arial" w:cs="Arial" w:eastAsia="Arial" w:hAnsi="Arial"/>
                <w:sz w:val="16"/>
                <w:szCs w:val="16"/>
                <w:color w:val="auto"/>
                <w:w w:val="93"/>
              </w:rPr>
              <w:t>1.8 mg/kg</w:t>
            </w:r>
          </w:p>
        </w:tc>
        <w:tc>
          <w:tcPr>
            <w:tcW w:w="1180" w:type="dxa"/>
            <w:vAlign w:val="bottom"/>
            <w:gridSpan w:val="3"/>
          </w:tcPr>
          <w:p>
            <w:pPr>
              <w:jc w:val="center"/>
              <w:spacing w:after="0"/>
              <w:rPr>
                <w:sz w:val="20"/>
                <w:szCs w:val="20"/>
                <w:color w:val="auto"/>
              </w:rPr>
            </w:pPr>
            <w:r>
              <w:rPr>
                <w:rFonts w:ascii="Arial" w:cs="Arial" w:eastAsia="Arial" w:hAnsi="Arial"/>
                <w:sz w:val="16"/>
                <w:szCs w:val="16"/>
                <w:color w:val="auto"/>
                <w:w w:val="93"/>
              </w:rPr>
              <w:t>1.2 mg/kg</w:t>
            </w: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color w:val="auto"/>
                <w:w w:val="93"/>
              </w:rPr>
              <w:t>1.2 mg/kg</w:t>
            </w: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7"/>
              </w:rPr>
              <w:t>N/A</w:t>
            </w:r>
          </w:p>
        </w:tc>
      </w:tr>
      <w:tr>
        <w:trPr>
          <w:trHeight w:val="243"/>
        </w:trPr>
        <w:tc>
          <w:tcPr>
            <w:tcW w:w="4180" w:type="dxa"/>
            <w:vAlign w:val="bottom"/>
            <w:tcBorders>
              <w:left w:val="single" w:sz="8" w:color="auto"/>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Cycle 2 (28 days) and subsequent cycles</w:t>
            </w:r>
          </w:p>
        </w:tc>
        <w:tc>
          <w:tcPr>
            <w:tcW w:w="8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color w:val="auto"/>
                <w:w w:val="93"/>
              </w:rPr>
              <w:t>1.2 mg/kg</w:t>
            </w: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3"/>
              </w:rPr>
              <w:t>1.2 mg/kg</w:t>
            </w:r>
          </w:p>
        </w:tc>
        <w:tc>
          <w:tcPr>
            <w:tcW w:w="11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color w:val="auto"/>
                <w:w w:val="93"/>
              </w:rPr>
              <w:t>1.2 mg/kg</w:t>
            </w:r>
          </w:p>
        </w:tc>
        <w:tc>
          <w:tcPr>
            <w:tcW w:w="78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2"/>
              </w:rPr>
              <w:t>no drug</w:t>
            </w:r>
          </w:p>
        </w:tc>
      </w:tr>
    </w:tbl>
    <w:p>
      <w:pPr>
        <w:spacing w:after="0" w:line="7" w:lineRule="exact"/>
        <w:rPr>
          <w:sz w:val="20"/>
          <w:szCs w:val="20"/>
          <w:color w:val="auto"/>
        </w:rPr>
      </w:pPr>
    </w:p>
    <w:p>
      <w:pPr>
        <w:ind w:left="1320" w:hanging="90"/>
        <w:spacing w:after="0"/>
        <w:tabs>
          <w:tab w:leader="none" w:pos="132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all doses will be capped at 100 kg for patients with body weight &gt; 100 kg; N/A: not applicable as not part of the 21-day cycle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u w:val="single" w:color="auto"/>
          <w:color w:val="auto"/>
        </w:rPr>
        <w:t>Sarcoma Phase 2 trial:</w:t>
      </w:r>
    </w:p>
    <w:p>
      <w:pPr>
        <w:spacing w:after="0" w:line="113" w:lineRule="exact"/>
        <w:rPr>
          <w:sz w:val="20"/>
          <w:szCs w:val="20"/>
          <w:color w:val="auto"/>
        </w:rPr>
      </w:pPr>
    </w:p>
    <w:p>
      <w:pPr>
        <w:ind w:left="260" w:right="160" w:firstLine="458"/>
        <w:spacing w:after="0" w:line="297" w:lineRule="auto"/>
        <w:rPr>
          <w:sz w:val="20"/>
          <w:szCs w:val="20"/>
          <w:color w:val="auto"/>
        </w:rPr>
      </w:pPr>
      <w:r>
        <w:rPr>
          <w:rFonts w:ascii="Arial" w:cs="Arial" w:eastAsia="Arial" w:hAnsi="Arial"/>
          <w:sz w:val="15"/>
          <w:szCs w:val="15"/>
          <w:color w:val="auto"/>
        </w:rPr>
        <w:t>This open-label, two-part Phase 2 trial evaluates the efficacy and safety of mecbotamab vedotin alone and in combination with an anti-PD-1 agent in adult and adolescent patients with AXL-expressing TmPS &gt;= 50%, and advanced, refractory measurable sarcoma. Patients receive either mecbotamab vedotin alone or in combination with an anti-PD-1 agent. Part 1 antitumor activity has exceeded predefined criteria for advancing trials for UPS, osteosarcoma, liposarcoma, and synovial sarcoma. Combination dosing is fully enrolled and enrollment continues for Ewing and other bone sarcomas.</w:t>
      </w:r>
    </w:p>
    <w:p>
      <w:pPr>
        <w:spacing w:after="0" w:line="51" w:lineRule="exact"/>
        <w:rPr>
          <w:sz w:val="20"/>
          <w:szCs w:val="20"/>
          <w:color w:val="auto"/>
        </w:rPr>
      </w:pPr>
    </w:p>
    <w:p>
      <w:pPr>
        <w:ind w:left="260" w:right="120" w:firstLine="458"/>
        <w:spacing w:after="0" w:line="273" w:lineRule="auto"/>
        <w:rPr>
          <w:sz w:val="20"/>
          <w:szCs w:val="20"/>
          <w:color w:val="auto"/>
        </w:rPr>
      </w:pPr>
      <w:r>
        <w:rPr>
          <w:rFonts w:ascii="Arial" w:cs="Arial" w:eastAsia="Arial" w:hAnsi="Arial"/>
          <w:sz w:val="16"/>
          <w:szCs w:val="16"/>
          <w:color w:val="auto"/>
        </w:rPr>
        <w:t>Phase 2, part 2 is enrolling patients with UPS, for which efficacy was observed in either Phase 1 and in Phase 2 part 1. Specifically, a total of 11 patients with undifferentiated pleomorphic sarcoma (UPS) were enrolled in BA3011-001 study as of the data cutoff date 18 January 2023. 5 patients (50%) achieved partial response among those 10 patients with TmPS ≥ 50%. The median duration of response exceeded 8 months, the median PFS was 10.9 months (95% CI: 1.4, NE) and PFS rate at 12 weeks was 60% (95%CI: 25.3, 82.7).</w:t>
      </w:r>
    </w:p>
    <w:p>
      <w:pPr>
        <w:spacing w:after="0" w:line="162"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Part 2 will enroll a total of approximately 80 patients with locally advanced unresectable or metastatic UPS with high AXL expression. Primary endpoints include overall response rate, AEs, SAEs, and changes from baseline in laboratory parameters and vital signs. Key secondary endpoints include duration of response (DOR), progression-free survival (PFS), best overall response (BOR), disease control rate (DCR), time to response (TTR), progression-free rate (PFR) at 12 weeks, overall survival (OS), and percent change from baseline in tumor size.</w:t>
      </w:r>
    </w:p>
    <w:p>
      <w:pPr>
        <w:spacing w:after="0" w:line="175" w:lineRule="exact"/>
        <w:rPr>
          <w:sz w:val="20"/>
          <w:szCs w:val="20"/>
          <w:color w:val="auto"/>
        </w:rPr>
      </w:pPr>
    </w:p>
    <w:p>
      <w:pPr>
        <w:ind w:left="260" w:right="140" w:firstLine="458"/>
        <w:spacing w:after="0" w:line="278" w:lineRule="auto"/>
        <w:rPr>
          <w:sz w:val="20"/>
          <w:szCs w:val="20"/>
          <w:color w:val="auto"/>
        </w:rPr>
      </w:pPr>
      <w:r>
        <w:rPr>
          <w:rFonts w:ascii="Arial" w:cs="Arial" w:eastAsia="Arial" w:hAnsi="Arial"/>
          <w:sz w:val="16"/>
          <w:szCs w:val="16"/>
          <w:color w:val="auto"/>
        </w:rPr>
        <w:t>Patients must have measurable disease by Response Evaluation Criteria in Solid Tumors (RECIST) Version 1.1. Additionally, patients must have received no more than three prior systemic regimens. Enrolled patients will receive open-label BA3011 treatment. Initially, approximately 40 patients will be enrolled in a 1:1 ratio to receive mecbotamab vedotin 2Q3W or 3Q4W regimens as shown in the table above.</w:t>
      </w:r>
    </w:p>
    <w:p>
      <w:pPr>
        <w:spacing w:after="0" w:line="157" w:lineRule="exact"/>
        <w:rPr>
          <w:sz w:val="20"/>
          <w:szCs w:val="20"/>
          <w:color w:val="auto"/>
        </w:rPr>
      </w:pPr>
    </w:p>
    <w:p>
      <w:pPr>
        <w:ind w:left="260" w:right="160" w:firstLine="458"/>
        <w:spacing w:after="0" w:line="305" w:lineRule="auto"/>
        <w:rPr>
          <w:sz w:val="20"/>
          <w:szCs w:val="20"/>
          <w:color w:val="auto"/>
        </w:rPr>
      </w:pPr>
      <w:r>
        <w:rPr>
          <w:rFonts w:ascii="Arial" w:cs="Arial" w:eastAsia="Arial" w:hAnsi="Arial"/>
          <w:sz w:val="15"/>
          <w:szCs w:val="15"/>
          <w:color w:val="auto"/>
        </w:rPr>
        <w:t>Randomization will be stratified by number of prior systemic treatments (≤ 2 vs. &gt; 2). A planned interim analysis will be performed after these 40 patients have an opportunity to be followed for at least 12 weeks. To facilitate the selection of an optimized dosing regimen, efficacy, safety, and an integrated PK and exposure-response analysis will be performed based on all UPS patients in Phase 1, Phase 2 part 1, and the 40 UPS patients initially enrolled in Phase 2 part 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u w:val="single" w:color="auto"/>
          <w:color w:val="auto"/>
        </w:rPr>
        <w:t>NSCLC Phase 2 trial:</w:t>
      </w:r>
    </w:p>
    <w:p>
      <w:pPr>
        <w:spacing w:after="0" w:line="127" w:lineRule="exact"/>
        <w:rPr>
          <w:sz w:val="20"/>
          <w:szCs w:val="20"/>
          <w:color w:val="auto"/>
        </w:rPr>
      </w:pPr>
    </w:p>
    <w:p>
      <w:pPr>
        <w:ind w:left="260" w:right="140" w:firstLine="458"/>
        <w:spacing w:after="0" w:line="291" w:lineRule="auto"/>
        <w:rPr>
          <w:sz w:val="20"/>
          <w:szCs w:val="20"/>
          <w:color w:val="auto"/>
        </w:rPr>
      </w:pPr>
      <w:r>
        <w:rPr>
          <w:rFonts w:ascii="Arial" w:cs="Arial" w:eastAsia="Arial" w:hAnsi="Arial"/>
          <w:sz w:val="15"/>
          <w:szCs w:val="15"/>
          <w:color w:val="auto"/>
        </w:rPr>
        <w:t>This ongoing multi-center, open-label, Phase 2 study is designed to evaluate the efficacy and safety of mecbotamab vedotin alone and in combination with an anti-PD-1 agent in patients with AXL-expressing TmPS &gt;=1%, metastatic NSCLC who have measurable disease by RECIST v1.1 criteria. Enrolled patients must have had prior disease progression on a PD-1/L-1 inhibitor. Patients with EGFR or anaplastic lymphoma kinase (ALK) genomic tumor aberration had to have disease progression on FDA-approved therapy for these aberrations. Patients receive either mecbotamab vedotin alone or in combination with an anti-PD-1 agent. Primary endpoints include overall response rate, AEs, SAEs, and changes from baseline in laboratory parameters and vital signs. Key secondary endpoints include DOR, PFS, BOR, DCR, TTR, PFR at 12 weeks, OS, and percent change from baseline in tumor size.</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Ozuriftamab Vedotin (BA3021) targeting ROR2</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i w:val="1"/>
          <w:iCs w:val="1"/>
          <w:u w:val="single" w:color="auto"/>
          <w:color w:val="auto"/>
        </w:rPr>
        <w:t>Phase 1/2 clinical trial</w:t>
      </w:r>
    </w:p>
    <w:p>
      <w:pPr>
        <w:spacing w:after="0" w:line="113" w:lineRule="exact"/>
        <w:rPr>
          <w:sz w:val="20"/>
          <w:szCs w:val="20"/>
          <w:color w:val="auto"/>
        </w:rPr>
      </w:pPr>
    </w:p>
    <w:p>
      <w:pPr>
        <w:ind w:left="260" w:firstLine="464"/>
        <w:spacing w:after="0" w:line="273" w:lineRule="auto"/>
        <w:rPr>
          <w:sz w:val="20"/>
          <w:szCs w:val="20"/>
          <w:color w:val="auto"/>
        </w:rPr>
      </w:pPr>
      <w:r>
        <w:rPr>
          <w:rFonts w:ascii="Arial" w:cs="Arial" w:eastAsia="Arial" w:hAnsi="Arial"/>
          <w:sz w:val="16"/>
          <w:szCs w:val="16"/>
          <w:color w:val="auto"/>
        </w:rPr>
        <w:t>A Phase 1/2 clinical trial of ozuriftamab vedotin in patients with locally advanced unresectable or metastatic solid tumors including NSCLC and melanoma is being conducted. Patients were treated with doses of ozuriftamab vedotin ranging from 0.3 mg/kg to 3.3 mg/kg once every three weeks (Q3W) or doses ranging from 1.5 mg/kg to 1.8 mg/kg twice every three weeks on days 1 and 8 (2Q3W). Based upon the overall safety and response rates, the initial recommended Phase 2 dose was determined to be 1.8 mg/kg delivered every two weeks (Q2W). Further dose optimization is being conducted.</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illustrates each of the different dosing schedules under evaluation for ozuriftamab vedotin.</w:t>
      </w:r>
    </w:p>
    <w:p>
      <w:pPr>
        <w:spacing w:after="0" w:line="114" w:lineRule="exact"/>
        <w:rPr>
          <w:sz w:val="20"/>
          <w:szCs w:val="20"/>
          <w:color w:val="auto"/>
        </w:rPr>
      </w:pPr>
    </w:p>
    <w:tbl>
      <w:tblPr>
        <w:tblLayout w:type="fixed"/>
        <w:tblInd w:w="1150" w:type="dxa"/>
        <w:tblCellMar>
          <w:top w:w="0" w:type="dxa"/>
          <w:left w:w="0" w:type="dxa"/>
          <w:bottom w:w="0" w:type="dxa"/>
          <w:right w:w="0" w:type="dxa"/>
        </w:tblCellMar>
      </w:tblPr>
      <w:tr>
        <w:trPr>
          <w:trHeight w:val="245"/>
        </w:trPr>
        <w:tc>
          <w:tcPr>
            <w:tcW w:w="3960" w:type="dxa"/>
            <w:vAlign w:val="bottom"/>
            <w:tcBorders>
              <w:top w:val="single" w:sz="8" w:color="auto"/>
              <w:left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w w:val="97"/>
              </w:rPr>
              <w:t xml:space="preserve">Dose </w:t>
            </w:r>
            <w:r>
              <w:rPr>
                <w:rFonts w:ascii="Arial" w:cs="Arial" w:eastAsia="Arial" w:hAnsi="Arial"/>
                <w:sz w:val="21"/>
                <w:szCs w:val="21"/>
                <w:b w:val="1"/>
                <w:bCs w:val="1"/>
                <w:color w:val="auto"/>
                <w:w w:val="97"/>
                <w:vertAlign w:val="superscript"/>
              </w:rPr>
              <w:t>a</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right w:val="single" w:sz="8" w:color="auto"/>
            </w:tcBorders>
          </w:tcPr>
          <w:p>
            <w:pPr>
              <w:spacing w:after="0"/>
              <w:rPr>
                <w:sz w:val="21"/>
                <w:szCs w:val="21"/>
                <w:color w:val="auto"/>
              </w:rPr>
            </w:pPr>
          </w:p>
        </w:tc>
      </w:tr>
      <w:tr>
        <w:trPr>
          <w:trHeight w:val="183"/>
        </w:trPr>
        <w:tc>
          <w:tcPr>
            <w:tcW w:w="3960" w:type="dxa"/>
            <w:vAlign w:val="bottom"/>
            <w:tcBorders>
              <w:lef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jc w:val="center"/>
              <w:ind w:left="37"/>
              <w:spacing w:after="0" w:line="182" w:lineRule="exact"/>
              <w:rPr>
                <w:sz w:val="20"/>
                <w:szCs w:val="20"/>
                <w:color w:val="auto"/>
              </w:rPr>
            </w:pPr>
            <w:r>
              <w:rPr>
                <w:rFonts w:ascii="Arial" w:cs="Arial" w:eastAsia="Arial" w:hAnsi="Arial"/>
                <w:sz w:val="18"/>
                <w:szCs w:val="18"/>
                <w:b w:val="1"/>
                <w:bCs w:val="1"/>
                <w:color w:val="auto"/>
                <w:w w:val="95"/>
              </w:rPr>
              <w:t>Day 1</w:t>
            </w:r>
          </w:p>
        </w:tc>
        <w:tc>
          <w:tcPr>
            <w:tcW w:w="112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1"/>
              </w:rPr>
              <w:t>Day 8</w:t>
            </w:r>
          </w:p>
        </w:tc>
        <w:tc>
          <w:tcPr>
            <w:tcW w:w="1100" w:type="dxa"/>
            <w:vAlign w:val="bottom"/>
            <w:gridSpan w:val="3"/>
          </w:tcPr>
          <w:p>
            <w:pPr>
              <w:jc w:val="center"/>
              <w:ind w:right="240"/>
              <w:spacing w:after="0" w:line="182" w:lineRule="exact"/>
              <w:rPr>
                <w:sz w:val="20"/>
                <w:szCs w:val="20"/>
                <w:color w:val="auto"/>
              </w:rPr>
            </w:pPr>
            <w:r>
              <w:rPr>
                <w:rFonts w:ascii="Arial" w:cs="Arial" w:eastAsia="Arial" w:hAnsi="Arial"/>
                <w:sz w:val="18"/>
                <w:szCs w:val="18"/>
                <w:b w:val="1"/>
                <w:bCs w:val="1"/>
                <w:color w:val="auto"/>
                <w:w w:val="92"/>
              </w:rPr>
              <w:t>Day 15</w:t>
            </w:r>
          </w:p>
        </w:tc>
        <w:tc>
          <w:tcPr>
            <w:tcW w:w="740" w:type="dxa"/>
            <w:vAlign w:val="bottom"/>
            <w:tcBorders>
              <w:right w:val="single" w:sz="8" w:color="auto"/>
            </w:tcBorders>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89"/>
              </w:rPr>
              <w:t>Day 22</w:t>
            </w:r>
          </w:p>
        </w:tc>
      </w:tr>
      <w:tr>
        <w:trPr>
          <w:trHeight w:val="34"/>
        </w:trPr>
        <w:tc>
          <w:tcPr>
            <w:tcW w:w="396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r>
      <w:tr>
        <w:trPr>
          <w:trHeight w:val="217"/>
        </w:trPr>
        <w:tc>
          <w:tcPr>
            <w:tcW w:w="3960" w:type="dxa"/>
            <w:vAlign w:val="bottom"/>
            <w:tcBorders>
              <w:left w:val="single" w:sz="8" w:color="auto"/>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gridSpan w:val="4"/>
            <w:shd w:val="clear" w:color="auto" w:fill="CFF0FC"/>
          </w:tcPr>
          <w:p>
            <w:pPr>
              <w:jc w:val="center"/>
              <w:ind w:right="1020"/>
              <w:spacing w:after="0"/>
              <w:rPr>
                <w:sz w:val="20"/>
                <w:szCs w:val="20"/>
                <w:color w:val="auto"/>
              </w:rPr>
            </w:pPr>
            <w:r>
              <w:rPr>
                <w:rFonts w:ascii="Arial" w:cs="Arial" w:eastAsia="Arial" w:hAnsi="Arial"/>
                <w:sz w:val="16"/>
                <w:szCs w:val="16"/>
                <w:b w:val="1"/>
                <w:bCs w:val="1"/>
                <w:color w:val="auto"/>
                <w:w w:val="98"/>
              </w:rPr>
              <w:t>Q2W</w:t>
            </w:r>
          </w:p>
        </w:tc>
        <w:tc>
          <w:tcPr>
            <w:tcW w:w="3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23"/>
        </w:trPr>
        <w:tc>
          <w:tcPr>
            <w:tcW w:w="3960" w:type="dxa"/>
            <w:vAlign w:val="bottom"/>
            <w:tcBorders>
              <w:left w:val="single" w:sz="8" w:color="auto"/>
              <w:bottom w:val="single" w:sz="8" w:color="auto"/>
            </w:tcBorders>
          </w:tcPr>
          <w:p>
            <w:pPr>
              <w:jc w:val="center"/>
              <w:ind w:left="659"/>
              <w:spacing w:after="0"/>
              <w:rPr>
                <w:sz w:val="20"/>
                <w:szCs w:val="20"/>
                <w:color w:val="auto"/>
              </w:rPr>
            </w:pPr>
            <w:r>
              <w:rPr>
                <w:rFonts w:ascii="Arial" w:cs="Arial" w:eastAsia="Arial" w:hAnsi="Arial"/>
                <w:sz w:val="16"/>
                <w:szCs w:val="16"/>
                <w:color w:val="auto"/>
                <w:w w:val="94"/>
              </w:rPr>
              <w:t>All cycles (28 days)</w:t>
            </w: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6"/>
                <w:szCs w:val="16"/>
                <w:color w:val="auto"/>
                <w:w w:val="93"/>
              </w:rPr>
              <w:t>1.8 mg/kg</w:t>
            </w:r>
          </w:p>
        </w:tc>
        <w:tc>
          <w:tcPr>
            <w:tcW w:w="112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6"/>
                <w:szCs w:val="16"/>
                <w:color w:val="auto"/>
                <w:w w:val="92"/>
              </w:rPr>
              <w:t>no drug</w:t>
            </w:r>
          </w:p>
        </w:tc>
        <w:tc>
          <w:tcPr>
            <w:tcW w:w="11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93"/>
              </w:rPr>
              <w:t>1.8 mg/kg</w:t>
            </w:r>
          </w:p>
        </w:tc>
        <w:tc>
          <w:tcPr>
            <w:tcW w:w="74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2"/>
              </w:rPr>
              <w:t>no drug</w:t>
            </w:r>
          </w:p>
        </w:tc>
      </w:tr>
      <w:tr>
        <w:trPr>
          <w:trHeight w:val="223"/>
        </w:trPr>
        <w:tc>
          <w:tcPr>
            <w:tcW w:w="3960" w:type="dxa"/>
            <w:vAlign w:val="bottom"/>
            <w:tcBorders>
              <w:left w:val="single" w:sz="8" w:color="auto"/>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gridSpan w:val="4"/>
            <w:shd w:val="clear" w:color="auto" w:fill="CFF0FC"/>
          </w:tcPr>
          <w:p>
            <w:pPr>
              <w:jc w:val="center"/>
              <w:ind w:right="1020"/>
              <w:spacing w:after="0"/>
              <w:rPr>
                <w:sz w:val="20"/>
                <w:szCs w:val="20"/>
                <w:color w:val="auto"/>
              </w:rPr>
            </w:pPr>
            <w:r>
              <w:rPr>
                <w:rFonts w:ascii="Arial" w:cs="Arial" w:eastAsia="Arial" w:hAnsi="Arial"/>
                <w:sz w:val="16"/>
                <w:szCs w:val="16"/>
                <w:b w:val="1"/>
                <w:bCs w:val="1"/>
                <w:color w:val="auto"/>
                <w:w w:val="96"/>
              </w:rPr>
              <w:t>2Q3W</w:t>
            </w:r>
          </w:p>
        </w:tc>
        <w:tc>
          <w:tcPr>
            <w:tcW w:w="3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auto"/>
            </w:tcBorders>
            <w:shd w:val="clear" w:color="auto" w:fill="CFF0FC"/>
          </w:tcPr>
          <w:p>
            <w:pPr>
              <w:spacing w:after="0"/>
              <w:rPr>
                <w:sz w:val="19"/>
                <w:szCs w:val="19"/>
                <w:color w:val="auto"/>
              </w:rPr>
            </w:pPr>
          </w:p>
        </w:tc>
      </w:tr>
      <w:tr>
        <w:trPr>
          <w:trHeight w:val="223"/>
        </w:trPr>
        <w:tc>
          <w:tcPr>
            <w:tcW w:w="3960" w:type="dxa"/>
            <w:vAlign w:val="bottom"/>
            <w:tcBorders>
              <w:left w:val="single" w:sz="8" w:color="auto"/>
              <w:bottom w:val="single" w:sz="8" w:color="auto"/>
            </w:tcBorders>
          </w:tcPr>
          <w:p>
            <w:pPr>
              <w:jc w:val="center"/>
              <w:ind w:left="659"/>
              <w:spacing w:after="0"/>
              <w:rPr>
                <w:sz w:val="20"/>
                <w:szCs w:val="20"/>
                <w:color w:val="auto"/>
              </w:rPr>
            </w:pPr>
            <w:r>
              <w:rPr>
                <w:rFonts w:ascii="Arial" w:cs="Arial" w:eastAsia="Arial" w:hAnsi="Arial"/>
                <w:sz w:val="16"/>
                <w:szCs w:val="16"/>
                <w:color w:val="auto"/>
                <w:w w:val="94"/>
              </w:rPr>
              <w:t>All cycles (21 days)</w:t>
            </w: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6"/>
                <w:szCs w:val="16"/>
                <w:color w:val="auto"/>
                <w:w w:val="93"/>
              </w:rPr>
              <w:t>1.8 mg/kg</w:t>
            </w:r>
          </w:p>
        </w:tc>
        <w:tc>
          <w:tcPr>
            <w:tcW w:w="112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6"/>
                <w:szCs w:val="16"/>
                <w:color w:val="auto"/>
                <w:w w:val="93"/>
              </w:rPr>
              <w:t>1.8 mg/kg</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color w:val="auto"/>
                <w:w w:val="92"/>
              </w:rPr>
              <w:t>no drug</w:t>
            </w:r>
          </w:p>
        </w:tc>
        <w:tc>
          <w:tcPr>
            <w:tcW w:w="74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N/A</w:t>
            </w:r>
          </w:p>
        </w:tc>
      </w:tr>
      <w:tr>
        <w:trPr>
          <w:trHeight w:val="223"/>
        </w:trPr>
        <w:tc>
          <w:tcPr>
            <w:tcW w:w="3960" w:type="dxa"/>
            <w:vAlign w:val="bottom"/>
            <w:tcBorders>
              <w:left w:val="single" w:sz="8" w:color="auto"/>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gridSpan w:val="4"/>
            <w:shd w:val="clear" w:color="auto" w:fill="CFF0FC"/>
          </w:tcPr>
          <w:p>
            <w:pPr>
              <w:jc w:val="center"/>
              <w:ind w:right="1020"/>
              <w:spacing w:after="0"/>
              <w:rPr>
                <w:sz w:val="20"/>
                <w:szCs w:val="20"/>
                <w:color w:val="auto"/>
              </w:rPr>
            </w:pPr>
            <w:r>
              <w:rPr>
                <w:rFonts w:ascii="Arial" w:cs="Arial" w:eastAsia="Arial" w:hAnsi="Arial"/>
                <w:sz w:val="16"/>
                <w:szCs w:val="16"/>
                <w:b w:val="1"/>
                <w:bCs w:val="1"/>
                <w:color w:val="auto"/>
                <w:w w:val="96"/>
              </w:rPr>
              <w:t>3Q4W</w:t>
            </w:r>
          </w:p>
        </w:tc>
        <w:tc>
          <w:tcPr>
            <w:tcW w:w="3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auto"/>
            </w:tcBorders>
            <w:shd w:val="clear" w:color="auto" w:fill="CFF0FC"/>
          </w:tcPr>
          <w:p>
            <w:pPr>
              <w:spacing w:after="0"/>
              <w:rPr>
                <w:sz w:val="19"/>
                <w:szCs w:val="19"/>
                <w:color w:val="auto"/>
              </w:rPr>
            </w:pPr>
          </w:p>
        </w:tc>
      </w:tr>
      <w:tr>
        <w:trPr>
          <w:trHeight w:val="210"/>
        </w:trPr>
        <w:tc>
          <w:tcPr>
            <w:tcW w:w="3960" w:type="dxa"/>
            <w:vAlign w:val="bottom"/>
            <w:tcBorders>
              <w:left w:val="single" w:sz="8" w:color="auto"/>
            </w:tcBorders>
          </w:tcPr>
          <w:p>
            <w:pPr>
              <w:jc w:val="center"/>
              <w:ind w:left="679"/>
              <w:spacing w:after="0"/>
              <w:rPr>
                <w:sz w:val="20"/>
                <w:szCs w:val="20"/>
                <w:color w:val="auto"/>
              </w:rPr>
            </w:pPr>
            <w:r>
              <w:rPr>
                <w:rFonts w:ascii="Arial" w:cs="Arial" w:eastAsia="Arial" w:hAnsi="Arial"/>
                <w:sz w:val="16"/>
                <w:szCs w:val="16"/>
                <w:color w:val="auto"/>
                <w:w w:val="93"/>
              </w:rPr>
              <w:t>Cycle 1 (21 days)</w:t>
            </w:r>
          </w:p>
        </w:tc>
        <w:tc>
          <w:tcPr>
            <w:tcW w:w="760" w:type="dxa"/>
            <w:vAlign w:val="bottom"/>
          </w:tcPr>
          <w:p>
            <w:pPr>
              <w:spacing w:after="0"/>
              <w:rPr>
                <w:sz w:val="18"/>
                <w:szCs w:val="18"/>
                <w:color w:val="auto"/>
              </w:rPr>
            </w:pPr>
          </w:p>
        </w:tc>
        <w:tc>
          <w:tcPr>
            <w:tcW w:w="1300" w:type="dxa"/>
            <w:vAlign w:val="bottom"/>
            <w:gridSpan w:val="3"/>
          </w:tcPr>
          <w:p>
            <w:pPr>
              <w:jc w:val="center"/>
              <w:ind w:left="37"/>
              <w:spacing w:after="0"/>
              <w:rPr>
                <w:sz w:val="20"/>
                <w:szCs w:val="20"/>
                <w:color w:val="auto"/>
              </w:rPr>
            </w:pPr>
            <w:r>
              <w:rPr>
                <w:rFonts w:ascii="Arial" w:cs="Arial" w:eastAsia="Arial" w:hAnsi="Arial"/>
                <w:sz w:val="16"/>
                <w:szCs w:val="16"/>
                <w:color w:val="auto"/>
                <w:w w:val="93"/>
              </w:rPr>
              <w:t>2.0 mg/kg</w:t>
            </w:r>
          </w:p>
        </w:tc>
        <w:tc>
          <w:tcPr>
            <w:tcW w:w="1120" w:type="dxa"/>
            <w:vAlign w:val="bottom"/>
            <w:gridSpan w:val="3"/>
          </w:tcPr>
          <w:p>
            <w:pPr>
              <w:jc w:val="center"/>
              <w:ind w:left="17"/>
              <w:spacing w:after="0"/>
              <w:rPr>
                <w:sz w:val="20"/>
                <w:szCs w:val="20"/>
                <w:color w:val="auto"/>
              </w:rPr>
            </w:pPr>
            <w:r>
              <w:rPr>
                <w:rFonts w:ascii="Arial" w:cs="Arial" w:eastAsia="Arial" w:hAnsi="Arial"/>
                <w:sz w:val="16"/>
                <w:szCs w:val="16"/>
                <w:color w:val="auto"/>
                <w:w w:val="93"/>
              </w:rPr>
              <w:t>1.3 mg/kg</w:t>
            </w: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1.3 mg/kg</w:t>
            </w:r>
          </w:p>
        </w:tc>
        <w:tc>
          <w:tcPr>
            <w:tcW w:w="7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N/A</w:t>
            </w:r>
          </w:p>
        </w:tc>
      </w:tr>
      <w:tr>
        <w:trPr>
          <w:trHeight w:val="243"/>
        </w:trPr>
        <w:tc>
          <w:tcPr>
            <w:tcW w:w="3960" w:type="dxa"/>
            <w:vAlign w:val="bottom"/>
            <w:tcBorders>
              <w:left w:val="single" w:sz="8" w:color="auto"/>
              <w:bottom w:val="single" w:sz="8" w:color="auto"/>
            </w:tcBorders>
          </w:tcPr>
          <w:p>
            <w:pPr>
              <w:jc w:val="center"/>
              <w:ind w:left="679"/>
              <w:spacing w:after="0"/>
              <w:rPr>
                <w:sz w:val="20"/>
                <w:szCs w:val="20"/>
                <w:color w:val="auto"/>
              </w:rPr>
            </w:pPr>
            <w:r>
              <w:rPr>
                <w:rFonts w:ascii="Arial" w:cs="Arial" w:eastAsia="Arial" w:hAnsi="Arial"/>
                <w:sz w:val="16"/>
                <w:szCs w:val="16"/>
                <w:color w:val="auto"/>
                <w:w w:val="90"/>
              </w:rPr>
              <w:t>Cycle 2 (28 days) and subsequent cycles</w:t>
            </w:r>
          </w:p>
        </w:tc>
        <w:tc>
          <w:tcPr>
            <w:tcW w:w="7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6"/>
                <w:szCs w:val="16"/>
                <w:color w:val="auto"/>
                <w:w w:val="93"/>
              </w:rPr>
              <w:t>1.3 mg/kg</w:t>
            </w:r>
          </w:p>
        </w:tc>
        <w:tc>
          <w:tcPr>
            <w:tcW w:w="112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6"/>
                <w:szCs w:val="16"/>
                <w:color w:val="auto"/>
                <w:w w:val="93"/>
              </w:rPr>
              <w:t>1.3 mg/kg</w:t>
            </w:r>
          </w:p>
        </w:tc>
        <w:tc>
          <w:tcPr>
            <w:tcW w:w="11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93"/>
              </w:rPr>
              <w:t>1.3 mg/kg</w:t>
            </w:r>
          </w:p>
        </w:tc>
        <w:tc>
          <w:tcPr>
            <w:tcW w:w="74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2"/>
              </w:rPr>
              <w:t>no drug</w:t>
            </w:r>
          </w:p>
        </w:tc>
      </w:tr>
    </w:tbl>
    <w:p>
      <w:pPr>
        <w:spacing w:after="0" w:line="7" w:lineRule="exact"/>
        <w:rPr>
          <w:sz w:val="20"/>
          <w:szCs w:val="20"/>
          <w:color w:val="auto"/>
        </w:rPr>
      </w:pPr>
    </w:p>
    <w:p>
      <w:pPr>
        <w:ind w:left="1320" w:hanging="90"/>
        <w:spacing w:after="0"/>
        <w:tabs>
          <w:tab w:leader="none" w:pos="132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all doses will be capped at 100 kg for patients with body weight &gt; 100 kg; N/A: not applicable as not part of the 21-day cycle</w:t>
      </w:r>
    </w:p>
    <w:p>
      <w:pPr>
        <w:spacing w:after="0" w:line="164" w:lineRule="exact"/>
        <w:rPr>
          <w:sz w:val="20"/>
          <w:szCs w:val="20"/>
          <w:color w:val="auto"/>
        </w:rPr>
      </w:pPr>
    </w:p>
    <w:p>
      <w:pPr>
        <w:ind w:left="260" w:right="40" w:firstLine="464"/>
        <w:spacing w:after="0" w:line="318" w:lineRule="auto"/>
        <w:rPr>
          <w:sz w:val="20"/>
          <w:szCs w:val="20"/>
          <w:color w:val="auto"/>
        </w:rPr>
      </w:pPr>
      <w:r>
        <w:rPr>
          <w:rFonts w:ascii="Arial" w:cs="Arial" w:eastAsia="Arial" w:hAnsi="Arial"/>
          <w:sz w:val="14"/>
          <w:szCs w:val="14"/>
          <w:color w:val="auto"/>
        </w:rPr>
        <w:t>In the Phase 1 component of the trial, treatment with ozuriftamab vedotin resulted in a durable complete response, or CR, in one out of one patient with metastatic melanoma who tested positive for ROR2 tumor membrane expression. This patient remains progression free approximately 3 years after initiating therapy. A second CR was achieved by one out of one evaluable melanoma patient in the Phase 2 component of the trial. In addition, two out of four patients with NSCLC who tested positive for ROR2 tumor membrane expression (~31% and ~49% tumor reduction) and one out of one patient who tested positive for ROR2 tumor membrane expression with advanced head and neck cancer (~64% tumor reduction) achieved partial responses. All of these patients had previously been treated with PD-1 therapy.</w:t>
      </w:r>
    </w:p>
    <w:p>
      <w:pPr>
        <w:spacing w:after="0" w:line="135" w:lineRule="exact"/>
        <w:rPr>
          <w:sz w:val="20"/>
          <w:szCs w:val="20"/>
          <w:color w:val="auto"/>
        </w:rPr>
      </w:pPr>
    </w:p>
    <w:p>
      <w:pPr>
        <w:ind w:left="260" w:right="320" w:firstLine="464"/>
        <w:spacing w:after="0" w:line="293" w:lineRule="auto"/>
        <w:rPr>
          <w:sz w:val="20"/>
          <w:szCs w:val="20"/>
          <w:color w:val="auto"/>
        </w:rPr>
      </w:pPr>
      <w:r>
        <w:rPr>
          <w:rFonts w:ascii="Arial" w:cs="Arial" w:eastAsia="Arial" w:hAnsi="Arial"/>
          <w:sz w:val="16"/>
          <w:szCs w:val="16"/>
          <w:color w:val="auto"/>
        </w:rPr>
        <w:t>Note that one of the ROR2 positive NSCLC patients that did not achieve a partial response was administered ozuriftamab vedotin at a suboptimal dose of 1.2 mg/kg 2Q3W as part of the dose escalation phase of the study.</w:t>
      </w:r>
    </w:p>
    <w:p>
      <w:pPr>
        <w:spacing w:after="0" w:line="158" w:lineRule="exact"/>
        <w:rPr>
          <w:sz w:val="20"/>
          <w:szCs w:val="20"/>
          <w:color w:val="auto"/>
        </w:rPr>
      </w:pPr>
    </w:p>
    <w:p>
      <w:pPr>
        <w:ind w:left="260" w:right="220" w:firstLine="464"/>
        <w:spacing w:after="0" w:line="278" w:lineRule="auto"/>
        <w:rPr>
          <w:sz w:val="20"/>
          <w:szCs w:val="20"/>
          <w:color w:val="auto"/>
        </w:rPr>
      </w:pPr>
      <w:r>
        <w:rPr>
          <w:rFonts w:ascii="Arial" w:cs="Arial" w:eastAsia="Arial" w:hAnsi="Arial"/>
          <w:sz w:val="16"/>
          <w:szCs w:val="16"/>
          <w:color w:val="auto"/>
        </w:rPr>
        <w:t>Similar to mecbotamab vedotin, ozuriftamab vedotin continues to be generally well-tolerated. We have not observed adverse events that appear to be related to on-target injury of normal, ROR2-expressing tissues. We believe that reported toxicities were consistent with off-target effects of free MMAE consistent with those described with other marketed MMAE-based ADCs.</w:t>
      </w:r>
    </w:p>
    <w:p>
      <w:pPr>
        <w:spacing w:after="0" w:line="360" w:lineRule="exact"/>
        <w:rPr>
          <w:sz w:val="20"/>
          <w:szCs w:val="20"/>
          <w:color w:val="auto"/>
        </w:rPr>
      </w:pPr>
    </w:p>
    <w:p>
      <w:pPr>
        <w:jc w:val="both"/>
        <w:ind w:left="260" w:right="140" w:firstLine="464"/>
        <w:spacing w:after="0" w:line="278" w:lineRule="auto"/>
        <w:rPr>
          <w:sz w:val="20"/>
          <w:szCs w:val="20"/>
          <w:color w:val="auto"/>
        </w:rPr>
      </w:pPr>
      <w:r>
        <w:rPr>
          <w:rFonts w:ascii="Arial" w:cs="Arial" w:eastAsia="Arial" w:hAnsi="Arial"/>
          <w:sz w:val="16"/>
          <w:szCs w:val="16"/>
          <w:color w:val="auto"/>
        </w:rPr>
        <w:t>In the Phase 1 trial, the Grade 3 or greater AEs or SAEs deemed related to ozuriftamab vedotin were consistent with MMAE-based toxicity and could generally be classified as either reversible myelosuppression (AEs: neutropenia, anemia), transient liver enzyme elevations (AEs: AST/ALT increased) or metabolic disturbances (AEs: hyperglycemia, hyponatremia, hypokalemia).</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u w:val="single" w:color="auto"/>
          <w:color w:val="auto"/>
        </w:rPr>
        <w:t>Phase 2 Clinical Development</w:t>
      </w:r>
    </w:p>
    <w:p>
      <w:pPr>
        <w:spacing w:after="0" w:line="113" w:lineRule="exact"/>
        <w:rPr>
          <w:sz w:val="20"/>
          <w:szCs w:val="20"/>
          <w:color w:val="auto"/>
        </w:rPr>
      </w:pPr>
    </w:p>
    <w:p>
      <w:pPr>
        <w:ind w:left="260" w:right="400" w:firstLine="458"/>
        <w:spacing w:after="0" w:line="324" w:lineRule="auto"/>
        <w:rPr>
          <w:sz w:val="20"/>
          <w:szCs w:val="20"/>
          <w:color w:val="auto"/>
        </w:rPr>
      </w:pPr>
      <w:r>
        <w:rPr>
          <w:rFonts w:ascii="Arial" w:cs="Arial" w:eastAsia="Arial" w:hAnsi="Arial"/>
          <w:sz w:val="14"/>
          <w:szCs w:val="14"/>
          <w:color w:val="auto"/>
        </w:rPr>
        <w:t>A Phase 2 open-label trial to evaluate the efficacy and safety of ozuriftamab vedotin alone and in combination with an anti-PD-1 agent in patients who have experienced prior disease progression on a PD1/L1 inhibitor and have a ROR2 TmPS of 1% or more is ongoing and metastatic NSCLC or melanoma who have measurable disease. Prior to seeking accelerated approval for either indication, we will seek feedback from the FDA and evaluate our ability to obtain accelerated approval. If acceptable, we plan to submit our proposed confirmatory trial design for FDA feedback and commence enrollment prior to our BLA submission.</w:t>
      </w:r>
    </w:p>
    <w:p>
      <w:pPr>
        <w:spacing w:after="0" w:line="130" w:lineRule="exact"/>
        <w:rPr>
          <w:sz w:val="20"/>
          <w:szCs w:val="20"/>
          <w:color w:val="auto"/>
        </w:rPr>
      </w:pPr>
    </w:p>
    <w:p>
      <w:pPr>
        <w:ind w:left="260" w:right="20" w:firstLine="458"/>
        <w:spacing w:after="0" w:line="297" w:lineRule="auto"/>
        <w:rPr>
          <w:sz w:val="20"/>
          <w:szCs w:val="20"/>
          <w:color w:val="auto"/>
        </w:rPr>
      </w:pPr>
      <w:r>
        <w:rPr>
          <w:rFonts w:ascii="Arial" w:cs="Arial" w:eastAsia="Arial" w:hAnsi="Arial"/>
          <w:sz w:val="15"/>
          <w:szCs w:val="15"/>
          <w:color w:val="auto"/>
        </w:rPr>
        <w:t>Approximately 60 ROR2 expressing NSCLC and 40 ROR2 agnostic melanoma patients with locally advanced unresectable solid tumors or metastatic disease are being enrolled. Enrolled patients are assigned to receive either ozuriftamab vedotin alone or in combination with an anti-PD-1 agent employing a dose and schedule as described in the table above. Primary endpoints include overall response rate, AEs, SAEs, and changes from baseline in laboratory parameters and vital signs. Key secondary endpoints include DOR, PFS, BOR, DCR, TTR, progression-free rate (PFR) at 12 weeks, OS, and percent change from baseline in tumor size.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We have also initiated a Phase 2 clinical trial of ozuriftamab vedotin as monotherapy in head and neck squamous cell carcinoma (SCCHN). The Phase 2 trial studying SCCHN is enrolling 40 patients who had experienced prior failure of a PD-1 agent delivered either as monotherapy or in combination with chemotherapy. Primary endpoints include overall response rate, AEs, SAEs, and changes from baseline in laboratory parameters and vital signs. Key secondary endpoints include DOR, PFS, BOR, DCR, TTR, progression-free rate (PFR) at 12 weeks, OS, and percent change from baseline in tumor size.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Additionally, a multi-center investigator-initiated trial of ozuriftamab vedotin led by CCTG in platinum-resistant ovarian cancer patients continues.</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CAB CTLA4 (BA3071)</w:t>
      </w:r>
    </w:p>
    <w:p>
      <w:pPr>
        <w:spacing w:after="0" w:line="127" w:lineRule="exact"/>
        <w:rPr>
          <w:sz w:val="20"/>
          <w:szCs w:val="20"/>
          <w:color w:val="auto"/>
        </w:rPr>
      </w:pPr>
    </w:p>
    <w:p>
      <w:pPr>
        <w:ind w:left="260" w:right="160" w:firstLine="464"/>
        <w:spacing w:after="0" w:line="328" w:lineRule="auto"/>
        <w:rPr>
          <w:sz w:val="20"/>
          <w:szCs w:val="20"/>
          <w:color w:val="auto"/>
        </w:rPr>
      </w:pPr>
      <w:r>
        <w:rPr>
          <w:rFonts w:ascii="Arial" w:cs="Arial" w:eastAsia="Arial" w:hAnsi="Arial"/>
          <w:sz w:val="15"/>
          <w:szCs w:val="15"/>
          <w:color w:val="auto"/>
        </w:rPr>
        <w:t>The Phase 1 dose-escalation trial of BA3071 in advanced solid tumor patients continues enrollment in the dose-escalation portion of the trial. We are evaluating the safety and tolerability of BA3071 at doses ranging from 7mg Q3W to 700mg Q3W as monotherapy and in combination with an anti-PD-1 antibody.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CAB EpCAM x CAB CD3 (BA3182)</w:t>
      </w:r>
    </w:p>
    <w:p>
      <w:pPr>
        <w:spacing w:after="0" w:line="113" w:lineRule="exact"/>
        <w:rPr>
          <w:sz w:val="20"/>
          <w:szCs w:val="20"/>
          <w:color w:val="auto"/>
        </w:rPr>
      </w:pPr>
    </w:p>
    <w:p>
      <w:pPr>
        <w:ind w:left="260" w:right="580" w:firstLine="464"/>
        <w:spacing w:after="0" w:line="293" w:lineRule="auto"/>
        <w:rPr>
          <w:sz w:val="20"/>
          <w:szCs w:val="20"/>
          <w:color w:val="auto"/>
        </w:rPr>
      </w:pPr>
      <w:r>
        <w:rPr>
          <w:rFonts w:ascii="Arial" w:cs="Arial" w:eastAsia="Arial" w:hAnsi="Arial"/>
          <w:sz w:val="16"/>
          <w:szCs w:val="16"/>
          <w:color w:val="auto"/>
        </w:rPr>
        <w:t>In February 2023 we received from the FDA clearance of our IND application to evaluate our CAB bispecific antibody product candidate BA3182 (CAB EpCAM x CAB CD3) for the treatment of advanced adenocarcinoma.</w:t>
      </w:r>
    </w:p>
    <w:p>
      <w:pPr>
        <w:spacing w:after="0" w:line="64" w:lineRule="exact"/>
        <w:rPr>
          <w:sz w:val="20"/>
          <w:szCs w:val="20"/>
          <w:color w:val="auto"/>
        </w:rPr>
      </w:pPr>
    </w:p>
    <w:p>
      <w:pPr>
        <w:jc w:val="both"/>
        <w:ind w:left="260" w:right="400" w:firstLine="464"/>
        <w:spacing w:after="0" w:line="335" w:lineRule="auto"/>
        <w:rPr>
          <w:sz w:val="20"/>
          <w:szCs w:val="20"/>
          <w:color w:val="auto"/>
        </w:rPr>
      </w:pPr>
      <w:r>
        <w:rPr>
          <w:rFonts w:ascii="Arial" w:cs="Arial" w:eastAsia="Arial" w:hAnsi="Arial"/>
          <w:sz w:val="14"/>
          <w:szCs w:val="14"/>
          <w:color w:val="auto"/>
        </w:rPr>
        <w:t>BA3182 is designed with an EpCAM binding domain and a CD3 binding domain, both binding domains with CAB activity (Dual-CAB). In our preclinical studies, we showed that a dosage of 1mg per kilogram of this construct twice per week in mice, which is roughly equivalent to 0.25 mg per kilogram in non-human primates, had a potent antitumor activity in a HCT116, a human colorectal carcinoma cell line, xenograft model in mice with a humanized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24130</wp:posOffset>
            </wp:positionV>
            <wp:extent cx="3643630" cy="2383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4363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Preclinical safety findings</w:t>
      </w:r>
    </w:p>
    <w:p>
      <w:pPr>
        <w:spacing w:after="0" w:line="127" w:lineRule="exact"/>
        <w:rPr>
          <w:sz w:val="20"/>
          <w:szCs w:val="20"/>
          <w:color w:val="auto"/>
        </w:rPr>
      </w:pPr>
    </w:p>
    <w:p>
      <w:pPr>
        <w:ind w:left="260" w:right="140" w:firstLine="458"/>
        <w:spacing w:after="0" w:line="278" w:lineRule="auto"/>
        <w:rPr>
          <w:sz w:val="20"/>
          <w:szCs w:val="20"/>
          <w:color w:val="auto"/>
        </w:rPr>
      </w:pPr>
      <w:r>
        <w:rPr>
          <w:rFonts w:ascii="Arial" w:cs="Arial" w:eastAsia="Arial" w:hAnsi="Arial"/>
          <w:sz w:val="16"/>
          <w:szCs w:val="16"/>
          <w:color w:val="auto"/>
        </w:rPr>
        <w:t>While there was no observable difference in antitumor efficacy between antibodies with CAB domains and those with conventional non-CAB antigen-binding domains, a conventional EpCAM x CD3 bispecific antibody led to a much higher level of undesirable systemic immune activation than the CAB EpCAM x CAB CD3 bispecific antibody in non-human primates.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u w:val="single" w:color="auto"/>
          <w:color w:val="auto"/>
        </w:rPr>
        <w:t>Preclinical candidates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CAB Nectin-4-ADC (BA3361)</w:t>
      </w:r>
    </w:p>
    <w:p>
      <w:pPr>
        <w:spacing w:after="0" w:line="113" w:lineRule="exact"/>
        <w:rPr>
          <w:sz w:val="20"/>
          <w:szCs w:val="20"/>
          <w:color w:val="auto"/>
        </w:rPr>
      </w:pPr>
    </w:p>
    <w:p>
      <w:pPr>
        <w:ind w:left="260" w:right="40" w:firstLine="788"/>
        <w:spacing w:after="0" w:line="273" w:lineRule="auto"/>
        <w:rPr>
          <w:sz w:val="20"/>
          <w:szCs w:val="20"/>
          <w:color w:val="auto"/>
        </w:rPr>
      </w:pPr>
      <w:r>
        <w:rPr>
          <w:rFonts w:ascii="Arial" w:cs="Arial" w:eastAsia="Arial" w:hAnsi="Arial"/>
          <w:sz w:val="16"/>
          <w:szCs w:val="16"/>
          <w:color w:val="auto"/>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CAB B7-H4-ADC (BA3151)</w:t>
      </w:r>
    </w:p>
    <w:p>
      <w:pPr>
        <w:spacing w:after="0" w:line="113" w:lineRule="exact"/>
        <w:rPr>
          <w:sz w:val="20"/>
          <w:szCs w:val="20"/>
          <w:color w:val="auto"/>
        </w:rPr>
      </w:pPr>
    </w:p>
    <w:p>
      <w:pPr>
        <w:ind w:left="260" w:right="240" w:firstLine="464"/>
        <w:spacing w:after="0" w:line="293" w:lineRule="auto"/>
        <w:rPr>
          <w:sz w:val="20"/>
          <w:szCs w:val="20"/>
          <w:color w:val="auto"/>
        </w:rPr>
      </w:pPr>
      <w:r>
        <w:rPr>
          <w:rFonts w:ascii="Arial" w:cs="Arial" w:eastAsia="Arial" w:hAnsi="Arial"/>
          <w:sz w:val="16"/>
          <w:szCs w:val="16"/>
          <w:color w:val="auto"/>
        </w:rPr>
        <w:t xml:space="preserve">B7-H4 is highly expressed on numerous tumor tissues and the expression level directly correlates with adverse clinical and pathological features. A set of lead molecules were characterized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including functional assays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models. Selection of the lead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candidate was based on criteria including high binding activity under tumor conditions and low binding activity under normal physiological conditions.</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CAB B7-H3 x CAB CD3 (BA3142)</w:t>
      </w:r>
    </w:p>
    <w:p>
      <w:pPr>
        <w:spacing w:after="0" w:line="113" w:lineRule="exact"/>
        <w:rPr>
          <w:sz w:val="20"/>
          <w:szCs w:val="20"/>
          <w:color w:val="auto"/>
        </w:rPr>
      </w:pPr>
    </w:p>
    <w:p>
      <w:pPr>
        <w:ind w:left="260" w:right="120" w:firstLine="458"/>
        <w:spacing w:after="0" w:line="289" w:lineRule="auto"/>
        <w:rPr>
          <w:sz w:val="20"/>
          <w:szCs w:val="20"/>
          <w:color w:val="auto"/>
        </w:rPr>
      </w:pPr>
      <w:r>
        <w:rPr>
          <w:rFonts w:ascii="Arial" w:cs="Arial" w:eastAsia="Arial" w:hAnsi="Arial"/>
          <w:sz w:val="15"/>
          <w:szCs w:val="15"/>
          <w:color w:val="auto"/>
        </w:rPr>
        <w:t>We believe that our CAB technology opens up the opportunity for the creation of a broad set of bispecific product candidates with antitumor potential. Through these CAB bispecific antibodies, we believe we can activate T cells directly in tumors using CAB domains targeting tumor-specific antigens. Our CAB bispecific antibodies are not expected to lead to systemic immune activation, which we believe may allow for increased efficacy through more potent T cell activation, higher doses or administration in combination with other immuno-oncology therapies, such as checkpoint inhibitors. We have shown in preclinical experiments that our CAB bispecific molecules meet or exceed the activity of conventional bispecifics and reduce systemic activation of potentially fatal immune responses. In February 2023 we received from the FDA clearance of our IND application to evaluate our CAB bispecific antibody product candidate BA3182 (CAB EpCAM x CAB CD3) and we are conducting IND enabling studies in other bispecific antibody candidates.</w:t>
      </w:r>
    </w:p>
    <w:p>
      <w:pPr>
        <w:spacing w:after="0" w:line="58"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Our second bispecific product candidate, BA3142, is a dual-CAB T-cell engager targeting B7-H3, a protein expressed on many solid tumors. The lead molecule was characterized by multiple assays including functional assays, and by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CAB EGFR x CAB CD3</w:t>
      </w:r>
    </w:p>
    <w:p>
      <w:pPr>
        <w:spacing w:after="0" w:line="113" w:lineRule="exact"/>
        <w:rPr>
          <w:sz w:val="20"/>
          <w:szCs w:val="20"/>
          <w:color w:val="auto"/>
        </w:rPr>
      </w:pPr>
    </w:p>
    <w:p>
      <w:pPr>
        <w:ind w:left="260" w:right="80" w:firstLine="458"/>
        <w:spacing w:after="0" w:line="273" w:lineRule="auto"/>
        <w:rPr>
          <w:sz w:val="20"/>
          <w:szCs w:val="20"/>
          <w:color w:val="auto"/>
        </w:rPr>
      </w:pPr>
      <w:r>
        <w:rPr>
          <w:rFonts w:ascii="Arial" w:cs="Arial" w:eastAsia="Arial" w:hAnsi="Arial"/>
          <w:sz w:val="16"/>
          <w:szCs w:val="16"/>
          <w:color w:val="auto"/>
        </w:rPr>
        <w:t>Targeting EGFR with a CAB bispecific antibody is expected to provide benefit since the target is widely expressed in healthy tissue, such as skin, which would otherwise result in on-target, off-tumor toxicity if targeted by a non-CAB antibody. A set of lead molecules were characterized by multiple assays including functional assays and all demonstrated high activity at acidic pH with little to no activity under physiological conditions. Two molecules are in development: a mono-CAB (EGFR x CAB CD3) and a dual-CAB (CAB EGFR x CAB CD3).</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CAB Nectin 4 x CAB CD3 (BA3362)</w:t>
      </w:r>
    </w:p>
    <w:p>
      <w:pPr>
        <w:spacing w:after="0" w:line="127" w:lineRule="exact"/>
        <w:rPr>
          <w:sz w:val="20"/>
          <w:szCs w:val="20"/>
          <w:color w:val="auto"/>
        </w:rPr>
      </w:pPr>
    </w:p>
    <w:p>
      <w:pPr>
        <w:ind w:left="260" w:right="700" w:firstLine="458"/>
        <w:spacing w:after="0" w:line="293" w:lineRule="auto"/>
        <w:rPr>
          <w:sz w:val="20"/>
          <w:szCs w:val="20"/>
          <w:color w:val="auto"/>
        </w:rPr>
      </w:pPr>
      <w:r>
        <w:rPr>
          <w:rFonts w:ascii="Arial" w:cs="Arial" w:eastAsia="Arial" w:hAnsi="Arial"/>
          <w:sz w:val="16"/>
          <w:szCs w:val="16"/>
          <w:color w:val="auto"/>
        </w:rPr>
        <w:t xml:space="preserve">BA3362 is a dual CAB bispecific product candidate. The cell line development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study are completed. Non-GLP toxicology study in cynomolgus monkeys is in progress.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Competition</w:t>
      </w:r>
    </w:p>
    <w:p>
      <w:pPr>
        <w:spacing w:after="0" w:line="117" w:lineRule="exact"/>
        <w:rPr>
          <w:sz w:val="20"/>
          <w:szCs w:val="20"/>
          <w:color w:val="auto"/>
        </w:rPr>
      </w:pPr>
    </w:p>
    <w:p>
      <w:pPr>
        <w:ind w:left="260" w:right="20" w:firstLine="458"/>
        <w:spacing w:after="0" w:line="288" w:lineRule="auto"/>
        <w:rPr>
          <w:sz w:val="20"/>
          <w:szCs w:val="20"/>
          <w:color w:val="auto"/>
        </w:rPr>
      </w:pPr>
      <w:r>
        <w:rPr>
          <w:rFonts w:ascii="Arial" w:cs="Arial" w:eastAsia="Arial" w:hAnsi="Arial"/>
          <w:sz w:val="15"/>
          <w:szCs w:val="15"/>
          <w:color w:val="auto"/>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spacing w:after="0" w:line="167" w:lineRule="exact"/>
        <w:rPr>
          <w:sz w:val="20"/>
          <w:szCs w:val="20"/>
          <w:color w:val="auto"/>
        </w:rPr>
      </w:pPr>
    </w:p>
    <w:p>
      <w:pPr>
        <w:ind w:left="260" w:right="40" w:firstLine="458"/>
        <w:spacing w:after="0" w:line="297" w:lineRule="auto"/>
        <w:rPr>
          <w:sz w:val="20"/>
          <w:szCs w:val="20"/>
          <w:color w:val="auto"/>
        </w:rPr>
      </w:pPr>
      <w:r>
        <w:rPr>
          <w:rFonts w:ascii="Arial" w:cs="Arial" w:eastAsia="Arial" w:hAnsi="Arial"/>
          <w:sz w:val="15"/>
          <w:szCs w:val="15"/>
          <w:color w:val="auto"/>
        </w:rPr>
        <w:t>There are several companies in various stages of clinical development of ADCs, one of the key features of our product candidates mecbotamab vedotin and ozuriftamab vedotin. Currently, there are multiple approved ADCs and many more in clinical development, the vast majority of which were being developed for the treatment of cancer. Certain other companies are also pursuing antibody therapies in immuno-oncology, such as Seattle Genetics. Although we do not believe competing companies have selective CAB technology, there is a wide array of activity in multiple areas of immune-based cellular therapies for oncology.</w:t>
      </w:r>
    </w:p>
    <w:p>
      <w:pPr>
        <w:spacing w:after="0" w:line="145" w:lineRule="exact"/>
        <w:rPr>
          <w:sz w:val="20"/>
          <w:szCs w:val="20"/>
          <w:color w:val="auto"/>
        </w:rPr>
      </w:pPr>
    </w:p>
    <w:p>
      <w:pPr>
        <w:ind w:left="260" w:right="100" w:firstLine="458"/>
        <w:spacing w:after="0" w:line="271" w:lineRule="auto"/>
        <w:rPr>
          <w:sz w:val="20"/>
          <w:szCs w:val="20"/>
          <w:color w:val="auto"/>
        </w:rPr>
      </w:pPr>
      <w:r>
        <w:rPr>
          <w:rFonts w:ascii="Arial" w:cs="Arial" w:eastAsia="Arial" w:hAnsi="Arial"/>
          <w:sz w:val="16"/>
          <w:szCs w:val="16"/>
          <w:color w:val="auto"/>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spacing w:after="0" w:line="163"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rapidly than we may obtain approval for ours, which could result in our competitors establishing a strong market position before we are able to enter the market.</w:t>
      </w:r>
    </w:p>
    <w:p>
      <w:pPr>
        <w:spacing w:after="0" w:line="32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Manufacturing</w:t>
      </w:r>
    </w:p>
    <w:p>
      <w:pPr>
        <w:spacing w:after="0" w:line="117" w:lineRule="exact"/>
        <w:rPr>
          <w:sz w:val="20"/>
          <w:szCs w:val="20"/>
          <w:color w:val="auto"/>
        </w:rPr>
      </w:pPr>
    </w:p>
    <w:p>
      <w:pPr>
        <w:ind w:left="260" w:firstLine="458"/>
        <w:spacing w:after="0" w:line="258" w:lineRule="auto"/>
        <w:rPr>
          <w:sz w:val="20"/>
          <w:szCs w:val="20"/>
          <w:color w:val="auto"/>
        </w:rPr>
      </w:pPr>
      <w:r>
        <w:rPr>
          <w:rFonts w:ascii="Arial" w:cs="Arial" w:eastAsia="Arial" w:hAnsi="Arial"/>
          <w:sz w:val="16"/>
          <w:szCs w:val="16"/>
          <w:color w:val="auto"/>
        </w:rPr>
        <w:t>Our CAB antibodies are designed and produced using our patented Comprehensive Integrated Antibody Optimization</w:t>
      </w:r>
      <w:r>
        <w:rPr>
          <w:rFonts w:ascii="Arial" w:cs="Arial" w:eastAsia="Arial" w:hAnsi="Arial"/>
          <w:sz w:val="21"/>
          <w:szCs w:val="21"/>
          <w:color w:val="auto"/>
          <w:vertAlign w:val="superscript"/>
        </w:rPr>
        <w:t>TM</w:t>
      </w:r>
      <w:r>
        <w:rPr>
          <w:rFonts w:ascii="Arial" w:cs="Arial" w:eastAsia="Arial" w:hAnsi="Arial"/>
          <w:sz w:val="16"/>
          <w:szCs w:val="16"/>
          <w:color w:val="auto"/>
        </w:rPr>
        <w:t>, or CIAO!</w:t>
      </w:r>
      <w:r>
        <w:rPr>
          <w:rFonts w:ascii="Arial" w:cs="Arial" w:eastAsia="Arial" w:hAnsi="Arial"/>
          <w:sz w:val="21"/>
          <w:szCs w:val="21"/>
          <w:color w:val="auto"/>
          <w:vertAlign w:val="superscript"/>
        </w:rPr>
        <w:t>TM</w:t>
      </w:r>
      <w:r>
        <w:rPr>
          <w:rFonts w:ascii="Arial" w:cs="Arial" w:eastAsia="Arial" w:hAnsi="Arial"/>
          <w:sz w:val="16"/>
          <w:szCs w:val="16"/>
          <w:color w:val="auto"/>
        </w:rPr>
        <w:t>,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spacing w:after="0" w:line="188" w:lineRule="exact"/>
        <w:rPr>
          <w:sz w:val="20"/>
          <w:szCs w:val="20"/>
          <w:color w:val="auto"/>
        </w:rPr>
      </w:pPr>
    </w:p>
    <w:p>
      <w:pPr>
        <w:ind w:left="260" w:right="40" w:firstLine="458"/>
        <w:spacing w:after="0" w:line="308" w:lineRule="auto"/>
        <w:rPr>
          <w:sz w:val="20"/>
          <w:szCs w:val="20"/>
          <w:color w:val="auto"/>
        </w:rPr>
      </w:pPr>
      <w:r>
        <w:rPr>
          <w:rFonts w:ascii="Arial" w:cs="Arial" w:eastAsia="Arial" w:hAnsi="Arial"/>
          <w:sz w:val="14"/>
          <w:szCs w:val="14"/>
          <w:color w:val="auto"/>
        </w:rPr>
        <w:t>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or cGMPs, and project management experience to oversee our third-party manufacturers and to manage manufacturing and quality data and information for regulatory compliance purposes.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Collaborations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intend to selectively enter into collaborations to maximize the value of our platform and pipeline.</w:t>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License Agreements and Strategic Collaborations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Collaboration and Supply Agreement with Bristol-Myers Squibb</w:t>
      </w:r>
    </w:p>
    <w:p>
      <w:pPr>
        <w:spacing w:after="0" w:line="127" w:lineRule="exact"/>
        <w:rPr>
          <w:sz w:val="20"/>
          <w:szCs w:val="20"/>
          <w:color w:val="auto"/>
        </w:rPr>
      </w:pPr>
    </w:p>
    <w:p>
      <w:pPr>
        <w:ind w:left="260" w:right="60" w:firstLine="458"/>
        <w:spacing w:after="0" w:line="269" w:lineRule="auto"/>
        <w:rPr>
          <w:sz w:val="20"/>
          <w:szCs w:val="20"/>
          <w:color w:val="auto"/>
        </w:rPr>
      </w:pPr>
      <w:r>
        <w:rPr>
          <w:rFonts w:ascii="Arial" w:cs="Arial" w:eastAsia="Arial" w:hAnsi="Arial"/>
          <w:sz w:val="16"/>
          <w:szCs w:val="16"/>
          <w:color w:val="auto"/>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and ozuriftamab vedotin, each in combination with Opdivo® (nivolumab), BMS’ proprietary anti-PD-1 monoclonal antibody product. We serve as the study sponsor of the scheduled studies and are responsible for costs associated with the trial execution. BMS provides Opdivo® clinical drug supply at no cost for the combination study trials. After the completion of the combination therapy trials, we are obligated to provide BMS with a final report of the data resulting from the trial. The BMS agreement was amended in October 2022 to include additional territories for our combination study trials for mecbotamab vedotin and ozuriftamab vedotin.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Global Co-Development and Collaboration Agreement with BeiGene, Ltd.</w:t>
      </w:r>
    </w:p>
    <w:p>
      <w:pPr>
        <w:spacing w:after="0" w:line="113" w:lineRule="exact"/>
        <w:rPr>
          <w:sz w:val="20"/>
          <w:szCs w:val="20"/>
          <w:color w:val="auto"/>
        </w:rPr>
      </w:pPr>
    </w:p>
    <w:p>
      <w:pPr>
        <w:ind w:left="260" w:right="200" w:firstLine="458"/>
        <w:spacing w:after="0" w:line="273" w:lineRule="auto"/>
        <w:rPr>
          <w:sz w:val="20"/>
          <w:szCs w:val="20"/>
          <w:color w:val="auto"/>
        </w:rPr>
      </w:pPr>
      <w:r>
        <w:rPr>
          <w:rFonts w:ascii="Arial" w:cs="Arial" w:eastAsia="Arial" w:hAnsi="Arial"/>
          <w:sz w:val="16"/>
          <w:szCs w:val="16"/>
          <w:color w:val="auto"/>
        </w:rPr>
        <w:t>In April 2019, we entered into a Global Co-Development and Collaboration Agreement with BeiGene, Ltd. which, as amended in December 2019 and October 2020, provided for the development, manufacturing and commercialization of BioAtla’s investigational CAB CTLA-4 antibody, BA3071. Under the terms of our BeiGene collaboration, BeiGene was generally responsible for developing the CAB CTLA-4 antibody and for global regulatory filings and commercialization. We received a total of $25 million in payments from BeiGene.</w:t>
      </w:r>
    </w:p>
    <w:p>
      <w:pPr>
        <w:spacing w:after="0" w:line="162" w:lineRule="exact"/>
        <w:rPr>
          <w:sz w:val="20"/>
          <w:szCs w:val="20"/>
          <w:color w:val="auto"/>
        </w:rPr>
      </w:pPr>
    </w:p>
    <w:p>
      <w:pPr>
        <w:ind w:left="260" w:right="20" w:firstLine="464"/>
        <w:spacing w:after="0" w:line="271" w:lineRule="auto"/>
        <w:rPr>
          <w:sz w:val="20"/>
          <w:szCs w:val="20"/>
          <w:color w:val="auto"/>
        </w:rPr>
      </w:pPr>
      <w:r>
        <w:rPr>
          <w:rFonts w:ascii="Arial" w:cs="Arial" w:eastAsia="Arial" w:hAnsi="Arial"/>
          <w:sz w:val="16"/>
          <w:szCs w:val="16"/>
          <w:color w:val="auto"/>
        </w:rPr>
        <w:t>On November 19, 2021, we entered into Amendment No. 3 to the Global Co-Development and Collaboration Agreement (“Amendment No. 3”). Under Amendment No. 3, the collaboration agreement was terminated, subject to survival of certain provisions, and BeiGene handed back rights to certain know-how and materials received under the collaboration agreement and we assumed responsibility for the development and commercialization of BA3071, in addition to other standard provisions. As consideration for Amendment No. 3, we agreed to pay BeiGene mid-single digit royalties on sales worldwide and on a limited basis will share in any upfront and milestone payments received through a sublicense of BA3071.</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Exclusive License Agreement with Inversagen, LLC</w:t>
      </w:r>
    </w:p>
    <w:p>
      <w:pPr>
        <w:spacing w:after="0" w:line="113"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In March 2019, we entered into an Exclusive License Agreement with Inversagen, LLC, as amended in July 2020. Under the terms of the agreement, we granted Inversagen an exclusive, worldwide, royalty-bearing license under certain patents and know-how controlled by us to develop, make, have made, sell, have sold, offer for sale and import CAB-antibodies for the field of diseases associated with aging, outside of cancer, and an immuno-oncology antibody. We may perform development services under the agreement and will be reimbursed by Inversagen for our costs. Commencing on the first commercial sale of the CAB-antibodies and immuno-oncology antibody subject to the agreement, Inversagen will pay us royalties in the mid-single digits, which represents a variable interest held by us. We have an option for a period of 10 years to acquire the sole and exclusive rights solely to develop, make, have made, use, sell, have sold, offer for sale and import the immuno-oncology antibody 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line="267" w:lineRule="auto"/>
        <w:rPr>
          <w:sz w:val="20"/>
          <w:szCs w:val="20"/>
          <w:color w:val="auto"/>
        </w:rPr>
      </w:pPr>
      <w:r>
        <w:rPr>
          <w:rFonts w:ascii="Arial" w:cs="Arial" w:eastAsia="Arial" w:hAnsi="Arial"/>
          <w:sz w:val="16"/>
          <w:szCs w:val="16"/>
          <w:color w:val="auto"/>
        </w:rPr>
        <w:t>the field worldwide (except for the People’s Republic of China, Hong Kong, Taiwan and Macau) in return for royalty payments in the low-single digits during the applicable royalty term. For both royalties paid to us by Inversagen and, upon exercise of our option, royalties paid to Inversagen by us, the royalty term, on a product-by-product basis, is the period of time commencing on the first commercial sale of such product in a country and ending upon the later to occur of (i) expiration of the last-to-expire valid claim of the patent rights controlled by us or by Inversagen covering the manufacture, use, sale, offer for sale or import of such product, (ii) 10 years following the first commercial sale of such product in such country and (iii) the expiration of regulatory exclusivity for such product in such country. Unless earlier terminated, the agreement continues in effect so long as Inversagen or any of its affiliates, licensees or sublicensees are developing or commercializing the CAB-antibodies or immuno-oncology antibody in the field or we or any of our affiliates, licensees or sublicensees are developing or commercializing the CAB-antibodies or immuno-oncology antibody outside the field. We can also terminate the agreement with 30 days prior written notice for Inversagen’s failure to pay. No payments have been made to date.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Amended and Restated Exclusive Rights Agreement with Himalaya Therapeutics SEZC</w:t>
      </w:r>
    </w:p>
    <w:p>
      <w:pPr>
        <w:spacing w:after="0" w:line="127" w:lineRule="exact"/>
        <w:rPr>
          <w:sz w:val="20"/>
          <w:szCs w:val="20"/>
          <w:color w:val="auto"/>
        </w:rPr>
      </w:pPr>
    </w:p>
    <w:p>
      <w:pPr>
        <w:ind w:left="260" w:right="40" w:firstLine="458"/>
        <w:spacing w:after="0" w:line="307" w:lineRule="auto"/>
        <w:rPr>
          <w:sz w:val="20"/>
          <w:szCs w:val="20"/>
          <w:color w:val="auto"/>
        </w:rPr>
      </w:pPr>
      <w:r>
        <w:rPr>
          <w:rFonts w:ascii="Arial" w:cs="Arial" w:eastAsia="Arial" w:hAnsi="Arial"/>
          <w:sz w:val="14"/>
          <w:szCs w:val="14"/>
          <w:color w:val="auto"/>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Exclusive License Agreement with BioAtla Holdings, LLC</w:t>
      </w:r>
    </w:p>
    <w:p>
      <w:pPr>
        <w:spacing w:after="0" w:line="113" w:lineRule="exact"/>
        <w:rPr>
          <w:sz w:val="20"/>
          <w:szCs w:val="20"/>
          <w:color w:val="auto"/>
        </w:rPr>
      </w:pPr>
    </w:p>
    <w:p>
      <w:pPr>
        <w:ind w:left="260" w:right="20" w:firstLine="458"/>
        <w:spacing w:after="0" w:line="285" w:lineRule="auto"/>
        <w:rPr>
          <w:sz w:val="20"/>
          <w:szCs w:val="20"/>
          <w:color w:val="auto"/>
        </w:rPr>
      </w:pPr>
      <w:r>
        <w:rPr>
          <w:rFonts w:ascii="Arial" w:cs="Arial" w:eastAsia="Arial" w:hAnsi="Arial"/>
          <w:sz w:val="15"/>
          <w:szCs w:val="15"/>
          <w:color w:val="auto"/>
        </w:rPr>
        <w:t>In January 2020, we entered into an Exclusive License Agreement with BioAtla Holdings, LLC, as amended in July 2020. Under the terms of the agreement, we granted BioAtla Holdings an exclusive, worldwide license under certain patents and know-how controlled by us to develop, make, have made, use, sell, have sold, offer for sale and import CAB antibodies for certain targets in the field of Adoptive Cell Therapy, or ACT (CAR-T). Commencing on the first commercial sale of the CAB antibodies subject to the agreement, BioAtla Holdings will pay us royalties in the mid-single digits, which represents a variable interest held by us. We have an option for a period of 10 years to acquire the sole and exclusive rights solely to develop, make, have made, use, sell, have sold, offer for sale and import the ACT preparations and ACT treatments in the ACT field worldwide (except for the People’s Republic of China, Hong Kong, Taiwan and Macau) in return for royalty payments in the low-single digits during the applicable royalty term. For both royalties paid to us by BioAtla Holdings and, upon exercise of our option, royalties paid to BioAtla Holdings by us, the royalty term, on a product-by-product basis, is the period of time commencing on the first commercial sale of such product in a country and ending upon the expiration of the last-to-expire valid claim of the patent rights controlled by us or by BioAtla Holdings covering the manufacture, use, sale, offer for sale or import of such product. We will not owe BioAtla Holdings any milestone or royalty payments unless we exercise our option to acquire the rights to the ACT preparations and ACT treatments. During the term of the agreement, we agreed not to develop, make, have made, use, sell, have sold, offer for sale or import any CAB ACT treatment in the field of ACT. Unless earlier terminated, the agreement continues in effect so long as BioAtla Holdings or any of its affiliates, licensees or sublicensees are developing or commercializing the ACT preparations and treatments in the ACT field or we or any of our affiliates, licensees or sublicensees are developing or commercializing any CAB non-ACT product for any indication outside the ACT field. The agreement may be terminated only by the mutual written agreement of the parties. No payments have been made to date.</w:t>
      </w:r>
    </w:p>
    <w:p>
      <w:pPr>
        <w:spacing w:after="0" w:line="168" w:lineRule="exact"/>
        <w:rPr>
          <w:sz w:val="20"/>
          <w:szCs w:val="20"/>
          <w:color w:val="auto"/>
        </w:rPr>
      </w:pPr>
    </w:p>
    <w:p>
      <w:pPr>
        <w:ind w:left="260" w:right="200" w:firstLine="458"/>
        <w:spacing w:after="0" w:line="293" w:lineRule="auto"/>
        <w:rPr>
          <w:sz w:val="20"/>
          <w:szCs w:val="20"/>
          <w:color w:val="auto"/>
        </w:rPr>
      </w:pPr>
      <w:r>
        <w:rPr>
          <w:rFonts w:ascii="Arial" w:cs="Arial" w:eastAsia="Arial" w:hAnsi="Arial"/>
          <w:sz w:val="16"/>
          <w:szCs w:val="16"/>
          <w:color w:val="auto"/>
        </w:rPr>
        <w:t>In addition, effective January 2020, we entered into a Royalty Sharing Agreement whereby we agreed to share with BioAtla Holdings 50% of the royalties we receive under the license agreement with EXUMA Biotech Corp. (formerly F1 Oncology, Inc.) described below.</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Amended and Restated Exclusive License Agreement with EXUMA Biotech Corp</w:t>
      </w:r>
    </w:p>
    <w:p>
      <w:pPr>
        <w:spacing w:after="0" w:line="113" w:lineRule="exact"/>
        <w:rPr>
          <w:sz w:val="20"/>
          <w:szCs w:val="20"/>
          <w:color w:val="auto"/>
        </w:rPr>
      </w:pPr>
    </w:p>
    <w:p>
      <w:pPr>
        <w:ind w:left="260" w:right="80" w:firstLine="458"/>
        <w:spacing w:after="0" w:line="293" w:lineRule="auto"/>
        <w:rPr>
          <w:sz w:val="20"/>
          <w:szCs w:val="20"/>
          <w:color w:val="auto"/>
        </w:rPr>
      </w:pPr>
      <w:r>
        <w:rPr>
          <w:rFonts w:ascii="Arial" w:cs="Arial" w:eastAsia="Arial" w:hAnsi="Arial"/>
          <w:sz w:val="15"/>
          <w:szCs w:val="15"/>
          <w:color w:val="auto"/>
        </w:rPr>
        <w:t>In May 2016, we entered into an Exclusive License Agreement with EXUMA Biotech Corp. (“EXUMA”, formerly F1 Oncology, Inc.) and its affiliates, which, as amended in July 2016 and November 2017 and as amended and restated in November 2019, granted an exclusive, worldwide, sublicensable license under certain patents and know-how controlled by us to develop, manufacture and commercialize four CAB ACT (CAR-T) preparations and treatments for cancer. EXUMA granted us an exclusive, worldwide, royalty free, fully paid-up, sublicensable license under certain patents and know-how controlled by EXUMA and EXUMA’s interest in technology jointly developed under the agreement to develop, manufacture and commercialize non-ACT CAB products for any indication.</w:t>
      </w:r>
    </w:p>
    <w:p>
      <w:pPr>
        <w:spacing w:after="0" w:line="162" w:lineRule="exact"/>
        <w:rPr>
          <w:sz w:val="20"/>
          <w:szCs w:val="20"/>
          <w:color w:val="auto"/>
        </w:rPr>
      </w:pPr>
    </w:p>
    <w:p>
      <w:pPr>
        <w:ind w:left="260" w:right="60" w:firstLine="458"/>
        <w:spacing w:after="0" w:line="273" w:lineRule="auto"/>
        <w:rPr>
          <w:sz w:val="20"/>
          <w:szCs w:val="20"/>
          <w:color w:val="auto"/>
        </w:rPr>
      </w:pPr>
      <w:r>
        <w:rPr>
          <w:rFonts w:ascii="Arial" w:cs="Arial" w:eastAsia="Arial" w:hAnsi="Arial"/>
          <w:sz w:val="16"/>
          <w:szCs w:val="16"/>
          <w:color w:val="auto"/>
        </w:rPr>
        <w:t>EXUMA is obligated to pay us during the royalty term, on a product-by-product basis and country-by-country basis, mid-single-digit royalties based on annual net sales of certain EXUMA ACT products, subject to certain adjustments. The term during which EXUMA is obligated to pay royalties under the agreement with respect to any particular product in any particular country, will begin on the first commercial sale of such product in such country and will end on the date of expiration of the last-to-expire of certain product-related patent rights in such country.</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140" w:firstLine="458"/>
        <w:spacing w:after="0" w:line="278" w:lineRule="auto"/>
        <w:rPr>
          <w:sz w:val="20"/>
          <w:szCs w:val="20"/>
          <w:color w:val="auto"/>
        </w:rPr>
      </w:pPr>
      <w:r>
        <w:rPr>
          <w:rFonts w:ascii="Arial" w:cs="Arial" w:eastAsia="Arial" w:hAnsi="Arial"/>
          <w:sz w:val="16"/>
          <w:szCs w:val="16"/>
          <w:color w:val="auto"/>
        </w:rPr>
        <w:t>Unless earlier terminated, the agreement continues in effect so long as EXUMA or any of its affiliates, licensees or sublicensees are developing or commercializing any EXUMA products in the ACT field or we or any of our affiliates, licensees or sublicensees are developing or commercializing any CAB products for any indication outside the ACT field. The agreement may be terminated only by the mutual written agreement of the parties.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CHO-S Cell Line License Agreement with Life Technologies Corporation</w:t>
      </w:r>
    </w:p>
    <w:p>
      <w:pPr>
        <w:spacing w:after="0" w:line="113" w:lineRule="exact"/>
        <w:rPr>
          <w:sz w:val="20"/>
          <w:szCs w:val="20"/>
          <w:color w:val="auto"/>
        </w:rPr>
      </w:pPr>
    </w:p>
    <w:p>
      <w:pPr>
        <w:ind w:left="260" w:right="140" w:firstLine="458"/>
        <w:spacing w:after="0" w:line="269" w:lineRule="auto"/>
        <w:rPr>
          <w:sz w:val="20"/>
          <w:szCs w:val="20"/>
          <w:color w:val="auto"/>
        </w:rPr>
      </w:pPr>
      <w:r>
        <w:rPr>
          <w:rFonts w:ascii="Arial" w:cs="Arial" w:eastAsia="Arial" w:hAnsi="Arial"/>
          <w:sz w:val="16"/>
          <w:szCs w:val="16"/>
          <w:color w:val="auto"/>
        </w:rPr>
        <w:t>On June 28, 2018, we entered into the CHO-S Cell Line License Agreement with Life Technologies Corporation. Under the terms of the agreement, Life Technologies Corporation provides and grants to us a worldwide, non-exclusive, royalty-free, non-sublicensable license to use certain CHO-S cells to make, or have made, recombinant proteins for clinical or commercial purposes and to seek regulatory approval for the sale of such recombinant proteins in exchange for a one-time, non-refundable, non-creditable license fee of $400,000. No royalties are due by us to Life Technologies Corporation under the agreement. Additional specific lots of Life Technologies Corporation’s recombinant proteins may be ordered by us for an additional fee of $50,000 per lot. The term of the agreement continues in perpetuity unless terminated by either party.</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Intellectual property</w:t>
      </w:r>
    </w:p>
    <w:p>
      <w:pPr>
        <w:spacing w:after="0" w:line="117" w:lineRule="exact"/>
        <w:rPr>
          <w:sz w:val="20"/>
          <w:szCs w:val="20"/>
          <w:color w:val="auto"/>
        </w:rPr>
      </w:pPr>
    </w:p>
    <w:p>
      <w:pPr>
        <w:ind w:left="260" w:right="20" w:firstLine="458"/>
        <w:spacing w:after="0" w:line="293" w:lineRule="auto"/>
        <w:rPr>
          <w:sz w:val="20"/>
          <w:szCs w:val="20"/>
          <w:color w:val="auto"/>
        </w:rPr>
      </w:pPr>
      <w:r>
        <w:rPr>
          <w:rFonts w:ascii="Arial" w:cs="Arial" w:eastAsia="Arial" w:hAnsi="Arial"/>
          <w:sz w:val="15"/>
          <w:szCs w:val="15"/>
          <w:color w:val="auto"/>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March 1, 2023, we had 711 patents and patent applications with 435 issued patents, 5 allowed applications, and 271 pending applications.</w:t>
      </w:r>
    </w:p>
    <w:p>
      <w:pPr>
        <w:spacing w:after="0" w:line="54"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We recognize that the ability to obtain patent protection and the degree of such protection depends on a number of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spacing w:after="0" w:line="67" w:lineRule="exact"/>
        <w:rPr>
          <w:sz w:val="20"/>
          <w:szCs w:val="20"/>
          <w:color w:val="auto"/>
        </w:rPr>
      </w:pPr>
    </w:p>
    <w:p>
      <w:pPr>
        <w:ind w:left="260" w:right="40" w:firstLine="458"/>
        <w:spacing w:after="0" w:line="288" w:lineRule="auto"/>
        <w:rPr>
          <w:sz w:val="20"/>
          <w:szCs w:val="20"/>
          <w:color w:val="auto"/>
        </w:rPr>
      </w:pPr>
      <w:r>
        <w:rPr>
          <w:rFonts w:ascii="Arial" w:cs="Arial" w:eastAsia="Arial" w:hAnsi="Arial"/>
          <w:sz w:val="15"/>
          <w:szCs w:val="15"/>
          <w:color w:val="auto"/>
        </w:rPr>
        <w:t>We file our applications with the U.S. Patent and Trademark Office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spacing w:after="0" w:line="59" w:lineRule="exact"/>
        <w:rPr>
          <w:sz w:val="20"/>
          <w:szCs w:val="20"/>
          <w:color w:val="auto"/>
        </w:rPr>
      </w:pPr>
    </w:p>
    <w:p>
      <w:pPr>
        <w:ind w:left="260" w:right="120" w:firstLine="458"/>
        <w:spacing w:after="0" w:line="289" w:lineRule="auto"/>
        <w:rPr>
          <w:sz w:val="20"/>
          <w:szCs w:val="20"/>
          <w:color w:val="auto"/>
        </w:rPr>
      </w:pPr>
      <w:r>
        <w:rPr>
          <w:rFonts w:ascii="Arial" w:cs="Arial" w:eastAsia="Arial" w:hAnsi="Arial"/>
          <w:sz w:val="15"/>
          <w:szCs w:val="15"/>
          <w:color w:val="auto"/>
        </w:rPr>
        <w:t>Subsequently, when appropriate, we pursue patent applications in foreign countries. The PCT system for filing international patent applications is used. This system allows a single application to be filed within 12 months of the original priority date of the patent application designating all 157 PCT member states (including countries in South, Central and North America, Africa, Europe, Asia and Australia) in which national/regional patent applications can later be pursued based on the international patent application filed under the PCT. At the end of a period of 2 1/2 years from the first priority date of the PCT patent application, separate patent applications can be pursued in any of the 157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spacing w:after="0" w:line="72" w:lineRule="exact"/>
        <w:rPr>
          <w:sz w:val="20"/>
          <w:szCs w:val="20"/>
          <w:color w:val="auto"/>
        </w:rPr>
      </w:pPr>
    </w:p>
    <w:p>
      <w:pPr>
        <w:jc w:val="both"/>
        <w:ind w:left="260" w:right="260" w:firstLine="458"/>
        <w:spacing w:after="0" w:line="278" w:lineRule="auto"/>
        <w:rPr>
          <w:sz w:val="20"/>
          <w:szCs w:val="20"/>
          <w:color w:val="auto"/>
        </w:rPr>
      </w:pPr>
      <w:r>
        <w:rPr>
          <w:rFonts w:ascii="Arial" w:cs="Arial" w:eastAsia="Arial" w:hAnsi="Arial"/>
          <w:sz w:val="16"/>
          <w:szCs w:val="16"/>
          <w:color w:val="auto"/>
        </w:rPr>
        <w:t>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spacing w:after="0" w:line="63" w:lineRule="exact"/>
        <w:rPr>
          <w:sz w:val="20"/>
          <w:szCs w:val="20"/>
          <w:color w:val="auto"/>
        </w:rPr>
      </w:pPr>
    </w:p>
    <w:p>
      <w:pPr>
        <w:ind w:left="260" w:right="40" w:firstLine="458"/>
        <w:spacing w:after="0" w:line="273" w:lineRule="auto"/>
        <w:rPr>
          <w:sz w:val="20"/>
          <w:szCs w:val="20"/>
          <w:color w:val="auto"/>
        </w:rPr>
      </w:pPr>
      <w:r>
        <w:rPr>
          <w:rFonts w:ascii="Arial" w:cs="Arial" w:eastAsia="Arial" w:hAnsi="Arial"/>
          <w:sz w:val="16"/>
          <w:szCs w:val="16"/>
          <w:color w:val="auto"/>
        </w:rPr>
        <w:t>We also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prospectus, we have freedom to operate on all of our technologies and product candidates.</w:t>
      </w:r>
    </w:p>
    <w:p>
      <w:pPr>
        <w:spacing w:after="0" w:line="67" w:lineRule="exact"/>
        <w:rPr>
          <w:sz w:val="20"/>
          <w:szCs w:val="20"/>
          <w:color w:val="auto"/>
        </w:rPr>
      </w:pPr>
    </w:p>
    <w:p>
      <w:pPr>
        <w:ind w:left="260" w:firstLine="458"/>
        <w:spacing w:after="0" w:line="315" w:lineRule="auto"/>
        <w:rPr>
          <w:sz w:val="20"/>
          <w:szCs w:val="20"/>
          <w:color w:val="auto"/>
        </w:rPr>
      </w:pPr>
      <w:r>
        <w:rPr>
          <w:rFonts w:ascii="Arial" w:cs="Arial" w:eastAsia="Arial" w:hAnsi="Arial"/>
          <w:sz w:val="14"/>
          <w:szCs w:val="14"/>
          <w:color w:val="auto"/>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40" w:firstLine="458"/>
        <w:spacing w:after="0" w:line="308"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or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45" w:lineRule="exact"/>
        <w:rPr>
          <w:sz w:val="20"/>
          <w:szCs w:val="20"/>
          <w:color w:val="auto"/>
        </w:rPr>
      </w:pPr>
    </w:p>
    <w:p>
      <w:pPr>
        <w:ind w:left="260" w:firstLine="458"/>
        <w:spacing w:after="0" w:line="309" w:lineRule="auto"/>
        <w:rPr>
          <w:sz w:val="20"/>
          <w:szCs w:val="20"/>
          <w:color w:val="auto"/>
        </w:rPr>
      </w:pPr>
      <w:r>
        <w:rPr>
          <w:rFonts w:ascii="Arial" w:cs="Arial" w:eastAsia="Arial" w:hAnsi="Arial"/>
          <w:sz w:val="14"/>
          <w:szCs w:val="14"/>
          <w:color w:val="auto"/>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Company-owned patents</w:t>
      </w:r>
    </w:p>
    <w:p>
      <w:pPr>
        <w:spacing w:after="0" w:line="113" w:lineRule="exact"/>
        <w:rPr>
          <w:sz w:val="20"/>
          <w:szCs w:val="20"/>
          <w:color w:val="auto"/>
        </w:rPr>
      </w:pPr>
    </w:p>
    <w:p>
      <w:pPr>
        <w:jc w:val="both"/>
        <w:ind w:left="260" w:right="40" w:firstLine="458"/>
        <w:spacing w:after="0" w:line="278" w:lineRule="auto"/>
        <w:rPr>
          <w:sz w:val="20"/>
          <w:szCs w:val="20"/>
          <w:color w:val="auto"/>
        </w:rPr>
      </w:pPr>
      <w:r>
        <w:rPr>
          <w:rFonts w:ascii="Arial" w:cs="Arial" w:eastAsia="Arial" w:hAnsi="Arial"/>
          <w:sz w:val="16"/>
          <w:szCs w:val="16"/>
          <w:color w:val="auto"/>
        </w:rPr>
        <w:t>Mecbotamab vedotin is covered by a number of filings, including a published PCT application filed in 2017 that entered the national phase in 2018. Applications have been granted in Australia, Israel, Japan, Korea, Mexico, Singapore, Taiwan, and the United States and are pending in 13 jurisdictions, including most major market countries. Composition of matter claims issuing from this application would not expire before 2037.</w:t>
      </w:r>
    </w:p>
    <w:p>
      <w:pPr>
        <w:spacing w:after="0" w:line="157" w:lineRule="exact"/>
        <w:rPr>
          <w:sz w:val="20"/>
          <w:szCs w:val="20"/>
          <w:color w:val="auto"/>
        </w:rPr>
      </w:pPr>
    </w:p>
    <w:p>
      <w:pPr>
        <w:ind w:left="260" w:right="100" w:firstLine="458"/>
        <w:spacing w:after="0" w:line="278" w:lineRule="auto"/>
        <w:rPr>
          <w:sz w:val="20"/>
          <w:szCs w:val="20"/>
          <w:color w:val="auto"/>
        </w:rPr>
      </w:pPr>
      <w:r>
        <w:rPr>
          <w:rFonts w:ascii="Arial" w:cs="Arial" w:eastAsia="Arial" w:hAnsi="Arial"/>
          <w:sz w:val="16"/>
          <w:szCs w:val="16"/>
          <w:color w:val="auto"/>
        </w:rPr>
        <w:t>Ozuriftamab vedotin is covered by a number of filings, including a published PCT application filed in 2017 that entered the national phase in 2018. Applications have been granted in Europe, Japan, Mexico, and the United States and are pending in 14 jurisdictions, including most major market countries. Composition of matter claims issuing from this application would not expire before 2037.</w:t>
      </w:r>
    </w:p>
    <w:p>
      <w:pPr>
        <w:spacing w:after="0" w:line="171" w:lineRule="exact"/>
        <w:rPr>
          <w:sz w:val="20"/>
          <w:szCs w:val="20"/>
          <w:color w:val="auto"/>
        </w:rPr>
      </w:pPr>
    </w:p>
    <w:p>
      <w:pPr>
        <w:ind w:left="260" w:right="200" w:firstLine="458"/>
        <w:spacing w:after="0" w:line="278" w:lineRule="auto"/>
        <w:rPr>
          <w:sz w:val="20"/>
          <w:szCs w:val="20"/>
          <w:color w:val="auto"/>
        </w:rPr>
      </w:pPr>
      <w:r>
        <w:rPr>
          <w:rFonts w:ascii="Arial" w:cs="Arial" w:eastAsia="Arial" w:hAnsi="Arial"/>
          <w:sz w:val="16"/>
          <w:szCs w:val="16"/>
          <w:color w:val="auto"/>
        </w:rPr>
        <w:t>BA3071 is covered by a number of filings, including a published PCT application filed in 2019 that entered the national phase in 2021. Applications have been granted in Australia, Israel, New Zealand, and the United States and are pending in 18 jurisdictions, including most major market countries. Composition of matter claims issuing from this application would not expire before 2039.</w:t>
      </w:r>
    </w:p>
    <w:p>
      <w:pPr>
        <w:spacing w:after="0" w:line="157" w:lineRule="exact"/>
        <w:rPr>
          <w:sz w:val="20"/>
          <w:szCs w:val="20"/>
          <w:color w:val="auto"/>
        </w:rPr>
      </w:pPr>
    </w:p>
    <w:p>
      <w:pPr>
        <w:ind w:left="260" w:right="120" w:firstLine="458"/>
        <w:spacing w:after="0" w:line="273" w:lineRule="auto"/>
        <w:rPr>
          <w:sz w:val="20"/>
          <w:szCs w:val="20"/>
          <w:color w:val="auto"/>
        </w:rPr>
      </w:pPr>
      <w:r>
        <w:rPr>
          <w:rFonts w:ascii="Arial" w:cs="Arial" w:eastAsia="Arial" w:hAnsi="Arial"/>
          <w:sz w:val="16"/>
          <w:szCs w:val="16"/>
          <w:color w:val="auto"/>
        </w:rPr>
        <w:t>Our CAB-anti-EpCAM antibody and our preclinical stage CAB-anti-Nectin-4 antibody, are covered by a number of filings. As of March 1, 2023, CAB-anti-EpCAM antibodies are covered by 13 national phase filings, including the United States, and a non-PCT filing in Taiwan. As of March 1, 2023, CAB-anti-Nectin-4 antibodies are covered by 13 national phase filings and an application in Taiwan. Composition of matter claims issuing from these applications would not expire before either 2040 or 2041.</w:t>
      </w:r>
    </w:p>
    <w:p>
      <w:pPr>
        <w:spacing w:after="0" w:line="162" w:lineRule="exact"/>
        <w:rPr>
          <w:sz w:val="20"/>
          <w:szCs w:val="20"/>
          <w:color w:val="auto"/>
        </w:rPr>
      </w:pPr>
    </w:p>
    <w:p>
      <w:pPr>
        <w:ind w:left="260" w:firstLine="458"/>
        <w:spacing w:after="0" w:line="268" w:lineRule="auto"/>
        <w:rPr>
          <w:sz w:val="20"/>
          <w:szCs w:val="20"/>
          <w:color w:val="auto"/>
        </w:rPr>
      </w:pPr>
      <w:r>
        <w:rPr>
          <w:rFonts w:ascii="Arial" w:cs="Arial" w:eastAsia="Arial" w:hAnsi="Arial"/>
          <w:sz w:val="16"/>
          <w:szCs w:val="16"/>
          <w:color w:val="auto"/>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25 issued U.S. patents covering various aspects of the manufacturing methods used to generate CAB antibodies that have patent terms expiring from 2030 to 2037. We also have 2 issued patents in the U.S. protecting our method of manufacturing conditionally active multi-specific antibodies that have patent terms expiring from 2033 to 2034.</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Out-licensed patents</w:t>
      </w:r>
    </w:p>
    <w:p>
      <w:pPr>
        <w:spacing w:after="0" w:line="113"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Himalaya Therapeutics SEZC has exclusive rights to patents/patent applications in China, Macao, Hong Kong and Taiwan relating to ROR2 (Patent applications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380" w:firstLine="458"/>
        <w:spacing w:after="0" w:line="293" w:lineRule="auto"/>
        <w:rPr>
          <w:sz w:val="20"/>
          <w:szCs w:val="20"/>
          <w:color w:val="auto"/>
        </w:rPr>
      </w:pPr>
      <w:r>
        <w:rPr>
          <w:rFonts w:ascii="Arial" w:cs="Arial" w:eastAsia="Arial" w:hAnsi="Arial"/>
          <w:sz w:val="16"/>
          <w:szCs w:val="16"/>
          <w:color w:val="auto"/>
        </w:rPr>
        <w:t>BioAtla Holdings, LLC has exclusive worldwide rights to all patents for the field of ACT (CAR-T), excluding the targets licensed to EXUMA Biotech Corp (“EXUMA”).</w:t>
      </w:r>
    </w:p>
    <w:p>
      <w:pPr>
        <w:spacing w:after="0" w:line="158" w:lineRule="exact"/>
        <w:rPr>
          <w:sz w:val="20"/>
          <w:szCs w:val="20"/>
          <w:color w:val="auto"/>
        </w:rPr>
      </w:pPr>
    </w:p>
    <w:p>
      <w:pPr>
        <w:ind w:left="260" w:right="100" w:firstLine="458"/>
        <w:spacing w:after="0" w:line="293" w:lineRule="auto"/>
        <w:rPr>
          <w:sz w:val="20"/>
          <w:szCs w:val="20"/>
          <w:color w:val="auto"/>
        </w:rPr>
      </w:pPr>
      <w:r>
        <w:rPr>
          <w:rFonts w:ascii="Arial" w:cs="Arial" w:eastAsia="Arial" w:hAnsi="Arial"/>
          <w:sz w:val="16"/>
          <w:szCs w:val="16"/>
          <w:color w:val="auto"/>
        </w:rPr>
        <w:t>Inversagen, LLC has exclusive worldwide rights to all patents solely in the field of diseases associated with aging (outside of cancer), diagnostics related thereto and an immuno-oncology antibody.</w:t>
      </w:r>
    </w:p>
    <w:p>
      <w:pPr>
        <w:spacing w:after="0" w:line="145" w:lineRule="exact"/>
        <w:rPr>
          <w:sz w:val="20"/>
          <w:szCs w:val="20"/>
          <w:color w:val="auto"/>
        </w:rPr>
      </w:pPr>
    </w:p>
    <w:p>
      <w:pPr>
        <w:ind w:left="260" w:firstLine="458"/>
        <w:spacing w:after="0" w:line="335" w:lineRule="auto"/>
        <w:rPr>
          <w:sz w:val="20"/>
          <w:szCs w:val="20"/>
          <w:color w:val="auto"/>
        </w:rPr>
      </w:pPr>
      <w:r>
        <w:rPr>
          <w:rFonts w:ascii="Arial" w:cs="Arial" w:eastAsia="Arial" w:hAnsi="Arial"/>
          <w:sz w:val="14"/>
          <w:szCs w:val="14"/>
          <w:color w:val="auto"/>
        </w:rPr>
        <w:t>EXUMA has an exclusive worldwide license to all patents solely to develop, make, have made, use, sell, have sold, offer for sale and import adoptive cell therapy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7" w:lineRule="exact"/>
        <w:rPr>
          <w:sz w:val="20"/>
          <w:szCs w:val="20"/>
          <w:color w:val="auto"/>
        </w:rPr>
      </w:pPr>
    </w:p>
    <w:p>
      <w:pPr>
        <w:ind w:left="260" w:right="200" w:firstLine="458"/>
        <w:spacing w:after="0" w:line="318"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Licensure and regulation of biologics in the United States</w:t>
      </w:r>
    </w:p>
    <w:p>
      <w:pPr>
        <w:spacing w:after="0" w:line="127" w:lineRule="exact"/>
        <w:rPr>
          <w:sz w:val="20"/>
          <w:szCs w:val="20"/>
          <w:color w:val="auto"/>
        </w:rPr>
      </w:pPr>
    </w:p>
    <w:p>
      <w:pPr>
        <w:ind w:left="260" w:right="40" w:firstLine="458"/>
        <w:spacing w:after="0" w:line="287" w:lineRule="auto"/>
        <w:rPr>
          <w:sz w:val="20"/>
          <w:szCs w:val="20"/>
          <w:color w:val="auto"/>
        </w:rPr>
      </w:pPr>
      <w:r>
        <w:rPr>
          <w:rFonts w:ascii="Arial" w:cs="Arial" w:eastAsia="Arial" w:hAnsi="Arial"/>
          <w:sz w:val="15"/>
          <w:szCs w:val="15"/>
          <w:color w:val="auto"/>
        </w:rPr>
        <w:t>In the United States, the FDA regulates biologic products under the Federal Food, Drug, and Cosmetic Act, or the FDCA, the Public Health Service Act, or the PHSA, and regulations and guidance implementing these laws. The FDCA, PHSA and their corresponding regulations, and other federal and state statutes and regulations, govern, among other things, the research, development, testing, manufacturing, safety, purity, potency, labeling, packaging, storage, record keeping, approval, distribution, post-approval monitoring and reporting, sampling,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or NDAs. Biological products are approved for marketing under provisions of the PHSA, via a Biologic License Application, or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U.S. biologic products development process</w:t>
      </w:r>
    </w:p>
    <w:p>
      <w:pPr>
        <w:spacing w:after="0" w:line="113" w:lineRule="exact"/>
        <w:rPr>
          <w:sz w:val="20"/>
          <w:szCs w:val="20"/>
          <w:color w:val="auto"/>
        </w:rPr>
      </w:pPr>
    </w:p>
    <w:p>
      <w:pPr>
        <w:ind w:left="260" w:right="120" w:firstLine="458"/>
        <w:spacing w:after="0" w:line="293" w:lineRule="auto"/>
        <w:rPr>
          <w:sz w:val="20"/>
          <w:szCs w:val="20"/>
          <w:color w:val="auto"/>
        </w:rPr>
      </w:pPr>
      <w:r>
        <w:rPr>
          <w:rFonts w:ascii="Arial" w:cs="Arial" w:eastAsia="Arial" w:hAnsi="Arial"/>
          <w:sz w:val="16"/>
          <w:szCs w:val="16"/>
          <w:color w:val="auto"/>
        </w:rPr>
        <w:t>Biological product candidates must be approved by the FDA pursuant to a BLA before they may be legally marketed in the United States. The process generally involves the following:</w:t>
      </w:r>
    </w:p>
    <w:p>
      <w:pPr>
        <w:spacing w:after="0" w:line="64" w:lineRule="exact"/>
        <w:rPr>
          <w:sz w:val="20"/>
          <w:szCs w:val="20"/>
          <w:color w:val="auto"/>
        </w:rPr>
      </w:pPr>
    </w:p>
    <w:p>
      <w:pPr>
        <w:ind w:left="1280" w:right="700" w:hanging="509"/>
        <w:spacing w:after="0" w:line="328" w:lineRule="auto"/>
        <w:tabs>
          <w:tab w:leader="none" w:pos="12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Completion of extensive preclinical laboratory tests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studies in accordance with the FDA’s current good laboratory practice, or GLP, regulations and applicable requirements for the humane use of laboratory animals or other applicable regulations;</w:t>
      </w:r>
    </w:p>
    <w:p>
      <w:pPr>
        <w:spacing w:after="0" w:line="41" w:lineRule="exact"/>
        <w:rPr>
          <w:rFonts w:ascii="Arial" w:cs="Arial" w:eastAsia="Arial" w:hAnsi="Arial"/>
          <w:sz w:val="15"/>
          <w:szCs w:val="15"/>
          <w:color w:val="auto"/>
        </w:rPr>
      </w:pPr>
    </w:p>
    <w:p>
      <w:pPr>
        <w:ind w:left="1280" w:hanging="509"/>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clinical trials may begin;</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reviewing each clinical site before each clinical trial may be initiated;</w:t>
      </w:r>
    </w:p>
    <w:p>
      <w:pPr>
        <w:spacing w:after="0" w:line="126" w:lineRule="exact"/>
        <w:rPr>
          <w:rFonts w:ascii="Arial" w:cs="Arial" w:eastAsia="Arial" w:hAnsi="Arial"/>
          <w:sz w:val="16"/>
          <w:szCs w:val="16"/>
          <w:color w:val="auto"/>
        </w:rPr>
      </w:pPr>
    </w:p>
    <w:p>
      <w:pPr>
        <w:ind w:left="1280" w:right="360" w:hanging="509"/>
        <w:spacing w:after="0" w:line="278"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in accordance with the FDA’s IND regulations, GCP requirements, and any additional requirements for the protection of human research subjects and their health information, to establish the safety and efficacy of the proposed biologic product candidate for its intended use;</w:t>
      </w:r>
    </w:p>
    <w:p>
      <w:pPr>
        <w:spacing w:after="0" w:line="76" w:lineRule="exact"/>
        <w:rPr>
          <w:rFonts w:ascii="Arial" w:cs="Arial" w:eastAsia="Arial" w:hAnsi="Arial"/>
          <w:sz w:val="16"/>
          <w:szCs w:val="16"/>
          <w:color w:val="auto"/>
        </w:rPr>
      </w:pPr>
    </w:p>
    <w:p>
      <w:pPr>
        <w:ind w:left="1280" w:right="120" w:hanging="509"/>
        <w:spacing w:after="0" w:line="293"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Preparation and submission to the FDA of a BLA for marketing approval that includes substantial evidence of safety, purity and potency from results of nonclinical testing and clinical trials;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 BLA to file the application;</w:t>
      </w:r>
    </w:p>
    <w:p>
      <w:pPr>
        <w:spacing w:after="0" w:line="126" w:lineRule="exact"/>
        <w:rPr>
          <w:rFonts w:ascii="Arial" w:cs="Arial" w:eastAsia="Arial" w:hAnsi="Arial"/>
          <w:sz w:val="16"/>
          <w:szCs w:val="16"/>
          <w:color w:val="auto"/>
        </w:rPr>
      </w:pPr>
    </w:p>
    <w:p>
      <w:pPr>
        <w:jc w:val="both"/>
        <w:ind w:left="1280" w:right="160" w:hanging="509"/>
        <w:spacing w:after="0" w:line="278"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p>
      <w:pPr>
        <w:spacing w:after="0" w:line="76" w:lineRule="exact"/>
        <w:rPr>
          <w:rFonts w:ascii="Arial" w:cs="Arial" w:eastAsia="Arial" w:hAnsi="Arial"/>
          <w:sz w:val="16"/>
          <w:szCs w:val="16"/>
          <w:color w:val="auto"/>
        </w:rPr>
      </w:pPr>
    </w:p>
    <w:p>
      <w:pPr>
        <w:ind w:left="1280" w:right="380" w:hanging="509"/>
        <w:spacing w:after="0" w:line="293"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Satisfactory completion of any potential FDA audits of the nonclinical and clinical trial sites that generated the data in support of the BLA to assure compliance with GCPs and integrity of the clinical data;</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Payment of user fees for FDA review of the BLA;</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of the product by an FDA advisory committee, if applicable;</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FDA review and approval of the BLA.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Preclinical studies</w:t>
      </w:r>
    </w:p>
    <w:p>
      <w:pPr>
        <w:spacing w:after="0" w:line="113" w:lineRule="exact"/>
        <w:rPr>
          <w:sz w:val="20"/>
          <w:szCs w:val="20"/>
          <w:color w:val="auto"/>
        </w:rPr>
      </w:pPr>
    </w:p>
    <w:p>
      <w:pPr>
        <w:ind w:left="260" w:right="340" w:firstLine="458"/>
        <w:spacing w:after="0" w:line="273" w:lineRule="auto"/>
        <w:rPr>
          <w:sz w:val="20"/>
          <w:szCs w:val="20"/>
          <w:color w:val="auto"/>
        </w:rPr>
      </w:pPr>
      <w:r>
        <w:rPr>
          <w:rFonts w:ascii="Arial" w:cs="Arial" w:eastAsia="Arial" w:hAnsi="Arial"/>
          <w:sz w:val="16"/>
          <w:szCs w:val="16"/>
          <w:color w:val="auto"/>
        </w:rPr>
        <w:t xml:space="preserve">Before testing any biologic product candidate in humans, the product candidate must undergo rigorous preclinical testing. Preclinical tests, also referred to as nonclinical studies, include laboratory evaluations of product chemistry, toxicity and formulation, as well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to assess the potential safety and activity of the product candidate and to establish a rationale for therapeutic use. The conduct of the preclinical tests must comply with federal regulations and requirements including GLPs.</w:t>
      </w:r>
    </w:p>
    <w:p>
      <w:pPr>
        <w:spacing w:after="0" w:line="162"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Clinical trials under an IND</w:t>
      </w:r>
    </w:p>
    <w:p>
      <w:pPr>
        <w:spacing w:after="0" w:line="113" w:lineRule="exact"/>
        <w:rPr>
          <w:sz w:val="20"/>
          <w:szCs w:val="20"/>
          <w:color w:val="auto"/>
        </w:rPr>
      </w:pPr>
    </w:p>
    <w:p>
      <w:pPr>
        <w:ind w:left="260" w:firstLine="458"/>
        <w:spacing w:after="0" w:line="288" w:lineRule="auto"/>
        <w:rPr>
          <w:sz w:val="20"/>
          <w:szCs w:val="20"/>
          <w:color w:val="auto"/>
        </w:rPr>
      </w:pPr>
      <w:r>
        <w:rPr>
          <w:rFonts w:ascii="Arial" w:cs="Arial" w:eastAsia="Arial" w:hAnsi="Arial"/>
          <w:sz w:val="15"/>
          <w:szCs w:val="15"/>
          <w:color w:val="auto"/>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Clinical trials typically are conducted in three sequential phases that may overlap or be combined:</w:t>
      </w:r>
    </w:p>
    <w:p>
      <w:pPr>
        <w:spacing w:after="0" w:line="123" w:lineRule="exact"/>
        <w:rPr>
          <w:sz w:val="20"/>
          <w:szCs w:val="20"/>
          <w:color w:val="auto"/>
        </w:rPr>
      </w:pPr>
    </w:p>
    <w:p>
      <w:pPr>
        <w:ind w:left="1280" w:right="220" w:hanging="509"/>
        <w:spacing w:after="0" w:line="299" w:lineRule="auto"/>
        <w:tabs>
          <w:tab w:leader="none" w:pos="128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Phase 1. </w:t>
      </w:r>
      <w:r>
        <w:rPr>
          <w:rFonts w:ascii="Arial" w:cs="Arial" w:eastAsia="Arial" w:hAnsi="Arial"/>
          <w:sz w:val="15"/>
          <w:szCs w:val="15"/>
          <w:color w:val="auto"/>
        </w:rPr>
        <w:t>The biologic product candidate initially is introduced into a small number of healthy human subjects and tested for safety, dosage tolerance,</w:t>
      </w:r>
      <w:r>
        <w:rPr>
          <w:rFonts w:ascii="Arial" w:cs="Arial" w:eastAsia="Arial" w:hAnsi="Arial"/>
          <w:sz w:val="15"/>
          <w:szCs w:val="15"/>
          <w:b w:val="1"/>
          <w:bCs w:val="1"/>
          <w:color w:val="auto"/>
        </w:rPr>
        <w:t xml:space="preserve"> </w:t>
      </w:r>
      <w:r>
        <w:rPr>
          <w:rFonts w:ascii="Arial" w:cs="Arial" w:eastAsia="Arial" w:hAnsi="Arial"/>
          <w:sz w:val="15"/>
          <w:szCs w:val="15"/>
          <w:color w:val="auto"/>
        </w:rPr>
        <w:t>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58" w:lineRule="exact"/>
        <w:rPr>
          <w:rFonts w:ascii="Arial" w:cs="Arial" w:eastAsia="Arial" w:hAnsi="Arial"/>
          <w:sz w:val="15"/>
          <w:szCs w:val="15"/>
          <w:color w:val="auto"/>
        </w:rPr>
      </w:pPr>
    </w:p>
    <w:p>
      <w:pPr>
        <w:ind w:left="1280" w:right="100" w:hanging="509"/>
        <w:spacing w:after="0" w:line="308" w:lineRule="auto"/>
        <w:tabs>
          <w:tab w:leader="none" w:pos="128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Phase 2. </w:t>
      </w:r>
      <w:r>
        <w:rPr>
          <w:rFonts w:ascii="Arial" w:cs="Arial" w:eastAsia="Arial" w:hAnsi="Arial"/>
          <w:sz w:val="15"/>
          <w:szCs w:val="15"/>
          <w:color w:val="auto"/>
        </w:rPr>
        <w:t>The biologic product candidate is evaluated in a limited patient population to identify possible adverse effects and safety risks, to preliminarily</w:t>
      </w:r>
      <w:r>
        <w:rPr>
          <w:rFonts w:ascii="Arial" w:cs="Arial" w:eastAsia="Arial" w:hAnsi="Arial"/>
          <w:sz w:val="15"/>
          <w:szCs w:val="15"/>
          <w:b w:val="1"/>
          <w:bCs w:val="1"/>
          <w:color w:val="auto"/>
        </w:rPr>
        <w:t xml:space="preserve"> </w:t>
      </w:r>
      <w:r>
        <w:rPr>
          <w:rFonts w:ascii="Arial" w:cs="Arial" w:eastAsia="Arial" w:hAnsi="Arial"/>
          <w:sz w:val="15"/>
          <w:szCs w:val="15"/>
          <w:color w:val="auto"/>
        </w:rPr>
        <w:t>evaluate the efficacy of the product candidate a particular indication and to determine dosage tolerance, optimal dosage and dosing schedule. Multiple Phase 2 clinical trials may be conducted to obtain information prior to beginning larger and more expensive Phase 3 clinical trials.</w:t>
      </w:r>
    </w:p>
    <w:p>
      <w:pPr>
        <w:spacing w:after="0" w:line="51" w:lineRule="exact"/>
        <w:rPr>
          <w:rFonts w:ascii="Arial" w:cs="Arial" w:eastAsia="Arial" w:hAnsi="Arial"/>
          <w:sz w:val="15"/>
          <w:szCs w:val="15"/>
          <w:color w:val="auto"/>
        </w:rPr>
      </w:pPr>
    </w:p>
    <w:p>
      <w:pPr>
        <w:ind w:left="1280" w:right="20" w:hanging="509"/>
        <w:spacing w:after="0" w:line="275"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Phase 3. </w:t>
      </w:r>
      <w:r>
        <w:rPr>
          <w:rFonts w:ascii="Arial" w:cs="Arial" w:eastAsia="Arial" w:hAnsi="Arial"/>
          <w:sz w:val="16"/>
          <w:szCs w:val="16"/>
          <w:color w:val="auto"/>
        </w:rPr>
        <w:t>The biologic product candidate is administered to an expanded patient population at multiple sites to further evaluate dosage, to demonstrate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generally at multiple geographically dispersed clinical trial sites. These clinical trials are intended to establish the overall risk/benefit ratio of the investigational product and to provide an adequate basis for product approval and labeling. In most cases, the FDA requires two adequate and well-controlled Phase 3 clinical trials to demonstrate the efficacy of a biologic.</w:t>
      </w:r>
    </w:p>
    <w:p>
      <w:pPr>
        <w:spacing w:after="0" w:line="173" w:lineRule="exact"/>
        <w:rPr>
          <w:sz w:val="20"/>
          <w:szCs w:val="20"/>
          <w:color w:val="auto"/>
        </w:rPr>
      </w:pPr>
    </w:p>
    <w:p>
      <w:pPr>
        <w:ind w:left="260" w:right="80" w:firstLine="458"/>
        <w:spacing w:after="0" w:line="278" w:lineRule="auto"/>
        <w:rPr>
          <w:sz w:val="20"/>
          <w:szCs w:val="20"/>
          <w:color w:val="auto"/>
        </w:rPr>
      </w:pPr>
      <w:r>
        <w:rPr>
          <w:rFonts w:ascii="Arial" w:cs="Arial" w:eastAsia="Arial" w:hAnsi="Arial"/>
          <w:sz w:val="16"/>
          <w:szCs w:val="16"/>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57"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may be sufficient in rare instances, including (i)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 Approval on the basis of a single trial may be subject to the requirement of additional post-approval studies.</w:t>
      </w:r>
    </w:p>
    <w:p>
      <w:pPr>
        <w:spacing w:after="0" w:line="180" w:lineRule="exact"/>
        <w:rPr>
          <w:sz w:val="20"/>
          <w:szCs w:val="20"/>
          <w:color w:val="auto"/>
        </w:rPr>
      </w:pPr>
    </w:p>
    <w:p>
      <w:pPr>
        <w:ind w:left="260" w:right="40" w:firstLine="458"/>
        <w:spacing w:after="0" w:line="291" w:lineRule="auto"/>
        <w:rPr>
          <w:sz w:val="20"/>
          <w:szCs w:val="20"/>
          <w:color w:val="auto"/>
        </w:rPr>
      </w:pPr>
      <w:r>
        <w:rPr>
          <w:rFonts w:ascii="Arial" w:cs="Arial" w:eastAsia="Arial" w:hAnsi="Arial"/>
          <w:sz w:val="15"/>
          <w:szCs w:val="15"/>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Concurrent with clinical trials, companies usually must complete some long-term preclinical testing, such as animal tests of reproductive toxicity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spacing w:after="0" w:line="180"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7" w:lineRule="exact"/>
        <w:rPr>
          <w:sz w:val="20"/>
          <w:szCs w:val="20"/>
          <w:color w:val="auto"/>
        </w:rPr>
      </w:pPr>
    </w:p>
    <w:p>
      <w:pPr>
        <w:ind w:left="260" w:right="460" w:firstLine="458"/>
        <w:spacing w:after="0" w:line="369" w:lineRule="auto"/>
        <w:rPr>
          <w:sz w:val="20"/>
          <w:szCs w:val="20"/>
          <w:color w:val="auto"/>
        </w:rPr>
      </w:pPr>
      <w:r>
        <w:rPr>
          <w:rFonts w:ascii="Arial" w:cs="Arial" w:eastAsia="Arial" w:hAnsi="Arial"/>
          <w:sz w:val="14"/>
          <w:szCs w:val="14"/>
          <w:color w:val="auto"/>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drug or biologic.</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U.S. review and approval processes</w:t>
      </w:r>
    </w:p>
    <w:p>
      <w:pPr>
        <w:spacing w:after="0" w:line="113" w:lineRule="exact"/>
        <w:rPr>
          <w:sz w:val="20"/>
          <w:szCs w:val="20"/>
          <w:color w:val="auto"/>
        </w:rPr>
      </w:pPr>
    </w:p>
    <w:p>
      <w:pPr>
        <w:ind w:left="260" w:right="40" w:firstLine="458"/>
        <w:spacing w:after="0" w:line="278" w:lineRule="auto"/>
        <w:rPr>
          <w:sz w:val="20"/>
          <w:szCs w:val="20"/>
          <w:color w:val="auto"/>
        </w:rPr>
      </w:pPr>
      <w:r>
        <w:rPr>
          <w:rFonts w:ascii="Arial" w:cs="Arial" w:eastAsia="Arial" w:hAnsi="Arial"/>
          <w:sz w:val="16"/>
          <w:szCs w:val="16"/>
          <w:color w:val="auto"/>
        </w:rPr>
        <w:t>FDA approval of a BLA must be obtained before commercial marketing of the biologic product. The results of the preclinical tests and clinical trials, together with detailed information relating to the product’s pharmacology, chemistry, manufacturing controls, or CMC, and proposed labeling, among other things, are submitted to the FDA as part of the BLA requesting approval to market the product for one or more indications.</w:t>
      </w:r>
    </w:p>
    <w:p>
      <w:pPr>
        <w:spacing w:after="0" w:line="157" w:lineRule="exact"/>
        <w:rPr>
          <w:sz w:val="20"/>
          <w:szCs w:val="20"/>
          <w:color w:val="auto"/>
        </w:rPr>
      </w:pPr>
    </w:p>
    <w:p>
      <w:pPr>
        <w:ind w:left="260" w:right="40" w:firstLine="458"/>
        <w:spacing w:after="0" w:line="297" w:lineRule="auto"/>
        <w:rPr>
          <w:sz w:val="20"/>
          <w:szCs w:val="20"/>
          <w:color w:val="auto"/>
        </w:rPr>
      </w:pPr>
      <w:r>
        <w:rPr>
          <w:rFonts w:ascii="Arial" w:cs="Arial" w:eastAsia="Arial" w:hAnsi="Arial"/>
          <w:sz w:val="15"/>
          <w:szCs w:val="15"/>
          <w:color w:val="auto"/>
        </w:rPr>
        <w:t>The cost of preparing and submitting a BLA is substantial. Under the Prescription Drug User Fee Act, or PDUFA, each BLA must be accompanied by a significant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159" w:lineRule="exact"/>
        <w:rPr>
          <w:sz w:val="20"/>
          <w:szCs w:val="20"/>
          <w:color w:val="auto"/>
        </w:rPr>
      </w:pPr>
    </w:p>
    <w:p>
      <w:pPr>
        <w:ind w:left="260" w:right="80" w:firstLine="458"/>
        <w:spacing w:after="0" w:line="297" w:lineRule="auto"/>
        <w:rPr>
          <w:sz w:val="20"/>
          <w:szCs w:val="20"/>
          <w:color w:val="auto"/>
        </w:rPr>
      </w:pPr>
      <w:r>
        <w:rPr>
          <w:rFonts w:ascii="Arial" w:cs="Arial" w:eastAsia="Arial" w:hAnsi="Arial"/>
          <w:sz w:val="15"/>
          <w:szCs w:val="15"/>
          <w:color w:val="auto"/>
        </w:rPr>
        <w:t>The FDA reviews a BLA within 60 days of receipt to determine whether the application will be filed based on the FDA's determination that it is sufficiently complete to permit substantive review.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spacing w:after="0" w:line="145" w:lineRule="exact"/>
        <w:rPr>
          <w:sz w:val="20"/>
          <w:szCs w:val="20"/>
          <w:color w:val="auto"/>
        </w:rPr>
      </w:pPr>
    </w:p>
    <w:p>
      <w:pPr>
        <w:ind w:left="260" w:firstLine="458"/>
        <w:spacing w:after="0" w:line="286" w:lineRule="auto"/>
        <w:rPr>
          <w:sz w:val="20"/>
          <w:szCs w:val="20"/>
          <w:color w:val="auto"/>
        </w:rPr>
      </w:pPr>
      <w:r>
        <w:rPr>
          <w:rFonts w:ascii="Arial" w:cs="Arial" w:eastAsia="Arial" w:hAnsi="Arial"/>
          <w:sz w:val="15"/>
          <w:szCs w:val="15"/>
          <w:color w:val="auto"/>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risk evaluation and mitigation study, or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spacing w:after="0" w:line="169" w:lineRule="exact"/>
        <w:rPr>
          <w:sz w:val="20"/>
          <w:szCs w:val="20"/>
          <w:color w:val="auto"/>
        </w:rPr>
      </w:pPr>
    </w:p>
    <w:p>
      <w:pPr>
        <w:ind w:left="260" w:right="80" w:firstLine="458"/>
        <w:spacing w:after="0" w:line="273" w:lineRule="auto"/>
        <w:rPr>
          <w:sz w:val="20"/>
          <w:szCs w:val="20"/>
          <w:color w:val="auto"/>
        </w:rPr>
      </w:pPr>
      <w:r>
        <w:rPr>
          <w:rFonts w:ascii="Arial" w:cs="Arial" w:eastAsia="Arial" w:hAnsi="Arial"/>
          <w:sz w:val="16"/>
          <w:szCs w:val="16"/>
          <w:color w:val="auto"/>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80" w:firstLine="458"/>
        <w:spacing w:after="0" w:line="289" w:lineRule="auto"/>
        <w:rPr>
          <w:sz w:val="20"/>
          <w:szCs w:val="20"/>
          <w:color w:val="auto"/>
        </w:rPr>
      </w:pPr>
      <w:r>
        <w:rPr>
          <w:rFonts w:ascii="Arial" w:cs="Arial" w:eastAsia="Arial" w:hAnsi="Arial"/>
          <w:sz w:val="15"/>
          <w:szCs w:val="15"/>
          <w:color w:val="auto"/>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153" w:lineRule="exact"/>
        <w:rPr>
          <w:sz w:val="20"/>
          <w:szCs w:val="20"/>
          <w:color w:val="auto"/>
        </w:rPr>
      </w:pPr>
    </w:p>
    <w:p>
      <w:pPr>
        <w:ind w:left="260" w:right="100" w:firstLine="458"/>
        <w:spacing w:after="0" w:line="273" w:lineRule="auto"/>
        <w:rPr>
          <w:sz w:val="20"/>
          <w:szCs w:val="20"/>
          <w:color w:val="auto"/>
        </w:rPr>
      </w:pPr>
      <w:r>
        <w:rPr>
          <w:rFonts w:ascii="Arial" w:cs="Arial" w:eastAsia="Arial" w:hAnsi="Arial"/>
          <w:sz w:val="16"/>
          <w:szCs w:val="16"/>
          <w:color w:val="auto"/>
        </w:rPr>
        <w:t>The FDA has agreed to specified performance goals in the review of BLAs under the PDUFA. One such goal is to review standard BLAs within 10 months after the FDA files the BLA, and priority BLAs within six months, whereupon a review decision is to be made. The review process and the PDUFA goal date for both standard and priority review BLAs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5" w:lineRule="exact"/>
        <w:rPr>
          <w:sz w:val="20"/>
          <w:szCs w:val="20"/>
          <w:color w:val="auto"/>
        </w:rPr>
      </w:pPr>
    </w:p>
    <w:p>
      <w:pPr>
        <w:ind w:left="260" w:right="100" w:firstLine="458"/>
        <w:spacing w:after="0" w:line="278" w:lineRule="auto"/>
        <w:rPr>
          <w:sz w:val="20"/>
          <w:szCs w:val="20"/>
          <w:color w:val="auto"/>
        </w:rPr>
      </w:pPr>
      <w:r>
        <w:rPr>
          <w:rFonts w:ascii="Arial" w:cs="Arial" w:eastAsia="Arial" w:hAnsi="Arial"/>
          <w:sz w:val="16"/>
          <w:szCs w:val="16"/>
          <w:color w:val="auto"/>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Compliance with cGMP requirements</w:t>
      </w:r>
    </w:p>
    <w:p>
      <w:pPr>
        <w:spacing w:after="0" w:line="127" w:lineRule="exact"/>
        <w:rPr>
          <w:sz w:val="20"/>
          <w:szCs w:val="20"/>
          <w:color w:val="auto"/>
        </w:rPr>
      </w:pPr>
    </w:p>
    <w:p>
      <w:pPr>
        <w:ind w:left="260" w:right="40" w:firstLine="458"/>
        <w:spacing w:after="0" w:line="268" w:lineRule="auto"/>
        <w:rPr>
          <w:sz w:val="20"/>
          <w:szCs w:val="20"/>
          <w:color w:val="auto"/>
        </w:rPr>
      </w:pPr>
      <w:r>
        <w:rPr>
          <w:rFonts w:ascii="Arial" w:cs="Arial" w:eastAsia="Arial" w:hAnsi="Arial"/>
          <w:sz w:val="16"/>
          <w:szCs w:val="16"/>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requested product recalls or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Expedited development and review programs</w:t>
      </w:r>
    </w:p>
    <w:p>
      <w:pPr>
        <w:spacing w:after="0" w:line="113" w:lineRule="exact"/>
        <w:rPr>
          <w:sz w:val="20"/>
          <w:szCs w:val="20"/>
          <w:color w:val="auto"/>
        </w:rPr>
      </w:pPr>
    </w:p>
    <w:p>
      <w:pPr>
        <w:ind w:left="260" w:right="200" w:firstLine="458"/>
        <w:spacing w:after="0" w:line="293"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w:t>
      </w:r>
    </w:p>
    <w:p>
      <w:pPr>
        <w:spacing w:after="0" w:line="158" w:lineRule="exact"/>
        <w:rPr>
          <w:sz w:val="20"/>
          <w:szCs w:val="20"/>
          <w:color w:val="auto"/>
        </w:rPr>
      </w:pPr>
    </w:p>
    <w:p>
      <w:pPr>
        <w:ind w:left="260" w:firstLine="458"/>
        <w:spacing w:after="0" w:line="310" w:lineRule="auto"/>
        <w:rPr>
          <w:sz w:val="20"/>
          <w:szCs w:val="20"/>
          <w:color w:val="auto"/>
        </w:rPr>
      </w:pPr>
      <w:r>
        <w:rPr>
          <w:rFonts w:ascii="Arial" w:cs="Arial" w:eastAsia="Arial" w:hAnsi="Arial"/>
          <w:sz w:val="14"/>
          <w:szCs w:val="14"/>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140" w:lineRule="exact"/>
        <w:rPr>
          <w:sz w:val="20"/>
          <w:szCs w:val="20"/>
          <w:color w:val="auto"/>
        </w:rPr>
      </w:pPr>
    </w:p>
    <w:p>
      <w:pPr>
        <w:ind w:left="260" w:right="80" w:firstLine="458"/>
        <w:spacing w:after="0" w:line="268" w:lineRule="auto"/>
        <w:rPr>
          <w:sz w:val="20"/>
          <w:szCs w:val="20"/>
          <w:color w:val="auto"/>
        </w:rPr>
      </w:pPr>
      <w:r>
        <w:rPr>
          <w:rFonts w:ascii="Arial" w:cs="Arial" w:eastAsia="Arial" w:hAnsi="Arial"/>
          <w:sz w:val="16"/>
          <w:szCs w:val="16"/>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jc w:val="both"/>
        <w:ind w:left="260" w:right="560" w:firstLine="458"/>
        <w:spacing w:after="0" w:line="278" w:lineRule="auto"/>
        <w:rPr>
          <w:sz w:val="20"/>
          <w:szCs w:val="20"/>
          <w:color w:val="auto"/>
        </w:rPr>
      </w:pPr>
      <w:r>
        <w:rPr>
          <w:rFonts w:ascii="Arial" w:cs="Arial" w:eastAsia="Arial" w:hAnsi="Arial"/>
          <w:sz w:val="16"/>
          <w:szCs w:val="16"/>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171" w:lineRule="exact"/>
        <w:rPr>
          <w:sz w:val="20"/>
          <w:szCs w:val="20"/>
          <w:color w:val="auto"/>
        </w:rPr>
      </w:pPr>
    </w:p>
    <w:p>
      <w:pPr>
        <w:ind w:left="260" w:right="20" w:firstLine="458"/>
        <w:spacing w:after="0" w:line="285" w:lineRule="auto"/>
        <w:rPr>
          <w:sz w:val="20"/>
          <w:szCs w:val="20"/>
          <w:color w:val="auto"/>
        </w:rPr>
      </w:pPr>
      <w:r>
        <w:rPr>
          <w:rFonts w:ascii="Arial" w:cs="Arial" w:eastAsia="Arial" w:hAnsi="Arial"/>
          <w:sz w:val="15"/>
          <w:szCs w:val="15"/>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marker, such as a laboratory measurement, radiographic image, physical sign, or other measure that is thought to predict clinical benefit, but is not itself a measure of clinical benefit.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the verification and description of the product’s clinical benefit, which is generally in the form of at least one post-approval confirmatory trial.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56" w:lineRule="exact"/>
        <w:rPr>
          <w:sz w:val="20"/>
          <w:szCs w:val="20"/>
          <w:color w:val="auto"/>
        </w:rPr>
      </w:pPr>
    </w:p>
    <w:p>
      <w:pPr>
        <w:ind w:left="260" w:right="60" w:firstLine="458"/>
        <w:spacing w:after="0" w:line="291" w:lineRule="auto"/>
        <w:rPr>
          <w:sz w:val="20"/>
          <w:szCs w:val="20"/>
          <w:color w:val="auto"/>
        </w:rPr>
      </w:pPr>
      <w:r>
        <w:rPr>
          <w:rFonts w:ascii="Arial" w:cs="Arial" w:eastAsia="Arial" w:hAnsi="Arial"/>
          <w:sz w:val="15"/>
          <w:szCs w:val="15"/>
          <w:color w:val="auto"/>
        </w:rPr>
        <w:t>The Food and Drug Omnibus Reform Act, or FDORA, was recently enacted,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enables the FDA to initiate enforcement action for the failure to conduct with due diligence a required post-approval study, including a failure to meet any required conditions specified by the FDA or to submit timely reports.</w:t>
      </w:r>
    </w:p>
    <w:p>
      <w:pPr>
        <w:spacing w:after="0" w:line="163" w:lineRule="exact"/>
        <w:rPr>
          <w:sz w:val="20"/>
          <w:szCs w:val="20"/>
          <w:color w:val="auto"/>
        </w:rPr>
      </w:pPr>
    </w:p>
    <w:p>
      <w:pPr>
        <w:jc w:val="both"/>
        <w:ind w:left="260" w:right="180" w:firstLine="458"/>
        <w:spacing w:after="0" w:line="278"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Post-approval requirements</w:t>
      </w:r>
    </w:p>
    <w:p>
      <w:pPr>
        <w:spacing w:after="0" w:line="113" w:lineRule="exact"/>
        <w:rPr>
          <w:sz w:val="20"/>
          <w:szCs w:val="20"/>
          <w:color w:val="auto"/>
        </w:rPr>
      </w:pPr>
    </w:p>
    <w:p>
      <w:pPr>
        <w:ind w:left="260" w:firstLine="458"/>
        <w:spacing w:after="0" w:line="286" w:lineRule="auto"/>
        <w:rPr>
          <w:sz w:val="20"/>
          <w:szCs w:val="20"/>
          <w:color w:val="auto"/>
        </w:rPr>
      </w:pPr>
      <w:r>
        <w:rPr>
          <w:rFonts w:ascii="Arial" w:cs="Arial" w:eastAsia="Arial" w:hAnsi="Arial"/>
          <w:sz w:val="15"/>
          <w:szCs w:val="15"/>
          <w:color w:val="auto"/>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169"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Orphan drug designation</w:t>
      </w:r>
    </w:p>
    <w:p>
      <w:pPr>
        <w:spacing w:after="0" w:line="127" w:lineRule="exact"/>
        <w:rPr>
          <w:sz w:val="20"/>
          <w:szCs w:val="20"/>
          <w:color w:val="auto"/>
        </w:rPr>
      </w:pPr>
    </w:p>
    <w:p>
      <w:pPr>
        <w:ind w:left="260" w:firstLine="458"/>
        <w:spacing w:after="0" w:line="271"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treatment of rare diseases or conditions. In the United States, pursuant to the Orphan Drug Act, the FDA may grant orphan designation to a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20" w:firstLine="458"/>
        <w:spacing w:after="0" w:line="297" w:lineRule="auto"/>
        <w:rPr>
          <w:sz w:val="20"/>
          <w:szCs w:val="20"/>
          <w:color w:val="auto"/>
        </w:rPr>
      </w:pPr>
      <w:r>
        <w:rPr>
          <w:rFonts w:ascii="Arial" w:cs="Arial" w:eastAsia="Arial" w:hAnsi="Arial"/>
          <w:sz w:val="15"/>
          <w:szCs w:val="15"/>
          <w:color w:val="auto"/>
        </w:rPr>
        <w:t>An application for designation as an orphan product can be made any time prior to the filing of an application for approval to market the product. The Office of Orphan Products Development at the FDA grants orphan drug designations based on acceptable confidential requests made under the regulatory provisions. The product must then go through the review and approval process like any other product. Orphan drug designation entitles a company to financial incentives, such as tax credits and user fee waivers, but does not convey any advantage in or shorten the duration of the regulatory review and approval process.</w:t>
      </w:r>
    </w:p>
    <w:p>
      <w:pPr>
        <w:spacing w:after="0" w:line="159" w:lineRule="exact"/>
        <w:rPr>
          <w:sz w:val="20"/>
          <w:szCs w:val="20"/>
          <w:color w:val="auto"/>
        </w:rPr>
      </w:pPr>
    </w:p>
    <w:p>
      <w:pPr>
        <w:ind w:left="260" w:right="40" w:firstLine="458"/>
        <w:spacing w:after="0" w:line="271" w:lineRule="auto"/>
        <w:rPr>
          <w:sz w:val="20"/>
          <w:szCs w:val="20"/>
          <w:color w:val="auto"/>
        </w:rPr>
      </w:pPr>
      <w:r>
        <w:rPr>
          <w:rFonts w:ascii="Arial" w:cs="Arial" w:eastAsia="Arial" w:hAnsi="Arial"/>
          <w:sz w:val="16"/>
          <w:szCs w:val="16"/>
          <w:color w:val="auto"/>
        </w:rPr>
        <w:t>A sponsor may request orphan drug designation of a previously unapproved product or new orphan indication for an already marketed product. In addition, a sponsor of a product that is otherwise the same drug, which includes biologics,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63"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such as a showing of clinical superiority to the product with orphan exclusivity by means of greater effectiveness, greater safety, or providing a major contribution to patient care, or in instances of product supply issues. If a product designated as an orphan drug ultimately receives marketing approval for an indication broader than what was designated in its orphan drug application, it may not be entitled to exclusivity. Competitors may receive approval of either a different drug for the same indication or the same drug for a different indication.</w:t>
      </w:r>
    </w:p>
    <w:p>
      <w:pPr>
        <w:spacing w:after="0" w:line="176"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The period of exclusivity begins on the date that the marketing application is approved by the FDA and applies only to the indication for which the product has been designated. The FDA may approve a second application for the same drug for a different use or a second application for a clinically superior version of the drug for the same use. Because healthcare professionals are free to prescribe products for off-label uses, the competitor’s product could be used for the orphan indication despite another product’s orphan exclusivity. The FDA cannot, however, approve the same drug made by another manufacturer for the same indication during the market exclusivity period unless it has the consent of the sponsor or the sponsor is unable to provide sufficient quantities.</w:t>
      </w:r>
    </w:p>
    <w:p>
      <w:pPr>
        <w:spacing w:after="0" w:line="149" w:lineRule="exact"/>
        <w:rPr>
          <w:sz w:val="20"/>
          <w:szCs w:val="20"/>
          <w:color w:val="auto"/>
        </w:rPr>
      </w:pPr>
    </w:p>
    <w:p>
      <w:pPr>
        <w:ind w:left="260" w:right="20" w:firstLine="458"/>
        <w:spacing w:after="0" w:line="273" w:lineRule="auto"/>
        <w:rPr>
          <w:sz w:val="20"/>
          <w:szCs w:val="20"/>
          <w:color w:val="auto"/>
        </w:rPr>
      </w:pPr>
      <w:r>
        <w:rPr>
          <w:rFonts w:ascii="Arial" w:cs="Arial" w:eastAsia="Arial" w:hAnsi="Arial"/>
          <w:sz w:val="16"/>
          <w:szCs w:val="16"/>
          <w:color w:val="auto"/>
        </w:rPr>
        <w:t>The FDA’s determination of whether two ADCs are the same drug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FDA approval and regulation of companion diagnostics</w:t>
      </w:r>
    </w:p>
    <w:p>
      <w:pPr>
        <w:spacing w:after="0" w:line="113" w:lineRule="exact"/>
        <w:rPr>
          <w:sz w:val="20"/>
          <w:szCs w:val="20"/>
          <w:color w:val="auto"/>
        </w:rPr>
      </w:pPr>
    </w:p>
    <w:p>
      <w:pPr>
        <w:ind w:left="260" w:right="40" w:firstLine="458"/>
        <w:spacing w:after="0" w:line="293" w:lineRule="auto"/>
        <w:rPr>
          <w:sz w:val="20"/>
          <w:szCs w:val="20"/>
          <w:color w:val="auto"/>
        </w:rPr>
      </w:pPr>
      <w:r>
        <w:rPr>
          <w:rFonts w:ascii="Arial" w:cs="Arial" w:eastAsia="Arial" w:hAnsi="Arial"/>
          <w:sz w:val="15"/>
          <w:szCs w:val="15"/>
          <w:color w:val="auto"/>
        </w:rPr>
        <w:t xml:space="preserve">If use of an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 is essential to the safe and effective use of a drug or biologic product, then the FDA generally will require approval or clearance of that diagnostic, known as a companion diagnostic, before or at the same time that the FDA approves the therapeutic product. In August 2014, the FDA issued final guidance clarifying the requirements that will apply to approval of therapeutic products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spacing w:after="0" w:line="149" w:lineRule="exact"/>
        <w:rPr>
          <w:sz w:val="20"/>
          <w:szCs w:val="20"/>
          <w:color w:val="auto"/>
        </w:rPr>
      </w:pPr>
    </w:p>
    <w:p>
      <w:pPr>
        <w:jc w:val="both"/>
        <w:ind w:left="260" w:right="280" w:firstLine="458"/>
        <w:spacing w:after="0" w:line="305" w:lineRule="auto"/>
        <w:rPr>
          <w:sz w:val="20"/>
          <w:szCs w:val="20"/>
          <w:color w:val="auto"/>
        </w:rPr>
      </w:pPr>
      <w:r>
        <w:rPr>
          <w:rFonts w:ascii="Arial" w:cs="Arial" w:eastAsia="Arial" w:hAnsi="Arial"/>
          <w:sz w:val="15"/>
          <w:szCs w:val="15"/>
          <w:color w:val="auto"/>
        </w:rPr>
        <w:t xml:space="preserve">The FDA has also introduced the concept of a complementary diagnostic, which the FDA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 will be included in the therapeutic product labeling.</w:t>
      </w:r>
    </w:p>
    <w:p>
      <w:pPr>
        <w:spacing w:after="0" w:line="355"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 xml:space="preserve">Approval or clearance of the companion or complementary diagnostic device will ensure that the device has been adequately evaluated and has adequate performance characteristics in the intended population. The review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or complementary diagnostics in conjunction with the review of our products will, therefore, likely involve coordination of review by CDER and the FDA’s Office of In Vitro Diagnostics and Radiological Health. We may partner with a diagnostic provider to develop a companion or complementary diagnostic for certain of our product candidates. Review and approval of a companion or complementary diagnostic is typically done in parallel with development of the therapeutic product. However, it is possible that the FDA may permit approval of the companion or complementary diagnostic as a post-marketing commitment following a potential regulatory approval.</w:t>
      </w:r>
    </w:p>
    <w:p>
      <w:pPr>
        <w:spacing w:after="0" w:line="200" w:lineRule="exact"/>
        <w:rPr>
          <w:sz w:val="20"/>
          <w:szCs w:val="20"/>
          <w:color w:val="auto"/>
        </w:rPr>
      </w:pPr>
    </w:p>
    <w:p>
      <w:pPr>
        <w:spacing w:after="0" w:line="277"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 xml:space="preserve">Under the FDCA,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including companion and complementary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The FDA</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760"/>
        <w:spacing w:after="0" w:line="293" w:lineRule="auto"/>
        <w:rPr>
          <w:sz w:val="20"/>
          <w:szCs w:val="20"/>
          <w:color w:val="auto"/>
        </w:rPr>
      </w:pPr>
      <w:r>
        <w:rPr>
          <w:rFonts w:ascii="Arial" w:cs="Arial" w:eastAsia="Arial" w:hAnsi="Arial"/>
          <w:sz w:val="16"/>
          <w:szCs w:val="16"/>
          <w:color w:val="auto"/>
        </w:rPr>
        <w:t xml:space="preserve">has generally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cancer treatment to obtain a PMA for that diagnostic simultaneously with approval of the therapeutic.</w:t>
      </w:r>
    </w:p>
    <w:p>
      <w:pPr>
        <w:spacing w:after="0" w:line="50" w:lineRule="exact"/>
        <w:rPr>
          <w:sz w:val="20"/>
          <w:szCs w:val="20"/>
          <w:color w:val="auto"/>
        </w:rPr>
      </w:pPr>
    </w:p>
    <w:p>
      <w:pPr>
        <w:ind w:left="260" w:right="120" w:firstLine="458"/>
        <w:spacing w:after="0" w:line="311" w:lineRule="auto"/>
        <w:rPr>
          <w:sz w:val="20"/>
          <w:szCs w:val="20"/>
          <w:color w:val="auto"/>
        </w:rPr>
      </w:pPr>
      <w:r>
        <w:rPr>
          <w:rFonts w:ascii="Arial" w:cs="Arial" w:eastAsia="Arial" w:hAnsi="Arial"/>
          <w:sz w:val="14"/>
          <w:szCs w:val="14"/>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54" w:lineRule="exact"/>
        <w:rPr>
          <w:sz w:val="20"/>
          <w:szCs w:val="20"/>
          <w:color w:val="auto"/>
        </w:rPr>
      </w:pPr>
    </w:p>
    <w:p>
      <w:pPr>
        <w:ind w:left="260" w:right="100" w:firstLine="458"/>
        <w:spacing w:after="0" w:line="286" w:lineRule="auto"/>
        <w:rPr>
          <w:sz w:val="20"/>
          <w:szCs w:val="20"/>
          <w:color w:val="auto"/>
        </w:rPr>
      </w:pPr>
      <w:r>
        <w:rPr>
          <w:rFonts w:ascii="Arial" w:cs="Arial" w:eastAsia="Arial" w:hAnsi="Arial"/>
          <w:sz w:val="15"/>
          <w:szCs w:val="15"/>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52"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Pediatric information</w:t>
      </w:r>
    </w:p>
    <w:p>
      <w:pPr>
        <w:spacing w:after="0" w:line="113" w:lineRule="exact"/>
        <w:rPr>
          <w:sz w:val="20"/>
          <w:szCs w:val="20"/>
          <w:color w:val="auto"/>
        </w:rPr>
      </w:pPr>
    </w:p>
    <w:p>
      <w:pPr>
        <w:ind w:left="260" w:firstLine="458"/>
        <w:spacing w:after="0" w:line="291" w:lineRule="auto"/>
        <w:rPr>
          <w:sz w:val="20"/>
          <w:szCs w:val="20"/>
          <w:color w:val="auto"/>
        </w:rPr>
      </w:pPr>
      <w:r>
        <w:rPr>
          <w:rFonts w:ascii="Arial" w:cs="Arial" w:eastAsia="Arial" w:hAnsi="Arial"/>
          <w:sz w:val="15"/>
          <w:szCs w:val="15"/>
          <w:color w:val="auto"/>
        </w:rPr>
        <w:t>Under the Pediatric Research Equity Act, or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product contains a new active ingredient and is a molecularly targeted cancer product intended for the treatment of an adult cancer and is directed at a molecular target that FDA has determined is substantially relevant to the growth or progression of a pediatric cancer.</w:t>
      </w:r>
    </w:p>
    <w:p>
      <w:pPr>
        <w:spacing w:after="0" w:line="149" w:lineRule="exact"/>
        <w:rPr>
          <w:sz w:val="20"/>
          <w:szCs w:val="20"/>
          <w:color w:val="auto"/>
        </w:rPr>
      </w:pPr>
    </w:p>
    <w:p>
      <w:pPr>
        <w:jc w:val="both"/>
        <w:ind w:left="260" w:right="40" w:firstLine="458"/>
        <w:spacing w:after="0" w:line="297" w:lineRule="auto"/>
        <w:rPr>
          <w:sz w:val="20"/>
          <w:szCs w:val="20"/>
          <w:color w:val="auto"/>
        </w:rPr>
      </w:pPr>
      <w:r>
        <w:rPr>
          <w:rFonts w:ascii="Arial" w:cs="Arial" w:eastAsia="Arial" w:hAnsi="Arial"/>
          <w:sz w:val="15"/>
          <w:szCs w:val="15"/>
          <w:color w:val="auto"/>
        </w:rPr>
        <w:t>The Best Pharmaceuticals for Children Act, or BPCA, provides a six-month extension of any patent and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Additional controls for biologics</w:t>
      </w:r>
    </w:p>
    <w:p>
      <w:pPr>
        <w:spacing w:after="0" w:line="113" w:lineRule="exact"/>
        <w:rPr>
          <w:sz w:val="20"/>
          <w:szCs w:val="20"/>
          <w:color w:val="auto"/>
        </w:rPr>
      </w:pPr>
    </w:p>
    <w:p>
      <w:pPr>
        <w:jc w:val="both"/>
        <w:ind w:left="260" w:right="60" w:firstLine="458"/>
        <w:spacing w:after="0" w:line="273"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364" w:lineRule="exact"/>
        <w:rPr>
          <w:sz w:val="20"/>
          <w:szCs w:val="20"/>
          <w:color w:val="auto"/>
        </w:rPr>
      </w:pPr>
    </w:p>
    <w:p>
      <w:pPr>
        <w:ind w:left="260" w:right="20" w:firstLine="458"/>
        <w:spacing w:after="0" w:line="273" w:lineRule="auto"/>
        <w:rPr>
          <w:sz w:val="20"/>
          <w:szCs w:val="20"/>
          <w:color w:val="auto"/>
        </w:rPr>
      </w:pPr>
      <w:r>
        <w:rPr>
          <w:rFonts w:ascii="Arial" w:cs="Arial" w:eastAsia="Arial" w:hAnsi="Arial"/>
          <w:sz w:val="16"/>
          <w:szCs w:val="16"/>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120"/>
        <w:spacing w:after="0" w:line="273" w:lineRule="auto"/>
        <w:rPr>
          <w:sz w:val="20"/>
          <w:szCs w:val="20"/>
          <w:color w:val="auto"/>
        </w:rPr>
      </w:pPr>
      <w:r>
        <w:rPr>
          <w:rFonts w:ascii="Arial" w:cs="Arial" w:eastAsia="Arial" w:hAnsi="Arial"/>
          <w:sz w:val="16"/>
          <w:szCs w:val="16"/>
          <w:color w:val="auto"/>
        </w:rPr>
        <w:t>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Biosimilars and exclusivity</w:t>
      </w:r>
    </w:p>
    <w:p>
      <w:pPr>
        <w:spacing w:after="0" w:line="113" w:lineRule="exact"/>
        <w:rPr>
          <w:sz w:val="20"/>
          <w:szCs w:val="20"/>
          <w:color w:val="auto"/>
        </w:rPr>
      </w:pPr>
    </w:p>
    <w:p>
      <w:pPr>
        <w:ind w:left="260" w:right="40" w:firstLine="458"/>
        <w:spacing w:after="0" w:line="335" w:lineRule="auto"/>
        <w:rPr>
          <w:sz w:val="20"/>
          <w:szCs w:val="20"/>
          <w:color w:val="auto"/>
        </w:rPr>
      </w:pPr>
      <w:r>
        <w:rPr>
          <w:rFonts w:ascii="Arial" w:cs="Arial" w:eastAsia="Arial" w:hAnsi="Arial"/>
          <w:sz w:val="14"/>
          <w:szCs w:val="14"/>
          <w:color w:val="auto"/>
        </w:rPr>
        <w:t>The Patient Protection and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The FDA has licensed numerous biosimilars under the BPCIA, and has issued several guidance documents outlining an approach to review and approval of biosimilars.</w:t>
      </w:r>
    </w:p>
    <w:p>
      <w:pPr>
        <w:spacing w:after="0" w:line="136" w:lineRule="exact"/>
        <w:rPr>
          <w:sz w:val="20"/>
          <w:szCs w:val="20"/>
          <w:color w:val="auto"/>
        </w:rPr>
      </w:pPr>
    </w:p>
    <w:p>
      <w:pPr>
        <w:ind w:left="260" w:right="20" w:firstLine="458"/>
        <w:spacing w:after="0" w:line="288" w:lineRule="auto"/>
        <w:rPr>
          <w:sz w:val="20"/>
          <w:szCs w:val="20"/>
          <w:color w:val="auto"/>
        </w:rPr>
      </w:pPr>
      <w:r>
        <w:rPr>
          <w:rFonts w:ascii="Arial" w:cs="Arial" w:eastAsia="Arial" w:hAnsi="Arial"/>
          <w:sz w:val="15"/>
          <w:szCs w:val="15"/>
          <w:color w:val="auto"/>
        </w:rPr>
        <w:t>Biosimilarity, which requires that there be no differences in conditions of use, route of administration, dosage form, and strength, and no clinically meaningful differences between the proposed biosimilar biological product and the reference product in terms of safety, purity and potency, can be shown through analytical studies, an assessment of toxicity,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spacing w:after="0" w:line="153" w:lineRule="exact"/>
        <w:rPr>
          <w:sz w:val="20"/>
          <w:szCs w:val="20"/>
          <w:color w:val="auto"/>
        </w:rPr>
      </w:pPr>
    </w:p>
    <w:p>
      <w:pPr>
        <w:ind w:left="260" w:firstLine="458"/>
        <w:spacing w:after="0" w:line="291"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spacing w:after="0" w:line="149" w:lineRule="exact"/>
        <w:rPr>
          <w:sz w:val="20"/>
          <w:szCs w:val="20"/>
          <w:color w:val="auto"/>
        </w:rPr>
      </w:pPr>
    </w:p>
    <w:p>
      <w:pPr>
        <w:ind w:left="260" w:right="100" w:firstLine="458"/>
        <w:spacing w:after="0" w:line="271" w:lineRule="auto"/>
        <w:rPr>
          <w:sz w:val="20"/>
          <w:szCs w:val="20"/>
          <w:color w:val="auto"/>
        </w:rPr>
      </w:pPr>
      <w:r>
        <w:rPr>
          <w:rFonts w:ascii="Arial" w:cs="Arial" w:eastAsia="Arial" w:hAnsi="Arial"/>
          <w:sz w:val="16"/>
          <w:szCs w:val="16"/>
          <w:color w:val="auto"/>
        </w:rPr>
        <w:t>The first biologic product submitted under the biosimilar abbreviated approval pathway that is determined to be interchangeable with the reference product has exclusivity against approval of an interchangeable biologic for the same condition of use for the earlier of (i) one year after first commercial marketing of the first interchangeable biosimilar, (ii) 18 months after the first interchangeable biosimilar is approved if there is no patent challenge, (iii) eighteen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Patent term restoration and extension</w:t>
      </w:r>
    </w:p>
    <w:p>
      <w:pPr>
        <w:spacing w:after="0" w:line="113" w:lineRule="exact"/>
        <w:rPr>
          <w:sz w:val="20"/>
          <w:szCs w:val="20"/>
          <w:color w:val="auto"/>
        </w:rPr>
      </w:pPr>
    </w:p>
    <w:p>
      <w:pPr>
        <w:ind w:left="260" w:right="60" w:firstLine="458"/>
        <w:spacing w:after="0" w:line="288" w:lineRule="auto"/>
        <w:rPr>
          <w:sz w:val="20"/>
          <w:szCs w:val="20"/>
          <w:color w:val="auto"/>
        </w:rPr>
      </w:pPr>
      <w:r>
        <w:rPr>
          <w:rFonts w:ascii="Arial" w:cs="Arial" w:eastAsia="Arial" w:hAnsi="Arial"/>
          <w:sz w:val="15"/>
          <w:szCs w:val="15"/>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Regulation and procedures governing approval of medicinal products in the European Union</w:t>
      </w:r>
    </w:p>
    <w:p>
      <w:pPr>
        <w:spacing w:after="0" w:line="113" w:lineRule="exact"/>
        <w:rPr>
          <w:sz w:val="20"/>
          <w:szCs w:val="20"/>
          <w:color w:val="auto"/>
        </w:rPr>
      </w:pPr>
    </w:p>
    <w:p>
      <w:pPr>
        <w:ind w:left="260" w:firstLine="458"/>
        <w:spacing w:after="0" w:line="288" w:lineRule="auto"/>
        <w:rPr>
          <w:sz w:val="20"/>
          <w:szCs w:val="20"/>
          <w:color w:val="auto"/>
        </w:rPr>
      </w:pPr>
      <w:r>
        <w:rPr>
          <w:rFonts w:ascii="Arial" w:cs="Arial" w:eastAsia="Arial" w:hAnsi="Arial"/>
          <w:sz w:val="15"/>
          <w:szCs w:val="15"/>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Clinical trial approval</w:t>
      </w:r>
    </w:p>
    <w:p>
      <w:pPr>
        <w:spacing w:after="0" w:line="113" w:lineRule="exact"/>
        <w:rPr>
          <w:sz w:val="20"/>
          <w:szCs w:val="20"/>
          <w:color w:val="auto"/>
        </w:rPr>
      </w:pPr>
    </w:p>
    <w:p>
      <w:pPr>
        <w:ind w:left="260" w:right="460" w:firstLine="458"/>
        <w:spacing w:after="0" w:line="293" w:lineRule="auto"/>
        <w:rPr>
          <w:sz w:val="20"/>
          <w:szCs w:val="20"/>
          <w:color w:val="auto"/>
        </w:rPr>
      </w:pPr>
      <w:r>
        <w:rPr>
          <w:rFonts w:ascii="Arial" w:cs="Arial" w:eastAsia="Arial" w:hAnsi="Arial"/>
          <w:sz w:val="16"/>
          <w:szCs w:val="16"/>
          <w:color w:val="auto"/>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300"/>
        <w:spacing w:after="0" w:line="293" w:lineRule="auto"/>
        <w:rPr>
          <w:sz w:val="20"/>
          <w:szCs w:val="20"/>
          <w:color w:val="auto"/>
        </w:rPr>
      </w:pPr>
      <w:r>
        <w:rPr>
          <w:rFonts w:ascii="Arial" w:cs="Arial" w:eastAsia="Arial" w:hAnsi="Arial"/>
          <w:sz w:val="15"/>
          <w:szCs w:val="15"/>
          <w:color w:val="auto"/>
        </w:rPr>
        <w:t>member states. Under this system, the sponsor of a clinical trial must submit a request for authorization to the competent national authority of the European Union member state in which the clinical trial is to be conducted, or in multiple member states if the clinical trial is to be conducted in a number of member states.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49" w:lineRule="exact"/>
        <w:rPr>
          <w:sz w:val="20"/>
          <w:szCs w:val="20"/>
          <w:color w:val="auto"/>
        </w:rPr>
      </w:pPr>
    </w:p>
    <w:p>
      <w:pPr>
        <w:ind w:left="260" w:firstLine="458"/>
        <w:spacing w:after="0" w:line="288" w:lineRule="auto"/>
        <w:rPr>
          <w:sz w:val="20"/>
          <w:szCs w:val="20"/>
          <w:color w:val="auto"/>
        </w:rPr>
      </w:pPr>
      <w:r>
        <w:rPr>
          <w:rFonts w:ascii="Arial" w:cs="Arial" w:eastAsia="Arial" w:hAnsi="Arial"/>
          <w:sz w:val="15"/>
          <w:szCs w:val="15"/>
          <w:color w:val="auto"/>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PRIME designation in the European Union</w:t>
      </w:r>
    </w:p>
    <w:p>
      <w:pPr>
        <w:spacing w:after="0" w:line="113" w:lineRule="exact"/>
        <w:rPr>
          <w:sz w:val="20"/>
          <w:szCs w:val="20"/>
          <w:color w:val="auto"/>
        </w:rPr>
      </w:pPr>
    </w:p>
    <w:p>
      <w:pPr>
        <w:ind w:left="260" w:right="140" w:firstLine="458"/>
        <w:spacing w:after="0" w:line="286" w:lineRule="auto"/>
        <w:rPr>
          <w:sz w:val="20"/>
          <w:szCs w:val="20"/>
          <w:color w:val="auto"/>
        </w:rPr>
      </w:pPr>
      <w:r>
        <w:rPr>
          <w:rFonts w:ascii="Arial" w:cs="Arial" w:eastAsia="Arial" w:hAnsi="Arial"/>
          <w:sz w:val="15"/>
          <w:szCs w:val="15"/>
          <w:color w:val="auto"/>
        </w:rPr>
        <w:t>In March 2016, the EMA launched an initiative to facilitate development of product candidates of major interest from the point of view of public health and in particular from the point of view of therapeutic innovation. The PRIority MEdicines, or PRIME, scheme is intended to encourage drug development in areas of unmet medical need and provides accelerated assessment of products 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 of 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or CHMP, or Committee for Advanced Therapies in the case of an advanced therapy, are appointed early in the PRIME scheme to provide continuous support and help to build knowledge ahead of a MAA.</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Marketing authorization</w:t>
      </w:r>
    </w:p>
    <w:p>
      <w:pPr>
        <w:spacing w:after="0" w:line="113" w:lineRule="exact"/>
        <w:rPr>
          <w:sz w:val="20"/>
          <w:szCs w:val="20"/>
          <w:color w:val="auto"/>
        </w:rPr>
      </w:pPr>
    </w:p>
    <w:p>
      <w:pPr>
        <w:ind w:left="260" w:right="140" w:firstLine="458"/>
        <w:spacing w:after="0" w:line="268" w:lineRule="auto"/>
        <w:rPr>
          <w:sz w:val="20"/>
          <w:szCs w:val="20"/>
          <w:color w:val="auto"/>
        </w:rPr>
      </w:pPr>
      <w:r>
        <w:rPr>
          <w:rFonts w:ascii="Arial" w:cs="Arial" w:eastAsia="Arial" w:hAnsi="Arial"/>
          <w:sz w:val="16"/>
          <w:szCs w:val="16"/>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spacing w:after="0" w:line="165"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spacing w:after="0" w:line="176" w:lineRule="exact"/>
        <w:rPr>
          <w:sz w:val="20"/>
          <w:szCs w:val="20"/>
          <w:color w:val="auto"/>
        </w:rPr>
      </w:pPr>
    </w:p>
    <w:p>
      <w:pPr>
        <w:ind w:left="260" w:right="40" w:firstLine="458"/>
        <w:spacing w:after="0" w:line="291" w:lineRule="auto"/>
        <w:rPr>
          <w:sz w:val="20"/>
          <w:szCs w:val="20"/>
          <w:color w:val="auto"/>
        </w:rPr>
      </w:pPr>
      <w:r>
        <w:rPr>
          <w:rFonts w:ascii="Arial" w:cs="Arial" w:eastAsia="Arial" w:hAnsi="Arial"/>
          <w:sz w:val="15"/>
          <w:szCs w:val="15"/>
          <w:color w:val="auto"/>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spacing w:after="0" w:line="149" w:lineRule="exact"/>
        <w:rPr>
          <w:sz w:val="20"/>
          <w:szCs w:val="20"/>
          <w:color w:val="auto"/>
        </w:rPr>
      </w:pPr>
    </w:p>
    <w:p>
      <w:pPr>
        <w:ind w:left="260" w:right="40" w:firstLine="458"/>
        <w:spacing w:after="0" w:line="278" w:lineRule="auto"/>
        <w:rPr>
          <w:sz w:val="20"/>
          <w:szCs w:val="20"/>
          <w:color w:val="auto"/>
        </w:rPr>
      </w:pPr>
      <w:r>
        <w:rPr>
          <w:rFonts w:ascii="Arial" w:cs="Arial" w:eastAsia="Arial" w:hAnsi="Arial"/>
          <w:sz w:val="16"/>
          <w:szCs w:val="16"/>
          <w:color w:val="auto"/>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right="400"/>
        <w:spacing w:after="0" w:line="293" w:lineRule="auto"/>
        <w:rPr>
          <w:sz w:val="20"/>
          <w:szCs w:val="20"/>
          <w:color w:val="auto"/>
        </w:rPr>
      </w:pPr>
      <w:r>
        <w:rPr>
          <w:rFonts w:ascii="Arial" w:cs="Arial" w:eastAsia="Arial" w:hAnsi="Arial"/>
          <w:sz w:val="16"/>
          <w:szCs w:val="16"/>
          <w:color w:val="auto"/>
        </w:rPr>
        <w:t>territories or (iii) the mutual recognition procedure, which applies to products already authorized in a Member State and whose marketing in other Member States’ territories is sought.</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Regulatory data protection in the European Union</w:t>
      </w:r>
    </w:p>
    <w:p>
      <w:pPr>
        <w:spacing w:after="0" w:line="113" w:lineRule="exact"/>
        <w:rPr>
          <w:sz w:val="20"/>
          <w:szCs w:val="20"/>
          <w:color w:val="auto"/>
        </w:rPr>
      </w:pPr>
    </w:p>
    <w:p>
      <w:pPr>
        <w:ind w:left="260" w:right="340" w:firstLine="458"/>
        <w:spacing w:after="0" w:line="278" w:lineRule="auto"/>
        <w:rPr>
          <w:sz w:val="20"/>
          <w:szCs w:val="20"/>
          <w:color w:val="auto"/>
        </w:rPr>
      </w:pPr>
      <w:r>
        <w:rPr>
          <w:rFonts w:ascii="Arial" w:cs="Arial" w:eastAsia="Arial" w:hAnsi="Arial"/>
          <w:sz w:val="16"/>
          <w:szCs w:val="16"/>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spacing w:after="0" w:line="157" w:lineRule="exact"/>
        <w:rPr>
          <w:sz w:val="20"/>
          <w:szCs w:val="20"/>
          <w:color w:val="auto"/>
        </w:rPr>
      </w:pPr>
    </w:p>
    <w:p>
      <w:pPr>
        <w:ind w:left="260"/>
        <w:spacing w:after="0" w:line="287" w:lineRule="auto"/>
        <w:rPr>
          <w:sz w:val="20"/>
          <w:szCs w:val="20"/>
          <w:color w:val="auto"/>
        </w:rPr>
      </w:pPr>
      <w:r>
        <w:rPr>
          <w:rFonts w:ascii="Arial" w:cs="Arial" w:eastAsia="Arial" w:hAnsi="Arial"/>
          <w:sz w:val="15"/>
          <w:szCs w:val="15"/>
          <w:color w:val="auto"/>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5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Patent term extensions in the European Union and other jurisdictions</w:t>
      </w:r>
    </w:p>
    <w:p>
      <w:pPr>
        <w:spacing w:after="0" w:line="113" w:lineRule="exact"/>
        <w:rPr>
          <w:sz w:val="20"/>
          <w:szCs w:val="20"/>
          <w:color w:val="auto"/>
        </w:rPr>
      </w:pPr>
    </w:p>
    <w:p>
      <w:pPr>
        <w:ind w:left="260" w:right="40" w:firstLine="458"/>
        <w:spacing w:after="0" w:line="324" w:lineRule="auto"/>
        <w:rPr>
          <w:sz w:val="20"/>
          <w:szCs w:val="20"/>
          <w:color w:val="auto"/>
        </w:rPr>
      </w:pPr>
      <w:r>
        <w:rPr>
          <w:rFonts w:ascii="Arial" w:cs="Arial" w:eastAsia="Arial" w:hAnsi="Arial"/>
          <w:sz w:val="14"/>
          <w:szCs w:val="14"/>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Periods of authorization and renewals</w:t>
      </w:r>
    </w:p>
    <w:p>
      <w:pPr>
        <w:spacing w:after="0" w:line="113" w:lineRule="exact"/>
        <w:rPr>
          <w:sz w:val="20"/>
          <w:szCs w:val="20"/>
          <w:color w:val="auto"/>
        </w:rPr>
      </w:pPr>
    </w:p>
    <w:p>
      <w:pPr>
        <w:ind w:left="260" w:right="80" w:firstLine="458"/>
        <w:spacing w:after="0" w:line="268"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Regulatory requirements after marketing authorization</w:t>
      </w:r>
    </w:p>
    <w:p>
      <w:pPr>
        <w:spacing w:after="0" w:line="127" w:lineRule="exact"/>
        <w:rPr>
          <w:sz w:val="20"/>
          <w:szCs w:val="20"/>
          <w:color w:val="auto"/>
        </w:rPr>
      </w:pPr>
    </w:p>
    <w:p>
      <w:pPr>
        <w:ind w:left="260" w:right="80" w:firstLine="458"/>
        <w:spacing w:after="0" w:line="313" w:lineRule="auto"/>
        <w:rPr>
          <w:sz w:val="20"/>
          <w:szCs w:val="20"/>
          <w:color w:val="auto"/>
        </w:rPr>
      </w:pPr>
      <w:r>
        <w:rPr>
          <w:rFonts w:ascii="Arial" w:cs="Arial" w:eastAsia="Arial" w:hAnsi="Arial"/>
          <w:sz w:val="14"/>
          <w:szCs w:val="14"/>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Orphan drug designation and exclusivity</w:t>
      </w:r>
    </w:p>
    <w:p>
      <w:pPr>
        <w:spacing w:after="0" w:line="113"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spacing w:after="0" w:line="163" w:lineRule="exact"/>
        <w:rPr>
          <w:sz w:val="20"/>
          <w:szCs w:val="20"/>
          <w:color w:val="auto"/>
        </w:rPr>
      </w:pPr>
    </w:p>
    <w:p>
      <w:pPr>
        <w:ind w:left="260" w:right="40" w:firstLine="458"/>
        <w:spacing w:after="0" w:line="313" w:lineRule="auto"/>
        <w:rPr>
          <w:sz w:val="20"/>
          <w:szCs w:val="20"/>
          <w:color w:val="auto"/>
        </w:rPr>
      </w:pPr>
      <w:r>
        <w:rPr>
          <w:rFonts w:ascii="Arial" w:cs="Arial" w:eastAsia="Arial" w:hAnsi="Arial"/>
          <w:sz w:val="14"/>
          <w:szCs w:val="14"/>
          <w:color w:val="auto"/>
        </w:rPr>
        <w:t>An orphan drug designation provides a number of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to justify market exclusivity.</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General Data Protection Regulation</w:t>
      </w:r>
    </w:p>
    <w:p>
      <w:pPr>
        <w:spacing w:after="0" w:line="113"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25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Brexit and the regulatory framework in the United Kingdom</w:t>
      </w:r>
    </w:p>
    <w:p>
      <w:pPr>
        <w:spacing w:after="0" w:line="113" w:lineRule="exact"/>
        <w:rPr>
          <w:sz w:val="20"/>
          <w:szCs w:val="20"/>
          <w:color w:val="auto"/>
        </w:rPr>
      </w:pPr>
    </w:p>
    <w:p>
      <w:pPr>
        <w:ind w:left="260" w:right="20" w:firstLine="458"/>
        <w:spacing w:after="0" w:line="318" w:lineRule="auto"/>
        <w:rPr>
          <w:sz w:val="20"/>
          <w:szCs w:val="20"/>
          <w:color w:val="auto"/>
        </w:rPr>
      </w:pPr>
      <w:r>
        <w:rPr>
          <w:rFonts w:ascii="Arial" w:cs="Arial" w:eastAsia="Arial" w:hAnsi="Arial"/>
          <w:sz w:val="14"/>
          <w:szCs w:val="14"/>
          <w:color w:val="auto"/>
        </w:rPr>
        <w:t>On June 23, 2016, the electorate in the United Kingdom voted in favor of leaving the European Union, commonly referred to as Brexit. Following protracted negotiations, the United Kingdom left the European Union on January 31, 2020. The transition period ended on December 31, 2020. On December 30, 2020, the United Kingdom and EU signed the Trade and Cooperation Agreement (TCA), which includes an agreement on free trade between the two parties. The TCA does not contain wholesale mutual recognition of regulatory regimes for pharmaceuticals as was hoped. There is mutual recognition of cGMP inspections of manufacturing facilities but it does not include reciprocal arrangements for the recognition of batch testing certification, in order to avoid unnecessary re-testing on importation of products.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right="80" w:firstLine="464"/>
        <w:spacing w:after="0" w:line="287" w:lineRule="auto"/>
        <w:rPr>
          <w:sz w:val="20"/>
          <w:szCs w:val="20"/>
          <w:color w:val="auto"/>
        </w:rPr>
      </w:pPr>
      <w:r>
        <w:rPr>
          <w:rFonts w:ascii="Arial" w:cs="Arial" w:eastAsia="Arial" w:hAnsi="Arial"/>
          <w:sz w:val="15"/>
          <w:szCs w:val="15"/>
          <w:color w:val="auto"/>
        </w:rPr>
        <w:t>There is considerable uncertainty resulting from a lack of precedent and the complexity of the United Kingdom and the EU’s intertwined legal regimes as to how Brexit will impact the life sciences industry in Europe, including our company, including with respect to ongoing or future clinical trials. Any delay in obtaining, or an inability to obtain, any marketing approvals, as a result of Brexit or otherwise, may force us to restrict or delay efforts to seek regulatory approval in the United Kingdom for any product candidates we may develop, which could significantly and materially harm our business. See “Risk factors—Risks related to regulatory approval and other legal compliance matters—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 for additional disclosures regarding risks related to privacy laws in the United Kingdom and European Union.</w:t>
      </w: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113" w:lineRule="exact"/>
        <w:rPr>
          <w:sz w:val="20"/>
          <w:szCs w:val="20"/>
          <w:color w:val="auto"/>
        </w:rPr>
      </w:pPr>
    </w:p>
    <w:p>
      <w:pPr>
        <w:ind w:left="260" w:right="40" w:firstLine="458"/>
        <w:spacing w:after="0" w:line="267" w:lineRule="auto"/>
        <w:rPr>
          <w:sz w:val="20"/>
          <w:szCs w:val="20"/>
          <w:color w:val="auto"/>
        </w:rPr>
      </w:pPr>
      <w:r>
        <w:rPr>
          <w:rFonts w:ascii="Arial" w:cs="Arial" w:eastAsia="Arial" w:hAnsi="Arial"/>
          <w:sz w:val="16"/>
          <w:szCs w:val="16"/>
          <w:color w:val="auto"/>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U.S. healthcare laws and compliance requirements</w:t>
      </w:r>
    </w:p>
    <w:p>
      <w:pPr>
        <w:spacing w:after="0" w:line="113"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In the United States, biotechnology company activities are potentially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and the Office for Civil Rights), the U.S. Department of Justice, or the 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or HIPAA, and similar state laws, each as amended, as applicable.</w:t>
      </w:r>
    </w:p>
    <w:p>
      <w:pPr>
        <w:spacing w:after="0" w:line="167" w:lineRule="exact"/>
        <w:rPr>
          <w:sz w:val="20"/>
          <w:szCs w:val="20"/>
          <w:color w:val="auto"/>
        </w:rPr>
      </w:pPr>
    </w:p>
    <w:p>
      <w:pPr>
        <w:ind w:left="260" w:right="20" w:firstLine="464"/>
        <w:spacing w:after="0" w:line="307" w:lineRule="auto"/>
        <w:rPr>
          <w:sz w:val="20"/>
          <w:szCs w:val="20"/>
          <w:color w:val="auto"/>
        </w:rPr>
      </w:pPr>
      <w:r>
        <w:rPr>
          <w:rFonts w:ascii="Arial" w:cs="Arial" w:eastAsia="Arial" w:hAnsi="Arial"/>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of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spacing w:after="0" w:line="158" w:lineRule="exact"/>
        <w:rPr>
          <w:sz w:val="20"/>
          <w:szCs w:val="20"/>
          <w:color w:val="auto"/>
        </w:rPr>
      </w:pPr>
    </w:p>
    <w:p>
      <w:pPr>
        <w:ind w:left="260" w:right="120" w:firstLine="464"/>
        <w:spacing w:after="0" w:line="287" w:lineRule="auto"/>
        <w:rPr>
          <w:sz w:val="20"/>
          <w:szCs w:val="20"/>
          <w:color w:val="auto"/>
        </w:rPr>
      </w:pPr>
      <w:r>
        <w:rPr>
          <w:rFonts w:ascii="Arial" w:cs="Arial" w:eastAsia="Arial" w:hAnsi="Arial"/>
          <w:sz w:val="15"/>
          <w:szCs w:val="15"/>
          <w:color w:val="auto"/>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spacing w:after="0" w:line="155" w:lineRule="exact"/>
        <w:rPr>
          <w:sz w:val="20"/>
          <w:szCs w:val="20"/>
          <w:color w:val="auto"/>
        </w:rPr>
      </w:pPr>
    </w:p>
    <w:p>
      <w:pPr>
        <w:ind w:left="260" w:right="20" w:firstLine="464"/>
        <w:spacing w:after="0" w:line="273" w:lineRule="auto"/>
        <w:rPr>
          <w:sz w:val="20"/>
          <w:szCs w:val="20"/>
          <w:color w:val="auto"/>
        </w:rPr>
      </w:pPr>
      <w:r>
        <w:rPr>
          <w:rFonts w:ascii="Arial" w:cs="Arial" w:eastAsia="Arial" w:hAnsi="Arial"/>
          <w:sz w:val="16"/>
          <w:szCs w:val="16"/>
          <w:color w:val="auto"/>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right="240"/>
        <w:spacing w:after="0" w:line="293" w:lineRule="auto"/>
        <w:rPr>
          <w:sz w:val="20"/>
          <w:szCs w:val="20"/>
          <w:color w:val="auto"/>
        </w:rPr>
      </w:pPr>
      <w:r>
        <w:rPr>
          <w:rFonts w:ascii="Arial" w:cs="Arial" w:eastAsia="Arial" w:hAnsi="Arial"/>
          <w:sz w:val="16"/>
          <w:szCs w:val="16"/>
          <w:color w:val="auto"/>
        </w:rPr>
        <w:t>or payment for healthcare benefits, items or services. Similar to the Anti-Kickback Statute, a person or entity does not need to have actual knowledge of the statute or specific intent to violate it in order to have committed a violation.</w:t>
      </w:r>
    </w:p>
    <w:p>
      <w:pPr>
        <w:spacing w:after="0" w:line="158" w:lineRule="exact"/>
        <w:rPr>
          <w:sz w:val="20"/>
          <w:szCs w:val="20"/>
          <w:color w:val="auto"/>
        </w:rPr>
      </w:pPr>
    </w:p>
    <w:p>
      <w:pPr>
        <w:ind w:left="260" w:right="40" w:firstLine="464"/>
        <w:spacing w:after="0" w:line="293" w:lineRule="auto"/>
        <w:rPr>
          <w:sz w:val="20"/>
          <w:szCs w:val="20"/>
          <w:color w:val="auto"/>
        </w:rPr>
      </w:pPr>
      <w:r>
        <w:rPr>
          <w:rFonts w:ascii="Arial" w:cs="Arial" w:eastAsia="Arial" w:hAnsi="Arial"/>
          <w:sz w:val="16"/>
          <w:szCs w:val="16"/>
          <w:color w:val="auto"/>
        </w:rPr>
        <w:t>Also, many states have similar fraud and abuse statutes or regulations that apply to items and services reimbursed under Medicaid and other state programs, or, in several states, apply regardless of the payor.</w:t>
      </w:r>
    </w:p>
    <w:p>
      <w:pPr>
        <w:spacing w:after="0" w:line="145" w:lineRule="exact"/>
        <w:rPr>
          <w:sz w:val="20"/>
          <w:szCs w:val="20"/>
          <w:color w:val="auto"/>
        </w:rPr>
      </w:pPr>
    </w:p>
    <w:p>
      <w:pPr>
        <w:ind w:left="260" w:right="60" w:firstLine="464"/>
        <w:spacing w:after="0" w:line="269"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p>
    <w:p>
      <w:pPr>
        <w:spacing w:after="0" w:line="180" w:lineRule="exact"/>
        <w:rPr>
          <w:sz w:val="20"/>
          <w:szCs w:val="20"/>
          <w:color w:val="auto"/>
        </w:rPr>
      </w:pPr>
    </w:p>
    <w:p>
      <w:pPr>
        <w:ind w:left="260" w:right="120" w:firstLine="464"/>
        <w:spacing w:after="0" w:line="297" w:lineRule="auto"/>
        <w:rPr>
          <w:sz w:val="20"/>
          <w:szCs w:val="20"/>
          <w:color w:val="auto"/>
        </w:rPr>
      </w:pPr>
      <w:r>
        <w:rPr>
          <w:rFonts w:ascii="Arial" w:cs="Arial" w:eastAsia="Arial" w:hAnsi="Arial"/>
          <w:sz w:val="15"/>
          <w:szCs w:val="15"/>
          <w:color w:val="auto"/>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Federal and state data privacy and security laws</w:t>
      </w:r>
    </w:p>
    <w:p>
      <w:pPr>
        <w:spacing w:after="0" w:line="113"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65" w:lineRule="exact"/>
        <w:rPr>
          <w:sz w:val="20"/>
          <w:szCs w:val="20"/>
          <w:color w:val="auto"/>
        </w:rPr>
      </w:pPr>
    </w:p>
    <w:p>
      <w:pPr>
        <w:ind w:left="260" w:right="100" w:firstLine="458"/>
        <w:spacing w:after="0" w:line="286" w:lineRule="auto"/>
        <w:rPr>
          <w:sz w:val="20"/>
          <w:szCs w:val="20"/>
          <w:color w:val="auto"/>
        </w:rPr>
      </w:pPr>
      <w:r>
        <w:rPr>
          <w:rFonts w:ascii="Arial" w:cs="Arial" w:eastAsia="Arial" w:hAnsi="Arial"/>
          <w:sz w:val="15"/>
          <w:szCs w:val="15"/>
          <w:color w:val="auto"/>
        </w:rPr>
        <w:t>Additionally, state laws govern the privacy and security of health information in specified circumstances, many of which differ from each other in significant ways and may not have the same effect, thus complicating compliance efforts. For example, the California Consumer Privacy Act, or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This private right of action may increase the likelihood of, and risks associated with, data breach litigation. On November 3, 2020, California voters approved a new privacy law, the California Privacy Rights Act, or the CPRA, which significantly modifies the CCPA, including by expanding consumers’ rights with respect to certain personal information and creating a new state agency to oversee implementation and enforcement efforts. The CPRA took effect in most material respects on January 1, 2023. CCPA enforcement thus far has been limited; it has not been subject to significant litigation and judicial interpretation. As a result, it remains unclear how various provisions of the CCPA will be interpreted and enforced. State laws are changing rapidly and there is discussion in the U.S. of a new comprehensive federal data privacy law to which we would become subject if it is enacted.</w:t>
      </w:r>
    </w:p>
    <w:p>
      <w:pPr>
        <w:spacing w:after="0" w:line="156" w:lineRule="exact"/>
        <w:rPr>
          <w:sz w:val="20"/>
          <w:szCs w:val="20"/>
          <w:color w:val="auto"/>
        </w:rPr>
      </w:pPr>
    </w:p>
    <w:p>
      <w:pPr>
        <w:ind w:left="260" w:right="20" w:firstLine="458"/>
        <w:spacing w:after="0" w:line="287" w:lineRule="auto"/>
        <w:rPr>
          <w:sz w:val="20"/>
          <w:szCs w:val="20"/>
          <w:color w:val="auto"/>
        </w:rPr>
      </w:pPr>
      <w:r>
        <w:rPr>
          <w:rFonts w:ascii="Arial" w:cs="Arial" w:eastAsia="Arial" w:hAnsi="Arial"/>
          <w:sz w:val="15"/>
          <w:szCs w:val="15"/>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25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Healthcare reform</w:t>
      </w:r>
    </w:p>
    <w:p>
      <w:pPr>
        <w:spacing w:after="0" w:line="113" w:lineRule="exact"/>
        <w:rPr>
          <w:sz w:val="20"/>
          <w:szCs w:val="20"/>
          <w:color w:val="auto"/>
        </w:rPr>
      </w:pPr>
    </w:p>
    <w:p>
      <w:pPr>
        <w:jc w:val="both"/>
        <w:ind w:left="260" w:right="100" w:firstLine="458"/>
        <w:spacing w:after="0" w:line="273" w:lineRule="auto"/>
        <w:rPr>
          <w:sz w:val="20"/>
          <w:szCs w:val="20"/>
          <w:color w:val="auto"/>
        </w:rPr>
      </w:pPr>
      <w:r>
        <w:rPr>
          <w:rFonts w:ascii="Arial" w:cs="Arial" w:eastAsia="Arial" w:hAnsi="Arial"/>
          <w:sz w:val="16"/>
          <w:szCs w:val="16"/>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On September 9, 2021, the Biden administration published a wide-ranging list of policy proposals, most of which would need to be carried out by Congress, to reduce drug prices and drug payment. These initiatives recently culminated in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65" w:lineRule="exact"/>
        <w:rPr>
          <w:sz w:val="20"/>
          <w:szCs w:val="20"/>
          <w:color w:val="auto"/>
        </w:rPr>
      </w:pPr>
    </w:p>
    <w:p>
      <w:pPr>
        <w:ind w:left="260" w:right="20"/>
        <w:spacing w:after="0" w:line="311" w:lineRule="auto"/>
        <w:rPr>
          <w:sz w:val="20"/>
          <w:szCs w:val="20"/>
          <w:color w:val="auto"/>
        </w:rPr>
      </w:pPr>
      <w:r>
        <w:rPr>
          <w:rFonts w:ascii="Arial" w:cs="Arial" w:eastAsia="Arial" w:hAnsi="Arial"/>
          <w:sz w:val="14"/>
          <w:szCs w:val="14"/>
          <w:color w:val="auto"/>
        </w:rPr>
        <w:t>enactment of the Inflation Reduction Act, or IRA, in August 2022, which will, among other things, allow HHS to negotiate the selling price of certain drugs and biologics that CMS reimburses under Medicare Part B and Part D, although only high-expenditure single-source biologics that have been approved for at least 11 years (7 years for drugs) can be selected by CMS for negotiation, with the negotiated price taking effect two years after the selection year. The negotiated prices, which will first become effective in 2026, will be capped at a statutory ceiling price. Beginning in January 2023 for Medicare Part B and October 2022 for Medicare Part D, the IRA also penalizes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Human Capital Management</w:t>
      </w:r>
    </w:p>
    <w:p>
      <w:pPr>
        <w:spacing w:after="0" w:line="117" w:lineRule="exact"/>
        <w:rPr>
          <w:sz w:val="20"/>
          <w:szCs w:val="20"/>
          <w:color w:val="auto"/>
        </w:rPr>
      </w:pPr>
    </w:p>
    <w:p>
      <w:pPr>
        <w:ind w:left="260" w:right="420" w:firstLine="458"/>
        <w:spacing w:after="0" w:line="278" w:lineRule="auto"/>
        <w:rPr>
          <w:sz w:val="20"/>
          <w:szCs w:val="20"/>
          <w:color w:val="auto"/>
        </w:rPr>
      </w:pPr>
      <w:r>
        <w:rPr>
          <w:rFonts w:ascii="Arial" w:cs="Arial" w:eastAsia="Arial" w:hAnsi="Arial"/>
          <w:sz w:val="16"/>
          <w:szCs w:val="16"/>
          <w:i w:val="1"/>
          <w:iCs w:val="1"/>
          <w:color w:val="auto"/>
        </w:rPr>
        <w:t>Employees</w:t>
      </w:r>
      <w:r>
        <w:rPr>
          <w:rFonts w:ascii="Arial" w:cs="Arial" w:eastAsia="Arial" w:hAnsi="Arial"/>
          <w:sz w:val="16"/>
          <w:szCs w:val="16"/>
          <w:color w:val="auto"/>
        </w:rPr>
        <w:t>. As of December 31, 2022, we employed 66 employees. We also engaged 19 independent contractors located in China as of December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our relationship with BioDuro-Sundia, a U.S.-based provider of preclinical development services. None of our employees are subject to a collective bargaining agreement. We consider our relationship with our employees to be good.</w:t>
      </w:r>
    </w:p>
    <w:p>
      <w:pPr>
        <w:spacing w:after="0" w:line="157" w:lineRule="exact"/>
        <w:rPr>
          <w:sz w:val="20"/>
          <w:szCs w:val="20"/>
          <w:color w:val="auto"/>
        </w:rPr>
      </w:pPr>
    </w:p>
    <w:p>
      <w:pPr>
        <w:ind w:left="260" w:right="40" w:firstLine="458"/>
        <w:spacing w:after="0" w:line="289" w:lineRule="auto"/>
        <w:rPr>
          <w:sz w:val="20"/>
          <w:szCs w:val="20"/>
          <w:color w:val="auto"/>
        </w:rPr>
      </w:pPr>
      <w:r>
        <w:rPr>
          <w:rFonts w:ascii="Arial" w:cs="Arial" w:eastAsia="Arial" w:hAnsi="Arial"/>
          <w:sz w:val="15"/>
          <w:szCs w:val="15"/>
          <w:i w:val="1"/>
          <w:iCs w:val="1"/>
          <w:color w:val="auto"/>
        </w:rPr>
        <w:t>Compensation and Benefits Program</w:t>
      </w:r>
      <w:r>
        <w:rPr>
          <w:rFonts w:ascii="Arial" w:cs="Arial" w:eastAsia="Arial" w:hAnsi="Arial"/>
          <w:sz w:val="15"/>
          <w:szCs w:val="15"/>
          <w:color w:val="auto"/>
        </w:rPr>
        <w:t>. Our compensation program is designed to attract and reward talented individuals who possess the skills necessary to</w:t>
      </w:r>
      <w:r>
        <w:rPr>
          <w:rFonts w:ascii="Arial" w:cs="Arial" w:eastAsia="Arial" w:hAnsi="Arial"/>
          <w:sz w:val="15"/>
          <w:szCs w:val="15"/>
          <w:i w:val="1"/>
          <w:iCs w:val="1"/>
          <w:color w:val="auto"/>
        </w:rPr>
        <w:t xml:space="preserve"> </w:t>
      </w:r>
      <w:r>
        <w:rPr>
          <w:rFonts w:ascii="Arial" w:cs="Arial" w:eastAsia="Arial" w:hAnsi="Arial"/>
          <w:sz w:val="15"/>
          <w:szCs w:val="15"/>
          <w:color w:val="auto"/>
        </w:rPr>
        <w:t>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paid time off, paid parental leave, participation in our Employee Stock Purchase Plan and a 401(k) plan.</w:t>
      </w:r>
    </w:p>
    <w:p>
      <w:pPr>
        <w:spacing w:after="0" w:line="166" w:lineRule="exact"/>
        <w:rPr>
          <w:sz w:val="20"/>
          <w:szCs w:val="20"/>
          <w:color w:val="auto"/>
        </w:rPr>
      </w:pPr>
    </w:p>
    <w:p>
      <w:pPr>
        <w:ind w:left="260" w:right="380" w:firstLine="458"/>
        <w:spacing w:after="0" w:line="328" w:lineRule="auto"/>
        <w:rPr>
          <w:sz w:val="20"/>
          <w:szCs w:val="20"/>
          <w:color w:val="auto"/>
        </w:rPr>
      </w:pPr>
      <w:r>
        <w:rPr>
          <w:rFonts w:ascii="Arial" w:cs="Arial" w:eastAsia="Arial" w:hAnsi="Arial"/>
          <w:sz w:val="15"/>
          <w:szCs w:val="15"/>
          <w:i w:val="1"/>
          <w:iCs w:val="1"/>
          <w:color w:val="auto"/>
        </w:rPr>
        <w:t>Diversity and Inclusion</w:t>
      </w:r>
      <w:r>
        <w:rPr>
          <w:rFonts w:ascii="Arial" w:cs="Arial" w:eastAsia="Arial" w:hAnsi="Arial"/>
          <w:sz w:val="15"/>
          <w:szCs w:val="15"/>
          <w:color w:val="auto"/>
        </w:rPr>
        <w:t>. We believe that an equitable and inclusive environment with diverse teams produces more creative solutions, results in better, more</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innovative products and services and is crucial to our efforts to attract and retain key talent. Our current efforts are focused on three primary areas:</w:t>
      </w:r>
    </w:p>
    <w:p>
      <w:pPr>
        <w:spacing w:after="0" w:line="42" w:lineRule="exact"/>
        <w:rPr>
          <w:sz w:val="20"/>
          <w:szCs w:val="20"/>
          <w:color w:val="auto"/>
        </w:rPr>
      </w:pPr>
    </w:p>
    <w:p>
      <w:pPr>
        <w:ind w:left="1280" w:right="460" w:hanging="509"/>
        <w:spacing w:after="0" w:line="293"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Safe work environment. We provide training to all employees to improve their understanding of behaviors that can be perceived as discriminatory, exclusionary, and/or harassing, and provide safe avenues for employees to report such behaviors.</w:t>
      </w:r>
    </w:p>
    <w:p>
      <w:pPr>
        <w:spacing w:after="0" w:line="63" w:lineRule="exact"/>
        <w:rPr>
          <w:rFonts w:ascii="Arial" w:cs="Arial" w:eastAsia="Arial" w:hAnsi="Arial"/>
          <w:sz w:val="16"/>
          <w:szCs w:val="16"/>
          <w:color w:val="auto"/>
        </w:rPr>
      </w:pPr>
    </w:p>
    <w:p>
      <w:pPr>
        <w:ind w:left="1280" w:right="140" w:hanging="509"/>
        <w:spacing w:after="0" w:line="293"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Equal employment opportunity. We ensure that our practices and processes attract a diverse range of candidate, and that candidates are recruited, hired, assigned, developed, and promoted based on merit and their alignment to our values.</w:t>
      </w:r>
    </w:p>
    <w:p>
      <w:pPr>
        <w:spacing w:after="0" w:line="63" w:lineRule="exact"/>
        <w:rPr>
          <w:rFonts w:ascii="Arial" w:cs="Arial" w:eastAsia="Arial" w:hAnsi="Arial"/>
          <w:sz w:val="16"/>
          <w:szCs w:val="16"/>
          <w:color w:val="auto"/>
        </w:rPr>
      </w:pPr>
    </w:p>
    <w:p>
      <w:pPr>
        <w:ind w:left="1280" w:right="520" w:hanging="509"/>
        <w:spacing w:after="0" w:line="293"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Learning and development opportunities. To support our employees in reaching their full potential, we offer a wide range of internal and external learning and development opportunities.</w:t>
      </w:r>
    </w:p>
    <w:p>
      <w:pPr>
        <w:spacing w:after="0" w:line="63" w:lineRule="exact"/>
        <w:rPr>
          <w:rFonts w:ascii="Arial" w:cs="Arial" w:eastAsia="Arial" w:hAnsi="Arial"/>
          <w:sz w:val="16"/>
          <w:szCs w:val="16"/>
          <w:color w:val="auto"/>
        </w:rPr>
      </w:pPr>
    </w:p>
    <w:p>
      <w:pPr>
        <w:ind w:left="1280" w:right="340" w:hanging="509"/>
        <w:spacing w:after="0" w:line="278"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Community Involvement. We aim to give back to the communities where we live and work, and believe that this commitment helps in our efforts to attract and retain employees. We work with local universities to introduce and promote careers in science and biotechnology through internship opportunities.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Corporate Information</w:t>
      </w:r>
    </w:p>
    <w:p>
      <w:pPr>
        <w:spacing w:after="0" w:line="117" w:lineRule="exact"/>
        <w:rPr>
          <w:sz w:val="20"/>
          <w:szCs w:val="20"/>
          <w:color w:val="auto"/>
        </w:rPr>
      </w:pPr>
    </w:p>
    <w:p>
      <w:pPr>
        <w:ind w:left="260" w:firstLine="458"/>
        <w:spacing w:after="0" w:line="297" w:lineRule="auto"/>
        <w:rPr>
          <w:sz w:val="20"/>
          <w:szCs w:val="20"/>
          <w:color w:val="auto"/>
        </w:rPr>
      </w:pPr>
      <w:r>
        <w:rPr>
          <w:rFonts w:ascii="Arial" w:cs="Arial" w:eastAsia="Arial" w:hAnsi="Arial"/>
          <w:sz w:val="15"/>
          <w:szCs w:val="15"/>
          <w:color w:val="auto"/>
        </w:rPr>
        <w:t>Our business and predecessor entity was founded in March 2007. In July 2020, we converted from a limited liability company into a Delaware corporation pursuant to a statutory conversion and changed our name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Annual Report on Form 10-K and should not be considered a part of this Annual Report on Form 10-K.</w:t>
      </w:r>
    </w:p>
    <w:p>
      <w:pPr>
        <w:spacing w:after="0" w:line="159" w:lineRule="exact"/>
        <w:rPr>
          <w:sz w:val="20"/>
          <w:szCs w:val="20"/>
          <w:color w:val="auto"/>
        </w:rPr>
      </w:pPr>
    </w:p>
    <w:p>
      <w:pPr>
        <w:ind w:left="260" w:right="220" w:firstLine="458"/>
        <w:spacing w:after="0" w:line="275" w:lineRule="auto"/>
        <w:rPr>
          <w:sz w:val="20"/>
          <w:szCs w:val="20"/>
          <w:color w:val="auto"/>
        </w:rPr>
      </w:pPr>
      <w:r>
        <w:rPr>
          <w:rFonts w:ascii="Arial" w:cs="Arial" w:eastAsia="Arial" w:hAnsi="Arial"/>
          <w:sz w:val="15"/>
          <w:szCs w:val="15"/>
          <w:color w:val="auto"/>
        </w:rPr>
        <w:t>We have obtained a registered trademark for BioAtla</w:t>
      </w:r>
      <w:r>
        <w:rPr>
          <w:rFonts w:ascii="Arial" w:cs="Arial" w:eastAsia="Arial" w:hAnsi="Arial"/>
          <w:sz w:val="13"/>
          <w:szCs w:val="13"/>
          <w:color w:val="auto"/>
        </w:rPr>
        <w:t>®</w:t>
      </w:r>
      <w:r>
        <w:rPr>
          <w:rFonts w:ascii="Arial" w:cs="Arial" w:eastAsia="Arial" w:hAnsi="Arial"/>
          <w:sz w:val="15"/>
          <w:szCs w:val="15"/>
          <w:color w:val="auto"/>
        </w:rPr>
        <w:t xml:space="preserve"> in the United States. 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w:t>
      </w:r>
      <w:r>
        <w:rPr>
          <w:rFonts w:ascii="Arial" w:cs="Arial" w:eastAsia="Arial" w:hAnsi="Arial"/>
          <w:sz w:val="13"/>
          <w:szCs w:val="13"/>
          <w:color w:val="auto"/>
        </w:rPr>
        <w:t>®</w:t>
      </w:r>
      <w:r>
        <w:rPr>
          <w:rFonts w:ascii="Arial" w:cs="Arial" w:eastAsia="Arial" w:hAnsi="Arial"/>
          <w:sz w:val="15"/>
          <w:szCs w:val="15"/>
          <w:color w:val="auto"/>
        </w:rPr>
        <w:t xml:space="preserve"> or </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Available Information</w:t>
      </w:r>
    </w:p>
    <w:p>
      <w:pPr>
        <w:spacing w:after="0" w:line="117" w:lineRule="exact"/>
        <w:rPr>
          <w:sz w:val="20"/>
          <w:szCs w:val="20"/>
          <w:color w:val="auto"/>
        </w:rPr>
      </w:pPr>
    </w:p>
    <w:p>
      <w:pPr>
        <w:jc w:val="both"/>
        <w:ind w:left="260" w:right="160" w:firstLine="464"/>
        <w:spacing w:after="0" w:line="278" w:lineRule="auto"/>
        <w:rPr>
          <w:sz w:val="20"/>
          <w:szCs w:val="20"/>
          <w:color w:val="auto"/>
        </w:rPr>
      </w:pPr>
      <w:r>
        <w:rPr>
          <w:rFonts w:ascii="Arial" w:cs="Arial" w:eastAsia="Arial" w:hAnsi="Arial"/>
          <w:sz w:val="16"/>
          <w:szCs w:val="16"/>
          <w:color w:val="auto"/>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57" w:lineRule="exact"/>
        <w:rPr>
          <w:sz w:val="20"/>
          <w:szCs w:val="20"/>
          <w:color w:val="auto"/>
        </w:rPr>
      </w:pPr>
    </w:p>
    <w:p>
      <w:pPr>
        <w:ind w:left="260" w:right="40" w:firstLine="458"/>
        <w:spacing w:after="0" w:line="293" w:lineRule="auto"/>
        <w:rPr>
          <w:sz w:val="20"/>
          <w:szCs w:val="20"/>
          <w:color w:val="auto"/>
        </w:rPr>
      </w:pPr>
      <w:r>
        <w:rPr>
          <w:rFonts w:ascii="Arial" w:cs="Arial" w:eastAsia="Arial" w:hAnsi="Arial"/>
          <w:sz w:val="16"/>
          <w:szCs w:val="16"/>
          <w:color w:val="auto"/>
        </w:rPr>
        <w:t>The SEC maintains an internet site (http://www.sec.gov) that contains reports, proxy and information statements, and other information regarding issuers that file electronically with the SEC.</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 Factor Summary</w:t>
      </w:r>
    </w:p>
    <w:p>
      <w:pPr>
        <w:spacing w:after="0" w:line="117" w:lineRule="exact"/>
        <w:rPr>
          <w:sz w:val="20"/>
          <w:szCs w:val="20"/>
          <w:color w:val="auto"/>
        </w:rPr>
      </w:pPr>
    </w:p>
    <w:p>
      <w:pPr>
        <w:ind w:left="260" w:right="620" w:firstLine="458"/>
        <w:spacing w:after="0" w:line="293" w:lineRule="auto"/>
        <w:rPr>
          <w:sz w:val="20"/>
          <w:szCs w:val="20"/>
          <w:color w:val="auto"/>
        </w:rPr>
      </w:pPr>
      <w:r>
        <w:rPr>
          <w:rFonts w:ascii="Arial" w:cs="Arial" w:eastAsia="Arial" w:hAnsi="Arial"/>
          <w:sz w:val="16"/>
          <w:szCs w:val="16"/>
          <w:color w:val="auto"/>
        </w:rPr>
        <w:t>Investing in our common stock involves a high degree of risk. You should carefully consider all information in this Annual Report on Form 10-K before purchasing our common stock. These risks and uncertainties include, but are not limited to, the following:</w:t>
      </w:r>
    </w:p>
    <w:p>
      <w:pPr>
        <w:spacing w:after="0" w:line="77" w:lineRule="exact"/>
        <w:rPr>
          <w:sz w:val="20"/>
          <w:szCs w:val="20"/>
          <w:color w:val="auto"/>
        </w:rPr>
      </w:pPr>
    </w:p>
    <w:p>
      <w:pPr>
        <w:ind w:left="1280" w:right="46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3" w:lineRule="exact"/>
        <w:rPr>
          <w:rFonts w:ascii="Arial" w:cs="Arial" w:eastAsia="Arial" w:hAnsi="Arial"/>
          <w:sz w:val="16"/>
          <w:szCs w:val="16"/>
          <w:color w:val="auto"/>
        </w:rPr>
      </w:pPr>
    </w:p>
    <w:p>
      <w:pPr>
        <w:ind w:left="1280" w:right="100" w:hanging="509"/>
        <w:spacing w:after="0" w:line="328" w:lineRule="auto"/>
        <w:tabs>
          <w:tab w:leader="none" w:pos="1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41" w:lineRule="exact"/>
        <w:rPr>
          <w:rFonts w:ascii="Arial" w:cs="Arial" w:eastAsia="Arial" w:hAnsi="Arial"/>
          <w:sz w:val="15"/>
          <w:szCs w:val="15"/>
          <w:color w:val="auto"/>
        </w:rPr>
      </w:pPr>
    </w:p>
    <w:p>
      <w:pPr>
        <w:ind w:left="1280" w:hanging="509"/>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product candidates may fail in development or suffer delays that adversely affect their commercial viability.</w:t>
      </w:r>
    </w:p>
    <w:p>
      <w:pPr>
        <w:spacing w:after="0" w:line="126" w:lineRule="exact"/>
        <w:rPr>
          <w:rFonts w:ascii="Arial" w:cs="Arial" w:eastAsia="Arial" w:hAnsi="Arial"/>
          <w:sz w:val="16"/>
          <w:szCs w:val="16"/>
          <w:color w:val="auto"/>
        </w:rPr>
      </w:pPr>
    </w:p>
    <w:p>
      <w:pPr>
        <w:ind w:left="1280" w:right="44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substantially dependent on the success of our patented CAB technology platform, and our future success depends heavily on the successful development of this platform.</w:t>
      </w:r>
    </w:p>
    <w:p>
      <w:pPr>
        <w:spacing w:after="0" w:line="63" w:lineRule="exact"/>
        <w:rPr>
          <w:rFonts w:ascii="Arial" w:cs="Arial" w:eastAsia="Arial" w:hAnsi="Arial"/>
          <w:sz w:val="16"/>
          <w:szCs w:val="16"/>
          <w:color w:val="auto"/>
        </w:rPr>
      </w:pPr>
    </w:p>
    <w:p>
      <w:pPr>
        <w:ind w:left="1280" w:right="36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expend our resources to pursue particular product candidates and fail to capitalize on product candidates that may be more profitable or for which there is a greater likelihood of success.</w:t>
      </w:r>
    </w:p>
    <w:p>
      <w:pPr>
        <w:spacing w:after="0" w:line="63" w:lineRule="exact"/>
        <w:rPr>
          <w:rFonts w:ascii="Arial" w:cs="Arial" w:eastAsia="Arial" w:hAnsi="Arial"/>
          <w:sz w:val="16"/>
          <w:szCs w:val="16"/>
          <w:color w:val="auto"/>
        </w:rPr>
      </w:pPr>
    </w:p>
    <w:p>
      <w:pPr>
        <w:ind w:left="1280" w:right="40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may not be receptive to our product candidates because they are based on our novel therapeutic modality, and we may not generate any future revenue from the sale or licensing of product candidates.</w:t>
      </w:r>
    </w:p>
    <w:p>
      <w:pPr>
        <w:spacing w:after="0" w:line="63" w:lineRule="exact"/>
        <w:rPr>
          <w:rFonts w:ascii="Arial" w:cs="Arial" w:eastAsia="Arial" w:hAnsi="Arial"/>
          <w:sz w:val="16"/>
          <w:szCs w:val="16"/>
          <w:color w:val="auto"/>
        </w:rPr>
      </w:pPr>
    </w:p>
    <w:p>
      <w:pPr>
        <w:ind w:left="1280" w:right="4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3" w:lineRule="exact"/>
        <w:rPr>
          <w:rFonts w:ascii="Arial" w:cs="Arial" w:eastAsia="Arial" w:hAnsi="Arial"/>
          <w:sz w:val="16"/>
          <w:szCs w:val="16"/>
          <w:color w:val="auto"/>
        </w:rPr>
      </w:pPr>
    </w:p>
    <w:p>
      <w:pPr>
        <w:ind w:left="1280" w:right="30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3" w:lineRule="exact"/>
        <w:rPr>
          <w:rFonts w:ascii="Arial" w:cs="Arial" w:eastAsia="Arial" w:hAnsi="Arial"/>
          <w:sz w:val="16"/>
          <w:szCs w:val="16"/>
          <w:color w:val="auto"/>
        </w:rPr>
      </w:pPr>
    </w:p>
    <w:p>
      <w:pPr>
        <w:ind w:left="1280" w:right="20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Delays in the commencement and completion of clinical trials could increase costs and delay or prevent regulatory approval and commercialization of our product candidates.</w:t>
      </w:r>
    </w:p>
    <w:p>
      <w:pPr>
        <w:spacing w:after="0" w:line="63" w:lineRule="exact"/>
        <w:rPr>
          <w:rFonts w:ascii="Arial" w:cs="Arial" w:eastAsia="Arial" w:hAnsi="Arial"/>
          <w:sz w:val="16"/>
          <w:szCs w:val="16"/>
          <w:color w:val="auto"/>
        </w:rPr>
      </w:pPr>
    </w:p>
    <w:p>
      <w:pPr>
        <w:ind w:left="1280" w:right="10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obtain U.S. or foreign regulatory approval and, as a result, unable to commercialize our product candidates.</w:t>
      </w:r>
    </w:p>
    <w:p>
      <w:pPr>
        <w:spacing w:after="0" w:line="126" w:lineRule="exact"/>
        <w:rPr>
          <w:rFonts w:ascii="Arial" w:cs="Arial" w:eastAsia="Arial" w:hAnsi="Arial"/>
          <w:sz w:val="16"/>
          <w:szCs w:val="16"/>
          <w:color w:val="auto"/>
        </w:rPr>
      </w:pPr>
    </w:p>
    <w:p>
      <w:pPr>
        <w:ind w:left="1280" w:right="220" w:hanging="509"/>
        <w:spacing w:after="0" w:line="305" w:lineRule="auto"/>
        <w:tabs>
          <w:tab w:leader="none" w:pos="1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57" w:lineRule="exact"/>
        <w:rPr>
          <w:rFonts w:ascii="Arial" w:cs="Arial" w:eastAsia="Arial" w:hAnsi="Arial"/>
          <w:sz w:val="15"/>
          <w:szCs w:val="15"/>
          <w:color w:val="auto"/>
        </w:rPr>
      </w:pPr>
    </w:p>
    <w:p>
      <w:pPr>
        <w:ind w:left="1280" w:right="10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Even if we receive regulatory approval for any of our product candidates, we will be subject to ongoing regulatory obligations and continued regulatory review, which may result in significant additional expense.</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fail to attract and retain qualified senior management and key scientific personnel, our business may be materially and adversely affected.</w:t>
      </w:r>
    </w:p>
    <w:p>
      <w:pPr>
        <w:spacing w:after="0" w:line="138" w:lineRule="exact"/>
        <w:rPr>
          <w:rFonts w:ascii="Arial" w:cs="Arial" w:eastAsia="Arial" w:hAnsi="Arial"/>
          <w:sz w:val="15"/>
          <w:szCs w:val="15"/>
          <w:color w:val="auto"/>
        </w:rPr>
      </w:pPr>
    </w:p>
    <w:p>
      <w:pPr>
        <w:ind w:left="1280" w:right="80" w:hanging="509"/>
        <w:spacing w:after="0" w:line="293"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3" w:lineRule="exact"/>
        <w:rPr>
          <w:rFonts w:ascii="Arial" w:cs="Arial" w:eastAsia="Arial" w:hAnsi="Arial"/>
          <w:sz w:val="16"/>
          <w:szCs w:val="16"/>
          <w:color w:val="auto"/>
        </w:rPr>
      </w:pPr>
    </w:p>
    <w:p>
      <w:pPr>
        <w:ind w:left="1280" w:hanging="509"/>
        <w:spacing w:after="0" w:line="278"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6" w:lineRule="exact"/>
        <w:rPr>
          <w:rFonts w:ascii="Arial" w:cs="Arial" w:eastAsia="Arial" w:hAnsi="Arial"/>
          <w:sz w:val="16"/>
          <w:szCs w:val="16"/>
          <w:color w:val="auto"/>
        </w:rPr>
      </w:pPr>
    </w:p>
    <w:p>
      <w:pPr>
        <w:ind w:left="1280" w:hanging="509"/>
        <w:spacing w:after="0" w:line="278"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1280" w:right="120" w:hanging="509"/>
        <w:spacing w:after="0" w:line="278"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6" w:lineRule="exact"/>
        <w:rPr>
          <w:rFonts w:ascii="Arial" w:cs="Arial" w:eastAsia="Arial" w:hAnsi="Arial"/>
          <w:sz w:val="16"/>
          <w:szCs w:val="16"/>
          <w:color w:val="auto"/>
        </w:rPr>
      </w:pPr>
    </w:p>
    <w:p>
      <w:pPr>
        <w:ind w:left="1280" w:right="80" w:hanging="509"/>
        <w:spacing w:after="0" w:line="278"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6" w:lineRule="exact"/>
        <w:rPr>
          <w:rFonts w:ascii="Arial" w:cs="Arial" w:eastAsia="Arial" w:hAnsi="Arial"/>
          <w:sz w:val="16"/>
          <w:szCs w:val="16"/>
          <w:color w:val="auto"/>
        </w:rPr>
      </w:pPr>
    </w:p>
    <w:p>
      <w:pPr>
        <w:ind w:left="1280" w:right="200" w:hanging="509"/>
        <w:spacing w:after="0" w:line="278"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6" w:lineRule="exact"/>
        <w:rPr>
          <w:rFonts w:ascii="Arial" w:cs="Arial" w:eastAsia="Arial" w:hAnsi="Arial"/>
          <w:sz w:val="16"/>
          <w:szCs w:val="16"/>
          <w:color w:val="auto"/>
        </w:rPr>
      </w:pPr>
    </w:p>
    <w:p>
      <w:pPr>
        <w:ind w:left="1280" w:hanging="509"/>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future issuance of equity or of debt securities that are convertible into equity will dilute our share capital.</w:t>
      </w:r>
    </w:p>
    <w:p>
      <w:pPr>
        <w:spacing w:after="0" w:line="126" w:lineRule="exact"/>
        <w:rPr>
          <w:rFonts w:ascii="Arial" w:cs="Arial" w:eastAsia="Arial" w:hAnsi="Arial"/>
          <w:sz w:val="16"/>
          <w:szCs w:val="16"/>
          <w:color w:val="auto"/>
        </w:rPr>
      </w:pPr>
    </w:p>
    <w:p>
      <w:pPr>
        <w:ind w:left="1280" w:right="40" w:hanging="509"/>
        <w:spacing w:after="0" w:line="293"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 Factors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117" w:lineRule="exact"/>
        <w:rPr>
          <w:sz w:val="20"/>
          <w:szCs w:val="20"/>
          <w:color w:val="auto"/>
        </w:rPr>
      </w:pPr>
    </w:p>
    <w:p>
      <w:pPr>
        <w:ind w:left="260" w:right="60"/>
        <w:spacing w:after="0" w:line="278" w:lineRule="auto"/>
        <w:rPr>
          <w:sz w:val="20"/>
          <w:szCs w:val="20"/>
          <w:color w:val="auto"/>
        </w:rPr>
      </w:pPr>
      <w:r>
        <w:rPr>
          <w:rFonts w:ascii="Arial" w:cs="Arial" w:eastAsia="Arial" w:hAnsi="Arial"/>
          <w:sz w:val="16"/>
          <w:szCs w:val="16"/>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63" w:lineRule="exact"/>
        <w:rPr>
          <w:sz w:val="20"/>
          <w:szCs w:val="20"/>
          <w:color w:val="auto"/>
        </w:rPr>
      </w:pPr>
    </w:p>
    <w:p>
      <w:pPr>
        <w:ind w:left="260" w:firstLine="458"/>
        <w:spacing w:after="0" w:line="311" w:lineRule="auto"/>
        <w:rPr>
          <w:sz w:val="20"/>
          <w:szCs w:val="20"/>
          <w:color w:val="auto"/>
        </w:rPr>
      </w:pPr>
      <w:r>
        <w:rPr>
          <w:rFonts w:ascii="Arial" w:cs="Arial" w:eastAsia="Arial" w:hAnsi="Arial"/>
          <w:sz w:val="14"/>
          <w:szCs w:val="14"/>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54" w:lineRule="exact"/>
        <w:rPr>
          <w:sz w:val="20"/>
          <w:szCs w:val="20"/>
          <w:color w:val="auto"/>
        </w:rPr>
      </w:pPr>
    </w:p>
    <w:p>
      <w:pPr>
        <w:ind w:left="260" w:right="80" w:firstLine="458"/>
        <w:spacing w:after="0" w:line="287" w:lineRule="auto"/>
        <w:rPr>
          <w:sz w:val="20"/>
          <w:szCs w:val="20"/>
          <w:color w:val="auto"/>
        </w:rPr>
      </w:pPr>
      <w:r>
        <w:rPr>
          <w:rFonts w:ascii="Arial" w:cs="Arial" w:eastAsia="Arial" w:hAnsi="Arial"/>
          <w:sz w:val="15"/>
          <w:szCs w:val="15"/>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$106.5 million and $95.4 million for the years ended December 31, 2022 and 2021, respectively. As of December 31, 2022, we had an accumulated deficit of $292.8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 and as a result of macroeconomic factors, including inflation. For example, recently, several of our vendors have passed along price increases they have experienced in their own business as a result of inflation.</w:t>
      </w:r>
    </w:p>
    <w:p>
      <w:pPr>
        <w:spacing w:after="0" w:line="155" w:lineRule="exact"/>
        <w:rPr>
          <w:sz w:val="20"/>
          <w:szCs w:val="20"/>
          <w:color w:val="auto"/>
        </w:rPr>
      </w:pPr>
    </w:p>
    <w:p>
      <w:pPr>
        <w:ind w:left="260" w:right="80" w:firstLine="458"/>
        <w:spacing w:after="0" w:line="269" w:lineRule="auto"/>
        <w:rPr>
          <w:sz w:val="20"/>
          <w:szCs w:val="20"/>
          <w:color w:val="auto"/>
        </w:rPr>
      </w:pPr>
      <w:r>
        <w:rPr>
          <w:rFonts w:ascii="Arial" w:cs="Arial" w:eastAsia="Arial" w:hAnsi="Arial"/>
          <w:sz w:val="16"/>
          <w:szCs w:val="16"/>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75" w:lineRule="exact"/>
        <w:rPr>
          <w:sz w:val="20"/>
          <w:szCs w:val="20"/>
          <w:color w:val="auto"/>
        </w:rPr>
      </w:pPr>
    </w:p>
    <w:p>
      <w:pPr>
        <w:ind w:left="260" w:right="440"/>
        <w:spacing w:after="0" w:line="328"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28" w:lineRule="exact"/>
        <w:rPr>
          <w:sz w:val="20"/>
          <w:szCs w:val="20"/>
          <w:color w:val="auto"/>
        </w:rPr>
      </w:pPr>
    </w:p>
    <w:p>
      <w:pPr>
        <w:ind w:left="260" w:right="20" w:firstLine="458"/>
        <w:spacing w:after="0" w:line="289" w:lineRule="auto"/>
        <w:rPr>
          <w:sz w:val="20"/>
          <w:szCs w:val="20"/>
          <w:color w:val="auto"/>
        </w:rPr>
      </w:pPr>
      <w:r>
        <w:rPr>
          <w:rFonts w:ascii="Arial" w:cs="Arial" w:eastAsia="Arial" w:hAnsi="Arial"/>
          <w:sz w:val="15"/>
          <w:szCs w:val="15"/>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160"/>
        <w:spacing w:after="0" w:line="293" w:lineRule="auto"/>
        <w:rPr>
          <w:sz w:val="20"/>
          <w:szCs w:val="20"/>
          <w:color w:val="auto"/>
        </w:rPr>
      </w:pPr>
      <w:r>
        <w:rPr>
          <w:rFonts w:ascii="Arial" w:cs="Arial" w:eastAsia="Arial" w:hAnsi="Arial"/>
          <w:sz w:val="16"/>
          <w:szCs w:val="16"/>
          <w:color w:val="auto"/>
        </w:rPr>
        <w:t>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45" w:lineRule="exact"/>
        <w:rPr>
          <w:sz w:val="20"/>
          <w:szCs w:val="20"/>
          <w:color w:val="auto"/>
        </w:rPr>
      </w:pPr>
    </w:p>
    <w:p>
      <w:pPr>
        <w:ind w:left="260" w:right="140" w:firstLine="458"/>
        <w:spacing w:after="0" w:line="318" w:lineRule="auto"/>
        <w:rPr>
          <w:sz w:val="20"/>
          <w:szCs w:val="20"/>
          <w:color w:val="auto"/>
        </w:rPr>
      </w:pPr>
      <w:r>
        <w:rPr>
          <w:rFonts w:ascii="Arial" w:cs="Arial" w:eastAsia="Arial" w:hAnsi="Arial"/>
          <w:sz w:val="14"/>
          <w:szCs w:val="14"/>
          <w:color w:val="auto"/>
        </w:rPr>
        <w:t>As of December 31, 2022, we had approximately $215.5 million in cash and cash equivalents. Based on our current operating plan, our current cash and cash equivalents are expected to be sufficient to fund our ongoing operations for a period of at least twelve months from the date the financial statements included in this report are issued.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8" w:lineRule="exact"/>
        <w:rPr>
          <w:sz w:val="20"/>
          <w:szCs w:val="20"/>
          <w:color w:val="auto"/>
        </w:rPr>
      </w:pPr>
    </w:p>
    <w:p>
      <w:pPr>
        <w:ind w:left="260" w:right="260" w:firstLine="458"/>
        <w:spacing w:after="0" w:line="293" w:lineRule="auto"/>
        <w:rPr>
          <w:sz w:val="20"/>
          <w:szCs w:val="20"/>
          <w:color w:val="auto"/>
        </w:rPr>
      </w:pPr>
      <w:r>
        <w:rPr>
          <w:rFonts w:ascii="Arial" w:cs="Arial" w:eastAsia="Arial" w:hAnsi="Arial"/>
          <w:sz w:val="16"/>
          <w:szCs w:val="16"/>
          <w:color w:val="auto"/>
        </w:rPr>
        <w:t>We plan to use our existing cash and cash equivalents to fund the research and development of our product candidates and development programs, and to fund working capital and other general corporate purposes.</w:t>
      </w:r>
    </w:p>
    <w:p>
      <w:pPr>
        <w:spacing w:after="0" w:line="145" w:lineRule="exact"/>
        <w:rPr>
          <w:sz w:val="20"/>
          <w:szCs w:val="20"/>
          <w:color w:val="auto"/>
        </w:rPr>
      </w:pPr>
    </w:p>
    <w:p>
      <w:pPr>
        <w:ind w:left="260" w:firstLine="464"/>
        <w:spacing w:after="0" w:line="273" w:lineRule="auto"/>
        <w:rPr>
          <w:sz w:val="20"/>
          <w:szCs w:val="20"/>
          <w:color w:val="auto"/>
        </w:rPr>
      </w:pPr>
      <w:r>
        <w:rPr>
          <w:rFonts w:ascii="Arial" w:cs="Arial" w:eastAsia="Arial" w:hAnsi="Arial"/>
          <w:sz w:val="16"/>
          <w:szCs w:val="16"/>
          <w:color w:val="auto"/>
        </w:rPr>
        <w:t>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1" w:lineRule="exact"/>
        <w:rPr>
          <w:sz w:val="20"/>
          <w:szCs w:val="20"/>
          <w:color w:val="auto"/>
        </w:rPr>
      </w:pPr>
    </w:p>
    <w:p>
      <w:pPr>
        <w:ind w:left="1280" w:hanging="509"/>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progress of our ongoing clinical trials for mecbotamab vedotin and ozuriftamab vedotin;</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and scope of preclinical and clinical programs we decide to pursue;</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progress of the clinical development efforts for BA3071;</w:t>
      </w:r>
    </w:p>
    <w:p>
      <w:pPr>
        <w:spacing w:after="0" w:line="126" w:lineRule="exact"/>
        <w:rPr>
          <w:rFonts w:ascii="Arial" w:cs="Arial" w:eastAsia="Arial" w:hAnsi="Arial"/>
          <w:sz w:val="16"/>
          <w:szCs w:val="16"/>
          <w:color w:val="auto"/>
        </w:rPr>
      </w:pPr>
    </w:p>
    <w:p>
      <w:pPr>
        <w:ind w:left="1280" w:right="240" w:hanging="509"/>
        <w:spacing w:after="0" w:line="293" w:lineRule="auto"/>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progress of our collaborators with whom we have entered, or may in the future enter, into collaboration agreements and research and development agreements;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amount of milestone payments we may receive under our collaboration agreements;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maintain our current licenses, collaboration and research and development programs or possibly establish new collaboration arrangements;</w:t>
      </w:r>
    </w:p>
    <w:p>
      <w:pPr>
        <w:spacing w:after="0" w:line="149" w:lineRule="exact"/>
        <w:rPr>
          <w:rFonts w:ascii="Arial" w:cs="Arial" w:eastAsia="Arial" w:hAnsi="Arial"/>
          <w:sz w:val="14"/>
          <w:szCs w:val="14"/>
          <w:color w:val="auto"/>
        </w:rPr>
      </w:pPr>
    </w:p>
    <w:p>
      <w:pPr>
        <w:ind w:left="1280" w:hanging="509"/>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involved in prosecuting and enforcing patent and other intellectual property claims;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and timing of regulatory approvals; and</w:t>
      </w:r>
    </w:p>
    <w:p>
      <w:pPr>
        <w:spacing w:after="0" w:line="126" w:lineRule="exact"/>
        <w:rPr>
          <w:rFonts w:ascii="Arial" w:cs="Arial" w:eastAsia="Arial" w:hAnsi="Arial"/>
          <w:sz w:val="16"/>
          <w:szCs w:val="16"/>
          <w:color w:val="auto"/>
        </w:rPr>
      </w:pPr>
    </w:p>
    <w:p>
      <w:pPr>
        <w:ind w:left="1280" w:right="400" w:hanging="509"/>
        <w:spacing w:after="0" w:line="293" w:lineRule="auto"/>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260" w:right="20" w:firstLine="491"/>
        <w:spacing w:after="0" w:line="283" w:lineRule="auto"/>
        <w:rPr>
          <w:sz w:val="20"/>
          <w:szCs w:val="20"/>
          <w:color w:val="auto"/>
        </w:rPr>
      </w:pPr>
      <w:r>
        <w:rPr>
          <w:rFonts w:ascii="Arial" w:cs="Arial" w:eastAsia="Arial" w:hAnsi="Arial"/>
          <w:sz w:val="15"/>
          <w:szCs w:val="15"/>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the discovery, development and commercialization of our product candidates</w:t>
      </w:r>
    </w:p>
    <w:p>
      <w:pPr>
        <w:spacing w:after="0" w:line="117" w:lineRule="exact"/>
        <w:rPr>
          <w:sz w:val="20"/>
          <w:szCs w:val="20"/>
          <w:color w:val="auto"/>
        </w:rPr>
      </w:pPr>
    </w:p>
    <w:p>
      <w:pPr>
        <w:ind w:left="260" w:right="180"/>
        <w:spacing w:after="0" w:line="305" w:lineRule="auto"/>
        <w:rPr>
          <w:sz w:val="20"/>
          <w:szCs w:val="20"/>
          <w:color w:val="auto"/>
        </w:rPr>
      </w:pPr>
      <w:r>
        <w:rPr>
          <w:rFonts w:ascii="Arial" w:cs="Arial" w:eastAsia="Arial" w:hAnsi="Arial"/>
          <w:sz w:val="15"/>
          <w:szCs w:val="15"/>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4" w:lineRule="exact"/>
        <w:rPr>
          <w:sz w:val="20"/>
          <w:szCs w:val="20"/>
          <w:color w:val="auto"/>
        </w:rPr>
      </w:pPr>
    </w:p>
    <w:p>
      <w:pPr>
        <w:ind w:left="260" w:right="40" w:firstLine="458"/>
        <w:spacing w:after="0" w:line="285" w:lineRule="auto"/>
        <w:rPr>
          <w:sz w:val="20"/>
          <w:szCs w:val="20"/>
          <w:color w:val="auto"/>
        </w:rPr>
      </w:pPr>
      <w:r>
        <w:rPr>
          <w:rFonts w:ascii="Arial" w:cs="Arial" w:eastAsia="Arial" w:hAnsi="Arial"/>
          <w:sz w:val="15"/>
          <w:szCs w:val="15"/>
          <w:color w:val="auto"/>
        </w:rPr>
        <w:t>We have no products on the market and our product candidates are in various stages of development. We are currently conducting Phase 2 clinical trials of mecbotamab vedotin and ozuriftamab vedotin; we have begun dosing patients in our Phase 1 trial of BA3071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75" w:lineRule="exact"/>
        <w:rPr>
          <w:sz w:val="20"/>
          <w:szCs w:val="20"/>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our clinical trials resulting from factors including those related to the COVID-19 pandemic;</w:t>
      </w:r>
    </w:p>
    <w:p>
      <w:pPr>
        <w:spacing w:after="0" w:line="126" w:lineRule="exact"/>
        <w:rPr>
          <w:rFonts w:ascii="Arial" w:cs="Arial" w:eastAsia="Arial" w:hAnsi="Arial"/>
          <w:sz w:val="16"/>
          <w:szCs w:val="16"/>
          <w:color w:val="auto"/>
        </w:rPr>
      </w:pPr>
    </w:p>
    <w:p>
      <w:pPr>
        <w:ind w:left="1280" w:right="20" w:hanging="509"/>
        <w:spacing w:after="0" w:line="293"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negative or inconclusive results from preclinical testing or clinical trials leading to a decision or requirement to conduct additional preclinical testing or clinical trials or abandon a program;</w:t>
      </w:r>
    </w:p>
    <w:p>
      <w:pPr>
        <w:spacing w:after="0" w:line="63" w:lineRule="exact"/>
        <w:rPr>
          <w:rFonts w:ascii="Arial" w:cs="Arial" w:eastAsia="Arial" w:hAnsi="Arial"/>
          <w:sz w:val="16"/>
          <w:szCs w:val="16"/>
          <w:color w:val="auto"/>
        </w:rPr>
      </w:pPr>
    </w:p>
    <w:p>
      <w:pPr>
        <w:ind w:left="1280" w:right="60" w:hanging="509"/>
        <w:spacing w:after="0" w:line="293"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product-related side effects experienced by participants in clinical trials or by individuals using therapeutic biologics that share characteristics with our product candidates;</w:t>
      </w:r>
    </w:p>
    <w:p>
      <w:pPr>
        <w:spacing w:after="0" w:line="63" w:lineRule="exact"/>
        <w:rPr>
          <w:rFonts w:ascii="Arial" w:cs="Arial" w:eastAsia="Arial" w:hAnsi="Arial"/>
          <w:sz w:val="16"/>
          <w:szCs w:val="16"/>
          <w:color w:val="auto"/>
        </w:rPr>
      </w:pPr>
    </w:p>
    <w:p>
      <w:pPr>
        <w:ind w:left="1280" w:right="120" w:hanging="509"/>
        <w:spacing w:after="0" w:line="293"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conditions imposed by the FDA or comparable foreign authorities, including the EMA, regarding the scope or design of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enrolling patients in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 drop-out rates of patients;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inadequate drug materials or other supplies necessary for the conduct of our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greater than anticipated clinical trial costs;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poor effectiveness of our product candidates during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unfavorable FDA or other regulatory agency inspection and review of a clinical trial site;</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deficiencies in our third-party manufacturers’ manufacturing processes or facilities;</w:t>
      </w:r>
    </w:p>
    <w:p>
      <w:pPr>
        <w:spacing w:after="0" w:line="126" w:lineRule="exact"/>
        <w:rPr>
          <w:rFonts w:ascii="Arial" w:cs="Arial" w:eastAsia="Arial" w:hAnsi="Arial"/>
          <w:sz w:val="16"/>
          <w:szCs w:val="16"/>
          <w:color w:val="auto"/>
        </w:rPr>
      </w:pPr>
    </w:p>
    <w:p>
      <w:pPr>
        <w:ind w:left="1280" w:right="140" w:hanging="509"/>
        <w:spacing w:after="0" w:line="328" w:lineRule="auto"/>
        <w:tabs>
          <w:tab w:leader="none" w:pos="1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41" w:lineRule="exact"/>
        <w:rPr>
          <w:rFonts w:ascii="Arial" w:cs="Arial" w:eastAsia="Arial" w:hAnsi="Arial"/>
          <w:sz w:val="15"/>
          <w:szCs w:val="15"/>
          <w:color w:val="auto"/>
        </w:rPr>
      </w:pPr>
    </w:p>
    <w:p>
      <w:pPr>
        <w:ind w:left="1280" w:right="180" w:hanging="509"/>
        <w:spacing w:after="0" w:line="293"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of any third-party contractors, investigators or contract research organizations, or CROs, to comply with regulatory requirements or otherwise meet their contractual obligations in a timely manner, or at all;</w:t>
      </w:r>
    </w:p>
    <w:p>
      <w:pPr>
        <w:spacing w:after="0" w:line="63" w:lineRule="exact"/>
        <w:rPr>
          <w:rFonts w:ascii="Arial" w:cs="Arial" w:eastAsia="Arial" w:hAnsi="Arial"/>
          <w:sz w:val="16"/>
          <w:szCs w:val="16"/>
          <w:color w:val="auto"/>
        </w:rPr>
      </w:pPr>
    </w:p>
    <w:p>
      <w:pPr>
        <w:ind w:left="1280" w:hanging="509"/>
        <w:spacing w:after="0" w:line="293"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varying interpretations of data by the FDA and similar foreign regulatory agencies, including the EMA.</w:t>
      </w:r>
    </w:p>
    <w:p>
      <w:pPr>
        <w:spacing w:after="0" w:line="221" w:lineRule="exact"/>
        <w:rPr>
          <w:sz w:val="20"/>
          <w:szCs w:val="20"/>
          <w:color w:val="auto"/>
        </w:rPr>
      </w:pPr>
    </w:p>
    <w:p>
      <w:pPr>
        <w:ind w:left="260" w:right="140" w:firstLine="458"/>
        <w:spacing w:after="0" w:line="293" w:lineRule="auto"/>
        <w:rPr>
          <w:sz w:val="20"/>
          <w:szCs w:val="20"/>
          <w:color w:val="auto"/>
        </w:rPr>
      </w:pPr>
      <w:r>
        <w:rPr>
          <w:rFonts w:ascii="Arial" w:cs="Arial" w:eastAsia="Arial" w:hAnsi="Arial"/>
          <w:sz w:val="16"/>
          <w:szCs w:val="16"/>
          <w:color w:val="auto"/>
        </w:rPr>
        <w:t>Because CABs represent a new generation of antibodies, a delay or failure in development of any CAB product candidate could represent a major set-back for our patented technology platform and for our company generally.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300" w:lineRule="exact"/>
        <w:rPr>
          <w:sz w:val="20"/>
          <w:szCs w:val="20"/>
          <w:color w:val="auto"/>
        </w:rPr>
      </w:pPr>
    </w:p>
    <w:p>
      <w:pPr>
        <w:ind w:left="260" w:right="160"/>
        <w:spacing w:after="0" w:line="293" w:lineRule="auto"/>
        <w:rPr>
          <w:sz w:val="20"/>
          <w:szCs w:val="20"/>
          <w:color w:val="auto"/>
        </w:rPr>
      </w:pPr>
      <w:r>
        <w:rPr>
          <w:rFonts w:ascii="Arial" w:cs="Arial" w:eastAsia="Arial" w:hAnsi="Arial"/>
          <w:sz w:val="16"/>
          <w:szCs w:val="16"/>
          <w:b w:val="1"/>
          <w:bCs w:val="1"/>
          <w:i w:val="1"/>
          <w:iCs w:val="1"/>
          <w:color w:val="auto"/>
        </w:rPr>
        <w:t>We are substantially dependent on the success of our patented CAB technology platform, and our future success depends heavily on the successful development of this platform.</w:t>
      </w:r>
    </w:p>
    <w:p>
      <w:pPr>
        <w:spacing w:after="0" w:line="50"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61" w:lineRule="exact"/>
        <w:rPr>
          <w:sz w:val="20"/>
          <w:szCs w:val="20"/>
          <w:color w:val="auto"/>
        </w:rPr>
      </w:pPr>
    </w:p>
    <w:p>
      <w:pPr>
        <w:ind w:left="260" w:right="100"/>
        <w:spacing w:after="0" w:line="293" w:lineRule="auto"/>
        <w:rPr>
          <w:sz w:val="20"/>
          <w:szCs w:val="20"/>
          <w:color w:val="auto"/>
        </w:rPr>
      </w:pPr>
      <w:r>
        <w:rPr>
          <w:rFonts w:ascii="Arial" w:cs="Arial" w:eastAsia="Arial" w:hAnsi="Arial"/>
          <w:sz w:val="16"/>
          <w:szCs w:val="16"/>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4" w:lineRule="exact"/>
        <w:rPr>
          <w:sz w:val="20"/>
          <w:szCs w:val="20"/>
          <w:color w:val="auto"/>
        </w:rPr>
      </w:pPr>
    </w:p>
    <w:p>
      <w:pPr>
        <w:ind w:left="260" w:right="80" w:firstLine="458"/>
        <w:spacing w:after="0" w:line="311" w:lineRule="auto"/>
        <w:rPr>
          <w:sz w:val="20"/>
          <w:szCs w:val="20"/>
          <w:color w:val="auto"/>
        </w:rPr>
      </w:pPr>
      <w:r>
        <w:rPr>
          <w:rFonts w:ascii="Arial" w:cs="Arial" w:eastAsia="Arial" w:hAnsi="Arial"/>
          <w:sz w:val="14"/>
          <w:szCs w:val="14"/>
          <w:color w:val="auto"/>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35" w:lineRule="exact"/>
        <w:rPr>
          <w:sz w:val="20"/>
          <w:szCs w:val="20"/>
          <w:color w:val="auto"/>
        </w:rPr>
      </w:pPr>
    </w:p>
    <w:p>
      <w:pPr>
        <w:ind w:left="260" w:right="80"/>
        <w:spacing w:after="0" w:line="293" w:lineRule="auto"/>
        <w:rPr>
          <w:sz w:val="20"/>
          <w:szCs w:val="20"/>
          <w:color w:val="auto"/>
        </w:rPr>
      </w:pPr>
      <w:r>
        <w:rPr>
          <w:rFonts w:ascii="Arial" w:cs="Arial" w:eastAsia="Arial" w:hAnsi="Arial"/>
          <w:sz w:val="16"/>
          <w:szCs w:val="16"/>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50" w:lineRule="exact"/>
        <w:rPr>
          <w:sz w:val="20"/>
          <w:szCs w:val="20"/>
          <w:color w:val="auto"/>
        </w:rPr>
      </w:pPr>
    </w:p>
    <w:p>
      <w:pPr>
        <w:ind w:left="260" w:right="40" w:firstLine="458"/>
        <w:spacing w:after="0" w:line="310" w:lineRule="auto"/>
        <w:rPr>
          <w:sz w:val="20"/>
          <w:szCs w:val="20"/>
          <w:color w:val="auto"/>
        </w:rPr>
      </w:pPr>
      <w:r>
        <w:rPr>
          <w:rFonts w:ascii="Arial" w:cs="Arial" w:eastAsia="Arial" w:hAnsi="Arial"/>
          <w:sz w:val="14"/>
          <w:szCs w:val="14"/>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3"/>
          <w:szCs w:val="13"/>
          <w:b w:val="1"/>
          <w:bCs w:val="1"/>
          <w:i w:val="1"/>
          <w:iCs w:val="1"/>
          <w:color w:val="auto"/>
        </w:rPr>
        <w:t>If the market opportunities for any product that we develop are smaller than we believe they are, our revenue may be adversely affected and our business may suffer.</w:t>
      </w:r>
    </w:p>
    <w:p>
      <w:pPr>
        <w:spacing w:after="0" w:line="148"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63" w:lineRule="exact"/>
        <w:rPr>
          <w:sz w:val="20"/>
          <w:szCs w:val="20"/>
          <w:color w:val="auto"/>
        </w:rPr>
      </w:pPr>
    </w:p>
    <w:p>
      <w:pPr>
        <w:ind w:left="260" w:right="120"/>
        <w:spacing w:after="0" w:line="293" w:lineRule="auto"/>
        <w:rPr>
          <w:sz w:val="20"/>
          <w:szCs w:val="20"/>
          <w:color w:val="auto"/>
        </w:rPr>
      </w:pPr>
      <w:r>
        <w:rPr>
          <w:rFonts w:ascii="Arial" w:cs="Arial" w:eastAsia="Arial" w:hAnsi="Arial"/>
          <w:sz w:val="16"/>
          <w:szCs w:val="16"/>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50" w:lineRule="exact"/>
        <w:rPr>
          <w:sz w:val="20"/>
          <w:szCs w:val="20"/>
          <w:color w:val="auto"/>
        </w:rPr>
      </w:pPr>
    </w:p>
    <w:p>
      <w:pPr>
        <w:ind w:left="260" w:right="140" w:firstLine="458"/>
        <w:spacing w:after="0" w:line="271" w:lineRule="auto"/>
        <w:rPr>
          <w:sz w:val="20"/>
          <w:szCs w:val="20"/>
          <w:color w:val="auto"/>
        </w:rPr>
      </w:pPr>
      <w:r>
        <w:rPr>
          <w:rFonts w:ascii="Arial" w:cs="Arial" w:eastAsia="Arial" w:hAnsi="Arial"/>
          <w:sz w:val="16"/>
          <w:szCs w:val="16"/>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82" w:lineRule="exact"/>
        <w:rPr>
          <w:sz w:val="20"/>
          <w:szCs w:val="20"/>
          <w:color w:val="auto"/>
        </w:rPr>
      </w:pPr>
    </w:p>
    <w:p>
      <w:pPr>
        <w:ind w:left="1280" w:hanging="509"/>
        <w:spacing w:after="0"/>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of our receipt of any marketing and commercialization approvals;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terms of any approvals and the countries in which approvals are obtained;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safety and efficacy of our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prevalence and severity of any adverse side effects associated with our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or warnings contained in any labeling approved by the FDA or other regulatory authority, including the EMA;</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willingness of patients to obtain biopsies to determine the TmPS score for treatment eligibility;</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relative convenience and ease of administration of our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willingness of patients to accept any new methods of administration;</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success of any physician education programs;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availability of adequate government and third-party payor reimbursement;</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pricing of our products, particularly as compared to alternative treatments; and</w:t>
      </w:r>
    </w:p>
    <w:p>
      <w:pPr>
        <w:spacing w:after="0" w:line="126" w:lineRule="exact"/>
        <w:rPr>
          <w:rFonts w:ascii="Arial" w:cs="Arial" w:eastAsia="Arial" w:hAnsi="Arial"/>
          <w:sz w:val="16"/>
          <w:szCs w:val="16"/>
          <w:color w:val="auto"/>
        </w:rPr>
      </w:pPr>
    </w:p>
    <w:p>
      <w:pPr>
        <w:ind w:left="1280" w:right="180" w:hanging="509"/>
        <w:spacing w:after="0" w:line="293" w:lineRule="auto"/>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availability of alternative effective treatments for the disease indications our product candidates are intended to treat and the relative risks, benefits and costs of those treatments.</w:t>
      </w:r>
    </w:p>
    <w:p>
      <w:pPr>
        <w:spacing w:after="0" w:line="145" w:lineRule="exact"/>
        <w:rPr>
          <w:sz w:val="20"/>
          <w:szCs w:val="20"/>
          <w:color w:val="auto"/>
        </w:rPr>
      </w:pPr>
    </w:p>
    <w:p>
      <w:pPr>
        <w:ind w:left="260" w:right="240" w:firstLine="458"/>
        <w:spacing w:after="0" w:line="293" w:lineRule="auto"/>
        <w:rPr>
          <w:sz w:val="20"/>
          <w:szCs w:val="20"/>
          <w:color w:val="auto"/>
        </w:rPr>
      </w:pPr>
      <w:r>
        <w:rPr>
          <w:rFonts w:ascii="Arial" w:cs="Arial" w:eastAsia="Arial" w:hAnsi="Arial"/>
          <w:sz w:val="16"/>
          <w:szCs w:val="16"/>
          <w:color w:val="auto"/>
        </w:rPr>
        <w:t>If any product candidate we commercialize fails to achieve market acceptance, it could have a material and adverse effect on our business, financial condition, results of operations and prospects.</w:t>
      </w:r>
    </w:p>
    <w:p>
      <w:pPr>
        <w:spacing w:after="0" w:line="253" w:lineRule="exact"/>
        <w:rPr>
          <w:sz w:val="20"/>
          <w:szCs w:val="20"/>
          <w:color w:val="auto"/>
        </w:rPr>
      </w:pPr>
    </w:p>
    <w:p>
      <w:pPr>
        <w:ind w:left="260" w:right="60"/>
        <w:spacing w:after="0" w:line="293" w:lineRule="auto"/>
        <w:rPr>
          <w:sz w:val="20"/>
          <w:szCs w:val="20"/>
          <w:color w:val="auto"/>
        </w:rPr>
      </w:pPr>
      <w:r>
        <w:rPr>
          <w:rFonts w:ascii="Arial" w:cs="Arial" w:eastAsia="Arial" w:hAnsi="Arial"/>
          <w:sz w:val="16"/>
          <w:szCs w:val="16"/>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0" w:lineRule="exact"/>
        <w:rPr>
          <w:sz w:val="20"/>
          <w:szCs w:val="20"/>
          <w:color w:val="auto"/>
        </w:rPr>
      </w:pPr>
    </w:p>
    <w:p>
      <w:pPr>
        <w:ind w:left="260" w:right="40" w:firstLine="458"/>
        <w:spacing w:after="0" w:line="287" w:lineRule="auto"/>
        <w:rPr>
          <w:sz w:val="20"/>
          <w:szCs w:val="20"/>
          <w:color w:val="auto"/>
        </w:rPr>
      </w:pPr>
      <w:r>
        <w:rPr>
          <w:rFonts w:ascii="Arial" w:cs="Arial" w:eastAsia="Arial" w:hAnsi="Arial"/>
          <w:sz w:val="15"/>
          <w:szCs w:val="15"/>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 sarcoma and for the treatment of refractory NSCLC, in our Phase 2 clinical trial of ozuriftamab vedotin for the treatment of refractory melanoma and NSCLC and in any subsequent or post-marketing confirmatory clinical trials.</w:t>
      </w:r>
    </w:p>
    <w:p>
      <w:pPr>
        <w:spacing w:after="0" w:line="155" w:lineRule="exact"/>
        <w:rPr>
          <w:sz w:val="20"/>
          <w:szCs w:val="20"/>
          <w:color w:val="auto"/>
        </w:rPr>
      </w:pPr>
    </w:p>
    <w:p>
      <w:pPr>
        <w:ind w:left="260" w:firstLine="458"/>
        <w:spacing w:after="0" w:line="285" w:lineRule="auto"/>
        <w:rPr>
          <w:sz w:val="20"/>
          <w:szCs w:val="20"/>
          <w:color w:val="auto"/>
        </w:rPr>
      </w:pPr>
      <w:r>
        <w:rPr>
          <w:rFonts w:ascii="Arial" w:cs="Arial" w:eastAsia="Arial" w:hAnsi="Arial"/>
          <w:sz w:val="15"/>
          <w:szCs w:val="15"/>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72" w:lineRule="exact"/>
        <w:rPr>
          <w:sz w:val="20"/>
          <w:szCs w:val="20"/>
          <w:color w:val="auto"/>
        </w:rPr>
      </w:pPr>
    </w:p>
    <w:p>
      <w:pPr>
        <w:ind w:left="260" w:right="60" w:firstLine="458"/>
        <w:spacing w:after="0" w:line="267" w:lineRule="auto"/>
        <w:rPr>
          <w:sz w:val="20"/>
          <w:szCs w:val="20"/>
          <w:color w:val="auto"/>
        </w:rPr>
      </w:pPr>
      <w:r>
        <w:rPr>
          <w:rFonts w:ascii="Arial" w:cs="Arial" w:eastAsia="Arial" w:hAnsi="Arial"/>
          <w:sz w:val="16"/>
          <w:szCs w:val="16"/>
          <w:color w:val="auto"/>
        </w:rPr>
        <w:t>Furthermore, while multi-center investigator-initiated clinical trials of mecbotamab vedotin and ozuriftamab vedotin in patients with platinum-resistant ovarian cancer started to enroll patients in Canada in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59" w:lineRule="exact"/>
        <w:rPr>
          <w:sz w:val="20"/>
          <w:szCs w:val="20"/>
          <w:color w:val="auto"/>
        </w:rPr>
      </w:pPr>
    </w:p>
    <w:p>
      <w:pPr>
        <w:ind w:left="260" w:right="220"/>
        <w:spacing w:after="0" w:line="293" w:lineRule="auto"/>
        <w:rPr>
          <w:sz w:val="20"/>
          <w:szCs w:val="20"/>
          <w:color w:val="auto"/>
        </w:rPr>
      </w:pPr>
      <w:r>
        <w:rPr>
          <w:rFonts w:ascii="Arial" w:cs="Arial" w:eastAsia="Arial" w:hAnsi="Arial"/>
          <w:sz w:val="16"/>
          <w:szCs w:val="16"/>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firstLine="458"/>
        <w:spacing w:after="0" w:line="309" w:lineRule="auto"/>
        <w:rPr>
          <w:sz w:val="20"/>
          <w:szCs w:val="20"/>
          <w:color w:val="auto"/>
        </w:rPr>
      </w:pPr>
      <w:r>
        <w:rPr>
          <w:rFonts w:ascii="Arial" w:cs="Arial" w:eastAsia="Arial" w:hAnsi="Arial"/>
          <w:sz w:val="14"/>
          <w:szCs w:val="14"/>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41" w:lineRule="exact"/>
        <w:rPr>
          <w:sz w:val="20"/>
          <w:szCs w:val="20"/>
          <w:color w:val="auto"/>
        </w:rPr>
      </w:pPr>
    </w:p>
    <w:p>
      <w:pPr>
        <w:ind w:left="260" w:right="120" w:firstLine="458"/>
        <w:spacing w:after="0" w:line="269"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5" w:lineRule="exact"/>
        <w:rPr>
          <w:sz w:val="20"/>
          <w:szCs w:val="20"/>
          <w:color w:val="auto"/>
        </w:rPr>
      </w:pPr>
    </w:p>
    <w:p>
      <w:pPr>
        <w:ind w:left="260" w:right="80"/>
        <w:spacing w:after="0" w:line="293" w:lineRule="auto"/>
        <w:rPr>
          <w:sz w:val="20"/>
          <w:szCs w:val="20"/>
          <w:color w:val="auto"/>
        </w:rPr>
      </w:pPr>
      <w:r>
        <w:rPr>
          <w:rFonts w:ascii="Arial" w:cs="Arial" w:eastAsia="Arial" w:hAnsi="Arial"/>
          <w:sz w:val="16"/>
          <w:szCs w:val="16"/>
          <w:b w:val="1"/>
          <w:bCs w:val="1"/>
          <w:i w:val="1"/>
          <w:iCs w:val="1"/>
          <w:color w:val="auto"/>
        </w:rPr>
        <w:t>Delays in the commencement and completion of clinical trials could increase costs and delay or prevent regulatory approval and commercialization of our product candidates.</w:t>
      </w:r>
    </w:p>
    <w:p>
      <w:pPr>
        <w:spacing w:after="0" w:line="50" w:lineRule="exact"/>
        <w:rPr>
          <w:sz w:val="20"/>
          <w:szCs w:val="20"/>
          <w:color w:val="auto"/>
        </w:rPr>
      </w:pPr>
    </w:p>
    <w:p>
      <w:pPr>
        <w:jc w:val="both"/>
        <w:ind w:left="260" w:right="420" w:firstLine="458"/>
        <w:spacing w:after="0" w:line="278" w:lineRule="auto"/>
        <w:rPr>
          <w:sz w:val="20"/>
          <w:szCs w:val="20"/>
          <w:color w:val="auto"/>
        </w:rPr>
      </w:pPr>
      <w:r>
        <w:rPr>
          <w:rFonts w:ascii="Arial" w:cs="Arial" w:eastAsia="Arial" w:hAnsi="Arial"/>
          <w:sz w:val="16"/>
          <w:szCs w:val="16"/>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76" w:lineRule="exact"/>
        <w:rPr>
          <w:sz w:val="20"/>
          <w:szCs w:val="20"/>
          <w:color w:val="auto"/>
        </w:rPr>
      </w:pPr>
    </w:p>
    <w:p>
      <w:pPr>
        <w:ind w:left="1320" w:hanging="549"/>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negative preclinical data;</w:t>
      </w:r>
    </w:p>
    <w:p>
      <w:pPr>
        <w:spacing w:after="0" w:line="126" w:lineRule="exact"/>
        <w:rPr>
          <w:rFonts w:ascii="Arial" w:cs="Arial" w:eastAsia="Arial" w:hAnsi="Arial"/>
          <w:sz w:val="16"/>
          <w:szCs w:val="16"/>
          <w:color w:val="auto"/>
        </w:rPr>
      </w:pPr>
    </w:p>
    <w:p>
      <w:pPr>
        <w:ind w:left="1280" w:right="440" w:hanging="509"/>
        <w:spacing w:after="0" w:line="293"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reaching, or a failure to reach, a consensus with regulatory authorities on study design;</w:t>
      </w:r>
    </w:p>
    <w:p>
      <w:pPr>
        <w:spacing w:after="0" w:line="126" w:lineRule="exact"/>
        <w:rPr>
          <w:rFonts w:ascii="Arial" w:cs="Arial" w:eastAsia="Arial" w:hAnsi="Arial"/>
          <w:sz w:val="16"/>
          <w:szCs w:val="16"/>
          <w:color w:val="auto"/>
        </w:rPr>
      </w:pPr>
    </w:p>
    <w:p>
      <w:pPr>
        <w:ind w:left="1280" w:right="20" w:hanging="509"/>
        <w:spacing w:after="0" w:line="293"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obtaining IRB approval at each site;</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challenges in recruiting suitable patients to participate in a trial;</w:t>
      </w:r>
    </w:p>
    <w:p>
      <w:pPr>
        <w:spacing w:after="0" w:line="126" w:lineRule="exact"/>
        <w:rPr>
          <w:rFonts w:ascii="Arial" w:cs="Arial" w:eastAsia="Arial" w:hAnsi="Arial"/>
          <w:sz w:val="16"/>
          <w:szCs w:val="16"/>
          <w:color w:val="auto"/>
        </w:rPr>
      </w:pPr>
    </w:p>
    <w:p>
      <w:pPr>
        <w:ind w:left="1280" w:right="380" w:hanging="509"/>
        <w:spacing w:after="0" w:line="293"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enroll a sufficient number of patients in clinical trials to ensure adequate statistical power to detect statistically significant treatment effects;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having patients complete a trial or return for post-treatment follow-up;</w:t>
      </w:r>
    </w:p>
    <w:p>
      <w:pPr>
        <w:spacing w:after="0" w:line="126" w:lineRule="exact"/>
        <w:rPr>
          <w:rFonts w:ascii="Arial" w:cs="Arial" w:eastAsia="Arial" w:hAnsi="Arial"/>
          <w:sz w:val="16"/>
          <w:szCs w:val="16"/>
          <w:color w:val="auto"/>
        </w:rPr>
      </w:pPr>
    </w:p>
    <w:p>
      <w:pPr>
        <w:ind w:left="1280" w:right="240" w:hanging="509"/>
        <w:spacing w:after="0" w:line="293"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3" w:lineRule="exact"/>
        <w:rPr>
          <w:rFonts w:ascii="Arial" w:cs="Arial" w:eastAsia="Arial" w:hAnsi="Arial"/>
          <w:sz w:val="16"/>
          <w:szCs w:val="16"/>
          <w:color w:val="auto"/>
        </w:rPr>
      </w:pPr>
    </w:p>
    <w:p>
      <w:pPr>
        <w:ind w:left="1280" w:hanging="509"/>
        <w:spacing w:after="0" w:line="293"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unforeseen safety issues, including occurrence of treatment emergent adverse events, or TEAEs, associated with the product candidate that are viewed to outweigh the product candidate’s potential benefits;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adding new clinical trial sites;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ambiguous or negative interim results;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manufacturing sufficient quantities of product candidate acceptable for use in clinical trials in a timely manner, or at all; or</w:t>
      </w:r>
    </w:p>
    <w:p>
      <w:pPr>
        <w:spacing w:after="0" w:line="126" w:lineRule="exact"/>
        <w:rPr>
          <w:rFonts w:ascii="Arial" w:cs="Arial" w:eastAsia="Arial" w:hAnsi="Arial"/>
          <w:sz w:val="16"/>
          <w:szCs w:val="16"/>
          <w:color w:val="auto"/>
        </w:rPr>
      </w:pPr>
    </w:p>
    <w:p>
      <w:pPr>
        <w:ind w:left="1280" w:right="100" w:hanging="509"/>
        <w:spacing w:after="0" w:line="305" w:lineRule="auto"/>
        <w:tabs>
          <w:tab w:leader="none" w:pos="1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spacing w:after="0" w:line="152" w:lineRule="exact"/>
        <w:rPr>
          <w:sz w:val="20"/>
          <w:szCs w:val="20"/>
          <w:color w:val="auto"/>
        </w:rPr>
      </w:pPr>
    </w:p>
    <w:p>
      <w:pPr>
        <w:ind w:left="260" w:right="20" w:firstLine="458"/>
        <w:spacing w:after="0" w:line="273"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20"/>
        <w:spacing w:after="0" w:line="289" w:lineRule="auto"/>
        <w:rPr>
          <w:sz w:val="20"/>
          <w:szCs w:val="20"/>
          <w:color w:val="auto"/>
        </w:rPr>
      </w:pPr>
      <w:r>
        <w:rPr>
          <w:rFonts w:ascii="Arial" w:cs="Arial" w:eastAsia="Arial" w:hAnsi="Arial"/>
          <w:sz w:val="15"/>
          <w:szCs w:val="15"/>
          <w:color w:val="auto"/>
        </w:rPr>
        <w:t>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260" w:right="40" w:firstLine="458"/>
        <w:spacing w:after="0" w:line="328" w:lineRule="auto"/>
        <w:rPr>
          <w:sz w:val="20"/>
          <w:szCs w:val="20"/>
          <w:color w:val="auto"/>
        </w:rPr>
      </w:pPr>
      <w:r>
        <w:rPr>
          <w:rFonts w:ascii="Arial" w:cs="Arial" w:eastAsia="Arial" w:hAnsi="Arial"/>
          <w:sz w:val="15"/>
          <w:szCs w:val="15"/>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17" w:lineRule="exact"/>
        <w:rPr>
          <w:sz w:val="20"/>
          <w:szCs w:val="20"/>
          <w:color w:val="auto"/>
        </w:rPr>
      </w:pPr>
    </w:p>
    <w:p>
      <w:pPr>
        <w:ind w:left="260" w:right="440"/>
        <w:spacing w:after="0" w:line="293" w:lineRule="auto"/>
        <w:rPr>
          <w:sz w:val="20"/>
          <w:szCs w:val="20"/>
          <w:color w:val="auto"/>
        </w:rPr>
      </w:pPr>
      <w:r>
        <w:rPr>
          <w:rFonts w:ascii="Arial" w:cs="Arial" w:eastAsia="Arial" w:hAnsi="Arial"/>
          <w:sz w:val="16"/>
          <w:szCs w:val="16"/>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4" w:lineRule="exact"/>
        <w:rPr>
          <w:sz w:val="20"/>
          <w:szCs w:val="20"/>
          <w:color w:val="auto"/>
        </w:rPr>
      </w:pPr>
    </w:p>
    <w:p>
      <w:pPr>
        <w:ind w:left="260" w:right="60" w:firstLine="458"/>
        <w:spacing w:after="0" w:line="271" w:lineRule="auto"/>
        <w:rPr>
          <w:sz w:val="20"/>
          <w:szCs w:val="20"/>
          <w:color w:val="auto"/>
        </w:rPr>
      </w:pPr>
      <w:r>
        <w:rPr>
          <w:rFonts w:ascii="Arial" w:cs="Arial" w:eastAsia="Arial" w:hAnsi="Arial"/>
          <w:sz w:val="16"/>
          <w:szCs w:val="16"/>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spacing w:after="0" w:line="163"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51" w:lineRule="exact"/>
        <w:rPr>
          <w:sz w:val="20"/>
          <w:szCs w:val="20"/>
          <w:color w:val="auto"/>
        </w:rPr>
      </w:pPr>
    </w:p>
    <w:p>
      <w:pPr>
        <w:jc w:val="both"/>
        <w:ind w:left="260" w:right="380" w:firstLine="458"/>
        <w:spacing w:after="0" w:line="305" w:lineRule="auto"/>
        <w:rPr>
          <w:sz w:val="20"/>
          <w:szCs w:val="20"/>
          <w:color w:val="auto"/>
        </w:rPr>
      </w:pPr>
      <w:r>
        <w:rPr>
          <w:rFonts w:ascii="Arial" w:cs="Arial" w:eastAsia="Arial" w:hAnsi="Arial"/>
          <w:sz w:val="15"/>
          <w:szCs w:val="15"/>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47" w:lineRule="exact"/>
        <w:rPr>
          <w:sz w:val="20"/>
          <w:szCs w:val="20"/>
          <w:color w:val="auto"/>
        </w:rPr>
      </w:pPr>
    </w:p>
    <w:p>
      <w:pPr>
        <w:jc w:val="both"/>
        <w:ind w:left="260" w:right="400"/>
        <w:spacing w:after="0" w:line="328"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28" w:lineRule="exact"/>
        <w:rPr>
          <w:sz w:val="20"/>
          <w:szCs w:val="20"/>
          <w:color w:val="auto"/>
        </w:rPr>
      </w:pPr>
    </w:p>
    <w:p>
      <w:pPr>
        <w:ind w:left="260" w:right="140" w:firstLine="458"/>
        <w:spacing w:after="0" w:line="293" w:lineRule="auto"/>
        <w:rPr>
          <w:sz w:val="20"/>
          <w:szCs w:val="20"/>
          <w:color w:val="auto"/>
        </w:rPr>
      </w:pPr>
      <w:r>
        <w:rPr>
          <w:rFonts w:ascii="Arial" w:cs="Arial" w:eastAsia="Arial" w:hAnsi="Arial"/>
          <w:sz w:val="15"/>
          <w:szCs w:val="15"/>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49" w:lineRule="exact"/>
        <w:rPr>
          <w:sz w:val="20"/>
          <w:szCs w:val="20"/>
          <w:color w:val="auto"/>
        </w:rPr>
      </w:pPr>
    </w:p>
    <w:p>
      <w:pPr>
        <w:ind w:left="260" w:right="380" w:firstLine="458"/>
        <w:spacing w:after="0" w:line="293" w:lineRule="auto"/>
        <w:rPr>
          <w:sz w:val="20"/>
          <w:szCs w:val="20"/>
          <w:color w:val="auto"/>
        </w:rPr>
      </w:pPr>
      <w:r>
        <w:rPr>
          <w:rFonts w:ascii="Arial" w:cs="Arial" w:eastAsia="Arial" w:hAnsi="Arial"/>
          <w:sz w:val="16"/>
          <w:szCs w:val="16"/>
          <w:color w:val="auto"/>
        </w:rPr>
        <w:t>In our clinical trials for mecbotamab vedotin and ozuriftamab vedotin, we have observed adverse events such as reversible myelosuppression, transient liver enzyme elevations, pyrexia, or fever, metabolic disturbances and peripheral neuropathy.</w:t>
      </w:r>
    </w:p>
    <w:p>
      <w:pPr>
        <w:spacing w:after="0" w:line="158" w:lineRule="exact"/>
        <w:rPr>
          <w:sz w:val="20"/>
          <w:szCs w:val="20"/>
          <w:color w:val="auto"/>
        </w:rPr>
      </w:pPr>
    </w:p>
    <w:p>
      <w:pPr>
        <w:ind w:left="260" w:right="40" w:firstLine="458"/>
        <w:spacing w:after="0" w:line="297" w:lineRule="auto"/>
        <w:rPr>
          <w:sz w:val="20"/>
          <w:szCs w:val="20"/>
          <w:color w:val="auto"/>
        </w:rPr>
      </w:pPr>
      <w:r>
        <w:rPr>
          <w:rFonts w:ascii="Arial" w:cs="Arial" w:eastAsia="Arial" w:hAnsi="Arial"/>
          <w:sz w:val="15"/>
          <w:szCs w:val="15"/>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45" w:lineRule="exact"/>
        <w:rPr>
          <w:sz w:val="20"/>
          <w:szCs w:val="20"/>
          <w:color w:val="auto"/>
        </w:rPr>
      </w:pPr>
    </w:p>
    <w:p>
      <w:pPr>
        <w:ind w:left="260" w:right="100" w:firstLine="458"/>
        <w:spacing w:after="0" w:line="297" w:lineRule="auto"/>
        <w:rPr>
          <w:sz w:val="20"/>
          <w:szCs w:val="20"/>
          <w:color w:val="auto"/>
        </w:rPr>
      </w:pPr>
      <w:r>
        <w:rPr>
          <w:rFonts w:ascii="Arial" w:cs="Arial" w:eastAsia="Arial" w:hAnsi="Arial"/>
          <w:sz w:val="15"/>
          <w:szCs w:val="15"/>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firstLine="458"/>
        <w:spacing w:after="0" w:line="335" w:lineRule="auto"/>
        <w:rPr>
          <w:sz w:val="20"/>
          <w:szCs w:val="20"/>
          <w:color w:val="auto"/>
        </w:rPr>
      </w:pPr>
      <w:r>
        <w:rPr>
          <w:rFonts w:ascii="Arial" w:cs="Arial" w:eastAsia="Arial" w:hAnsi="Arial"/>
          <w:sz w:val="14"/>
          <w:szCs w:val="14"/>
          <w:color w:val="auto"/>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36" w:lineRule="exact"/>
        <w:rPr>
          <w:sz w:val="20"/>
          <w:szCs w:val="20"/>
          <w:color w:val="auto"/>
        </w:rPr>
      </w:pPr>
    </w:p>
    <w:p>
      <w:pPr>
        <w:ind w:left="260" w:right="60" w:firstLine="458"/>
        <w:spacing w:after="0" w:line="273" w:lineRule="auto"/>
        <w:rPr>
          <w:sz w:val="20"/>
          <w:szCs w:val="20"/>
          <w:color w:val="auto"/>
        </w:rPr>
      </w:pPr>
      <w:r>
        <w:rPr>
          <w:rFonts w:ascii="Arial" w:cs="Arial" w:eastAsia="Arial" w:hAnsi="Arial"/>
          <w:sz w:val="16"/>
          <w:szCs w:val="16"/>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62" w:lineRule="exact"/>
        <w:rPr>
          <w:sz w:val="20"/>
          <w:szCs w:val="20"/>
          <w:color w:val="auto"/>
        </w:rPr>
      </w:pPr>
    </w:p>
    <w:p>
      <w:pPr>
        <w:ind w:left="260" w:right="20" w:firstLine="458"/>
        <w:spacing w:after="0" w:line="293" w:lineRule="auto"/>
        <w:rPr>
          <w:sz w:val="20"/>
          <w:szCs w:val="20"/>
          <w:color w:val="auto"/>
        </w:rPr>
      </w:pPr>
      <w:r>
        <w:rPr>
          <w:rFonts w:ascii="Arial" w:cs="Arial" w:eastAsia="Arial" w:hAnsi="Arial"/>
          <w:sz w:val="16"/>
          <w:szCs w:val="16"/>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64" w:lineRule="exact"/>
        <w:rPr>
          <w:sz w:val="20"/>
          <w:szCs w:val="20"/>
          <w:color w:val="auto"/>
        </w:rPr>
      </w:pPr>
    </w:p>
    <w:p>
      <w:pPr>
        <w:ind w:left="1280" w:hanging="509"/>
        <w:spacing w:after="0"/>
        <w:tabs>
          <w:tab w:leader="none" w:pos="12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regulatory authorities may suspend, limit or withdraw their approval of such product, or seek an injunction against its manufacture or distribution;</w:t>
      </w:r>
    </w:p>
    <w:p>
      <w:pPr>
        <w:spacing w:after="0" w:line="138" w:lineRule="exact"/>
        <w:rPr>
          <w:rFonts w:ascii="Arial" w:cs="Arial" w:eastAsia="Arial" w:hAnsi="Arial"/>
          <w:sz w:val="15"/>
          <w:szCs w:val="15"/>
          <w:color w:val="auto"/>
        </w:rPr>
      </w:pPr>
    </w:p>
    <w:p>
      <w:pPr>
        <w:ind w:left="1280" w:hanging="509"/>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required to conduct additional clinical trials or post-approval studies;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requested or required to recall a product or change the way such product is administered to patients;</w:t>
      </w:r>
    </w:p>
    <w:p>
      <w:pPr>
        <w:spacing w:after="0" w:line="126" w:lineRule="exact"/>
        <w:rPr>
          <w:rFonts w:ascii="Arial" w:cs="Arial" w:eastAsia="Arial" w:hAnsi="Arial"/>
          <w:sz w:val="16"/>
          <w:szCs w:val="16"/>
          <w:color w:val="auto"/>
        </w:rPr>
      </w:pPr>
    </w:p>
    <w:p>
      <w:pPr>
        <w:ind w:left="1280" w:right="400" w:hanging="509"/>
        <w:spacing w:after="0" w:line="293" w:lineRule="auto"/>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w:t>
      </w:r>
    </w:p>
    <w:p>
      <w:pPr>
        <w:spacing w:after="0" w:line="63" w:lineRule="exact"/>
        <w:rPr>
          <w:rFonts w:ascii="Arial" w:cs="Arial" w:eastAsia="Arial" w:hAnsi="Arial"/>
          <w:sz w:val="16"/>
          <w:szCs w:val="16"/>
          <w:color w:val="auto"/>
        </w:rPr>
      </w:pPr>
    </w:p>
    <w:p>
      <w:pPr>
        <w:ind w:left="1280" w:right="600" w:hanging="509"/>
        <w:spacing w:after="0" w:line="328" w:lineRule="auto"/>
        <w:tabs>
          <w:tab w:leader="none" w:pos="12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41" w:lineRule="exact"/>
        <w:rPr>
          <w:rFonts w:ascii="Arial" w:cs="Arial" w:eastAsia="Arial" w:hAnsi="Arial"/>
          <w:sz w:val="15"/>
          <w:szCs w:val="15"/>
          <w:color w:val="auto"/>
        </w:rPr>
      </w:pPr>
    </w:p>
    <w:p>
      <w:pPr>
        <w:ind w:left="1280" w:right="600" w:hanging="509"/>
        <w:spacing w:after="0" w:line="293" w:lineRule="auto"/>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subject to fines, injunctions or the imposition of civil or criminal penalties;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product may become less competitive; and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08" w:lineRule="exact"/>
        <w:rPr>
          <w:sz w:val="20"/>
          <w:szCs w:val="20"/>
          <w:color w:val="auto"/>
        </w:rPr>
      </w:pPr>
    </w:p>
    <w:p>
      <w:pPr>
        <w:ind w:left="260" w:right="140" w:firstLine="491"/>
        <w:spacing w:after="0" w:line="305"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47" w:lineRule="exact"/>
        <w:rPr>
          <w:sz w:val="20"/>
          <w:szCs w:val="20"/>
          <w:color w:val="auto"/>
        </w:rPr>
      </w:pPr>
    </w:p>
    <w:p>
      <w:pPr>
        <w:ind w:left="260" w:right="40"/>
        <w:spacing w:after="0" w:line="293" w:lineRule="auto"/>
        <w:rPr>
          <w:sz w:val="20"/>
          <w:szCs w:val="20"/>
          <w:color w:val="auto"/>
        </w:rPr>
      </w:pPr>
      <w:r>
        <w:rPr>
          <w:rFonts w:ascii="Arial" w:cs="Arial" w:eastAsia="Arial" w:hAnsi="Arial"/>
          <w:sz w:val="16"/>
          <w:szCs w:val="16"/>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50" w:lineRule="exact"/>
        <w:rPr>
          <w:sz w:val="20"/>
          <w:szCs w:val="20"/>
          <w:color w:val="auto"/>
        </w:rPr>
      </w:pPr>
    </w:p>
    <w:p>
      <w:pPr>
        <w:ind w:left="260" w:right="20" w:firstLine="458"/>
        <w:spacing w:after="0" w:line="289" w:lineRule="auto"/>
        <w:rPr>
          <w:sz w:val="20"/>
          <w:szCs w:val="20"/>
          <w:color w:val="auto"/>
        </w:rPr>
      </w:pPr>
      <w:r>
        <w:rPr>
          <w:rFonts w:ascii="Arial" w:cs="Arial" w:eastAsia="Arial" w:hAnsi="Arial"/>
          <w:sz w:val="15"/>
          <w:szCs w:val="15"/>
          <w:color w:val="auto"/>
        </w:rPr>
        <w:t>Currently, we are evaluating the use of each of mecbotamab vedotin and ozuriftamab vedotin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58"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275" w:lineRule="exact"/>
        <w:rPr>
          <w:sz w:val="20"/>
          <w:szCs w:val="20"/>
          <w:color w:val="auto"/>
        </w:rPr>
      </w:pPr>
    </w:p>
    <w:p>
      <w:pPr>
        <w:ind w:left="260" w:right="200" w:firstLine="458"/>
        <w:spacing w:after="0" w:line="278" w:lineRule="auto"/>
        <w:rPr>
          <w:sz w:val="20"/>
          <w:szCs w:val="20"/>
          <w:color w:val="auto"/>
        </w:rPr>
      </w:pPr>
      <w:r>
        <w:rPr>
          <w:rFonts w:ascii="Arial" w:cs="Arial" w:eastAsia="Arial" w:hAnsi="Arial"/>
          <w:sz w:val="16"/>
          <w:szCs w:val="16"/>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300" w:lineRule="exact"/>
        <w:rPr>
          <w:sz w:val="20"/>
          <w:szCs w:val="20"/>
          <w:color w:val="auto"/>
        </w:rPr>
      </w:pPr>
    </w:p>
    <w:p>
      <w:pPr>
        <w:ind w:left="260" w:right="20"/>
        <w:spacing w:after="0" w:line="318" w:lineRule="auto"/>
        <w:rPr>
          <w:sz w:val="20"/>
          <w:szCs w:val="20"/>
          <w:color w:val="auto"/>
        </w:rPr>
      </w:pPr>
      <w:r>
        <w:rPr>
          <w:rFonts w:ascii="Arial" w:cs="Arial" w:eastAsia="Arial" w:hAnsi="Arial"/>
          <w:sz w:val="14"/>
          <w:szCs w:val="14"/>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40" w:lineRule="exact"/>
        <w:rPr>
          <w:sz w:val="20"/>
          <w:szCs w:val="20"/>
          <w:color w:val="auto"/>
        </w:rPr>
      </w:pPr>
    </w:p>
    <w:p>
      <w:pPr>
        <w:ind w:left="260" w:right="20" w:firstLine="464"/>
        <w:spacing w:after="0" w:line="269" w:lineRule="auto"/>
        <w:rPr>
          <w:sz w:val="20"/>
          <w:szCs w:val="20"/>
          <w:color w:val="auto"/>
        </w:rPr>
      </w:pPr>
      <w:r>
        <w:rPr>
          <w:rFonts w:ascii="Arial" w:cs="Arial" w:eastAsia="Arial" w:hAnsi="Arial"/>
          <w:sz w:val="16"/>
          <w:szCs w:val="16"/>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potentially registration-enabling studies and have partnered with diagnostic provider to codevelop a companion diagnostic.</w:t>
      </w:r>
    </w:p>
    <w:p>
      <w:pPr>
        <w:spacing w:after="0" w:line="167" w:lineRule="exact"/>
        <w:rPr>
          <w:sz w:val="20"/>
          <w:szCs w:val="20"/>
          <w:color w:val="auto"/>
        </w:rPr>
      </w:pPr>
    </w:p>
    <w:p>
      <w:pPr>
        <w:ind w:left="260" w:firstLine="464"/>
        <w:spacing w:after="0" w:line="285" w:lineRule="auto"/>
        <w:rPr>
          <w:sz w:val="20"/>
          <w:szCs w:val="20"/>
          <w:color w:val="auto"/>
        </w:rPr>
      </w:pPr>
      <w:r>
        <w:rPr>
          <w:rFonts w:ascii="Arial" w:cs="Arial" w:eastAsia="Arial" w:hAnsi="Arial"/>
          <w:sz w:val="15"/>
          <w:szCs w:val="15"/>
          <w:color w:val="auto"/>
        </w:rPr>
        <w:t xml:space="preserve">If use of a companion diagnostic test is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168" w:lineRule="exact"/>
        <w:rPr>
          <w:sz w:val="20"/>
          <w:szCs w:val="20"/>
          <w:color w:val="auto"/>
        </w:rPr>
      </w:pPr>
    </w:p>
    <w:p>
      <w:pPr>
        <w:ind w:left="260" w:right="20" w:firstLine="458"/>
        <w:spacing w:after="0" w:line="291" w:lineRule="auto"/>
        <w:rPr>
          <w:sz w:val="20"/>
          <w:szCs w:val="20"/>
          <w:color w:val="auto"/>
        </w:rPr>
      </w:pPr>
      <w:r>
        <w:rPr>
          <w:rFonts w:ascii="Arial" w:cs="Arial" w:eastAsia="Arial" w:hAnsi="Arial"/>
          <w:sz w:val="15"/>
          <w:szCs w:val="15"/>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44" w:lineRule="exact"/>
        <w:rPr>
          <w:sz w:val="20"/>
          <w:szCs w:val="20"/>
          <w:color w:val="auto"/>
        </w:rPr>
      </w:pPr>
    </w:p>
    <w:p>
      <w:pPr>
        <w:ind w:left="260" w:right="80"/>
        <w:spacing w:after="0" w:line="278"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3" w:lineRule="exact"/>
        <w:rPr>
          <w:sz w:val="20"/>
          <w:szCs w:val="20"/>
          <w:color w:val="auto"/>
        </w:rPr>
      </w:pPr>
    </w:p>
    <w:p>
      <w:pPr>
        <w:ind w:left="260" w:right="40" w:firstLine="458"/>
        <w:spacing w:after="0" w:line="268"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79" w:lineRule="exact"/>
        <w:rPr>
          <w:sz w:val="20"/>
          <w:szCs w:val="20"/>
          <w:color w:val="auto"/>
        </w:rPr>
      </w:pPr>
    </w:p>
    <w:p>
      <w:pPr>
        <w:ind w:left="260" w:right="40" w:firstLine="458"/>
        <w:spacing w:after="0" w:line="287" w:lineRule="auto"/>
        <w:rPr>
          <w:sz w:val="20"/>
          <w:szCs w:val="20"/>
          <w:color w:val="auto"/>
        </w:rPr>
      </w:pPr>
      <w:r>
        <w:rPr>
          <w:rFonts w:ascii="Arial" w:cs="Arial" w:eastAsia="Arial" w:hAnsi="Arial"/>
          <w:sz w:val="15"/>
          <w:szCs w:val="15"/>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firstLine="458"/>
        <w:spacing w:after="0" w:line="310" w:lineRule="auto"/>
        <w:rPr>
          <w:sz w:val="20"/>
          <w:szCs w:val="20"/>
          <w:color w:val="auto"/>
        </w:rPr>
      </w:pPr>
      <w:r>
        <w:rPr>
          <w:rFonts w:ascii="Arial" w:cs="Arial" w:eastAsia="Arial" w:hAnsi="Arial"/>
          <w:sz w:val="14"/>
          <w:szCs w:val="14"/>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53"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7" w:lineRule="exact"/>
        <w:rPr>
          <w:sz w:val="20"/>
          <w:szCs w:val="20"/>
          <w:color w:val="auto"/>
        </w:rPr>
      </w:pPr>
    </w:p>
    <w:p>
      <w:pPr>
        <w:ind w:left="260" w:right="20" w:firstLine="458"/>
        <w:spacing w:after="0" w:line="273"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biologic product candidates for which we intend to seek approval may face competition through an abbreviated pathway.</w:t>
      </w:r>
    </w:p>
    <w:p>
      <w:pPr>
        <w:spacing w:after="0" w:line="113" w:lineRule="exact"/>
        <w:rPr>
          <w:sz w:val="20"/>
          <w:szCs w:val="20"/>
          <w:color w:val="auto"/>
        </w:rPr>
      </w:pPr>
    </w:p>
    <w:p>
      <w:pPr>
        <w:ind w:left="260" w:firstLine="458"/>
        <w:spacing w:after="0" w:line="311" w:lineRule="auto"/>
        <w:rPr>
          <w:sz w:val="20"/>
          <w:szCs w:val="20"/>
          <w:color w:val="auto"/>
        </w:rPr>
      </w:pPr>
      <w:r>
        <w:rPr>
          <w:rFonts w:ascii="Arial" w:cs="Arial" w:eastAsia="Arial" w:hAnsi="Arial"/>
          <w:sz w:val="14"/>
          <w:szCs w:val="14"/>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46" w:lineRule="exact"/>
        <w:rPr>
          <w:sz w:val="20"/>
          <w:szCs w:val="20"/>
          <w:color w:val="auto"/>
        </w:rPr>
      </w:pPr>
    </w:p>
    <w:p>
      <w:pPr>
        <w:ind w:left="260" w:right="260" w:firstLine="458"/>
        <w:spacing w:after="0" w:line="305" w:lineRule="auto"/>
        <w:rPr>
          <w:sz w:val="20"/>
          <w:szCs w:val="20"/>
          <w:color w:val="auto"/>
        </w:rPr>
      </w:pPr>
      <w:r>
        <w:rPr>
          <w:rFonts w:ascii="Arial" w:cs="Arial" w:eastAsia="Arial" w:hAnsi="Arial"/>
          <w:sz w:val="15"/>
          <w:szCs w:val="15"/>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47" w:lineRule="exact"/>
        <w:rPr>
          <w:sz w:val="20"/>
          <w:szCs w:val="20"/>
          <w:color w:val="auto"/>
        </w:rPr>
      </w:pPr>
    </w:p>
    <w:p>
      <w:pPr>
        <w:ind w:left="260" w:right="400"/>
        <w:spacing w:after="0" w:line="293" w:lineRule="auto"/>
        <w:rPr>
          <w:sz w:val="20"/>
          <w:szCs w:val="20"/>
          <w:color w:val="auto"/>
        </w:rPr>
      </w:pPr>
      <w:r>
        <w:rPr>
          <w:rFonts w:ascii="Arial" w:cs="Arial" w:eastAsia="Arial" w:hAnsi="Arial"/>
          <w:sz w:val="16"/>
          <w:szCs w:val="16"/>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0" w:lineRule="exact"/>
        <w:rPr>
          <w:sz w:val="20"/>
          <w:szCs w:val="20"/>
          <w:color w:val="auto"/>
        </w:rPr>
      </w:pPr>
    </w:p>
    <w:p>
      <w:pPr>
        <w:ind w:left="260" w:firstLine="464"/>
        <w:spacing w:after="0" w:line="286" w:lineRule="auto"/>
        <w:rPr>
          <w:sz w:val="20"/>
          <w:szCs w:val="20"/>
          <w:color w:val="auto"/>
        </w:rPr>
      </w:pPr>
      <w:r>
        <w:rPr>
          <w:rFonts w:ascii="Arial" w:cs="Arial" w:eastAsia="Arial" w:hAnsi="Arial"/>
          <w:sz w:val="15"/>
          <w:szCs w:val="15"/>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regulatory approval and other legal compliance matters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unable to obtain U.S. or foreign regulatory approval and, as a result, unable to commercialize our product candidates.</w:t>
      </w:r>
    </w:p>
    <w:p>
      <w:pPr>
        <w:spacing w:after="0" w:line="113" w:lineRule="exact"/>
        <w:rPr>
          <w:sz w:val="20"/>
          <w:szCs w:val="20"/>
          <w:color w:val="auto"/>
        </w:rPr>
      </w:pPr>
    </w:p>
    <w:p>
      <w:pPr>
        <w:ind w:left="260" w:firstLine="458"/>
        <w:spacing w:after="0" w:line="289" w:lineRule="auto"/>
        <w:rPr>
          <w:sz w:val="20"/>
          <w:szCs w:val="20"/>
          <w:color w:val="auto"/>
        </w:rPr>
      </w:pPr>
      <w:r>
        <w:rPr>
          <w:rFonts w:ascii="Arial" w:cs="Arial" w:eastAsia="Arial" w:hAnsi="Arial"/>
          <w:sz w:val="15"/>
          <w:szCs w:val="15"/>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53" w:lineRule="exact"/>
        <w:rPr>
          <w:sz w:val="20"/>
          <w:szCs w:val="20"/>
          <w:color w:val="auto"/>
        </w:rPr>
      </w:pPr>
    </w:p>
    <w:p>
      <w:pPr>
        <w:ind w:left="260" w:right="20" w:firstLine="458"/>
        <w:spacing w:after="0" w:line="284" w:lineRule="auto"/>
        <w:rPr>
          <w:sz w:val="20"/>
          <w:szCs w:val="20"/>
          <w:color w:val="auto"/>
        </w:rPr>
      </w:pPr>
      <w:r>
        <w:rPr>
          <w:rFonts w:ascii="Arial" w:cs="Arial" w:eastAsia="Arial" w:hAnsi="Arial"/>
          <w:sz w:val="15"/>
          <w:szCs w:val="15"/>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addition, our product candidates could fail to receive regulatory approval for many reasons including the following:</w:t>
      </w:r>
    </w:p>
    <w:p>
      <w:pPr>
        <w:spacing w:after="0" w:line="127" w:lineRule="exact"/>
        <w:rPr>
          <w:sz w:val="20"/>
          <w:szCs w:val="20"/>
          <w:color w:val="auto"/>
        </w:rPr>
      </w:pPr>
    </w:p>
    <w:p>
      <w:pPr>
        <w:ind w:left="1280" w:hanging="509"/>
        <w:spacing w:after="0"/>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design or implementation of our clinical trials;</w:t>
      </w:r>
    </w:p>
    <w:p>
      <w:pPr>
        <w:spacing w:after="0" w:line="126" w:lineRule="exact"/>
        <w:rPr>
          <w:rFonts w:ascii="Arial" w:cs="Arial" w:eastAsia="Arial" w:hAnsi="Arial"/>
          <w:sz w:val="16"/>
          <w:szCs w:val="16"/>
          <w:color w:val="auto"/>
        </w:rPr>
      </w:pPr>
    </w:p>
    <w:p>
      <w:pPr>
        <w:ind w:left="1280" w:right="220" w:hanging="509"/>
        <w:spacing w:after="0" w:line="293"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pure and potent for its proposed indication;</w:t>
      </w:r>
    </w:p>
    <w:p>
      <w:pPr>
        <w:spacing w:after="0" w:line="63" w:lineRule="exact"/>
        <w:rPr>
          <w:rFonts w:ascii="Arial" w:cs="Arial" w:eastAsia="Arial" w:hAnsi="Arial"/>
          <w:sz w:val="16"/>
          <w:szCs w:val="16"/>
          <w:color w:val="auto"/>
        </w:rPr>
      </w:pPr>
    </w:p>
    <w:p>
      <w:pPr>
        <w:ind w:left="1280" w:right="200" w:hanging="509"/>
        <w:spacing w:after="0" w:line="293"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results of clinical trials may fail to achieve the level of statistical significance required by the FDA or comparable foreign regulatory authorities for approval;</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demonstrate that the dose for the product candidate has been optimized;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demonstrate a sufficient response rate or duration of response for a product candidate;</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interpretation of data submitted in support of regulatory approval;</w:t>
      </w:r>
    </w:p>
    <w:p>
      <w:pPr>
        <w:spacing w:after="0" w:line="138" w:lineRule="exact"/>
        <w:rPr>
          <w:rFonts w:ascii="Arial" w:cs="Arial" w:eastAsia="Arial" w:hAnsi="Arial"/>
          <w:sz w:val="15"/>
          <w:szCs w:val="15"/>
          <w:color w:val="auto"/>
        </w:rPr>
      </w:pPr>
    </w:p>
    <w:p>
      <w:pPr>
        <w:ind w:left="1280" w:right="100" w:hanging="509"/>
        <w:spacing w:after="0" w:line="293"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63" w:lineRule="exact"/>
        <w:rPr>
          <w:rFonts w:ascii="Arial" w:cs="Arial" w:eastAsia="Arial" w:hAnsi="Arial"/>
          <w:sz w:val="16"/>
          <w:szCs w:val="16"/>
          <w:color w:val="auto"/>
        </w:rPr>
      </w:pPr>
    </w:p>
    <w:p>
      <w:pPr>
        <w:ind w:left="1280" w:right="660" w:hanging="509"/>
        <w:spacing w:after="0" w:line="369" w:lineRule="auto"/>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99"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firstLine="458"/>
        <w:spacing w:after="0" w:line="324" w:lineRule="auto"/>
        <w:rPr>
          <w:sz w:val="20"/>
          <w:szCs w:val="20"/>
          <w:color w:val="auto"/>
        </w:rPr>
      </w:pPr>
      <w:r>
        <w:rPr>
          <w:rFonts w:ascii="Arial" w:cs="Arial" w:eastAsia="Arial" w:hAnsi="Arial"/>
          <w:sz w:val="14"/>
          <w:szCs w:val="14"/>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38" w:lineRule="exact"/>
        <w:rPr>
          <w:sz w:val="20"/>
          <w:szCs w:val="20"/>
          <w:color w:val="auto"/>
        </w:rPr>
      </w:pPr>
    </w:p>
    <w:p>
      <w:pPr>
        <w:ind w:left="260" w:right="280"/>
        <w:spacing w:after="0" w:line="271" w:lineRule="auto"/>
        <w:rPr>
          <w:sz w:val="20"/>
          <w:szCs w:val="20"/>
          <w:color w:val="auto"/>
        </w:rPr>
      </w:pPr>
      <w:r>
        <w:rPr>
          <w:rFonts w:ascii="Arial" w:cs="Arial" w:eastAsia="Arial" w:hAnsi="Arial"/>
          <w:sz w:val="16"/>
          <w:szCs w:val="16"/>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left="260" w:firstLine="458"/>
        <w:spacing w:after="0" w:line="284" w:lineRule="auto"/>
        <w:rPr>
          <w:sz w:val="20"/>
          <w:szCs w:val="20"/>
          <w:color w:val="auto"/>
        </w:rPr>
      </w:pPr>
      <w:r>
        <w:rPr>
          <w:rFonts w:ascii="Arial" w:cs="Arial" w:eastAsia="Arial" w:hAnsi="Arial"/>
          <w:sz w:val="15"/>
          <w:szCs w:val="15"/>
          <w:color w:val="auto"/>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57" w:lineRule="exact"/>
        <w:rPr>
          <w:sz w:val="20"/>
          <w:szCs w:val="20"/>
          <w:color w:val="auto"/>
        </w:rPr>
      </w:pPr>
    </w:p>
    <w:p>
      <w:pPr>
        <w:ind w:left="260" w:right="60" w:firstLine="464"/>
        <w:spacing w:after="0" w:line="313" w:lineRule="auto"/>
        <w:rPr>
          <w:sz w:val="20"/>
          <w:szCs w:val="20"/>
          <w:color w:val="auto"/>
        </w:rPr>
      </w:pPr>
      <w:r>
        <w:rPr>
          <w:rFonts w:ascii="Arial" w:cs="Arial" w:eastAsia="Arial" w:hAnsi="Arial"/>
          <w:sz w:val="14"/>
          <w:szCs w:val="14"/>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137" w:lineRule="exact"/>
        <w:rPr>
          <w:sz w:val="20"/>
          <w:szCs w:val="20"/>
          <w:color w:val="auto"/>
        </w:rPr>
      </w:pPr>
    </w:p>
    <w:p>
      <w:pPr>
        <w:ind w:left="260" w:firstLine="464"/>
        <w:spacing w:after="0" w:line="287" w:lineRule="auto"/>
        <w:rPr>
          <w:sz w:val="20"/>
          <w:szCs w:val="20"/>
          <w:color w:val="auto"/>
        </w:rPr>
      </w:pPr>
      <w:r>
        <w:rPr>
          <w:rFonts w:ascii="Arial" w:cs="Arial" w:eastAsia="Arial" w:hAnsi="Arial"/>
          <w:sz w:val="15"/>
          <w:szCs w:val="15"/>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The recent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w:t>
      </w:r>
    </w:p>
    <w:p>
      <w:pPr>
        <w:spacing w:after="0" w:line="165" w:lineRule="exact"/>
        <w:rPr>
          <w:sz w:val="20"/>
          <w:szCs w:val="20"/>
          <w:color w:val="auto"/>
        </w:rPr>
      </w:pPr>
    </w:p>
    <w:p>
      <w:pPr>
        <w:ind w:left="260" w:right="60"/>
        <w:spacing w:after="0" w:line="335" w:lineRule="auto"/>
        <w:rPr>
          <w:sz w:val="20"/>
          <w:szCs w:val="20"/>
          <w:color w:val="auto"/>
        </w:rPr>
      </w:pPr>
      <w:r>
        <w:rPr>
          <w:rFonts w:ascii="Arial" w:cs="Arial" w:eastAsia="Arial" w:hAnsi="Arial"/>
          <w:sz w:val="14"/>
          <w:szCs w:val="14"/>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8" w:lineRule="exact"/>
        <w:rPr>
          <w:sz w:val="20"/>
          <w:szCs w:val="20"/>
          <w:color w:val="auto"/>
        </w:rPr>
      </w:pPr>
    </w:p>
    <w:p>
      <w:pPr>
        <w:ind w:left="260" w:right="20" w:firstLine="458"/>
        <w:spacing w:after="0" w:line="278" w:lineRule="auto"/>
        <w:rPr>
          <w:sz w:val="20"/>
          <w:szCs w:val="20"/>
          <w:color w:val="auto"/>
        </w:rPr>
      </w:pPr>
      <w:r>
        <w:rPr>
          <w:rFonts w:ascii="Arial" w:cs="Arial" w:eastAsia="Arial" w:hAnsi="Arial"/>
          <w:sz w:val="16"/>
          <w:szCs w:val="16"/>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20"/>
        <w:spacing w:after="0" w:line="271" w:lineRule="auto"/>
        <w:rPr>
          <w:sz w:val="20"/>
          <w:szCs w:val="20"/>
          <w:color w:val="auto"/>
        </w:rPr>
      </w:pPr>
      <w:r>
        <w:rPr>
          <w:rFonts w:ascii="Arial" w:cs="Arial" w:eastAsia="Arial" w:hAnsi="Arial"/>
          <w:sz w:val="16"/>
          <w:szCs w:val="16"/>
          <w:color w:val="auto"/>
        </w:rPr>
        <w:t>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63" w:lineRule="exact"/>
        <w:rPr>
          <w:sz w:val="20"/>
          <w:szCs w:val="20"/>
          <w:color w:val="auto"/>
        </w:rPr>
      </w:pPr>
    </w:p>
    <w:p>
      <w:pPr>
        <w:ind w:left="260" w:firstLine="458"/>
        <w:spacing w:after="0" w:line="288" w:lineRule="auto"/>
        <w:rPr>
          <w:sz w:val="20"/>
          <w:szCs w:val="20"/>
          <w:color w:val="auto"/>
        </w:rPr>
      </w:pPr>
      <w:r>
        <w:rPr>
          <w:rFonts w:ascii="Arial" w:cs="Arial" w:eastAsia="Arial" w:hAnsi="Arial"/>
          <w:sz w:val="15"/>
          <w:szCs w:val="15"/>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280" w:hanging="509"/>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withdrawal of the product from the market or voluntary or mandatory product recalls;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fines, warning or untitled letters or holds on clinical trials;</w:t>
      </w:r>
    </w:p>
    <w:p>
      <w:pPr>
        <w:spacing w:after="0" w:line="126" w:lineRule="exact"/>
        <w:rPr>
          <w:rFonts w:ascii="Arial" w:cs="Arial" w:eastAsia="Arial" w:hAnsi="Arial"/>
          <w:sz w:val="16"/>
          <w:szCs w:val="16"/>
          <w:color w:val="auto"/>
        </w:rPr>
      </w:pPr>
    </w:p>
    <w:p>
      <w:pPr>
        <w:ind w:left="1280" w:right="240" w:hanging="509"/>
        <w:spacing w:after="0" w:line="293" w:lineRule="auto"/>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suspension or revocation of product license approvals;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and</w:t>
      </w:r>
    </w:p>
    <w:p>
      <w:pPr>
        <w:spacing w:after="0" w:line="126" w:lineRule="exact"/>
        <w:rPr>
          <w:rFonts w:ascii="Arial" w:cs="Arial" w:eastAsia="Arial" w:hAnsi="Arial"/>
          <w:sz w:val="16"/>
          <w:szCs w:val="16"/>
          <w:color w:val="auto"/>
        </w:rPr>
      </w:pPr>
    </w:p>
    <w:p>
      <w:pPr>
        <w:ind w:left="1300" w:hanging="529"/>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21" w:lineRule="exact"/>
        <w:rPr>
          <w:sz w:val="20"/>
          <w:szCs w:val="20"/>
          <w:color w:val="auto"/>
        </w:rPr>
      </w:pPr>
    </w:p>
    <w:p>
      <w:pPr>
        <w:ind w:left="260" w:right="40" w:firstLine="458"/>
        <w:spacing w:after="0" w:line="291" w:lineRule="auto"/>
        <w:rPr>
          <w:sz w:val="20"/>
          <w:szCs w:val="20"/>
          <w:color w:val="auto"/>
        </w:rPr>
      </w:pPr>
      <w:r>
        <w:rPr>
          <w:rFonts w:ascii="Arial" w:cs="Arial" w:eastAsia="Arial" w:hAnsi="Arial"/>
          <w:sz w:val="15"/>
          <w:szCs w:val="15"/>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44" w:lineRule="exact"/>
        <w:rPr>
          <w:sz w:val="20"/>
          <w:szCs w:val="20"/>
          <w:color w:val="auto"/>
        </w:rPr>
      </w:pPr>
    </w:p>
    <w:p>
      <w:pPr>
        <w:ind w:left="260" w:right="40"/>
        <w:spacing w:after="0" w:line="293" w:lineRule="auto"/>
        <w:rPr>
          <w:sz w:val="20"/>
          <w:szCs w:val="20"/>
          <w:color w:val="auto"/>
        </w:rPr>
      </w:pPr>
      <w:r>
        <w:rPr>
          <w:rFonts w:ascii="Arial" w:cs="Arial" w:eastAsia="Arial" w:hAnsi="Arial"/>
          <w:sz w:val="16"/>
          <w:szCs w:val="16"/>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4"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3" w:lineRule="exact"/>
        <w:rPr>
          <w:sz w:val="20"/>
          <w:szCs w:val="20"/>
          <w:color w:val="auto"/>
        </w:rPr>
      </w:pPr>
    </w:p>
    <w:p>
      <w:pPr>
        <w:ind w:left="260" w:right="60" w:firstLine="458"/>
        <w:spacing w:after="0" w:line="288" w:lineRule="auto"/>
        <w:rPr>
          <w:sz w:val="20"/>
          <w:szCs w:val="20"/>
          <w:color w:val="auto"/>
        </w:rPr>
      </w:pPr>
      <w:r>
        <w:rPr>
          <w:rFonts w:ascii="Arial" w:cs="Arial" w:eastAsia="Arial" w:hAnsi="Arial"/>
          <w:sz w:val="15"/>
          <w:szCs w:val="15"/>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firstLine="458"/>
        <w:spacing w:after="0" w:line="289" w:lineRule="auto"/>
        <w:rPr>
          <w:sz w:val="20"/>
          <w:szCs w:val="20"/>
          <w:color w:val="auto"/>
        </w:rPr>
      </w:pPr>
      <w:r>
        <w:rPr>
          <w:rFonts w:ascii="Arial" w:cs="Arial" w:eastAsia="Arial" w:hAnsi="Arial"/>
          <w:sz w:val="15"/>
          <w:szCs w:val="15"/>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53" w:lineRule="exact"/>
        <w:rPr>
          <w:sz w:val="20"/>
          <w:szCs w:val="20"/>
          <w:color w:val="auto"/>
        </w:rPr>
      </w:pPr>
    </w:p>
    <w:p>
      <w:pPr>
        <w:ind w:left="260" w:firstLine="464"/>
        <w:spacing w:after="0" w:line="268"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ind w:left="260" w:right="80" w:firstLine="458"/>
        <w:spacing w:after="0" w:line="288" w:lineRule="auto"/>
        <w:rPr>
          <w:sz w:val="20"/>
          <w:szCs w:val="20"/>
          <w:color w:val="auto"/>
        </w:rPr>
      </w:pPr>
      <w:r>
        <w:rPr>
          <w:rFonts w:ascii="Arial" w:cs="Arial" w:eastAsia="Arial" w:hAnsi="Arial"/>
          <w:sz w:val="15"/>
          <w:szCs w:val="15"/>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53" w:lineRule="exact"/>
        <w:rPr>
          <w:sz w:val="20"/>
          <w:szCs w:val="20"/>
          <w:color w:val="auto"/>
        </w:rPr>
      </w:pPr>
    </w:p>
    <w:p>
      <w:pPr>
        <w:ind w:left="260" w:right="40" w:firstLine="458"/>
        <w:spacing w:after="0" w:line="286" w:lineRule="auto"/>
        <w:rPr>
          <w:sz w:val="20"/>
          <w:szCs w:val="20"/>
          <w:color w:val="auto"/>
        </w:rPr>
      </w:pPr>
      <w:r>
        <w:rPr>
          <w:rFonts w:ascii="Arial" w:cs="Arial" w:eastAsia="Arial" w:hAnsi="Arial"/>
          <w:sz w:val="15"/>
          <w:szCs w:val="15"/>
          <w:color w:val="auto"/>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w:t>
      </w:r>
    </w:p>
    <w:p>
      <w:pPr>
        <w:spacing w:after="0" w:line="113" w:lineRule="exact"/>
        <w:rPr>
          <w:sz w:val="20"/>
          <w:szCs w:val="20"/>
          <w:color w:val="auto"/>
        </w:rPr>
      </w:pPr>
    </w:p>
    <w:p>
      <w:pPr>
        <w:ind w:left="260" w:right="20" w:firstLine="458"/>
        <w:spacing w:after="0" w:line="286" w:lineRule="auto"/>
        <w:rPr>
          <w:sz w:val="20"/>
          <w:szCs w:val="20"/>
          <w:color w:val="auto"/>
        </w:rPr>
      </w:pPr>
      <w:r>
        <w:rPr>
          <w:rFonts w:ascii="Arial" w:cs="Arial" w:eastAsia="Arial" w:hAnsi="Arial"/>
          <w:sz w:val="15"/>
          <w:szCs w:val="15"/>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64" w:lineRule="exact"/>
        <w:rPr>
          <w:sz w:val="20"/>
          <w:szCs w:val="20"/>
          <w:color w:val="auto"/>
        </w:rPr>
      </w:pPr>
    </w:p>
    <w:p>
      <w:pPr>
        <w:ind w:left="260" w:right="60"/>
        <w:spacing w:after="0" w:line="273" w:lineRule="auto"/>
        <w:rPr>
          <w:sz w:val="20"/>
          <w:szCs w:val="20"/>
          <w:color w:val="auto"/>
        </w:rPr>
      </w:pPr>
      <w:r>
        <w:rPr>
          <w:rFonts w:ascii="Arial" w:cs="Arial" w:eastAsia="Arial" w:hAnsi="Arial"/>
          <w:sz w:val="16"/>
          <w:szCs w:val="16"/>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left="260" w:right="260" w:firstLine="458"/>
        <w:spacing w:after="0" w:line="293"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20"/>
        <w:spacing w:after="0" w:line="278" w:lineRule="auto"/>
        <w:rPr>
          <w:sz w:val="20"/>
          <w:szCs w:val="20"/>
          <w:color w:val="auto"/>
        </w:rPr>
      </w:pPr>
      <w:r>
        <w:rPr>
          <w:rFonts w:ascii="Arial" w:cs="Arial" w:eastAsia="Arial" w:hAnsi="Arial"/>
          <w:sz w:val="16"/>
          <w:szCs w:val="16"/>
          <w:color w:val="auto"/>
        </w:rPr>
        <w:t>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left="260" w:firstLine="458"/>
        <w:spacing w:after="0" w:line="286" w:lineRule="auto"/>
        <w:rPr>
          <w:sz w:val="20"/>
          <w:szCs w:val="20"/>
          <w:color w:val="auto"/>
        </w:rPr>
      </w:pPr>
      <w:r>
        <w:rPr>
          <w:rFonts w:ascii="Arial" w:cs="Arial" w:eastAsia="Arial" w:hAnsi="Arial"/>
          <w:sz w:val="15"/>
          <w:szCs w:val="15"/>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66"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FDA, EMA and other comparable foreign regulatory authorities may not accept data from trials conducted in locations outside of their jurisdiction.</w:t>
      </w:r>
    </w:p>
    <w:p>
      <w:pPr>
        <w:spacing w:after="0" w:line="138"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46" w:lineRule="exact"/>
        <w:rPr>
          <w:sz w:val="20"/>
          <w:szCs w:val="20"/>
          <w:color w:val="auto"/>
        </w:rPr>
      </w:pPr>
    </w:p>
    <w:p>
      <w:pPr>
        <w:ind w:left="260" w:right="140"/>
        <w:spacing w:after="0" w:line="293" w:lineRule="auto"/>
        <w:rPr>
          <w:sz w:val="20"/>
          <w:szCs w:val="20"/>
          <w:color w:val="auto"/>
        </w:rPr>
      </w:pPr>
      <w:r>
        <w:rPr>
          <w:rFonts w:ascii="Arial" w:cs="Arial" w:eastAsia="Arial" w:hAnsi="Arial"/>
          <w:sz w:val="16"/>
          <w:szCs w:val="16"/>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50" w:lineRule="exact"/>
        <w:rPr>
          <w:sz w:val="20"/>
          <w:szCs w:val="20"/>
          <w:color w:val="auto"/>
        </w:rPr>
      </w:pPr>
    </w:p>
    <w:p>
      <w:pPr>
        <w:ind w:left="260" w:firstLine="458"/>
        <w:spacing w:after="0" w:line="285" w:lineRule="auto"/>
        <w:rPr>
          <w:sz w:val="20"/>
          <w:szCs w:val="20"/>
          <w:color w:val="auto"/>
        </w:rPr>
      </w:pPr>
      <w:r>
        <w:rPr>
          <w:rFonts w:ascii="Arial" w:cs="Arial" w:eastAsia="Arial" w:hAnsi="Arial"/>
          <w:sz w:val="15"/>
          <w:szCs w:val="15"/>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firstLine="458"/>
        <w:spacing w:after="0" w:line="297" w:lineRule="auto"/>
        <w:rPr>
          <w:sz w:val="20"/>
          <w:szCs w:val="20"/>
          <w:color w:val="auto"/>
        </w:rPr>
      </w:pPr>
      <w:r>
        <w:rPr>
          <w:rFonts w:ascii="Arial" w:cs="Arial" w:eastAsia="Arial" w:hAnsi="Arial"/>
          <w:sz w:val="15"/>
          <w:szCs w:val="15"/>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5" w:lineRule="exact"/>
        <w:rPr>
          <w:sz w:val="20"/>
          <w:szCs w:val="20"/>
          <w:color w:val="auto"/>
        </w:rPr>
      </w:pPr>
    </w:p>
    <w:p>
      <w:pPr>
        <w:ind w:left="260" w:firstLine="458"/>
        <w:spacing w:after="0" w:line="307" w:lineRule="auto"/>
        <w:rPr>
          <w:sz w:val="20"/>
          <w:szCs w:val="20"/>
          <w:color w:val="auto"/>
        </w:rPr>
      </w:pPr>
      <w:r>
        <w:rPr>
          <w:rFonts w:ascii="Arial" w:cs="Arial" w:eastAsia="Arial" w:hAnsi="Arial"/>
          <w:sz w:val="14"/>
          <w:szCs w:val="14"/>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the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158" w:lineRule="exact"/>
        <w:rPr>
          <w:sz w:val="20"/>
          <w:szCs w:val="20"/>
          <w:color w:val="auto"/>
        </w:rPr>
      </w:pPr>
    </w:p>
    <w:p>
      <w:pPr>
        <w:ind w:left="260" w:right="20" w:firstLine="458"/>
        <w:spacing w:after="0" w:line="309" w:lineRule="auto"/>
        <w:rPr>
          <w:sz w:val="20"/>
          <w:szCs w:val="20"/>
          <w:color w:val="auto"/>
        </w:rPr>
      </w:pPr>
      <w:r>
        <w:rPr>
          <w:rFonts w:ascii="Arial" w:cs="Arial" w:eastAsia="Arial" w:hAnsi="Arial"/>
          <w:sz w:val="14"/>
          <w:szCs w:val="14"/>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141" w:lineRule="exact"/>
        <w:rPr>
          <w:sz w:val="20"/>
          <w:szCs w:val="20"/>
          <w:color w:val="auto"/>
        </w:rPr>
      </w:pPr>
    </w:p>
    <w:p>
      <w:pPr>
        <w:ind w:left="260" w:right="20" w:firstLine="458"/>
        <w:spacing w:after="0" w:line="284" w:lineRule="auto"/>
        <w:rPr>
          <w:sz w:val="20"/>
          <w:szCs w:val="20"/>
          <w:color w:val="auto"/>
        </w:rPr>
      </w:pPr>
      <w:r>
        <w:rPr>
          <w:rFonts w:ascii="Arial" w:cs="Arial" w:eastAsia="Arial" w:hAnsi="Arial"/>
          <w:sz w:val="15"/>
          <w:szCs w:val="15"/>
          <w:color w:val="auto"/>
        </w:rPr>
        <w:t>Furthermore,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HHS to negotiate the selling price of certain drugs and biologics that CMS reimburses under Medicare Part B and Part D, although only high-expenditure single-source biologics that have been approved for at least 11 years (7 years for drugs) can be selected by CMS for negotiation, with the negotiated price taking effect two years after the selection year. The negotiated prices, which will first become effective in 2026, will be capped at a statutory ceiling price. Beginning in October 2022 for Medicare Part D and January 2023 for Medicare Part B, the law also penalizes drug manufacturers that increase prices of Medicare Part D and Part B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It is unclear to what extent other statutory, regulatory, and administrative initiatives will be enacted and implemented, and to what extent these or any future legislation or regulations by the Biden administration or subsequent administrations will have on our business, including market acceptance, and sales, of our products and product candidates.</w:t>
      </w:r>
    </w:p>
    <w:p>
      <w:pPr>
        <w:spacing w:after="0" w:line="177" w:lineRule="exact"/>
        <w:rPr>
          <w:sz w:val="20"/>
          <w:szCs w:val="20"/>
          <w:color w:val="auto"/>
        </w:rPr>
      </w:pPr>
    </w:p>
    <w:p>
      <w:pPr>
        <w:ind w:left="260" w:right="200" w:firstLine="458"/>
        <w:spacing w:after="0" w:line="271" w:lineRule="auto"/>
        <w:rPr>
          <w:sz w:val="20"/>
          <w:szCs w:val="20"/>
          <w:color w:val="auto"/>
        </w:rPr>
      </w:pPr>
      <w:r>
        <w:rPr>
          <w:rFonts w:ascii="Arial" w:cs="Arial" w:eastAsia="Arial" w:hAnsi="Arial"/>
          <w:sz w:val="16"/>
          <w:szCs w:val="16"/>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63" w:lineRule="exact"/>
        <w:rPr>
          <w:sz w:val="20"/>
          <w:szCs w:val="20"/>
          <w:color w:val="auto"/>
        </w:rPr>
      </w:pPr>
    </w:p>
    <w:p>
      <w:pPr>
        <w:ind w:left="260" w:right="300" w:firstLine="458"/>
        <w:spacing w:after="0" w:line="278"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containment measures or other healthcare reforms may prevent us from being able to generate revenue, attain profitability or commercialize our product candidates.</w:t>
      </w:r>
    </w:p>
    <w:p>
      <w:pPr>
        <w:spacing w:after="0" w:line="233" w:lineRule="exact"/>
        <w:rPr>
          <w:sz w:val="20"/>
          <w:szCs w:val="20"/>
          <w:color w:val="auto"/>
        </w:rPr>
      </w:pPr>
    </w:p>
    <w:p>
      <w:pPr>
        <w:ind w:left="260" w:right="20" w:firstLine="458"/>
        <w:spacing w:after="0" w:line="318"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35" w:lineRule="exact"/>
        <w:rPr>
          <w:sz w:val="20"/>
          <w:szCs w:val="20"/>
          <w:color w:val="auto"/>
        </w:rPr>
      </w:pPr>
    </w:p>
    <w:p>
      <w:pPr>
        <w:ind w:left="260" w:right="140" w:firstLine="458"/>
        <w:spacing w:after="0" w:line="293"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were facing responding to the COVID-19 virus.</w:t>
      </w:r>
    </w:p>
    <w:p>
      <w:pPr>
        <w:spacing w:after="0" w:line="162" w:lineRule="exact"/>
        <w:rPr>
          <w:sz w:val="20"/>
          <w:szCs w:val="20"/>
          <w:color w:val="auto"/>
        </w:rPr>
      </w:pPr>
    </w:p>
    <w:p>
      <w:pPr>
        <w:ind w:left="260" w:firstLine="464"/>
        <w:spacing w:after="0" w:line="324" w:lineRule="auto"/>
        <w:rPr>
          <w:sz w:val="20"/>
          <w:szCs w:val="20"/>
          <w:color w:val="auto"/>
        </w:rPr>
      </w:pPr>
      <w:r>
        <w:rPr>
          <w:rFonts w:ascii="Arial" w:cs="Arial" w:eastAsia="Arial" w:hAnsi="Arial"/>
          <w:sz w:val="14"/>
          <w:szCs w:val="14"/>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24" w:lineRule="exact"/>
        <w:rPr>
          <w:sz w:val="20"/>
          <w:szCs w:val="20"/>
          <w:color w:val="auto"/>
        </w:rPr>
      </w:pPr>
    </w:p>
    <w:p>
      <w:pPr>
        <w:ind w:left="260" w:right="240"/>
        <w:spacing w:after="0" w:line="324" w:lineRule="auto"/>
        <w:rPr>
          <w:sz w:val="20"/>
          <w:szCs w:val="20"/>
          <w:color w:val="auto"/>
        </w:rPr>
      </w:pPr>
      <w:r>
        <w:rPr>
          <w:rFonts w:ascii="Arial" w:cs="Arial" w:eastAsia="Arial" w:hAnsi="Arial"/>
          <w:sz w:val="14"/>
          <w:szCs w:val="14"/>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35" w:lineRule="exact"/>
        <w:rPr>
          <w:sz w:val="20"/>
          <w:szCs w:val="20"/>
          <w:color w:val="auto"/>
        </w:rPr>
      </w:pPr>
    </w:p>
    <w:p>
      <w:pPr>
        <w:ind w:left="260" w:right="100" w:firstLine="458"/>
        <w:spacing w:after="0" w:line="271" w:lineRule="auto"/>
        <w:rPr>
          <w:sz w:val="20"/>
          <w:szCs w:val="20"/>
          <w:color w:val="auto"/>
        </w:rPr>
      </w:pPr>
      <w:r>
        <w:rPr>
          <w:rFonts w:ascii="Arial" w:cs="Arial" w:eastAsia="Arial" w:hAnsi="Arial"/>
          <w:sz w:val="16"/>
          <w:szCs w:val="16"/>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95" w:lineRule="exact"/>
        <w:rPr>
          <w:sz w:val="20"/>
          <w:szCs w:val="20"/>
          <w:color w:val="auto"/>
        </w:rPr>
      </w:pPr>
    </w:p>
    <w:p>
      <w:pPr>
        <w:ind w:left="1280" w:right="60" w:hanging="509"/>
        <w:spacing w:after="0" w:line="271" w:lineRule="auto"/>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1" w:lineRule="exact"/>
        <w:rPr>
          <w:rFonts w:ascii="Arial" w:cs="Arial" w:eastAsia="Arial" w:hAnsi="Arial"/>
          <w:sz w:val="16"/>
          <w:szCs w:val="16"/>
          <w:color w:val="auto"/>
        </w:rPr>
      </w:pPr>
    </w:p>
    <w:p>
      <w:pPr>
        <w:ind w:left="1280" w:hanging="509"/>
        <w:spacing w:after="0" w:line="293" w:lineRule="auto"/>
        <w:tabs>
          <w:tab w:leader="none" w:pos="1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67" w:lineRule="exact"/>
        <w:rPr>
          <w:rFonts w:ascii="Arial" w:cs="Arial" w:eastAsia="Arial" w:hAnsi="Arial"/>
          <w:sz w:val="15"/>
          <w:szCs w:val="15"/>
          <w:color w:val="auto"/>
        </w:rPr>
      </w:pPr>
    </w:p>
    <w:p>
      <w:pPr>
        <w:ind w:left="1280" w:right="100" w:hanging="509"/>
        <w:spacing w:after="0" w:line="297" w:lineRule="auto"/>
        <w:tabs>
          <w:tab w:leader="none" w:pos="1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Arial" w:cs="Arial" w:eastAsia="Arial" w:hAnsi="Arial"/>
          <w:sz w:val="15"/>
          <w:szCs w:val="15"/>
          <w:color w:val="auto"/>
        </w:rPr>
      </w:pPr>
    </w:p>
    <w:p>
      <w:pPr>
        <w:ind w:left="1280" w:right="60" w:hanging="509"/>
        <w:spacing w:after="0" w:line="324" w:lineRule="auto"/>
        <w:tabs>
          <w:tab w:leader="none" w:pos="12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48" w:lineRule="exact"/>
        <w:rPr>
          <w:rFonts w:ascii="Arial" w:cs="Arial" w:eastAsia="Arial" w:hAnsi="Arial"/>
          <w:sz w:val="14"/>
          <w:szCs w:val="14"/>
          <w:color w:val="auto"/>
        </w:rPr>
      </w:pPr>
    </w:p>
    <w:p>
      <w:pPr>
        <w:ind w:left="1280" w:right="340" w:hanging="509"/>
        <w:spacing w:after="0" w:line="293" w:lineRule="auto"/>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federal and state consumer protection and unfair competition laws, which broadly regulate marketplace activities and activities that potentially harm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1280" w:right="120" w:hanging="509"/>
        <w:spacing w:after="0" w:line="293" w:lineRule="auto"/>
        <w:tabs>
          <w:tab w:leader="none" w:pos="1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67" w:lineRule="exact"/>
        <w:rPr>
          <w:rFonts w:ascii="Arial" w:cs="Arial" w:eastAsia="Arial" w:hAnsi="Arial"/>
          <w:sz w:val="15"/>
          <w:szCs w:val="15"/>
          <w:color w:val="auto"/>
        </w:rPr>
      </w:pPr>
    </w:p>
    <w:p>
      <w:pPr>
        <w:ind w:left="1280" w:hanging="509"/>
        <w:spacing w:after="0" w:line="315" w:lineRule="auto"/>
        <w:tabs>
          <w:tab w:leader="none" w:pos="1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36" w:lineRule="exact"/>
        <w:rPr>
          <w:sz w:val="20"/>
          <w:szCs w:val="20"/>
          <w:color w:val="auto"/>
        </w:rPr>
      </w:pPr>
    </w:p>
    <w:p>
      <w:pPr>
        <w:ind w:left="260" w:right="20" w:firstLine="458"/>
        <w:spacing w:after="0" w:line="304" w:lineRule="auto"/>
        <w:rPr>
          <w:sz w:val="20"/>
          <w:szCs w:val="20"/>
          <w:color w:val="auto"/>
        </w:rPr>
      </w:pPr>
      <w:r>
        <w:rPr>
          <w:rFonts w:ascii="Arial" w:cs="Arial" w:eastAsia="Arial" w:hAnsi="Arial"/>
          <w:sz w:val="14"/>
          <w:szCs w:val="14"/>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w:t>
      </w:r>
    </w:p>
    <w:p>
      <w:pPr>
        <w:spacing w:after="0" w:line="372" w:lineRule="exact"/>
        <w:rPr>
          <w:sz w:val="20"/>
          <w:szCs w:val="20"/>
          <w:color w:val="auto"/>
        </w:rPr>
      </w:pPr>
    </w:p>
    <w:p>
      <w:pPr>
        <w:ind w:left="260" w:right="60" w:firstLine="458"/>
        <w:spacing w:after="0" w:line="289" w:lineRule="auto"/>
        <w:rPr>
          <w:sz w:val="20"/>
          <w:szCs w:val="20"/>
          <w:color w:val="auto"/>
        </w:rPr>
      </w:pPr>
      <w:r>
        <w:rPr>
          <w:rFonts w:ascii="Arial" w:cs="Arial" w:eastAsia="Arial" w:hAnsi="Arial"/>
          <w:sz w:val="15"/>
          <w:szCs w:val="15"/>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47" w:lineRule="exact"/>
        <w:rPr>
          <w:sz w:val="20"/>
          <w:szCs w:val="20"/>
          <w:color w:val="auto"/>
        </w:rPr>
      </w:pPr>
    </w:p>
    <w:p>
      <w:pPr>
        <w:ind w:left="260" w:right="40"/>
        <w:spacing w:after="0" w:line="293" w:lineRule="auto"/>
        <w:rPr>
          <w:sz w:val="20"/>
          <w:szCs w:val="20"/>
          <w:color w:val="auto"/>
        </w:rPr>
      </w:pPr>
      <w:r>
        <w:rPr>
          <w:rFonts w:ascii="Arial" w:cs="Arial" w:eastAsia="Arial" w:hAnsi="Arial"/>
          <w:sz w:val="16"/>
          <w:szCs w:val="16"/>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4" w:lineRule="exact"/>
        <w:rPr>
          <w:sz w:val="20"/>
          <w:szCs w:val="20"/>
          <w:color w:val="auto"/>
        </w:rPr>
      </w:pPr>
    </w:p>
    <w:p>
      <w:pPr>
        <w:ind w:left="260" w:right="40" w:firstLine="458"/>
        <w:spacing w:after="0" w:line="288" w:lineRule="auto"/>
        <w:rPr>
          <w:sz w:val="20"/>
          <w:szCs w:val="20"/>
          <w:color w:val="auto"/>
        </w:rPr>
      </w:pPr>
      <w:r>
        <w:rPr>
          <w:rFonts w:ascii="Arial" w:cs="Arial" w:eastAsia="Arial" w:hAnsi="Arial"/>
          <w:sz w:val="15"/>
          <w:szCs w:val="15"/>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100"/>
        <w:spacing w:after="0" w:line="289" w:lineRule="auto"/>
        <w:rPr>
          <w:sz w:val="20"/>
          <w:szCs w:val="20"/>
          <w:color w:val="auto"/>
        </w:rPr>
      </w:pPr>
      <w:r>
        <w:rPr>
          <w:rFonts w:ascii="Arial" w:cs="Arial" w:eastAsia="Arial" w:hAnsi="Arial"/>
          <w:sz w:val="15"/>
          <w:szCs w:val="15"/>
          <w:color w:val="auto"/>
        </w:rPr>
        <w:t>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research and development activities could be affected or delayed as a result of possible restrictions on animal testing.</w:t>
      </w:r>
    </w:p>
    <w:p>
      <w:pPr>
        <w:spacing w:after="0" w:line="113" w:lineRule="exact"/>
        <w:rPr>
          <w:sz w:val="20"/>
          <w:szCs w:val="20"/>
          <w:color w:val="auto"/>
        </w:rPr>
      </w:pPr>
    </w:p>
    <w:p>
      <w:pPr>
        <w:ind w:left="260" w:right="40" w:firstLine="458"/>
        <w:spacing w:after="0" w:line="297" w:lineRule="auto"/>
        <w:rPr>
          <w:sz w:val="20"/>
          <w:szCs w:val="20"/>
          <w:color w:val="auto"/>
        </w:rPr>
      </w:pPr>
      <w:r>
        <w:rPr>
          <w:rFonts w:ascii="Arial" w:cs="Arial" w:eastAsia="Arial" w:hAnsi="Arial"/>
          <w:sz w:val="15"/>
          <w:szCs w:val="15"/>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40" w:lineRule="exact"/>
        <w:rPr>
          <w:sz w:val="20"/>
          <w:szCs w:val="20"/>
          <w:color w:val="auto"/>
        </w:rPr>
      </w:pPr>
    </w:p>
    <w:p>
      <w:pPr>
        <w:ind w:left="260" w:right="60"/>
        <w:spacing w:after="0" w:line="278"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left="260" w:right="20" w:firstLine="458"/>
        <w:spacing w:after="0" w:line="286" w:lineRule="auto"/>
        <w:rPr>
          <w:sz w:val="20"/>
          <w:szCs w:val="20"/>
          <w:color w:val="auto"/>
        </w:rPr>
      </w:pPr>
      <w:r>
        <w:rPr>
          <w:rFonts w:ascii="Arial" w:cs="Arial" w:eastAsia="Arial" w:hAnsi="Arial"/>
          <w:sz w:val="15"/>
          <w:szCs w:val="15"/>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50" w:lineRule="exact"/>
        <w:rPr>
          <w:sz w:val="20"/>
          <w:szCs w:val="20"/>
          <w:color w:val="auto"/>
        </w:rPr>
      </w:pPr>
    </w:p>
    <w:p>
      <w:pPr>
        <w:ind w:left="260" w:right="240"/>
        <w:spacing w:after="0" w:line="293" w:lineRule="auto"/>
        <w:rPr>
          <w:sz w:val="20"/>
          <w:szCs w:val="20"/>
          <w:color w:val="auto"/>
        </w:rPr>
      </w:pPr>
      <w:r>
        <w:rPr>
          <w:rFonts w:ascii="Arial" w:cs="Arial" w:eastAsia="Arial" w:hAnsi="Arial"/>
          <w:sz w:val="16"/>
          <w:szCs w:val="16"/>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0" w:lineRule="exact"/>
        <w:rPr>
          <w:sz w:val="20"/>
          <w:szCs w:val="20"/>
          <w:color w:val="auto"/>
        </w:rPr>
      </w:pPr>
    </w:p>
    <w:p>
      <w:pPr>
        <w:ind w:left="260" w:right="140" w:firstLine="458"/>
        <w:spacing w:after="0" w:line="269"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80"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62" w:lineRule="exact"/>
        <w:rPr>
          <w:sz w:val="20"/>
          <w:szCs w:val="20"/>
          <w:color w:val="auto"/>
        </w:rPr>
      </w:pPr>
    </w:p>
    <w:p>
      <w:pPr>
        <w:ind w:left="260" w:right="100" w:firstLine="458"/>
        <w:spacing w:after="0" w:line="305" w:lineRule="auto"/>
        <w:rPr>
          <w:sz w:val="20"/>
          <w:szCs w:val="20"/>
          <w:color w:val="auto"/>
        </w:rPr>
      </w:pPr>
      <w:r>
        <w:rPr>
          <w:rFonts w:ascii="Arial" w:cs="Arial" w:eastAsia="Arial" w:hAnsi="Arial"/>
          <w:sz w:val="15"/>
          <w:szCs w:val="15"/>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employee matters, managing our growth and other risks related to our business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13" w:lineRule="exact"/>
        <w:rPr>
          <w:sz w:val="20"/>
          <w:szCs w:val="20"/>
          <w:color w:val="auto"/>
        </w:rPr>
      </w:pPr>
    </w:p>
    <w:p>
      <w:pPr>
        <w:ind w:left="260" w:right="300" w:firstLine="458"/>
        <w:spacing w:after="0" w:line="278"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360"/>
        <w:spacing w:after="0" w:line="293" w:lineRule="auto"/>
        <w:rPr>
          <w:sz w:val="20"/>
          <w:szCs w:val="20"/>
          <w:color w:val="auto"/>
        </w:rPr>
      </w:pPr>
      <w:r>
        <w:rPr>
          <w:rFonts w:ascii="Arial" w:cs="Arial" w:eastAsia="Arial" w:hAnsi="Arial"/>
          <w:sz w:val="16"/>
          <w:szCs w:val="16"/>
          <w:color w:val="auto"/>
        </w:rPr>
        <w:t>any of these individuals could delay or prevent the successful development of our product pipeline, the initiation and completion of our planned clinical trials or the commercialization of product candidates or any future product candidates.</w:t>
      </w:r>
    </w:p>
    <w:p>
      <w:pPr>
        <w:spacing w:after="0" w:line="145" w:lineRule="exact"/>
        <w:rPr>
          <w:sz w:val="20"/>
          <w:szCs w:val="20"/>
          <w:color w:val="auto"/>
        </w:rPr>
      </w:pPr>
    </w:p>
    <w:p>
      <w:pPr>
        <w:ind w:left="260" w:firstLine="464"/>
        <w:spacing w:after="0" w:line="271" w:lineRule="auto"/>
        <w:rPr>
          <w:sz w:val="20"/>
          <w:szCs w:val="20"/>
          <w:color w:val="auto"/>
        </w:rPr>
      </w:pPr>
      <w:r>
        <w:rPr>
          <w:rFonts w:ascii="Arial" w:cs="Arial" w:eastAsia="Arial" w:hAnsi="Arial"/>
          <w:sz w:val="16"/>
          <w:szCs w:val="16"/>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71" w:lineRule="exact"/>
        <w:rPr>
          <w:sz w:val="20"/>
          <w:szCs w:val="20"/>
          <w:color w:val="auto"/>
        </w:rPr>
      </w:pPr>
    </w:p>
    <w:p>
      <w:pPr>
        <w:ind w:left="260" w:right="40"/>
        <w:spacing w:after="0" w:line="369" w:lineRule="auto"/>
        <w:rPr>
          <w:sz w:val="20"/>
          <w:szCs w:val="20"/>
          <w:color w:val="auto"/>
        </w:rPr>
      </w:pPr>
      <w:r>
        <w:rPr>
          <w:rFonts w:ascii="Arial" w:cs="Arial" w:eastAsia="Arial" w:hAnsi="Arial"/>
          <w:sz w:val="14"/>
          <w:szCs w:val="14"/>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4" w:lineRule="exact"/>
        <w:rPr>
          <w:sz w:val="20"/>
          <w:szCs w:val="20"/>
          <w:color w:val="auto"/>
        </w:rPr>
      </w:pPr>
    </w:p>
    <w:p>
      <w:pPr>
        <w:ind w:left="260" w:right="20" w:firstLine="458"/>
        <w:spacing w:after="0" w:line="286" w:lineRule="auto"/>
        <w:rPr>
          <w:sz w:val="20"/>
          <w:szCs w:val="20"/>
          <w:color w:val="auto"/>
        </w:rPr>
      </w:pPr>
      <w:r>
        <w:rPr>
          <w:rFonts w:ascii="Arial" w:cs="Arial" w:eastAsia="Arial" w:hAnsi="Arial"/>
          <w:sz w:val="15"/>
          <w:szCs w:val="15"/>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60" w:lineRule="exact"/>
        <w:rPr>
          <w:sz w:val="20"/>
          <w:szCs w:val="20"/>
          <w:color w:val="auto"/>
        </w:rPr>
      </w:pPr>
    </w:p>
    <w:p>
      <w:pPr>
        <w:ind w:left="260" w:right="180"/>
        <w:spacing w:after="0" w:line="293" w:lineRule="auto"/>
        <w:rPr>
          <w:sz w:val="20"/>
          <w:szCs w:val="20"/>
          <w:color w:val="auto"/>
        </w:rPr>
      </w:pPr>
      <w:r>
        <w:rPr>
          <w:rFonts w:ascii="Arial" w:cs="Arial" w:eastAsia="Arial" w:hAnsi="Arial"/>
          <w:sz w:val="16"/>
          <w:szCs w:val="16"/>
          <w:b w:val="1"/>
          <w:bCs w:val="1"/>
          <w:i w:val="1"/>
          <w:iCs w:val="1"/>
          <w:color w:val="auto"/>
        </w:rPr>
        <w:t>In order to successfully implement our plans and strategies, we will need to grow the size of our organization, and we may experience difficulties in managing this growth.</w:t>
      </w:r>
    </w:p>
    <w:p>
      <w:pPr>
        <w:spacing w:after="0" w:line="50" w:lineRule="exact"/>
        <w:rPr>
          <w:sz w:val="20"/>
          <w:szCs w:val="20"/>
          <w:color w:val="auto"/>
        </w:rPr>
      </w:pPr>
    </w:p>
    <w:p>
      <w:pPr>
        <w:ind w:left="260" w:right="20" w:firstLine="458"/>
        <w:spacing w:after="0" w:line="273" w:lineRule="auto"/>
        <w:rPr>
          <w:sz w:val="20"/>
          <w:szCs w:val="20"/>
          <w:color w:val="auto"/>
        </w:rPr>
      </w:pPr>
      <w:r>
        <w:rPr>
          <w:rFonts w:ascii="Arial" w:cs="Arial" w:eastAsia="Arial" w:hAnsi="Arial"/>
          <w:sz w:val="16"/>
          <w:szCs w:val="16"/>
          <w:color w:val="auto"/>
        </w:rPr>
        <w:t>As of December 31, 2022, we had 66 employees, and 19 dedicated independent contractors based in China and engaged through our agreement with BioDuro-Sundia, a provider of preclinical development services. 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94" w:lineRule="exact"/>
        <w:rPr>
          <w:sz w:val="20"/>
          <w:szCs w:val="20"/>
          <w:color w:val="auto"/>
        </w:rPr>
      </w:pPr>
    </w:p>
    <w:p>
      <w:pPr>
        <w:ind w:left="1280" w:hanging="509"/>
        <w:spacing w:after="0"/>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identifying, recruiting, integrating, maintaining and motivating additional employees;</w:t>
      </w:r>
    </w:p>
    <w:p>
      <w:pPr>
        <w:spacing w:after="0" w:line="126" w:lineRule="exact"/>
        <w:rPr>
          <w:rFonts w:ascii="Arial" w:cs="Arial" w:eastAsia="Arial" w:hAnsi="Arial"/>
          <w:sz w:val="16"/>
          <w:szCs w:val="16"/>
          <w:color w:val="auto"/>
        </w:rPr>
      </w:pPr>
    </w:p>
    <w:p>
      <w:pPr>
        <w:ind w:left="1280" w:right="320" w:hanging="509"/>
        <w:spacing w:after="0" w:line="328" w:lineRule="auto"/>
        <w:tabs>
          <w:tab w:leader="none" w:pos="12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spacing w:after="0" w:line="41" w:lineRule="exact"/>
        <w:rPr>
          <w:rFonts w:ascii="Arial" w:cs="Arial" w:eastAsia="Arial" w:hAnsi="Arial"/>
          <w:sz w:val="15"/>
          <w:szCs w:val="15"/>
          <w:color w:val="auto"/>
        </w:rPr>
      </w:pPr>
    </w:p>
    <w:p>
      <w:pPr>
        <w:ind w:left="1280" w:hanging="509"/>
        <w:spacing w:after="0"/>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improving our operational, financial and management controls, reporting systems and procedures.</w:t>
      </w:r>
    </w:p>
    <w:p>
      <w:pPr>
        <w:spacing w:after="0" w:line="208" w:lineRule="exact"/>
        <w:rPr>
          <w:sz w:val="20"/>
          <w:szCs w:val="20"/>
          <w:color w:val="auto"/>
        </w:rPr>
      </w:pPr>
    </w:p>
    <w:p>
      <w:pPr>
        <w:ind w:left="260" w:right="220" w:firstLine="458"/>
        <w:spacing w:after="0" w:line="305" w:lineRule="auto"/>
        <w:rPr>
          <w:sz w:val="20"/>
          <w:szCs w:val="20"/>
          <w:color w:val="auto"/>
        </w:rPr>
      </w:pPr>
      <w:r>
        <w:rPr>
          <w:rFonts w:ascii="Arial" w:cs="Arial" w:eastAsia="Arial" w:hAnsi="Arial"/>
          <w:sz w:val="15"/>
          <w:szCs w:val="15"/>
          <w:color w:val="auto"/>
        </w:rPr>
        <w:t>Our future financial performance and our ability to successfully develop and, if approved, commercialize mecbotamab vedotin, ozuriftamab vedotin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52" w:lineRule="exact"/>
        <w:rPr>
          <w:sz w:val="20"/>
          <w:szCs w:val="20"/>
          <w:color w:val="auto"/>
        </w:rPr>
      </w:pPr>
    </w:p>
    <w:p>
      <w:pPr>
        <w:ind w:left="260" w:right="20" w:firstLine="458"/>
        <w:spacing w:after="0" w:line="287" w:lineRule="auto"/>
        <w:rPr>
          <w:sz w:val="20"/>
          <w:szCs w:val="20"/>
          <w:color w:val="auto"/>
        </w:rPr>
      </w:pPr>
      <w:r>
        <w:rPr>
          <w:rFonts w:ascii="Arial" w:cs="Arial" w:eastAsia="Arial" w:hAnsi="Arial"/>
          <w:sz w:val="15"/>
          <w:szCs w:val="15"/>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300" w:lineRule="exact"/>
        <w:rPr>
          <w:sz w:val="20"/>
          <w:szCs w:val="20"/>
          <w:color w:val="auto"/>
        </w:rPr>
      </w:pPr>
    </w:p>
    <w:p>
      <w:pPr>
        <w:ind w:left="260" w:right="520"/>
        <w:spacing w:after="0" w:line="293" w:lineRule="auto"/>
        <w:rPr>
          <w:sz w:val="20"/>
          <w:szCs w:val="20"/>
          <w:color w:val="auto"/>
        </w:rPr>
      </w:pPr>
      <w:r>
        <w:rPr>
          <w:rFonts w:ascii="Arial" w:cs="Arial" w:eastAsia="Arial" w:hAnsi="Arial"/>
          <w:sz w:val="16"/>
          <w:szCs w:val="16"/>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0" w:lineRule="exact"/>
        <w:rPr>
          <w:sz w:val="20"/>
          <w:szCs w:val="20"/>
          <w:color w:val="auto"/>
        </w:rPr>
      </w:pPr>
    </w:p>
    <w:p>
      <w:pPr>
        <w:ind w:left="260" w:right="20" w:firstLine="464"/>
        <w:spacing w:after="0" w:line="284" w:lineRule="auto"/>
        <w:rPr>
          <w:sz w:val="20"/>
          <w:szCs w:val="20"/>
          <w:color w:val="auto"/>
        </w:rPr>
      </w:pPr>
      <w:r>
        <w:rPr>
          <w:rFonts w:ascii="Arial" w:cs="Arial" w:eastAsia="Arial" w:hAnsi="Arial"/>
          <w:sz w:val="15"/>
          <w:szCs w:val="15"/>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56" w:lineRule="exact"/>
        <w:rPr>
          <w:sz w:val="20"/>
          <w:szCs w:val="20"/>
          <w:color w:val="auto"/>
        </w:rPr>
      </w:pPr>
    </w:p>
    <w:p>
      <w:pPr>
        <w:ind w:left="260" w:right="20"/>
        <w:spacing w:after="0" w:line="324" w:lineRule="auto"/>
        <w:rPr>
          <w:sz w:val="20"/>
          <w:szCs w:val="20"/>
          <w:color w:val="auto"/>
        </w:rPr>
      </w:pPr>
      <w:r>
        <w:rPr>
          <w:rFonts w:ascii="Arial" w:cs="Arial" w:eastAsia="Arial" w:hAnsi="Arial"/>
          <w:sz w:val="14"/>
          <w:szCs w:val="14"/>
          <w:b w:val="1"/>
          <w:bCs w:val="1"/>
          <w:i w:val="1"/>
          <w:iCs w:val="1"/>
          <w:color w:val="auto"/>
        </w:rPr>
        <w:t>We depend on our information technology systems and those of our CROs, manufacturers, contractors and consultants. Our internal computer systems,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49" w:lineRule="exact"/>
        <w:rPr>
          <w:sz w:val="20"/>
          <w:szCs w:val="20"/>
          <w:color w:val="auto"/>
        </w:rPr>
      </w:pPr>
    </w:p>
    <w:p>
      <w:pPr>
        <w:ind w:left="260" w:firstLine="458"/>
        <w:spacing w:after="0" w:line="283" w:lineRule="auto"/>
        <w:rPr>
          <w:sz w:val="20"/>
          <w:szCs w:val="20"/>
          <w:color w:val="auto"/>
        </w:rPr>
      </w:pPr>
      <w:r>
        <w:rPr>
          <w:rFonts w:ascii="Arial" w:cs="Arial" w:eastAsia="Arial" w:hAnsi="Arial"/>
          <w:sz w:val="15"/>
          <w:szCs w:val="15"/>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69" w:lineRule="exact"/>
        <w:rPr>
          <w:sz w:val="20"/>
          <w:szCs w:val="20"/>
          <w:color w:val="auto"/>
        </w:rPr>
      </w:pPr>
    </w:p>
    <w:p>
      <w:pPr>
        <w:ind w:left="260" w:right="160" w:firstLine="458"/>
        <w:spacing w:after="0" w:line="271" w:lineRule="auto"/>
        <w:rPr>
          <w:sz w:val="20"/>
          <w:szCs w:val="20"/>
          <w:color w:val="auto"/>
        </w:rPr>
      </w:pPr>
      <w:r>
        <w:rPr>
          <w:rFonts w:ascii="Arial" w:cs="Arial" w:eastAsia="Arial" w:hAnsi="Arial"/>
          <w:sz w:val="16"/>
          <w:szCs w:val="16"/>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63" w:lineRule="exact"/>
        <w:rPr>
          <w:sz w:val="20"/>
          <w:szCs w:val="20"/>
          <w:color w:val="auto"/>
        </w:rPr>
      </w:pPr>
    </w:p>
    <w:p>
      <w:pPr>
        <w:ind w:left="260" w:firstLine="458"/>
        <w:spacing w:after="0" w:line="293"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160"/>
        <w:spacing w:after="0" w:line="293" w:lineRule="auto"/>
        <w:rPr>
          <w:sz w:val="20"/>
          <w:szCs w:val="20"/>
          <w:color w:val="auto"/>
        </w:rPr>
      </w:pPr>
      <w:r>
        <w:rPr>
          <w:rFonts w:ascii="Arial" w:cs="Arial" w:eastAsia="Arial" w:hAnsi="Arial"/>
          <w:sz w:val="16"/>
          <w:szCs w:val="16"/>
          <w:color w:val="auto"/>
        </w:rPr>
        <w:t>not cover all claims made against us and could have high deductibles in any event, and defending a suit, regardless of its merit, could be costly and divert management attention.</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current enterprise resource planning (“ERP”) system requires an upgrade or conversion to a new ERP system to support the Company’s anticipated growth.</w:t>
      </w:r>
    </w:p>
    <w:p>
      <w:pPr>
        <w:spacing w:after="0" w:line="136" w:lineRule="exact"/>
        <w:rPr>
          <w:sz w:val="20"/>
          <w:szCs w:val="20"/>
          <w:color w:val="auto"/>
        </w:rPr>
      </w:pPr>
    </w:p>
    <w:p>
      <w:pPr>
        <w:ind w:left="260" w:right="60" w:firstLine="458"/>
        <w:spacing w:after="0" w:line="308" w:lineRule="auto"/>
        <w:rPr>
          <w:sz w:val="20"/>
          <w:szCs w:val="20"/>
          <w:color w:val="auto"/>
        </w:rPr>
      </w:pPr>
      <w:r>
        <w:rPr>
          <w:rFonts w:ascii="Arial" w:cs="Arial" w:eastAsia="Arial" w:hAnsi="Arial"/>
          <w:sz w:val="14"/>
          <w:szCs w:val="14"/>
          <w:color w:val="auto"/>
        </w:rPr>
        <w:t>In support of our anticipated growth and commercialization of our product candidates, we intend to select and implement a new ERP system. Our ERP system requires significant upgrades or conversion to a new ERP system. Implementing new or upgraded systems carries substantial risk, including failure to operate as designed, failure to properly integrate with our systems, potential loss of data or information, cost overruns, implementation delays, and disruption of operations. Third-party vendors are also relied upon to design, program, maintain, and service the ERP system. Any failures of these vendors to properly deliver their services could have a material adverse effect on our business. In addition, any disruptions or malfunctions affecting our ERP system implementation plan could cause critical information upon which we rely to be delayed, defective, corrupted, inadequate, or inaccessible. We may experience difficulties in our business operations, or difficulties in operating our business under these systems, either of which could disrupt our operations, including our ability to accurately maintain our books and records, provide accurate, timely and reliable reports on our financial and operations results, or otherwise operate our business, and could lead to increased costs and other difficulties. In the event we experience significant disruptions as a result of the implementation or upgrade of new systems or otherwise, we may not be able to fix our systems in an efficient and timely manner. We may not realize the benefits we anticipate should all or part of the ERP system upgrade implementation process prove to be ineffective. Accordingly, such events may disrupt or reduce the efficiency of our entire operations and have a material adverse effect on our operating results and cash flows.</w:t>
      </w:r>
    </w:p>
    <w:p>
      <w:pPr>
        <w:spacing w:after="0" w:line="200" w:lineRule="exact"/>
        <w:rPr>
          <w:sz w:val="20"/>
          <w:szCs w:val="20"/>
          <w:color w:val="auto"/>
        </w:rPr>
      </w:pPr>
    </w:p>
    <w:p>
      <w:pPr>
        <w:spacing w:after="0" w:line="362" w:lineRule="exact"/>
        <w:rPr>
          <w:sz w:val="20"/>
          <w:szCs w:val="20"/>
          <w:color w:val="auto"/>
        </w:rPr>
      </w:pPr>
    </w:p>
    <w:p>
      <w:pPr>
        <w:ind w:left="260" w:right="100"/>
        <w:spacing w:after="0" w:line="278" w:lineRule="auto"/>
        <w:rPr>
          <w:sz w:val="20"/>
          <w:szCs w:val="20"/>
          <w:color w:val="auto"/>
        </w:rPr>
      </w:pPr>
      <w:r>
        <w:rPr>
          <w:rFonts w:ascii="Arial" w:cs="Arial" w:eastAsia="Arial" w:hAnsi="Arial"/>
          <w:sz w:val="16"/>
          <w:szCs w:val="16"/>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3" w:lineRule="exact"/>
        <w:rPr>
          <w:sz w:val="20"/>
          <w:szCs w:val="20"/>
          <w:color w:val="auto"/>
        </w:rPr>
      </w:pPr>
    </w:p>
    <w:p>
      <w:pPr>
        <w:ind w:left="260" w:right="60" w:firstLine="458"/>
        <w:spacing w:after="0" w:line="311" w:lineRule="auto"/>
        <w:rPr>
          <w:sz w:val="20"/>
          <w:szCs w:val="20"/>
          <w:color w:val="auto"/>
        </w:rPr>
      </w:pPr>
      <w:r>
        <w:rPr>
          <w:rFonts w:ascii="Arial" w:cs="Arial" w:eastAsia="Arial" w:hAnsi="Arial"/>
          <w:sz w:val="14"/>
          <w:szCs w:val="14"/>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BA3021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54" w:lineRule="exact"/>
        <w:rPr>
          <w:sz w:val="20"/>
          <w:szCs w:val="20"/>
          <w:color w:val="auto"/>
        </w:rPr>
      </w:pPr>
    </w:p>
    <w:p>
      <w:pPr>
        <w:ind w:left="260" w:right="20" w:firstLine="458"/>
        <w:spacing w:after="0" w:line="311" w:lineRule="auto"/>
        <w:rPr>
          <w:sz w:val="20"/>
          <w:szCs w:val="20"/>
          <w:color w:val="auto"/>
        </w:rPr>
      </w:pPr>
      <w:r>
        <w:rPr>
          <w:rFonts w:ascii="Arial" w:cs="Arial" w:eastAsia="Arial" w:hAnsi="Arial"/>
          <w:sz w:val="14"/>
          <w:szCs w:val="14"/>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35" w:lineRule="exact"/>
        <w:rPr>
          <w:sz w:val="20"/>
          <w:szCs w:val="20"/>
          <w:color w:val="auto"/>
        </w:rPr>
      </w:pPr>
    </w:p>
    <w:p>
      <w:pPr>
        <w:ind w:left="260"/>
        <w:spacing w:after="0" w:line="328"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42" w:lineRule="exact"/>
        <w:rPr>
          <w:sz w:val="20"/>
          <w:szCs w:val="20"/>
          <w:color w:val="auto"/>
        </w:rPr>
      </w:pPr>
    </w:p>
    <w:p>
      <w:pPr>
        <w:ind w:left="260" w:firstLine="458"/>
        <w:spacing w:after="0" w:line="285" w:lineRule="auto"/>
        <w:rPr>
          <w:sz w:val="20"/>
          <w:szCs w:val="20"/>
          <w:color w:val="auto"/>
        </w:rPr>
      </w:pPr>
      <w:r>
        <w:rPr>
          <w:rFonts w:ascii="Arial" w:cs="Arial" w:eastAsia="Arial" w:hAnsi="Arial"/>
          <w:sz w:val="15"/>
          <w:szCs w:val="15"/>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40"/>
        <w:spacing w:after="0" w:line="269" w:lineRule="auto"/>
        <w:rPr>
          <w:sz w:val="20"/>
          <w:szCs w:val="20"/>
          <w:color w:val="auto"/>
        </w:rPr>
      </w:pPr>
      <w:r>
        <w:rPr>
          <w:rFonts w:ascii="Arial" w:cs="Arial" w:eastAsia="Arial" w:hAnsi="Arial"/>
          <w:sz w:val="16"/>
          <w:szCs w:val="16"/>
          <w:color w:val="auto"/>
        </w:rPr>
        <w:t>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business is subject to economic, political, regulatory and other risks associated with conducting business internationally.</w:t>
      </w:r>
    </w:p>
    <w:p>
      <w:pPr>
        <w:spacing w:after="0" w:line="113" w:lineRule="exact"/>
        <w:rPr>
          <w:sz w:val="20"/>
          <w:szCs w:val="20"/>
          <w:color w:val="auto"/>
        </w:rPr>
      </w:pPr>
    </w:p>
    <w:p>
      <w:pPr>
        <w:ind w:left="260" w:right="160" w:firstLine="458"/>
        <w:spacing w:after="0" w:line="273" w:lineRule="auto"/>
        <w:rPr>
          <w:sz w:val="20"/>
          <w:szCs w:val="20"/>
          <w:color w:val="auto"/>
        </w:rPr>
      </w:pPr>
      <w:r>
        <w:rPr>
          <w:rFonts w:ascii="Arial" w:cs="Arial" w:eastAsia="Arial" w:hAnsi="Arial"/>
          <w:sz w:val="16"/>
          <w:szCs w:val="16"/>
          <w:color w:val="auto"/>
        </w:rPr>
        <w:t>We, our collaborators or licensees may seek regulatory approval of our product candidates outside of the United States including in China, the European Union,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94" w:lineRule="exact"/>
        <w:rPr>
          <w:sz w:val="20"/>
          <w:szCs w:val="20"/>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differing regulatory requirements and reimbursement regimes in foreign countries;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26" w:lineRule="exact"/>
        <w:rPr>
          <w:rFonts w:ascii="Arial" w:cs="Arial" w:eastAsia="Arial" w:hAnsi="Arial"/>
          <w:sz w:val="16"/>
          <w:szCs w:val="16"/>
          <w:color w:val="auto"/>
        </w:rPr>
      </w:pPr>
    </w:p>
    <w:p>
      <w:pPr>
        <w:ind w:left="1280" w:right="140" w:hanging="509"/>
        <w:spacing w:after="0" w:line="293" w:lineRule="auto"/>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liability under the FCPA or comparable foreign regulations;</w:t>
      </w:r>
    </w:p>
    <w:p>
      <w:pPr>
        <w:spacing w:after="0" w:line="126" w:lineRule="exact"/>
        <w:rPr>
          <w:rFonts w:ascii="Arial" w:cs="Arial" w:eastAsia="Arial" w:hAnsi="Arial"/>
          <w:sz w:val="16"/>
          <w:szCs w:val="16"/>
          <w:color w:val="auto"/>
        </w:rPr>
      </w:pPr>
    </w:p>
    <w:p>
      <w:pPr>
        <w:ind w:left="1280" w:right="380" w:hanging="509"/>
        <w:spacing w:after="0" w:line="293" w:lineRule="auto"/>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w:t>
      </w:r>
    </w:p>
    <w:p>
      <w:pPr>
        <w:spacing w:after="0" w:line="208" w:lineRule="exact"/>
        <w:rPr>
          <w:sz w:val="20"/>
          <w:szCs w:val="20"/>
          <w:color w:val="auto"/>
        </w:rPr>
      </w:pPr>
    </w:p>
    <w:p>
      <w:pPr>
        <w:ind w:left="260" w:right="320" w:firstLine="464"/>
        <w:spacing w:after="0" w:line="273" w:lineRule="auto"/>
        <w:rPr>
          <w:sz w:val="20"/>
          <w:szCs w:val="20"/>
          <w:color w:val="auto"/>
        </w:rPr>
      </w:pPr>
      <w:r>
        <w:rPr>
          <w:rFonts w:ascii="Arial" w:cs="Arial" w:eastAsia="Arial" w:hAnsi="Arial"/>
          <w:sz w:val="16"/>
          <w:szCs w:val="16"/>
          <w:color w:val="auto"/>
        </w:rPr>
        <w:t>Additionally, in February 2022, armed conflict escalated between Russia and Ukraine.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70" w:lineRule="exact"/>
        <w:rPr>
          <w:sz w:val="20"/>
          <w:szCs w:val="20"/>
          <w:color w:val="auto"/>
        </w:rPr>
      </w:pPr>
    </w:p>
    <w:p>
      <w:pPr>
        <w:ind w:left="260"/>
        <w:spacing w:after="0" w:line="278" w:lineRule="auto"/>
        <w:rPr>
          <w:sz w:val="20"/>
          <w:szCs w:val="20"/>
          <w:color w:val="auto"/>
        </w:rPr>
      </w:pPr>
      <w:r>
        <w:rPr>
          <w:rFonts w:ascii="Arial" w:cs="Arial" w:eastAsia="Arial" w:hAnsi="Arial"/>
          <w:sz w:val="16"/>
          <w:szCs w:val="16"/>
          <w:b w:val="1"/>
          <w:bCs w:val="1"/>
          <w:i w:val="1"/>
          <w:iCs w:val="1"/>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3" w:lineRule="exact"/>
        <w:rPr>
          <w:sz w:val="20"/>
          <w:szCs w:val="20"/>
          <w:color w:val="auto"/>
        </w:rPr>
      </w:pPr>
    </w:p>
    <w:p>
      <w:pPr>
        <w:ind w:left="260" w:right="60" w:firstLine="458"/>
        <w:spacing w:after="0" w:line="289" w:lineRule="auto"/>
        <w:rPr>
          <w:sz w:val="20"/>
          <w:szCs w:val="20"/>
          <w:color w:val="auto"/>
        </w:rPr>
      </w:pPr>
      <w:r>
        <w:rPr>
          <w:rFonts w:ascii="Arial" w:cs="Arial" w:eastAsia="Arial" w:hAnsi="Arial"/>
          <w:sz w:val="15"/>
          <w:szCs w:val="15"/>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Some restrictions aimed at minimizing the spread of COVID-19 have been and may from time to time be eased or lifted in the U.S. and other countries; however, in response to local surges and new waves of infection, including those caused by the spread of the Delta, Omicron and other variants, some countries, states, and local governments have maintained or reinstituted these restrictions, or may reinstitute these restrictions from time to time, in response to rising rates of infection.</w:t>
      </w:r>
    </w:p>
    <w:p>
      <w:pPr>
        <w:spacing w:after="0" w:line="153" w:lineRule="exact"/>
        <w:rPr>
          <w:sz w:val="20"/>
          <w:szCs w:val="20"/>
          <w:color w:val="auto"/>
        </w:rPr>
      </w:pPr>
    </w:p>
    <w:p>
      <w:pPr>
        <w:ind w:left="260" w:right="200" w:firstLine="458"/>
        <w:spacing w:after="0" w:line="297" w:lineRule="auto"/>
        <w:rPr>
          <w:sz w:val="20"/>
          <w:szCs w:val="20"/>
          <w:color w:val="auto"/>
        </w:rPr>
      </w:pPr>
      <w:r>
        <w:rPr>
          <w:rFonts w:ascii="Arial" w:cs="Arial" w:eastAsia="Arial" w:hAnsi="Arial"/>
          <w:sz w:val="15"/>
          <w:szCs w:val="15"/>
          <w:color w:val="auto"/>
        </w:rPr>
        <w:t>We are following, and plan to continue to follow, recommendations from federal, state and local governments regarding workplace policies, practices and procedures. During 2022 we modified our hybrid work policy to allow for flexibility based on department needs and travel requirements.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9" w:lineRule="exact"/>
        <w:rPr>
          <w:sz w:val="20"/>
          <w:szCs w:val="20"/>
          <w:color w:val="auto"/>
        </w:rPr>
      </w:pPr>
    </w:p>
    <w:p>
      <w:pPr>
        <w:jc w:val="both"/>
        <w:ind w:left="260" w:right="180" w:firstLine="458"/>
        <w:spacing w:after="0" w:line="278"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line="285" w:lineRule="auto"/>
        <w:rPr>
          <w:sz w:val="20"/>
          <w:szCs w:val="20"/>
          <w:color w:val="auto"/>
        </w:rPr>
      </w:pPr>
      <w:r>
        <w:rPr>
          <w:rFonts w:ascii="Arial" w:cs="Arial" w:eastAsia="Arial" w:hAnsi="Arial"/>
          <w:sz w:val="15"/>
          <w:szCs w:val="15"/>
          <w:color w:val="auto"/>
        </w:rPr>
        <w:t>duration and geographic reach of the outbreak, the severity of COVID-19 (including its variant strains, such as the highly transmissible Delta and Omicron variants),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31" w:lineRule="exact"/>
        <w:rPr>
          <w:sz w:val="20"/>
          <w:szCs w:val="20"/>
          <w:color w:val="auto"/>
        </w:rPr>
      </w:pPr>
    </w:p>
    <w:p>
      <w:pPr>
        <w:jc w:val="both"/>
        <w:ind w:left="260" w:right="320"/>
        <w:spacing w:after="0" w:line="278" w:lineRule="auto"/>
        <w:rPr>
          <w:sz w:val="20"/>
          <w:szCs w:val="20"/>
          <w:color w:val="auto"/>
        </w:rPr>
      </w:pPr>
      <w:r>
        <w:rPr>
          <w:rFonts w:ascii="Arial" w:cs="Arial" w:eastAsia="Arial" w:hAnsi="Arial"/>
          <w:sz w:val="16"/>
          <w:szCs w:val="16"/>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63"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 us:</w:t>
      </w:r>
    </w:p>
    <w:p>
      <w:pPr>
        <w:spacing w:after="0" w:line="316" w:lineRule="exact"/>
        <w:rPr>
          <w:sz w:val="20"/>
          <w:szCs w:val="20"/>
          <w:color w:val="auto"/>
        </w:rPr>
      </w:pPr>
    </w:p>
    <w:p>
      <w:pPr>
        <w:ind w:left="1280" w:hanging="509"/>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these collaborations;</w:t>
      </w:r>
    </w:p>
    <w:p>
      <w:pPr>
        <w:spacing w:after="0" w:line="126" w:lineRule="exact"/>
        <w:rPr>
          <w:rFonts w:ascii="Arial" w:cs="Arial" w:eastAsia="Arial" w:hAnsi="Arial"/>
          <w:sz w:val="16"/>
          <w:szCs w:val="16"/>
          <w:color w:val="auto"/>
        </w:rPr>
      </w:pPr>
    </w:p>
    <w:p>
      <w:pPr>
        <w:ind w:left="1280" w:right="160" w:hanging="509"/>
        <w:spacing w:after="0" w:line="273"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67" w:lineRule="exact"/>
        <w:rPr>
          <w:rFonts w:ascii="Arial" w:cs="Arial" w:eastAsia="Arial" w:hAnsi="Arial"/>
          <w:sz w:val="16"/>
          <w:szCs w:val="16"/>
          <w:color w:val="auto"/>
        </w:rPr>
      </w:pPr>
    </w:p>
    <w:p>
      <w:pPr>
        <w:ind w:left="1280" w:right="20" w:hanging="509"/>
        <w:spacing w:after="0" w:line="293"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0" w:lineRule="exact"/>
        <w:rPr>
          <w:rFonts w:ascii="Arial" w:cs="Arial" w:eastAsia="Arial" w:hAnsi="Arial"/>
          <w:sz w:val="16"/>
          <w:szCs w:val="16"/>
          <w:color w:val="auto"/>
        </w:rPr>
      </w:pPr>
    </w:p>
    <w:p>
      <w:pPr>
        <w:jc w:val="both"/>
        <w:ind w:left="1280" w:hanging="509"/>
        <w:spacing w:after="0" w:line="278"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62" w:lineRule="exact"/>
        <w:rPr>
          <w:rFonts w:ascii="Arial" w:cs="Arial" w:eastAsia="Arial" w:hAnsi="Arial"/>
          <w:sz w:val="16"/>
          <w:szCs w:val="16"/>
          <w:color w:val="auto"/>
        </w:rPr>
      </w:pPr>
    </w:p>
    <w:p>
      <w:pPr>
        <w:ind w:left="1280" w:right="320" w:hanging="509"/>
        <w:spacing w:after="0" w:line="293"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products may not commit sufficient resources to or otherwise not perform satisfactorily in carrying out these activities;</w:t>
      </w:r>
    </w:p>
    <w:p>
      <w:pPr>
        <w:spacing w:after="0" w:line="50" w:lineRule="exact"/>
        <w:rPr>
          <w:rFonts w:ascii="Arial" w:cs="Arial" w:eastAsia="Arial" w:hAnsi="Arial"/>
          <w:sz w:val="16"/>
          <w:szCs w:val="16"/>
          <w:color w:val="auto"/>
        </w:rPr>
      </w:pPr>
    </w:p>
    <w:p>
      <w:pPr>
        <w:ind w:left="1280" w:hanging="509"/>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13" w:lineRule="exact"/>
        <w:rPr>
          <w:rFonts w:ascii="Arial" w:cs="Arial" w:eastAsia="Arial" w:hAnsi="Arial"/>
          <w:sz w:val="16"/>
          <w:szCs w:val="16"/>
          <w:color w:val="auto"/>
        </w:rPr>
      </w:pPr>
    </w:p>
    <w:p>
      <w:pPr>
        <w:ind w:left="1280" w:hanging="509"/>
        <w:spacing w:after="0" w:line="278"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6" w:lineRule="exact"/>
        <w:rPr>
          <w:rFonts w:ascii="Arial" w:cs="Arial" w:eastAsia="Arial" w:hAnsi="Arial"/>
          <w:sz w:val="16"/>
          <w:szCs w:val="16"/>
          <w:color w:val="auto"/>
        </w:rPr>
      </w:pPr>
    </w:p>
    <w:p>
      <w:pPr>
        <w:ind w:left="1280" w:hanging="509"/>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113" w:lineRule="exact"/>
        <w:rPr>
          <w:rFonts w:ascii="Arial" w:cs="Arial" w:eastAsia="Arial" w:hAnsi="Arial"/>
          <w:sz w:val="16"/>
          <w:szCs w:val="16"/>
          <w:color w:val="auto"/>
        </w:rPr>
      </w:pPr>
    </w:p>
    <w:p>
      <w:pPr>
        <w:ind w:left="1280" w:right="360" w:hanging="509"/>
        <w:spacing w:after="0" w:line="328" w:lineRule="auto"/>
        <w:tabs>
          <w:tab w:leader="none" w:pos="12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28" w:lineRule="exact"/>
        <w:rPr>
          <w:rFonts w:ascii="Arial" w:cs="Arial" w:eastAsia="Arial" w:hAnsi="Arial"/>
          <w:sz w:val="15"/>
          <w:szCs w:val="15"/>
          <w:color w:val="auto"/>
        </w:rPr>
      </w:pPr>
    </w:p>
    <w:p>
      <w:pPr>
        <w:ind w:left="1280" w:hanging="509"/>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disputes may arise with respect to the ownership of any intellectual property developed pursuant to our collaborations;</w:t>
      </w:r>
    </w:p>
    <w:p>
      <w:pPr>
        <w:spacing w:after="0" w:line="113" w:lineRule="exact"/>
        <w:rPr>
          <w:rFonts w:ascii="Arial" w:cs="Arial" w:eastAsia="Arial" w:hAnsi="Arial"/>
          <w:sz w:val="16"/>
          <w:szCs w:val="16"/>
          <w:color w:val="auto"/>
        </w:rPr>
      </w:pPr>
    </w:p>
    <w:p>
      <w:pPr>
        <w:ind w:left="1280" w:right="140" w:hanging="509"/>
        <w:spacing w:after="0" w:line="278"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2" w:lineRule="exact"/>
        <w:rPr>
          <w:rFonts w:ascii="Arial" w:cs="Arial" w:eastAsia="Arial" w:hAnsi="Arial"/>
          <w:sz w:val="16"/>
          <w:szCs w:val="16"/>
          <w:color w:val="auto"/>
        </w:rPr>
      </w:pPr>
    </w:p>
    <w:p>
      <w:pPr>
        <w:ind w:left="1280" w:hanging="509"/>
        <w:spacing w:after="0"/>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this may result in a need for additional capital to pursue further development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commercialization of the applicable current or future product candidates; and</w:t>
      </w:r>
    </w:p>
    <w:p>
      <w:pPr>
        <w:spacing w:after="0" w:line="113" w:lineRule="exact"/>
        <w:rPr>
          <w:sz w:val="20"/>
          <w:szCs w:val="20"/>
          <w:color w:val="auto"/>
        </w:rPr>
      </w:pPr>
    </w:p>
    <w:p>
      <w:pPr>
        <w:ind w:left="1280" w:hanging="509"/>
        <w:spacing w:after="0"/>
        <w:tabs>
          <w:tab w:leader="none" w:pos="1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collaborators’ sales and marketing activities or other operations may not be in compliance with applicable laws resulting in civil or criminal proceedings.</w:t>
      </w:r>
    </w:p>
    <w:p>
      <w:pPr>
        <w:spacing w:after="0" w:line="244" w:lineRule="exact"/>
        <w:rPr>
          <w:sz w:val="20"/>
          <w:szCs w:val="20"/>
          <w:color w:val="auto"/>
        </w:rPr>
      </w:pPr>
    </w:p>
    <w:p>
      <w:pPr>
        <w:ind w:left="260" w:right="80" w:firstLine="491"/>
        <w:spacing w:after="0" w:line="278" w:lineRule="auto"/>
        <w:rPr>
          <w:sz w:val="20"/>
          <w:szCs w:val="20"/>
          <w:color w:val="auto"/>
        </w:rPr>
      </w:pPr>
      <w:r>
        <w:rPr>
          <w:rFonts w:ascii="Arial" w:cs="Arial" w:eastAsia="Arial" w:hAnsi="Arial"/>
          <w:sz w:val="16"/>
          <w:szCs w:val="16"/>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52" w:lineRule="exact"/>
        <w:rPr>
          <w:sz w:val="20"/>
          <w:szCs w:val="20"/>
          <w:color w:val="auto"/>
        </w:rPr>
      </w:pPr>
    </w:p>
    <w:p>
      <w:pPr>
        <w:ind w:left="260" w:right="360"/>
        <w:spacing w:after="0" w:line="278" w:lineRule="auto"/>
        <w:rPr>
          <w:sz w:val="20"/>
          <w:szCs w:val="20"/>
          <w:color w:val="auto"/>
        </w:rPr>
      </w:pPr>
      <w:r>
        <w:rPr>
          <w:rFonts w:ascii="Arial" w:cs="Arial" w:eastAsia="Arial" w:hAnsi="Arial"/>
          <w:sz w:val="16"/>
          <w:szCs w:val="16"/>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3"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75" w:lineRule="exact"/>
        <w:rPr>
          <w:sz w:val="20"/>
          <w:szCs w:val="20"/>
          <w:color w:val="auto"/>
        </w:rPr>
      </w:pPr>
    </w:p>
    <w:p>
      <w:pPr>
        <w:ind w:left="260" w:right="20" w:firstLine="458"/>
        <w:spacing w:after="0" w:line="293" w:lineRule="auto"/>
        <w:rPr>
          <w:sz w:val="20"/>
          <w:szCs w:val="20"/>
          <w:color w:val="auto"/>
        </w:rPr>
      </w:pPr>
      <w:r>
        <w:rPr>
          <w:rFonts w:ascii="Arial" w:cs="Arial" w:eastAsia="Arial" w:hAnsi="Arial"/>
          <w:sz w:val="15"/>
          <w:szCs w:val="15"/>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43" w:lineRule="exact"/>
        <w:rPr>
          <w:sz w:val="20"/>
          <w:szCs w:val="20"/>
          <w:color w:val="auto"/>
        </w:rPr>
      </w:pPr>
    </w:p>
    <w:p>
      <w:pPr>
        <w:ind w:left="260" w:right="360"/>
        <w:spacing w:after="0" w:line="293" w:lineRule="auto"/>
        <w:rPr>
          <w:sz w:val="20"/>
          <w:szCs w:val="20"/>
          <w:color w:val="auto"/>
        </w:rPr>
      </w:pPr>
      <w:r>
        <w:rPr>
          <w:rFonts w:ascii="Arial" w:cs="Arial" w:eastAsia="Arial" w:hAnsi="Arial"/>
          <w:sz w:val="16"/>
          <w:szCs w:val="16"/>
          <w:b w:val="1"/>
          <w:bCs w:val="1"/>
          <w:i w:val="1"/>
          <w:iCs w:val="1"/>
          <w:color w:val="auto"/>
        </w:rPr>
        <w:t>We may not be successful in establishing commercialization collaborations, which could adversely affect our ability to commercialize our product candidates, if approved.</w:t>
      </w:r>
    </w:p>
    <w:p>
      <w:pPr>
        <w:spacing w:after="0" w:line="64"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49" w:lineRule="exact"/>
        <w:rPr>
          <w:sz w:val="20"/>
          <w:szCs w:val="20"/>
          <w:color w:val="auto"/>
        </w:rPr>
      </w:pPr>
    </w:p>
    <w:p>
      <w:pPr>
        <w:ind w:left="260" w:right="160" w:firstLine="458"/>
        <w:spacing w:after="0" w:line="273"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70" w:lineRule="exact"/>
        <w:rPr>
          <w:sz w:val="20"/>
          <w:szCs w:val="20"/>
          <w:color w:val="auto"/>
        </w:rPr>
      </w:pPr>
    </w:p>
    <w:p>
      <w:pPr>
        <w:ind w:left="260" w:right="60"/>
        <w:spacing w:after="0" w:line="278" w:lineRule="auto"/>
        <w:rPr>
          <w:sz w:val="20"/>
          <w:szCs w:val="20"/>
          <w:color w:val="auto"/>
        </w:rPr>
      </w:pPr>
      <w:r>
        <w:rPr>
          <w:rFonts w:ascii="Arial" w:cs="Arial" w:eastAsia="Arial" w:hAnsi="Arial"/>
          <w:sz w:val="16"/>
          <w:szCs w:val="16"/>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3" w:lineRule="exact"/>
        <w:rPr>
          <w:sz w:val="20"/>
          <w:szCs w:val="20"/>
          <w:color w:val="auto"/>
        </w:rPr>
      </w:pPr>
    </w:p>
    <w:p>
      <w:pPr>
        <w:ind w:left="260" w:right="280" w:firstLine="458"/>
        <w:spacing w:after="0" w:line="288" w:lineRule="auto"/>
        <w:rPr>
          <w:sz w:val="20"/>
          <w:szCs w:val="20"/>
          <w:color w:val="auto"/>
        </w:rPr>
      </w:pPr>
      <w:r>
        <w:rPr>
          <w:rFonts w:ascii="Arial" w:cs="Arial" w:eastAsia="Arial" w:hAnsi="Arial"/>
          <w:sz w:val="15"/>
          <w:szCs w:val="15"/>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mecbotamab vedotin, ozuriftamab vedotin and BA3071.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153" w:lineRule="exact"/>
        <w:rPr>
          <w:sz w:val="20"/>
          <w:szCs w:val="20"/>
          <w:color w:val="auto"/>
        </w:rPr>
      </w:pPr>
    </w:p>
    <w:p>
      <w:pPr>
        <w:ind w:left="260" w:right="40" w:firstLine="458"/>
        <w:spacing w:after="0" w:line="287" w:lineRule="auto"/>
        <w:rPr>
          <w:sz w:val="20"/>
          <w:szCs w:val="20"/>
          <w:color w:val="auto"/>
        </w:rPr>
      </w:pPr>
      <w:r>
        <w:rPr>
          <w:rFonts w:ascii="Arial" w:cs="Arial" w:eastAsia="Arial" w:hAnsi="Arial"/>
          <w:sz w:val="15"/>
          <w:szCs w:val="15"/>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global shortage of animals available for drug development, due in part to an increase in demand from companies and other institutions developing vaccines and treatments for COVID-19.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420"/>
        <w:spacing w:after="0" w:line="273" w:lineRule="auto"/>
        <w:rPr>
          <w:sz w:val="20"/>
          <w:szCs w:val="20"/>
          <w:color w:val="auto"/>
        </w:rPr>
      </w:pPr>
      <w:r>
        <w:rPr>
          <w:rFonts w:ascii="Arial" w:cs="Arial" w:eastAsia="Arial" w:hAnsi="Arial"/>
          <w:sz w:val="16"/>
          <w:szCs w:val="16"/>
          <w:color w:val="auto"/>
        </w:rPr>
        <w:t>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0" w:lineRule="exact"/>
        <w:rPr>
          <w:sz w:val="20"/>
          <w:szCs w:val="20"/>
          <w:color w:val="auto"/>
        </w:rPr>
      </w:pPr>
    </w:p>
    <w:p>
      <w:pPr>
        <w:jc w:val="both"/>
        <w:ind w:left="260" w:right="100"/>
        <w:spacing w:after="0" w:line="335" w:lineRule="auto"/>
        <w:rPr>
          <w:sz w:val="20"/>
          <w:szCs w:val="20"/>
          <w:color w:val="auto"/>
        </w:rPr>
      </w:pPr>
      <w:r>
        <w:rPr>
          <w:rFonts w:ascii="Arial" w:cs="Arial" w:eastAsia="Arial" w:hAnsi="Arial"/>
          <w:sz w:val="14"/>
          <w:szCs w:val="14"/>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28" w:lineRule="exact"/>
        <w:rPr>
          <w:sz w:val="20"/>
          <w:szCs w:val="20"/>
          <w:color w:val="auto"/>
        </w:rPr>
      </w:pPr>
    </w:p>
    <w:p>
      <w:pPr>
        <w:ind w:left="260" w:right="120" w:firstLine="458"/>
        <w:spacing w:after="0" w:line="308" w:lineRule="auto"/>
        <w:rPr>
          <w:sz w:val="20"/>
          <w:szCs w:val="20"/>
          <w:color w:val="auto"/>
        </w:rPr>
      </w:pPr>
      <w:r>
        <w:rPr>
          <w:rFonts w:ascii="Arial" w:cs="Arial" w:eastAsia="Arial" w:hAnsi="Arial"/>
          <w:sz w:val="14"/>
          <w:szCs w:val="14"/>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53"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49" w:lineRule="exact"/>
        <w:rPr>
          <w:sz w:val="20"/>
          <w:szCs w:val="20"/>
          <w:color w:val="auto"/>
        </w:rPr>
      </w:pPr>
    </w:p>
    <w:p>
      <w:pPr>
        <w:ind w:left="260" w:right="300" w:firstLine="458"/>
        <w:spacing w:after="0" w:line="273" w:lineRule="auto"/>
        <w:rPr>
          <w:sz w:val="20"/>
          <w:szCs w:val="20"/>
          <w:color w:val="auto"/>
        </w:rPr>
      </w:pPr>
      <w:r>
        <w:rPr>
          <w:rFonts w:ascii="Arial" w:cs="Arial" w:eastAsia="Arial" w:hAnsi="Arial"/>
          <w:sz w:val="16"/>
          <w:szCs w:val="16"/>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81" w:lineRule="exact"/>
        <w:rPr>
          <w:sz w:val="20"/>
          <w:szCs w:val="20"/>
          <w:color w:val="auto"/>
        </w:rPr>
      </w:pPr>
    </w:p>
    <w:p>
      <w:pPr>
        <w:jc w:val="both"/>
        <w:ind w:left="1280" w:right="440" w:hanging="509"/>
        <w:spacing w:after="0" w:line="278" w:lineRule="auto"/>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among others;</w:t>
      </w:r>
    </w:p>
    <w:p>
      <w:pPr>
        <w:spacing w:after="0" w:line="76"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reduction or termination of production or deliveries by suppliers, or the raising of prices or renegotiation of terms;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breach by the third-party contractors of our agreements with them;</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failure of third-party contractors to comply with applicable regulatory requirements;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specifications;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mislabeling of clinical supplies, potentially resulting in the wrong dose amounts being supplied or active drug not being properly identified;</w:t>
      </w:r>
    </w:p>
    <w:p>
      <w:pPr>
        <w:spacing w:after="0" w:line="138" w:lineRule="exact"/>
        <w:rPr>
          <w:rFonts w:ascii="Arial" w:cs="Arial" w:eastAsia="Arial" w:hAnsi="Arial"/>
          <w:sz w:val="15"/>
          <w:szCs w:val="15"/>
          <w:color w:val="auto"/>
        </w:rPr>
      </w:pPr>
    </w:p>
    <w:p>
      <w:pPr>
        <w:ind w:left="1280" w:right="20" w:hanging="509"/>
        <w:spacing w:after="0" w:line="293" w:lineRule="auto"/>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clinical supplies not being delivered to clinical sites on time, leading to clinical trial interruptions, or of drug supplies not being distributed to commercial vendors in a timely manner, resulting in lost sales; and</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misappropriation of our proprietary information, including our trade secrets and know-how.</w:t>
      </w:r>
    </w:p>
    <w:p>
      <w:pPr>
        <w:spacing w:after="0" w:line="208" w:lineRule="exact"/>
        <w:rPr>
          <w:sz w:val="20"/>
          <w:szCs w:val="20"/>
          <w:color w:val="auto"/>
        </w:rPr>
      </w:pPr>
    </w:p>
    <w:p>
      <w:pPr>
        <w:ind w:left="260" w:right="100" w:firstLine="458"/>
        <w:spacing w:after="0" w:line="315" w:lineRule="auto"/>
        <w:rPr>
          <w:sz w:val="20"/>
          <w:szCs w:val="20"/>
          <w:color w:val="auto"/>
        </w:rPr>
      </w:pPr>
      <w:r>
        <w:rPr>
          <w:rFonts w:ascii="Arial" w:cs="Arial" w:eastAsia="Arial" w:hAnsi="Arial"/>
          <w:sz w:val="14"/>
          <w:szCs w:val="14"/>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encounter delays in production and added costs as a result of the time it takes to train suppliers in our methods, products and quality control standards.</w:t>
      </w:r>
    </w:p>
    <w:p>
      <w:pPr>
        <w:spacing w:after="0" w:line="316" w:lineRule="exact"/>
        <w:rPr>
          <w:sz w:val="20"/>
          <w:szCs w:val="20"/>
          <w:color w:val="auto"/>
        </w:rPr>
      </w:pPr>
    </w:p>
    <w:p>
      <w:pPr>
        <w:ind w:left="260"/>
        <w:spacing w:after="0" w:line="273" w:lineRule="auto"/>
        <w:rPr>
          <w:sz w:val="20"/>
          <w:szCs w:val="20"/>
          <w:color w:val="auto"/>
        </w:rPr>
      </w:pPr>
      <w:r>
        <w:rPr>
          <w:rFonts w:ascii="Arial" w:cs="Arial" w:eastAsia="Arial" w:hAnsi="Arial"/>
          <w:sz w:val="16"/>
          <w:szCs w:val="16"/>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67" w:lineRule="exact"/>
        <w:rPr>
          <w:sz w:val="20"/>
          <w:szCs w:val="20"/>
          <w:color w:val="auto"/>
        </w:rPr>
      </w:pPr>
    </w:p>
    <w:p>
      <w:pPr>
        <w:ind w:left="260" w:right="40" w:firstLine="458"/>
        <w:spacing w:after="0" w:line="267"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83" w:lineRule="exact"/>
        <w:rPr>
          <w:sz w:val="20"/>
          <w:szCs w:val="20"/>
          <w:color w:val="auto"/>
        </w:rPr>
      </w:pPr>
    </w:p>
    <w:p>
      <w:pPr>
        <w:ind w:left="260" w:right="60" w:firstLine="458"/>
        <w:spacing w:after="0" w:line="273" w:lineRule="auto"/>
        <w:rPr>
          <w:sz w:val="20"/>
          <w:szCs w:val="20"/>
          <w:color w:val="auto"/>
        </w:rPr>
      </w:pPr>
      <w:r>
        <w:rPr>
          <w:rFonts w:ascii="Arial" w:cs="Arial" w:eastAsia="Arial" w:hAnsi="Arial"/>
          <w:sz w:val="16"/>
          <w:szCs w:val="16"/>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62" w:lineRule="exact"/>
        <w:rPr>
          <w:sz w:val="20"/>
          <w:szCs w:val="20"/>
          <w:color w:val="auto"/>
        </w:rPr>
      </w:pPr>
    </w:p>
    <w:p>
      <w:pPr>
        <w:ind w:left="260" w:right="20" w:firstLine="458"/>
        <w:spacing w:after="0" w:line="307" w:lineRule="auto"/>
        <w:rPr>
          <w:sz w:val="20"/>
          <w:szCs w:val="20"/>
          <w:color w:val="auto"/>
        </w:rPr>
      </w:pPr>
      <w:r>
        <w:rPr>
          <w:rFonts w:ascii="Arial" w:cs="Arial" w:eastAsia="Arial" w:hAnsi="Arial"/>
          <w:sz w:val="14"/>
          <w:szCs w:val="14"/>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17" w:lineRule="exact"/>
        <w:rPr>
          <w:sz w:val="20"/>
          <w:szCs w:val="20"/>
          <w:color w:val="auto"/>
        </w:rPr>
      </w:pPr>
    </w:p>
    <w:p>
      <w:pPr>
        <w:ind w:left="260"/>
        <w:spacing w:after="0" w:line="278" w:lineRule="auto"/>
        <w:rPr>
          <w:sz w:val="20"/>
          <w:szCs w:val="20"/>
          <w:color w:val="auto"/>
        </w:rPr>
      </w:pPr>
      <w:r>
        <w:rPr>
          <w:rFonts w:ascii="Arial" w:cs="Arial" w:eastAsia="Arial" w:hAnsi="Arial"/>
          <w:sz w:val="16"/>
          <w:szCs w:val="16"/>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3" w:lineRule="exact"/>
        <w:rPr>
          <w:sz w:val="20"/>
          <w:szCs w:val="20"/>
          <w:color w:val="auto"/>
        </w:rPr>
      </w:pPr>
    </w:p>
    <w:p>
      <w:pPr>
        <w:ind w:left="260" w:right="60" w:firstLine="458"/>
        <w:spacing w:after="0" w:line="311" w:lineRule="auto"/>
        <w:rPr>
          <w:sz w:val="20"/>
          <w:szCs w:val="20"/>
          <w:color w:val="auto"/>
        </w:rPr>
      </w:pPr>
      <w:r>
        <w:rPr>
          <w:rFonts w:ascii="Arial" w:cs="Arial" w:eastAsia="Arial" w:hAnsi="Arial"/>
          <w:sz w:val="14"/>
          <w:szCs w:val="14"/>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40" w:lineRule="exact"/>
        <w:rPr>
          <w:sz w:val="20"/>
          <w:szCs w:val="20"/>
          <w:color w:val="auto"/>
        </w:rPr>
      </w:pPr>
    </w:p>
    <w:p>
      <w:pPr>
        <w:ind w:left="260" w:right="80" w:firstLine="458"/>
        <w:spacing w:after="0" w:line="293" w:lineRule="auto"/>
        <w:rPr>
          <w:sz w:val="20"/>
          <w:szCs w:val="20"/>
          <w:color w:val="auto"/>
        </w:rPr>
      </w:pPr>
      <w:r>
        <w:rPr>
          <w:rFonts w:ascii="Arial" w:cs="Arial" w:eastAsia="Arial" w:hAnsi="Arial"/>
          <w:sz w:val="15"/>
          <w:szCs w:val="15"/>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180" w:firstLine="458"/>
        <w:spacing w:after="0" w:line="315" w:lineRule="auto"/>
        <w:rPr>
          <w:sz w:val="20"/>
          <w:szCs w:val="20"/>
          <w:color w:val="auto"/>
        </w:rPr>
      </w:pPr>
      <w:r>
        <w:rPr>
          <w:rFonts w:ascii="Arial" w:cs="Arial" w:eastAsia="Arial" w:hAnsi="Arial"/>
          <w:sz w:val="14"/>
          <w:szCs w:val="14"/>
          <w:color w:val="auto"/>
        </w:rPr>
        <w:t xml:space="preserve">Once granted, patents may remain open to opposition, interference, re-examination, post-grant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March 24,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55" w:lineRule="exact"/>
        <w:rPr>
          <w:sz w:val="20"/>
          <w:szCs w:val="20"/>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obtain, maintain, protect and enforce intellectual property protection for our technologies and product candidates.</w:t>
      </w:r>
    </w:p>
    <w:p>
      <w:pPr>
        <w:spacing w:after="0" w:line="126" w:lineRule="exact"/>
        <w:rPr>
          <w:rFonts w:ascii="Arial" w:cs="Arial" w:eastAsia="Arial" w:hAnsi="Arial"/>
          <w:sz w:val="16"/>
          <w:szCs w:val="16"/>
          <w:color w:val="auto"/>
        </w:rPr>
      </w:pPr>
    </w:p>
    <w:p>
      <w:pPr>
        <w:ind w:left="1280" w:right="220" w:hanging="509"/>
        <w:spacing w:after="0" w:line="293"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Others will not or may not be able to make, use or sell compounds that are the same as or similar to our product candidates but that are not covered by the claims of the patents that we own or license.</w:t>
      </w:r>
    </w:p>
    <w:p>
      <w:pPr>
        <w:spacing w:after="0" w:line="63" w:lineRule="exact"/>
        <w:rPr>
          <w:rFonts w:ascii="Arial" w:cs="Arial" w:eastAsia="Arial" w:hAnsi="Arial"/>
          <w:sz w:val="16"/>
          <w:szCs w:val="16"/>
          <w:color w:val="auto"/>
        </w:rPr>
      </w:pPr>
    </w:p>
    <w:p>
      <w:pPr>
        <w:ind w:left="1280" w:right="160" w:hanging="509"/>
        <w:spacing w:after="0" w:line="293"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make the inventions covered by each of our issued patents and pending patent applications that we own or license.</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26" w:lineRule="exact"/>
        <w:rPr>
          <w:rFonts w:ascii="Arial" w:cs="Arial" w:eastAsia="Arial" w:hAnsi="Arial"/>
          <w:sz w:val="16"/>
          <w:szCs w:val="16"/>
          <w:color w:val="auto"/>
        </w:rPr>
      </w:pPr>
    </w:p>
    <w:p>
      <w:pPr>
        <w:ind w:left="1280" w:right="20" w:hanging="509"/>
        <w:spacing w:after="0" w:line="293"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w:t>
      </w:r>
    </w:p>
    <w:p>
      <w:pPr>
        <w:spacing w:after="0" w:line="126" w:lineRule="exact"/>
        <w:rPr>
          <w:rFonts w:ascii="Arial" w:cs="Arial" w:eastAsia="Arial" w:hAnsi="Arial"/>
          <w:sz w:val="16"/>
          <w:szCs w:val="16"/>
          <w:color w:val="auto"/>
        </w:rPr>
      </w:pPr>
    </w:p>
    <w:p>
      <w:pPr>
        <w:ind w:left="1280" w:right="540" w:hanging="509"/>
        <w:spacing w:after="0" w:line="293"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58" w:lineRule="exact"/>
        <w:rPr>
          <w:sz w:val="20"/>
          <w:szCs w:val="20"/>
          <w:color w:val="auto"/>
        </w:rPr>
      </w:pPr>
    </w:p>
    <w:p>
      <w:pPr>
        <w:ind w:left="260" w:right="40" w:firstLine="458"/>
        <w:spacing w:after="0" w:line="318" w:lineRule="auto"/>
        <w:rPr>
          <w:sz w:val="20"/>
          <w:szCs w:val="20"/>
          <w:color w:val="auto"/>
        </w:rPr>
      </w:pPr>
      <w:r>
        <w:rPr>
          <w:rFonts w:ascii="Arial" w:cs="Arial" w:eastAsia="Arial" w:hAnsi="Arial"/>
          <w:sz w:val="14"/>
          <w:szCs w:val="14"/>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35" w:lineRule="exact"/>
        <w:rPr>
          <w:sz w:val="20"/>
          <w:szCs w:val="20"/>
          <w:color w:val="auto"/>
        </w:rPr>
      </w:pPr>
    </w:p>
    <w:p>
      <w:pPr>
        <w:ind w:left="260" w:right="60" w:firstLine="458"/>
        <w:spacing w:after="0" w:line="318" w:lineRule="auto"/>
        <w:rPr>
          <w:sz w:val="20"/>
          <w:szCs w:val="20"/>
          <w:color w:val="auto"/>
        </w:rPr>
      </w:pPr>
      <w:r>
        <w:rPr>
          <w:rFonts w:ascii="Arial" w:cs="Arial" w:eastAsia="Arial" w:hAnsi="Arial"/>
          <w:sz w:val="14"/>
          <w:szCs w:val="14"/>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113" w:lineRule="exact"/>
        <w:rPr>
          <w:sz w:val="20"/>
          <w:szCs w:val="20"/>
          <w:color w:val="auto"/>
        </w:rPr>
      </w:pPr>
    </w:p>
    <w:p>
      <w:pPr>
        <w:ind w:left="260" w:firstLine="458"/>
        <w:spacing w:after="0" w:line="285" w:lineRule="auto"/>
        <w:rPr>
          <w:sz w:val="20"/>
          <w:szCs w:val="20"/>
          <w:color w:val="auto"/>
        </w:rPr>
      </w:pPr>
      <w:r>
        <w:rPr>
          <w:rFonts w:ascii="Arial" w:cs="Arial" w:eastAsia="Arial" w:hAnsi="Arial"/>
          <w:sz w:val="15"/>
          <w:szCs w:val="15"/>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60"/>
        <w:spacing w:after="0" w:line="293" w:lineRule="auto"/>
        <w:rPr>
          <w:sz w:val="20"/>
          <w:szCs w:val="20"/>
          <w:color w:val="auto"/>
        </w:rPr>
      </w:pPr>
      <w:r>
        <w:rPr>
          <w:rFonts w:ascii="Arial" w:cs="Arial" w:eastAsia="Arial" w:hAnsi="Arial"/>
          <w:sz w:val="16"/>
          <w:szCs w:val="16"/>
          <w:color w:val="auto"/>
        </w:rPr>
        <w:t>using that technology or information to compete with us. If any of our trade secrets were to be disclosed to or independently developed by a competitor, our competitive position could be harmed.</w:t>
      </w:r>
    </w:p>
    <w:p>
      <w:pPr>
        <w:spacing w:after="0" w:line="145" w:lineRule="exact"/>
        <w:rPr>
          <w:sz w:val="20"/>
          <w:szCs w:val="20"/>
          <w:color w:val="auto"/>
        </w:rPr>
      </w:pPr>
    </w:p>
    <w:p>
      <w:pPr>
        <w:ind w:left="260" w:firstLine="458"/>
        <w:spacing w:after="0" w:line="286" w:lineRule="auto"/>
        <w:rPr>
          <w:sz w:val="20"/>
          <w:szCs w:val="20"/>
          <w:color w:val="auto"/>
        </w:rPr>
      </w:pPr>
      <w:r>
        <w:rPr>
          <w:rFonts w:ascii="Arial" w:cs="Arial" w:eastAsia="Arial" w:hAnsi="Arial"/>
          <w:sz w:val="15"/>
          <w:szCs w:val="15"/>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terms of our patents may not protect our competitive position on our product candidates for an adequate amount of time.</w:t>
      </w:r>
    </w:p>
    <w:p>
      <w:pPr>
        <w:spacing w:after="0" w:line="113" w:lineRule="exact"/>
        <w:rPr>
          <w:sz w:val="20"/>
          <w:szCs w:val="20"/>
          <w:color w:val="auto"/>
        </w:rPr>
      </w:pPr>
    </w:p>
    <w:p>
      <w:pPr>
        <w:ind w:left="260" w:firstLine="458"/>
        <w:spacing w:after="0" w:line="26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2039,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If we do not obtain patent term extension for our product candidates, our business may be materially harmed.</w:t>
      </w:r>
    </w:p>
    <w:p>
      <w:pPr>
        <w:spacing w:after="0" w:line="113" w:lineRule="exact"/>
        <w:rPr>
          <w:sz w:val="20"/>
          <w:szCs w:val="20"/>
          <w:color w:val="auto"/>
        </w:rPr>
      </w:pPr>
    </w:p>
    <w:p>
      <w:pPr>
        <w:ind w:left="260" w:right="60" w:firstLine="458"/>
        <w:spacing w:after="0" w:line="286" w:lineRule="auto"/>
        <w:rPr>
          <w:sz w:val="20"/>
          <w:szCs w:val="20"/>
          <w:color w:val="auto"/>
        </w:rPr>
      </w:pPr>
      <w:r>
        <w:rPr>
          <w:rFonts w:ascii="Arial" w:cs="Arial" w:eastAsia="Arial" w:hAnsi="Arial"/>
          <w:sz w:val="15"/>
          <w:szCs w:val="15"/>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60" w:lineRule="exact"/>
        <w:rPr>
          <w:sz w:val="20"/>
          <w:szCs w:val="20"/>
          <w:color w:val="auto"/>
        </w:rPr>
      </w:pPr>
    </w:p>
    <w:p>
      <w:pPr>
        <w:ind w:left="260" w:right="140"/>
        <w:spacing w:after="0" w:line="293"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0" w:lineRule="exact"/>
        <w:rPr>
          <w:sz w:val="20"/>
          <w:szCs w:val="20"/>
          <w:color w:val="auto"/>
        </w:rPr>
      </w:pPr>
    </w:p>
    <w:p>
      <w:pPr>
        <w:ind w:left="260" w:right="80" w:firstLine="458"/>
        <w:spacing w:after="0" w:line="287" w:lineRule="auto"/>
        <w:rPr>
          <w:sz w:val="20"/>
          <w:szCs w:val="20"/>
          <w:color w:val="auto"/>
        </w:rPr>
      </w:pPr>
      <w:r>
        <w:rPr>
          <w:rFonts w:ascii="Arial" w:cs="Arial" w:eastAsia="Arial" w:hAnsi="Arial"/>
          <w:sz w:val="15"/>
          <w:szCs w:val="15"/>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51" w:lineRule="exact"/>
        <w:rPr>
          <w:sz w:val="20"/>
          <w:szCs w:val="20"/>
          <w:color w:val="auto"/>
        </w:rPr>
      </w:pPr>
    </w:p>
    <w:p>
      <w:pPr>
        <w:ind w:left="260" w:right="280" w:firstLine="458"/>
        <w:spacing w:after="0" w:line="278" w:lineRule="auto"/>
        <w:rPr>
          <w:sz w:val="20"/>
          <w:szCs w:val="20"/>
          <w:color w:val="auto"/>
        </w:rPr>
      </w:pPr>
      <w:r>
        <w:rPr>
          <w:rFonts w:ascii="Arial" w:cs="Arial" w:eastAsia="Arial" w:hAnsi="Arial"/>
          <w:sz w:val="16"/>
          <w:szCs w:val="16"/>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right="220"/>
        <w:spacing w:after="0" w:line="293" w:lineRule="auto"/>
        <w:rPr>
          <w:sz w:val="20"/>
          <w:szCs w:val="20"/>
          <w:color w:val="auto"/>
        </w:rPr>
      </w:pPr>
      <w:r>
        <w:rPr>
          <w:rFonts w:ascii="Arial" w:cs="Arial" w:eastAsia="Arial" w:hAnsi="Arial"/>
          <w:sz w:val="16"/>
          <w:szCs w:val="16"/>
          <w:color w:val="auto"/>
        </w:rPr>
        <w:t>proceedings. An adverse determination in any such submission or proceeding could reduce the scope or enforceability of, or invalidate, our patent rights, which could adversely affect our competitive position.</w:t>
      </w:r>
    </w:p>
    <w:p>
      <w:pPr>
        <w:spacing w:after="0" w:line="158" w:lineRule="exact"/>
        <w:rPr>
          <w:sz w:val="20"/>
          <w:szCs w:val="20"/>
          <w:color w:val="auto"/>
        </w:rPr>
      </w:pPr>
    </w:p>
    <w:p>
      <w:pPr>
        <w:ind w:left="260" w:right="200" w:firstLine="458"/>
        <w:spacing w:after="0" w:line="269" w:lineRule="auto"/>
        <w:rPr>
          <w:sz w:val="20"/>
          <w:szCs w:val="20"/>
          <w:color w:val="auto"/>
        </w:rPr>
      </w:pPr>
      <w:r>
        <w:rPr>
          <w:rFonts w:ascii="Arial" w:cs="Arial" w:eastAsia="Arial" w:hAnsi="Arial"/>
          <w:sz w:val="16"/>
          <w:szCs w:val="16"/>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57" w:lineRule="exact"/>
        <w:rPr>
          <w:sz w:val="20"/>
          <w:szCs w:val="20"/>
          <w:color w:val="auto"/>
        </w:rPr>
      </w:pPr>
    </w:p>
    <w:p>
      <w:pPr>
        <w:ind w:left="260" w:right="780" w:firstLine="31"/>
        <w:spacing w:after="0" w:line="293" w:lineRule="auto"/>
        <w:rPr>
          <w:sz w:val="20"/>
          <w:szCs w:val="20"/>
          <w:color w:val="auto"/>
        </w:rPr>
      </w:pPr>
      <w:r>
        <w:rPr>
          <w:rFonts w:ascii="Arial" w:cs="Arial" w:eastAsia="Arial" w:hAnsi="Arial"/>
          <w:sz w:val="16"/>
          <w:szCs w:val="16"/>
          <w:b w:val="1"/>
          <w:bCs w:val="1"/>
          <w:i w:val="1"/>
          <w:iCs w:val="1"/>
          <w:color w:val="auto"/>
        </w:rPr>
        <w:t>Changes in U.S. patent law or laws in other countries could diminish the value of patents in general, thereby impairing our ability to protect our product candidates.</w:t>
      </w:r>
    </w:p>
    <w:p>
      <w:pPr>
        <w:spacing w:after="0" w:line="64" w:lineRule="exact"/>
        <w:rPr>
          <w:sz w:val="20"/>
          <w:szCs w:val="20"/>
          <w:color w:val="auto"/>
        </w:rPr>
      </w:pPr>
    </w:p>
    <w:p>
      <w:pPr>
        <w:ind w:left="260" w:right="40" w:firstLine="458"/>
        <w:spacing w:after="0" w:line="291"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49" w:lineRule="exact"/>
        <w:rPr>
          <w:sz w:val="20"/>
          <w:szCs w:val="20"/>
          <w:color w:val="auto"/>
        </w:rPr>
      </w:pPr>
    </w:p>
    <w:p>
      <w:pPr>
        <w:ind w:left="260" w:right="220" w:firstLine="458"/>
        <w:spacing w:after="0" w:line="269" w:lineRule="auto"/>
        <w:rPr>
          <w:sz w:val="20"/>
          <w:szCs w:val="20"/>
          <w:color w:val="auto"/>
        </w:rPr>
      </w:pPr>
      <w:r>
        <w:rPr>
          <w:rFonts w:ascii="Arial" w:cs="Arial" w:eastAsia="Arial" w:hAnsi="Arial"/>
          <w:sz w:val="16"/>
          <w:szCs w:val="16"/>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75" w:lineRule="exact"/>
        <w:rPr>
          <w:sz w:val="20"/>
          <w:szCs w:val="20"/>
          <w:color w:val="auto"/>
        </w:rPr>
      </w:pPr>
    </w:p>
    <w:p>
      <w:pPr>
        <w:ind w:left="260" w:right="1120"/>
        <w:spacing w:after="0" w:line="293" w:lineRule="auto"/>
        <w:rPr>
          <w:sz w:val="20"/>
          <w:szCs w:val="20"/>
          <w:color w:val="auto"/>
        </w:rPr>
      </w:pPr>
      <w:r>
        <w:rPr>
          <w:rFonts w:ascii="Arial" w:cs="Arial" w:eastAsia="Arial" w:hAnsi="Arial"/>
          <w:sz w:val="16"/>
          <w:szCs w:val="16"/>
          <w:b w:val="1"/>
          <w:bCs w:val="1"/>
          <w:i w:val="1"/>
          <w:iCs w:val="1"/>
          <w:color w:val="auto"/>
        </w:rPr>
        <w:t>Other companies or organizations may challenge our or our licensors’ patent rights or may assert patent rights that prevent us from developing and commercializing our products.</w:t>
      </w:r>
    </w:p>
    <w:p>
      <w:pPr>
        <w:spacing w:after="0" w:line="50" w:lineRule="exact"/>
        <w:rPr>
          <w:sz w:val="20"/>
          <w:szCs w:val="20"/>
          <w:color w:val="auto"/>
        </w:rPr>
      </w:pPr>
    </w:p>
    <w:p>
      <w:pPr>
        <w:ind w:left="260" w:right="120" w:firstLine="458"/>
        <w:spacing w:after="0" w:line="271" w:lineRule="auto"/>
        <w:rPr>
          <w:sz w:val="20"/>
          <w:szCs w:val="20"/>
          <w:color w:val="auto"/>
        </w:rPr>
      </w:pPr>
      <w:r>
        <w:rPr>
          <w:rFonts w:ascii="Arial" w:cs="Arial" w:eastAsia="Arial" w:hAnsi="Arial"/>
          <w:sz w:val="16"/>
          <w:szCs w:val="16"/>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63" w:lineRule="exact"/>
        <w:rPr>
          <w:sz w:val="20"/>
          <w:szCs w:val="20"/>
          <w:color w:val="auto"/>
        </w:rPr>
      </w:pPr>
    </w:p>
    <w:p>
      <w:pPr>
        <w:ind w:left="260" w:right="20" w:firstLine="458"/>
        <w:spacing w:after="0" w:line="318" w:lineRule="auto"/>
        <w:rPr>
          <w:sz w:val="20"/>
          <w:szCs w:val="20"/>
          <w:color w:val="auto"/>
        </w:rPr>
      </w:pPr>
      <w:r>
        <w:rPr>
          <w:rFonts w:ascii="Arial" w:cs="Arial" w:eastAsia="Arial" w:hAnsi="Arial"/>
          <w:sz w:val="14"/>
          <w:szCs w:val="14"/>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48" w:lineRule="exact"/>
        <w:rPr>
          <w:sz w:val="20"/>
          <w:szCs w:val="20"/>
          <w:color w:val="auto"/>
        </w:rPr>
      </w:pPr>
    </w:p>
    <w:p>
      <w:pPr>
        <w:ind w:left="260" w:right="160" w:firstLine="458"/>
        <w:spacing w:after="0" w:line="297" w:lineRule="auto"/>
        <w:rPr>
          <w:sz w:val="20"/>
          <w:szCs w:val="20"/>
          <w:color w:val="auto"/>
        </w:rPr>
      </w:pPr>
      <w:r>
        <w:rPr>
          <w:rFonts w:ascii="Arial" w:cs="Arial" w:eastAsia="Arial" w:hAnsi="Arial"/>
          <w:sz w:val="15"/>
          <w:szCs w:val="15"/>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40" w:lineRule="exact"/>
        <w:rPr>
          <w:sz w:val="20"/>
          <w:szCs w:val="20"/>
          <w:color w:val="auto"/>
        </w:rPr>
      </w:pPr>
    </w:p>
    <w:p>
      <w:pPr>
        <w:ind w:left="260" w:right="20"/>
        <w:spacing w:after="0" w:line="278"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63"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65" w:lineRule="exact"/>
        <w:rPr>
          <w:sz w:val="20"/>
          <w:szCs w:val="20"/>
          <w:color w:val="auto"/>
        </w:rPr>
      </w:pPr>
    </w:p>
    <w:p>
      <w:pPr>
        <w:ind w:left="260" w:right="20"/>
        <w:spacing w:after="0" w:line="285" w:lineRule="auto"/>
        <w:rPr>
          <w:sz w:val="20"/>
          <w:szCs w:val="20"/>
          <w:color w:val="auto"/>
        </w:rPr>
      </w:pPr>
      <w:r>
        <w:rPr>
          <w:rFonts w:ascii="Arial" w:cs="Arial" w:eastAsia="Arial" w:hAnsi="Arial"/>
          <w:sz w:val="15"/>
          <w:szCs w:val="15"/>
          <w:color w:val="auto"/>
        </w:rPr>
        <w:t>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56" w:lineRule="exact"/>
        <w:rPr>
          <w:sz w:val="20"/>
          <w:szCs w:val="20"/>
          <w:color w:val="auto"/>
        </w:rPr>
      </w:pPr>
    </w:p>
    <w:p>
      <w:pPr>
        <w:ind w:left="260" w:firstLine="458"/>
        <w:spacing w:after="0" w:line="286" w:lineRule="auto"/>
        <w:rPr>
          <w:sz w:val="20"/>
          <w:szCs w:val="20"/>
          <w:color w:val="auto"/>
        </w:rPr>
      </w:pPr>
      <w:r>
        <w:rPr>
          <w:rFonts w:ascii="Arial" w:cs="Arial" w:eastAsia="Arial" w:hAnsi="Arial"/>
          <w:sz w:val="15"/>
          <w:szCs w:val="15"/>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60" w:lineRule="exact"/>
        <w:rPr>
          <w:sz w:val="20"/>
          <w:szCs w:val="20"/>
          <w:color w:val="auto"/>
        </w:rPr>
      </w:pPr>
    </w:p>
    <w:p>
      <w:pPr>
        <w:ind w:left="260" w:right="140"/>
        <w:spacing w:after="0" w:line="293"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0" w:lineRule="exact"/>
        <w:rPr>
          <w:sz w:val="20"/>
          <w:szCs w:val="20"/>
          <w:color w:val="auto"/>
        </w:rPr>
      </w:pPr>
    </w:p>
    <w:p>
      <w:pPr>
        <w:ind w:left="260" w:firstLine="458"/>
        <w:spacing w:after="0" w:line="307" w:lineRule="auto"/>
        <w:rPr>
          <w:sz w:val="20"/>
          <w:szCs w:val="20"/>
          <w:color w:val="auto"/>
        </w:rPr>
      </w:pPr>
      <w:r>
        <w:rPr>
          <w:rFonts w:ascii="Arial" w:cs="Arial" w:eastAsia="Arial" w:hAnsi="Arial"/>
          <w:sz w:val="14"/>
          <w:szCs w:val="14"/>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58"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our patents and other intellectual property.</w:t>
      </w:r>
    </w:p>
    <w:p>
      <w:pPr>
        <w:spacing w:after="0" w:line="113" w:lineRule="exact"/>
        <w:rPr>
          <w:sz w:val="20"/>
          <w:szCs w:val="20"/>
          <w:color w:val="auto"/>
        </w:rPr>
      </w:pPr>
    </w:p>
    <w:p>
      <w:pPr>
        <w:ind w:left="260" w:right="540" w:firstLine="458"/>
        <w:spacing w:after="0" w:line="293"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65" w:lineRule="exact"/>
        <w:rPr>
          <w:sz w:val="20"/>
          <w:szCs w:val="20"/>
          <w:color w:val="auto"/>
        </w:rPr>
      </w:pPr>
    </w:p>
    <w:p>
      <w:pPr>
        <w:ind w:left="260" w:right="560"/>
        <w:spacing w:after="0" w:line="297" w:lineRule="auto"/>
        <w:rPr>
          <w:sz w:val="20"/>
          <w:szCs w:val="20"/>
          <w:color w:val="auto"/>
        </w:rPr>
      </w:pPr>
      <w:r>
        <w:rPr>
          <w:rFonts w:ascii="Arial" w:cs="Arial" w:eastAsia="Arial" w:hAnsi="Arial"/>
          <w:sz w:val="15"/>
          <w:szCs w:val="15"/>
          <w:color w:val="auto"/>
        </w:rPr>
        <w:t>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53" w:lineRule="exact"/>
        <w:rPr>
          <w:sz w:val="20"/>
          <w:szCs w:val="20"/>
          <w:color w:val="auto"/>
        </w:rPr>
      </w:pPr>
    </w:p>
    <w:p>
      <w:pPr>
        <w:ind w:left="260" w:right="200"/>
        <w:spacing w:after="0" w:line="369"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4" w:lineRule="exact"/>
        <w:rPr>
          <w:sz w:val="20"/>
          <w:szCs w:val="20"/>
          <w:color w:val="auto"/>
        </w:rPr>
      </w:pPr>
    </w:p>
    <w:p>
      <w:pPr>
        <w:ind w:left="260" w:firstLine="458"/>
        <w:spacing w:after="0" w:line="286" w:lineRule="auto"/>
        <w:rPr>
          <w:sz w:val="20"/>
          <w:szCs w:val="20"/>
          <w:color w:val="auto"/>
        </w:rPr>
      </w:pPr>
      <w:r>
        <w:rPr>
          <w:rFonts w:ascii="Arial" w:cs="Arial" w:eastAsia="Arial" w:hAnsi="Arial"/>
          <w:sz w:val="15"/>
          <w:szCs w:val="15"/>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52" w:lineRule="exact"/>
        <w:rPr>
          <w:sz w:val="20"/>
          <w:szCs w:val="20"/>
          <w:color w:val="auto"/>
        </w:rPr>
      </w:pPr>
    </w:p>
    <w:p>
      <w:pPr>
        <w:ind w:left="260" w:right="40" w:firstLine="458"/>
        <w:spacing w:after="0" w:line="271"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76"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113" w:lineRule="exact"/>
        <w:rPr>
          <w:sz w:val="20"/>
          <w:szCs w:val="20"/>
          <w:color w:val="auto"/>
        </w:rPr>
      </w:pPr>
    </w:p>
    <w:p>
      <w:pPr>
        <w:ind w:left="260" w:right="20" w:firstLine="464"/>
        <w:spacing w:after="0" w:line="286" w:lineRule="auto"/>
        <w:rPr>
          <w:sz w:val="20"/>
          <w:szCs w:val="20"/>
          <w:color w:val="auto"/>
        </w:rPr>
      </w:pPr>
      <w:r>
        <w:rPr>
          <w:rFonts w:ascii="Arial" w:cs="Arial" w:eastAsia="Arial" w:hAnsi="Arial"/>
          <w:sz w:val="15"/>
          <w:szCs w:val="15"/>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69" w:lineRule="exact"/>
        <w:rPr>
          <w:sz w:val="20"/>
          <w:szCs w:val="20"/>
          <w:color w:val="auto"/>
        </w:rPr>
      </w:pPr>
    </w:p>
    <w:p>
      <w:pPr>
        <w:ind w:left="260" w:right="20" w:firstLine="458"/>
        <w:spacing w:after="0" w:line="287" w:lineRule="auto"/>
        <w:rPr>
          <w:sz w:val="20"/>
          <w:szCs w:val="20"/>
          <w:color w:val="auto"/>
        </w:rPr>
      </w:pPr>
      <w:r>
        <w:rPr>
          <w:rFonts w:ascii="Arial" w:cs="Arial" w:eastAsia="Arial" w:hAnsi="Arial"/>
          <w:sz w:val="15"/>
          <w:szCs w:val="15"/>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5"/>
          <w:szCs w:val="15"/>
          <w:i w:val="1"/>
          <w:iCs w:val="1"/>
          <w:color w:val="auto"/>
        </w:rPr>
        <w:t>inter alia</w:t>
      </w:r>
      <w:r>
        <w:rPr>
          <w:rFonts w:ascii="Arial" w:cs="Arial" w:eastAsia="Arial" w:hAnsi="Arial"/>
          <w:sz w:val="15"/>
          <w:szCs w:val="15"/>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right="320"/>
        <w:spacing w:after="0" w:line="293" w:lineRule="auto"/>
        <w:rPr>
          <w:sz w:val="20"/>
          <w:szCs w:val="20"/>
          <w:color w:val="auto"/>
        </w:rPr>
      </w:pPr>
      <w:r>
        <w:rPr>
          <w:rFonts w:ascii="Arial" w:cs="Arial" w:eastAsia="Arial" w:hAnsi="Arial"/>
          <w:sz w:val="16"/>
          <w:szCs w:val="16"/>
          <w:color w:val="auto"/>
        </w:rPr>
        <w:t>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58"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27"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3" w:lineRule="exact"/>
        <w:rPr>
          <w:sz w:val="20"/>
          <w:szCs w:val="20"/>
          <w:color w:val="auto"/>
        </w:rPr>
      </w:pPr>
    </w:p>
    <w:p>
      <w:pPr>
        <w:ind w:left="260" w:right="100" w:firstLine="458"/>
        <w:spacing w:after="0" w:line="27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71" w:lineRule="exact"/>
        <w:rPr>
          <w:sz w:val="20"/>
          <w:szCs w:val="20"/>
          <w:color w:val="auto"/>
        </w:rPr>
      </w:pPr>
    </w:p>
    <w:p>
      <w:pPr>
        <w:ind w:left="260" w:right="500"/>
        <w:spacing w:after="0" w:line="369" w:lineRule="auto"/>
        <w:rPr>
          <w:sz w:val="20"/>
          <w:szCs w:val="20"/>
          <w:color w:val="auto"/>
        </w:rPr>
      </w:pPr>
      <w:r>
        <w:rPr>
          <w:rFonts w:ascii="Arial" w:cs="Arial" w:eastAsia="Arial" w:hAnsi="Arial"/>
          <w:sz w:val="14"/>
          <w:szCs w:val="14"/>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4" w:lineRule="exact"/>
        <w:rPr>
          <w:sz w:val="20"/>
          <w:szCs w:val="20"/>
          <w:color w:val="auto"/>
        </w:rPr>
      </w:pPr>
    </w:p>
    <w:p>
      <w:pPr>
        <w:ind w:left="260" w:right="80" w:firstLine="458"/>
        <w:spacing w:after="0" w:line="287" w:lineRule="auto"/>
        <w:rPr>
          <w:sz w:val="20"/>
          <w:szCs w:val="20"/>
          <w:color w:val="auto"/>
        </w:rPr>
      </w:pPr>
      <w:r>
        <w:rPr>
          <w:rFonts w:ascii="Arial" w:cs="Arial" w:eastAsia="Arial" w:hAnsi="Arial"/>
          <w:sz w:val="15"/>
          <w:szCs w:val="15"/>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127" w:lineRule="exact"/>
        <w:rPr>
          <w:sz w:val="20"/>
          <w:szCs w:val="20"/>
          <w:color w:val="auto"/>
        </w:rPr>
      </w:pPr>
    </w:p>
    <w:p>
      <w:pPr>
        <w:ind w:left="260" w:right="120" w:firstLine="458"/>
        <w:spacing w:after="0" w:line="309" w:lineRule="auto"/>
        <w:rPr>
          <w:sz w:val="20"/>
          <w:szCs w:val="20"/>
          <w:color w:val="auto"/>
        </w:rPr>
      </w:pPr>
      <w:r>
        <w:rPr>
          <w:rFonts w:ascii="Arial" w:cs="Arial" w:eastAsia="Arial" w:hAnsi="Arial"/>
          <w:sz w:val="14"/>
          <w:szCs w:val="14"/>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300" w:lineRule="exact"/>
        <w:rPr>
          <w:sz w:val="20"/>
          <w:szCs w:val="20"/>
          <w:color w:val="auto"/>
        </w:rPr>
      </w:pPr>
    </w:p>
    <w:p>
      <w:pPr>
        <w:ind w:left="260" w:right="120"/>
        <w:spacing w:after="0" w:line="369"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 w:lineRule="exact"/>
        <w:rPr>
          <w:sz w:val="20"/>
          <w:szCs w:val="20"/>
          <w:color w:val="auto"/>
        </w:rPr>
      </w:pPr>
    </w:p>
    <w:p>
      <w:pPr>
        <w:ind w:left="260" w:right="100" w:firstLine="458"/>
        <w:spacing w:after="0" w:line="285" w:lineRule="auto"/>
        <w:rPr>
          <w:sz w:val="20"/>
          <w:szCs w:val="20"/>
          <w:color w:val="auto"/>
        </w:rPr>
      </w:pPr>
      <w:r>
        <w:rPr>
          <w:rFonts w:ascii="Arial" w:cs="Arial" w:eastAsia="Arial" w:hAnsi="Arial"/>
          <w:sz w:val="15"/>
          <w:szCs w:val="15"/>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53" w:lineRule="exact"/>
        <w:rPr>
          <w:sz w:val="20"/>
          <w:szCs w:val="20"/>
          <w:color w:val="auto"/>
        </w:rPr>
      </w:pPr>
    </w:p>
    <w:p>
      <w:pPr>
        <w:ind w:left="260" w:right="160"/>
        <w:spacing w:after="0" w:line="278" w:lineRule="auto"/>
        <w:rPr>
          <w:sz w:val="20"/>
          <w:szCs w:val="20"/>
          <w:color w:val="auto"/>
        </w:rPr>
      </w:pPr>
      <w:r>
        <w:rPr>
          <w:rFonts w:ascii="Arial" w:cs="Arial" w:eastAsia="Arial" w:hAnsi="Arial"/>
          <w:sz w:val="16"/>
          <w:szCs w:val="16"/>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76" w:lineRule="exact"/>
        <w:rPr>
          <w:sz w:val="20"/>
          <w:szCs w:val="20"/>
          <w:color w:val="auto"/>
        </w:rPr>
      </w:pPr>
    </w:p>
    <w:p>
      <w:pPr>
        <w:ind w:left="260" w:firstLine="458"/>
        <w:spacing w:after="0" w:line="291" w:lineRule="auto"/>
        <w:rPr>
          <w:sz w:val="20"/>
          <w:szCs w:val="20"/>
          <w:color w:val="auto"/>
        </w:rPr>
      </w:pPr>
      <w:r>
        <w:rPr>
          <w:rFonts w:ascii="Arial" w:cs="Arial" w:eastAsia="Arial" w:hAnsi="Arial"/>
          <w:sz w:val="15"/>
          <w:szCs w:val="15"/>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44" w:lineRule="exact"/>
        <w:rPr>
          <w:sz w:val="20"/>
          <w:szCs w:val="20"/>
          <w:color w:val="auto"/>
        </w:rPr>
      </w:pPr>
    </w:p>
    <w:p>
      <w:pPr>
        <w:ind w:left="260" w:right="20"/>
        <w:spacing w:after="0" w:line="293"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left="260" w:right="80" w:firstLine="458"/>
        <w:spacing w:after="0" w:line="268"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Risks related to our common stock</w:t>
      </w:r>
    </w:p>
    <w:p>
      <w:pPr>
        <w:spacing w:after="0" w:line="131" w:lineRule="exact"/>
        <w:rPr>
          <w:sz w:val="20"/>
          <w:szCs w:val="20"/>
          <w:color w:val="auto"/>
        </w:rPr>
      </w:pPr>
    </w:p>
    <w:p>
      <w:pPr>
        <w:ind w:left="260" w:right="180"/>
        <w:spacing w:after="0" w:line="293" w:lineRule="auto"/>
        <w:rPr>
          <w:sz w:val="20"/>
          <w:szCs w:val="20"/>
          <w:color w:val="auto"/>
        </w:rPr>
      </w:pPr>
      <w:r>
        <w:rPr>
          <w:rFonts w:ascii="Arial" w:cs="Arial" w:eastAsia="Arial" w:hAnsi="Arial"/>
          <w:sz w:val="16"/>
          <w:szCs w:val="16"/>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50" w:lineRule="exact"/>
        <w:rPr>
          <w:sz w:val="20"/>
          <w:szCs w:val="20"/>
          <w:color w:val="auto"/>
        </w:rPr>
      </w:pPr>
    </w:p>
    <w:p>
      <w:pPr>
        <w:ind w:left="260" w:right="160" w:firstLine="458"/>
        <w:spacing w:after="0" w:line="293" w:lineRule="auto"/>
        <w:rPr>
          <w:sz w:val="20"/>
          <w:szCs w:val="20"/>
          <w:color w:val="auto"/>
        </w:rPr>
      </w:pPr>
      <w:r>
        <w:rPr>
          <w:rFonts w:ascii="Arial" w:cs="Arial" w:eastAsia="Arial" w:hAnsi="Arial"/>
          <w:sz w:val="16"/>
          <w:szCs w:val="16"/>
          <w:color w:val="auto"/>
        </w:rPr>
        <w:t>We expect our operating results to be subject to annual and quarterly fluctuations. Our net loss and other operating results will be affected by numerous factors, including, among others:</w:t>
      </w:r>
    </w:p>
    <w:p>
      <w:pPr>
        <w:spacing w:after="0" w:line="77" w:lineRule="exact"/>
        <w:rPr>
          <w:sz w:val="20"/>
          <w:szCs w:val="20"/>
          <w:color w:val="auto"/>
        </w:rPr>
      </w:pPr>
    </w:p>
    <w:p>
      <w:pPr>
        <w:ind w:left="1280" w:hanging="509"/>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variations in the level of expense related to the ongoing development of our product candidates or future development programs;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results of preclinical studies and clinical trials, or the addition or termination of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success of our existing collaborations and any potential additional collaborations, licensing or similar arrangements;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intellectual property infringement lawsuit or opposition, interference or cancellation proceeding in which we may become involved;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26" w:lineRule="exact"/>
        <w:rPr>
          <w:rFonts w:ascii="Arial" w:cs="Arial" w:eastAsia="Arial" w:hAnsi="Arial"/>
          <w:sz w:val="16"/>
          <w:szCs w:val="16"/>
          <w:color w:val="auto"/>
        </w:rPr>
      </w:pPr>
    </w:p>
    <w:p>
      <w:pPr>
        <w:ind w:left="1280" w:right="360" w:hanging="509"/>
        <w:spacing w:after="0" w:line="293" w:lineRule="auto"/>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strategic decisions by us or our competitors, such as acquisitions, divestitures, spin-offs, joint ventures, strategic investments or changes in business strategy;</w:t>
      </w:r>
    </w:p>
    <w:p>
      <w:pPr>
        <w:spacing w:after="0" w:line="63" w:lineRule="exact"/>
        <w:rPr>
          <w:rFonts w:ascii="Arial" w:cs="Arial" w:eastAsia="Arial" w:hAnsi="Arial"/>
          <w:sz w:val="16"/>
          <w:szCs w:val="16"/>
          <w:color w:val="auto"/>
        </w:rPr>
      </w:pPr>
    </w:p>
    <w:p>
      <w:pPr>
        <w:ind w:left="1280" w:right="740" w:hanging="509"/>
        <w:spacing w:after="0" w:line="293" w:lineRule="auto"/>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of our product candidates receives regulatory approval, the terms of such approval and market acceptance and demand for such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65" w:lineRule="exact"/>
        <w:rPr>
          <w:sz w:val="20"/>
          <w:szCs w:val="20"/>
          <w:color w:val="auto"/>
        </w:rPr>
      </w:pPr>
    </w:p>
    <w:p>
      <w:pPr>
        <w:ind w:left="1280" w:hanging="509"/>
        <w:spacing w:after="0"/>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regulatory developments affecting our product candidates or those of our competitors; and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general market and economic conditions.</w:t>
      </w:r>
    </w:p>
    <w:p>
      <w:pPr>
        <w:spacing w:after="0" w:line="208" w:lineRule="exact"/>
        <w:rPr>
          <w:sz w:val="20"/>
          <w:szCs w:val="20"/>
          <w:color w:val="auto"/>
        </w:rPr>
      </w:pPr>
    </w:p>
    <w:p>
      <w:pPr>
        <w:ind w:left="260" w:firstLine="491"/>
        <w:spacing w:after="0" w:line="293" w:lineRule="auto"/>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stock price may be volatile, and you could lose all or part of your investment.</w:t>
      </w:r>
    </w:p>
    <w:p>
      <w:pPr>
        <w:spacing w:after="0" w:line="113" w:lineRule="exact"/>
        <w:rPr>
          <w:sz w:val="20"/>
          <w:szCs w:val="20"/>
          <w:color w:val="auto"/>
        </w:rPr>
      </w:pPr>
    </w:p>
    <w:p>
      <w:pPr>
        <w:ind w:left="260" w:right="340" w:firstLine="458"/>
        <w:spacing w:after="0" w:line="293" w:lineRule="auto"/>
        <w:rPr>
          <w:sz w:val="20"/>
          <w:szCs w:val="20"/>
          <w:color w:val="auto"/>
        </w:rPr>
      </w:pPr>
      <w:r>
        <w:rPr>
          <w:rFonts w:ascii="Arial" w:cs="Arial" w:eastAsia="Arial" w:hAnsi="Arial"/>
          <w:sz w:val="16"/>
          <w:szCs w:val="16"/>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4" w:lineRule="exact"/>
        <w:rPr>
          <w:sz w:val="20"/>
          <w:szCs w:val="20"/>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timing and results of our clinical trials or those of our competitors;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 especially changes in laws or regulations applicable to our products;</w:t>
      </w:r>
    </w:p>
    <w:p>
      <w:pPr>
        <w:spacing w:after="0" w:line="138" w:lineRule="exact"/>
        <w:rPr>
          <w:rFonts w:ascii="Arial" w:cs="Arial" w:eastAsia="Arial" w:hAnsi="Arial"/>
          <w:sz w:val="15"/>
          <w:szCs w:val="15"/>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success of competitive products or technologies;</w:t>
      </w:r>
    </w:p>
    <w:p>
      <w:pPr>
        <w:spacing w:after="0" w:line="126" w:lineRule="exact"/>
        <w:rPr>
          <w:rFonts w:ascii="Arial" w:cs="Arial" w:eastAsia="Arial" w:hAnsi="Arial"/>
          <w:sz w:val="16"/>
          <w:szCs w:val="16"/>
          <w:color w:val="auto"/>
        </w:rPr>
      </w:pPr>
    </w:p>
    <w:p>
      <w:pPr>
        <w:ind w:left="1280" w:right="160" w:hanging="509"/>
        <w:spacing w:after="0" w:line="293"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introductions and announcements of new products by us, our current or future collaborators or our competitors, and the timing of these introductions or announcements;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of new collaboration agreements, or the restructuring or termination of current collaboration agreements;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actions taken by regulatory agencies with respect to our products, preclinical studies, clinical trials, manufacturing process or sales and marketing terms;</w:t>
      </w:r>
    </w:p>
    <w:p>
      <w:pPr>
        <w:spacing w:after="0" w:line="149" w:lineRule="exact"/>
        <w:rPr>
          <w:rFonts w:ascii="Arial" w:cs="Arial" w:eastAsia="Arial" w:hAnsi="Arial"/>
          <w:sz w:val="14"/>
          <w:szCs w:val="14"/>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variations in our financial results or those of companies that are perceived to be similar to us;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success of our efforts to acquire or in-license additional technologies, products or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concerning any future collaborations, including those regarding manufacturing, supply and commercialization of our products;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or capital commitments;</w:t>
      </w:r>
    </w:p>
    <w:p>
      <w:pPr>
        <w:spacing w:after="0" w:line="126" w:lineRule="exact"/>
        <w:rPr>
          <w:rFonts w:ascii="Arial" w:cs="Arial" w:eastAsia="Arial" w:hAnsi="Arial"/>
          <w:sz w:val="16"/>
          <w:szCs w:val="16"/>
          <w:color w:val="auto"/>
        </w:rPr>
      </w:pPr>
    </w:p>
    <w:p>
      <w:pPr>
        <w:ind w:left="1280" w:right="220" w:hanging="509"/>
        <w:spacing w:after="0" w:line="293"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or disputes concerning patents or other proprietary rights, including patents, litigation matters and our ability to obtain patent protection for our products;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ability or inability to raise additional capital and the terms on which we raise it;</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26" w:lineRule="exact"/>
        <w:rPr>
          <w:rFonts w:ascii="Arial" w:cs="Arial" w:eastAsia="Arial" w:hAnsi="Arial"/>
          <w:sz w:val="16"/>
          <w:szCs w:val="16"/>
          <w:color w:val="auto"/>
        </w:rPr>
      </w:pPr>
    </w:p>
    <w:p>
      <w:pPr>
        <w:ind w:left="1280" w:right="100" w:hanging="509"/>
        <w:spacing w:after="0" w:line="293"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changes in earnings estimates or changes in stock market analyst recommendations regarding our common stock, other comparable companies or our industry generally;</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 and expectation of additional financing efforts;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trading volume of our common stock;</w:t>
      </w:r>
    </w:p>
    <w:p>
      <w:pPr>
        <w:spacing w:after="0" w:line="126" w:lineRule="exact"/>
        <w:rPr>
          <w:rFonts w:ascii="Arial" w:cs="Arial" w:eastAsia="Arial" w:hAnsi="Arial"/>
          <w:sz w:val="16"/>
          <w:szCs w:val="16"/>
          <w:color w:val="auto"/>
        </w:rPr>
      </w:pPr>
    </w:p>
    <w:p>
      <w:pPr>
        <w:ind w:left="1320" w:hanging="549"/>
        <w:spacing w:after="0"/>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stockholders;</w:t>
      </w:r>
    </w:p>
    <w:p>
      <w:pPr>
        <w:spacing w:after="0" w:line="126" w:lineRule="exact"/>
        <w:rPr>
          <w:rFonts w:ascii="Arial" w:cs="Arial" w:eastAsia="Arial" w:hAnsi="Arial"/>
          <w:sz w:val="16"/>
          <w:szCs w:val="16"/>
          <w:color w:val="auto"/>
        </w:rPr>
      </w:pPr>
    </w:p>
    <w:p>
      <w:pPr>
        <w:ind w:left="1320" w:hanging="549"/>
        <w:spacing w:after="0"/>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expiration of market stand-off or lock-up agreements;</w:t>
      </w:r>
    </w:p>
    <w:p>
      <w:pPr>
        <w:spacing w:after="0" w:line="126" w:lineRule="exact"/>
        <w:rPr>
          <w:rFonts w:ascii="Arial" w:cs="Arial" w:eastAsia="Arial" w:hAnsi="Arial"/>
          <w:sz w:val="16"/>
          <w:szCs w:val="16"/>
          <w:color w:val="auto"/>
        </w:rPr>
      </w:pPr>
    </w:p>
    <w:p>
      <w:pPr>
        <w:ind w:left="1320" w:hanging="549"/>
        <w:spacing w:after="0"/>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concentrated ownership of our common stock;</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terrorist acts, acts of war or periods of widespread civil unrest;</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impact of any natural disasters or public health emergencies, such as the COVID-19 pandemic; and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industry and market conditions.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80" w:firstLine="458"/>
        <w:spacing w:after="0" w:line="278"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future issuance of equity or of debt securities that are convertible into equity will dilute our share capital.</w:t>
      </w:r>
    </w:p>
    <w:p>
      <w:pPr>
        <w:spacing w:after="0" w:line="113"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1" w:lineRule="exact"/>
        <w:rPr>
          <w:sz w:val="20"/>
          <w:szCs w:val="20"/>
          <w:color w:val="auto"/>
        </w:rPr>
      </w:pPr>
    </w:p>
    <w:p>
      <w:pPr>
        <w:ind w:left="260" w:right="140"/>
        <w:spacing w:after="0" w:line="293" w:lineRule="auto"/>
        <w:rPr>
          <w:sz w:val="20"/>
          <w:szCs w:val="20"/>
          <w:color w:val="auto"/>
        </w:rPr>
      </w:pPr>
      <w:r>
        <w:rPr>
          <w:rFonts w:ascii="Arial" w:cs="Arial" w:eastAsia="Arial" w:hAnsi="Arial"/>
          <w:sz w:val="16"/>
          <w:szCs w:val="16"/>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50" w:lineRule="exact"/>
        <w:rPr>
          <w:sz w:val="20"/>
          <w:szCs w:val="20"/>
          <w:color w:val="auto"/>
        </w:rPr>
      </w:pPr>
    </w:p>
    <w:p>
      <w:pPr>
        <w:ind w:left="260" w:right="40" w:firstLine="458"/>
        <w:spacing w:after="0" w:line="287" w:lineRule="auto"/>
        <w:rPr>
          <w:sz w:val="20"/>
          <w:szCs w:val="20"/>
          <w:color w:val="auto"/>
        </w:rPr>
      </w:pPr>
      <w:r>
        <w:rPr>
          <w:rFonts w:ascii="Arial" w:cs="Arial" w:eastAsia="Arial" w:hAnsi="Arial"/>
          <w:sz w:val="15"/>
          <w:szCs w:val="15"/>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63" w:lineRule="exact"/>
        <w:rPr>
          <w:sz w:val="20"/>
          <w:szCs w:val="20"/>
          <w:color w:val="auto"/>
        </w:rPr>
      </w:pPr>
    </w:p>
    <w:p>
      <w:pPr>
        <w:ind w:left="260" w:right="160"/>
        <w:spacing w:after="0" w:line="293"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0" w:lineRule="exact"/>
        <w:rPr>
          <w:sz w:val="20"/>
          <w:szCs w:val="20"/>
          <w:color w:val="auto"/>
        </w:rPr>
      </w:pPr>
    </w:p>
    <w:p>
      <w:pPr>
        <w:ind w:left="260" w:right="160" w:firstLine="458"/>
        <w:spacing w:after="0" w:line="293"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43" w:lineRule="exact"/>
        <w:rPr>
          <w:sz w:val="20"/>
          <w:szCs w:val="20"/>
          <w:color w:val="auto"/>
        </w:rPr>
      </w:pPr>
    </w:p>
    <w:p>
      <w:pPr>
        <w:ind w:left="260" w:right="76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64" w:lineRule="exact"/>
        <w:rPr>
          <w:sz w:val="20"/>
          <w:szCs w:val="20"/>
          <w:color w:val="auto"/>
        </w:rPr>
      </w:pPr>
    </w:p>
    <w:p>
      <w:pPr>
        <w:ind w:left="260" w:right="120" w:firstLine="458"/>
        <w:spacing w:after="0" w:line="273" w:lineRule="auto"/>
        <w:rPr>
          <w:sz w:val="20"/>
          <w:szCs w:val="20"/>
          <w:color w:val="auto"/>
        </w:rPr>
      </w:pPr>
      <w:r>
        <w:rPr>
          <w:rFonts w:ascii="Arial" w:cs="Arial" w:eastAsia="Arial" w:hAnsi="Arial"/>
          <w:sz w:val="16"/>
          <w:szCs w:val="16"/>
          <w:color w:val="auto"/>
        </w:rPr>
        <w:t>As of December 31, 2022, executive officers and directors, together with holders of 5% or more of our outstanding common stock and their respective affiliates, beneficially own approximately 30.9% of our outstanding common stock. More specifically, Jay M. Short, Ph.D, our Chairman and Chief Executive Officer, together with his spouse, Carolyn Anderson Short, our former Chief of Intellectual Property and Strategy and Assistant Secretary, beneficially own approximately 6.3%, of our outstanding common stock, as of December 31, 2022.</w:t>
      </w:r>
    </w:p>
    <w:p>
      <w:pPr>
        <w:spacing w:after="0" w:line="67" w:lineRule="exact"/>
        <w:rPr>
          <w:sz w:val="20"/>
          <w:szCs w:val="20"/>
          <w:color w:val="auto"/>
        </w:rPr>
      </w:pPr>
    </w:p>
    <w:p>
      <w:pPr>
        <w:ind w:left="260" w:right="60" w:firstLine="458"/>
        <w:spacing w:after="0" w:line="315" w:lineRule="auto"/>
        <w:rPr>
          <w:sz w:val="20"/>
          <w:szCs w:val="20"/>
          <w:color w:val="auto"/>
        </w:rPr>
      </w:pPr>
      <w:r>
        <w:rPr>
          <w:rFonts w:ascii="Arial" w:cs="Arial" w:eastAsia="Arial" w:hAnsi="Arial"/>
          <w:sz w:val="14"/>
          <w:szCs w:val="14"/>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44" w:lineRule="exact"/>
        <w:rPr>
          <w:sz w:val="20"/>
          <w:szCs w:val="20"/>
          <w:color w:val="auto"/>
        </w:rPr>
      </w:pPr>
    </w:p>
    <w:p>
      <w:pPr>
        <w:ind w:left="260" w:right="120"/>
        <w:spacing w:after="0" w:line="297" w:lineRule="auto"/>
        <w:rPr>
          <w:sz w:val="20"/>
          <w:szCs w:val="20"/>
          <w:color w:val="auto"/>
        </w:rPr>
      </w:pPr>
      <w:r>
        <w:rPr>
          <w:rFonts w:ascii="Arial" w:cs="Arial" w:eastAsia="Arial" w:hAnsi="Arial"/>
          <w:sz w:val="15"/>
          <w:szCs w:val="15"/>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a manager of Inversagen, LLC and BioAtla Holdings, LLC and a director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127" w:lineRule="exact"/>
        <w:rPr>
          <w:sz w:val="20"/>
          <w:szCs w:val="20"/>
          <w:color w:val="auto"/>
        </w:rPr>
      </w:pPr>
    </w:p>
    <w:p>
      <w:pPr>
        <w:ind w:left="260" w:firstLine="458"/>
        <w:spacing w:after="0" w:line="293" w:lineRule="auto"/>
        <w:rPr>
          <w:sz w:val="20"/>
          <w:szCs w:val="20"/>
          <w:color w:val="auto"/>
        </w:rPr>
      </w:pPr>
      <w:r>
        <w:rPr>
          <w:rFonts w:ascii="Arial" w:cs="Arial" w:eastAsia="Arial" w:hAnsi="Arial"/>
          <w:sz w:val="16"/>
          <w:szCs w:val="16"/>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 a time and price that we deem appropriate.</w:t>
      </w:r>
    </w:p>
    <w:p>
      <w:pPr>
        <w:spacing w:after="0" w:line="316" w:lineRule="exact"/>
        <w:rPr>
          <w:sz w:val="20"/>
          <w:szCs w:val="20"/>
          <w:color w:val="auto"/>
        </w:rPr>
      </w:pPr>
    </w:p>
    <w:p>
      <w:pPr>
        <w:ind w:left="260" w:firstLine="458"/>
        <w:spacing w:after="0" w:line="273" w:lineRule="auto"/>
        <w:rPr>
          <w:sz w:val="20"/>
          <w:szCs w:val="20"/>
          <w:color w:val="auto"/>
        </w:rPr>
      </w:pPr>
      <w:r>
        <w:rPr>
          <w:rFonts w:ascii="Arial" w:cs="Arial" w:eastAsia="Arial" w:hAnsi="Arial"/>
          <w:sz w:val="16"/>
          <w:szCs w:val="16"/>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270" w:lineRule="exact"/>
        <w:rPr>
          <w:sz w:val="20"/>
          <w:szCs w:val="20"/>
          <w:color w:val="auto"/>
        </w:rPr>
      </w:pPr>
    </w:p>
    <w:p>
      <w:pPr>
        <w:ind w:left="260" w:right="240"/>
        <w:spacing w:after="0" w:line="273" w:lineRule="auto"/>
        <w:rPr>
          <w:sz w:val="20"/>
          <w:szCs w:val="20"/>
          <w:color w:val="auto"/>
        </w:rPr>
      </w:pPr>
      <w:r>
        <w:rPr>
          <w:rFonts w:ascii="Arial" w:cs="Arial" w:eastAsia="Arial" w:hAnsi="Arial"/>
          <w:sz w:val="16"/>
          <w:szCs w:val="16"/>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70" w:lineRule="exact"/>
        <w:rPr>
          <w:sz w:val="20"/>
          <w:szCs w:val="20"/>
          <w:color w:val="auto"/>
        </w:rPr>
      </w:pPr>
    </w:p>
    <w:p>
      <w:pPr>
        <w:ind w:left="260" w:right="300"/>
        <w:spacing w:after="0" w:line="293"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0" w:lineRule="exact"/>
        <w:rPr>
          <w:sz w:val="20"/>
          <w:szCs w:val="20"/>
          <w:color w:val="auto"/>
        </w:rPr>
      </w:pPr>
    </w:p>
    <w:p>
      <w:pPr>
        <w:ind w:left="260" w:right="60" w:firstLine="458"/>
        <w:spacing w:after="0" w:line="324" w:lineRule="auto"/>
        <w:rPr>
          <w:sz w:val="20"/>
          <w:szCs w:val="20"/>
          <w:color w:val="auto"/>
        </w:rPr>
      </w:pPr>
      <w:r>
        <w:rPr>
          <w:rFonts w:ascii="Arial" w:cs="Arial" w:eastAsia="Arial" w:hAnsi="Arial"/>
          <w:sz w:val="14"/>
          <w:szCs w:val="14"/>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49" w:lineRule="exact"/>
        <w:rPr>
          <w:sz w:val="20"/>
          <w:szCs w:val="20"/>
          <w:color w:val="auto"/>
        </w:rPr>
      </w:pPr>
    </w:p>
    <w:p>
      <w:pPr>
        <w:ind w:left="1280" w:hanging="50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prohibition on actions by our stockholders by written consent;</w:t>
      </w:r>
    </w:p>
    <w:p>
      <w:pPr>
        <w:spacing w:after="0" w:line="126" w:lineRule="exact"/>
        <w:rPr>
          <w:rFonts w:ascii="Arial" w:cs="Arial" w:eastAsia="Arial" w:hAnsi="Arial"/>
          <w:sz w:val="16"/>
          <w:szCs w:val="16"/>
          <w:color w:val="auto"/>
        </w:rPr>
      </w:pPr>
    </w:p>
    <w:p>
      <w:pPr>
        <w:ind w:left="1280" w:right="140" w:hanging="509"/>
        <w:spacing w:after="0" w:line="293"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requirement that directors may only be removed “for cause” and only with 66 2/3% voting stock of our stockholders;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requirement that only the board of directors may change the number of directors and fill vacancies on the board;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division of our board of directors into three classes, serving staggered terms of three years each; and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with such terms as the board of directors may determine.</w:t>
      </w:r>
    </w:p>
    <w:p>
      <w:pPr>
        <w:spacing w:after="0" w:line="221" w:lineRule="exact"/>
        <w:rPr>
          <w:sz w:val="20"/>
          <w:szCs w:val="20"/>
          <w:color w:val="auto"/>
        </w:rPr>
      </w:pPr>
    </w:p>
    <w:p>
      <w:pPr>
        <w:ind w:left="260" w:right="100" w:firstLine="458"/>
        <w:spacing w:after="0" w:line="297"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40" w:lineRule="exact"/>
        <w:rPr>
          <w:sz w:val="20"/>
          <w:szCs w:val="20"/>
          <w:color w:val="auto"/>
        </w:rPr>
      </w:pPr>
    </w:p>
    <w:p>
      <w:pPr>
        <w:ind w:left="260" w:right="200"/>
        <w:spacing w:after="0" w:line="293" w:lineRule="auto"/>
        <w:rPr>
          <w:sz w:val="20"/>
          <w:szCs w:val="20"/>
          <w:color w:val="auto"/>
        </w:rPr>
      </w:pPr>
      <w:r>
        <w:rPr>
          <w:rFonts w:ascii="Arial" w:cs="Arial" w:eastAsia="Arial" w:hAnsi="Arial"/>
          <w:sz w:val="16"/>
          <w:szCs w:val="16"/>
          <w:b w:val="1"/>
          <w:bCs w:val="1"/>
          <w:i w:val="1"/>
          <w:iCs w:val="1"/>
          <w:color w:val="auto"/>
        </w:rPr>
        <w:t>The Company’s ability to attract and retain qualified members of our board of directors may be impacted due to new state laws, including recently enacted gender quotas.</w:t>
      </w:r>
    </w:p>
    <w:p>
      <w:pPr>
        <w:spacing w:after="0" w:line="50" w:lineRule="exact"/>
        <w:rPr>
          <w:sz w:val="20"/>
          <w:szCs w:val="20"/>
          <w:color w:val="auto"/>
        </w:rPr>
      </w:pPr>
    </w:p>
    <w:p>
      <w:pPr>
        <w:ind w:left="260" w:right="240" w:firstLine="458"/>
        <w:spacing w:after="0" w:line="305" w:lineRule="auto"/>
        <w:rPr>
          <w:sz w:val="20"/>
          <w:szCs w:val="20"/>
          <w:color w:val="auto"/>
        </w:rPr>
      </w:pPr>
      <w:r>
        <w:rPr>
          <w:rFonts w:ascii="Arial" w:cs="Arial" w:eastAsia="Arial" w:hAnsi="Arial"/>
          <w:sz w:val="15"/>
          <w:szCs w:val="15"/>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355" w:lineRule="exact"/>
        <w:rPr>
          <w:sz w:val="20"/>
          <w:szCs w:val="20"/>
          <w:color w:val="auto"/>
        </w:rPr>
      </w:pPr>
    </w:p>
    <w:p>
      <w:pPr>
        <w:ind w:left="260" w:right="160" w:firstLine="464"/>
        <w:spacing w:after="0" w:line="305" w:lineRule="auto"/>
        <w:rPr>
          <w:sz w:val="20"/>
          <w:szCs w:val="20"/>
          <w:color w:val="auto"/>
        </w:rPr>
      </w:pPr>
      <w:r>
        <w:rPr>
          <w:rFonts w:ascii="Arial" w:cs="Arial" w:eastAsia="Arial" w:hAnsi="Arial"/>
          <w:sz w:val="15"/>
          <w:szCs w:val="15"/>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341" w:lineRule="exact"/>
        <w:rPr>
          <w:sz w:val="20"/>
          <w:szCs w:val="20"/>
          <w:color w:val="auto"/>
        </w:rPr>
      </w:pPr>
    </w:p>
    <w:p>
      <w:pPr>
        <w:ind w:left="260" w:right="580" w:firstLine="464"/>
        <w:spacing w:after="0" w:line="293" w:lineRule="auto"/>
        <w:rPr>
          <w:sz w:val="20"/>
          <w:szCs w:val="20"/>
          <w:color w:val="auto"/>
        </w:rPr>
      </w:pPr>
      <w:r>
        <w:rPr>
          <w:rFonts w:ascii="Arial" w:cs="Arial" w:eastAsia="Arial" w:hAnsi="Arial"/>
          <w:sz w:val="16"/>
          <w:szCs w:val="16"/>
          <w:color w:val="auto"/>
        </w:rPr>
        <w:t>In addition to that initial 2021 requirement, the law mandates that the number of directors from underrepresented communities be increased by the end of calendar year 2022, depending on the size of the board.</w:t>
      </w:r>
    </w:p>
    <w:p>
      <w:pPr>
        <w:spacing w:after="0" w:line="158" w:lineRule="exact"/>
        <w:rPr>
          <w:sz w:val="20"/>
          <w:szCs w:val="20"/>
          <w:color w:val="auto"/>
        </w:rPr>
      </w:pPr>
    </w:p>
    <w:p>
      <w:pPr>
        <w:ind w:left="260" w:right="180" w:firstLine="464"/>
        <w:spacing w:after="0" w:line="293" w:lineRule="auto"/>
        <w:rPr>
          <w:sz w:val="20"/>
          <w:szCs w:val="20"/>
          <w:color w:val="auto"/>
        </w:rPr>
      </w:pPr>
      <w:r>
        <w:rPr>
          <w:rFonts w:ascii="Arial" w:cs="Arial" w:eastAsia="Arial" w:hAnsi="Arial"/>
          <w:sz w:val="16"/>
          <w:szCs w:val="16"/>
          <w:color w:val="auto"/>
        </w:rPr>
        <w:t>Each of these measures has been challenged in court, and although judges of the California Superior Court ruled that AB 979 and SB 826 violate the California constitution in April 2022 and May 2022, respectively, the Secretary of State of the State of California has appealed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rulings, and the ultimate enforceability of these or similar laws remains uncertain.</w:t>
      </w:r>
    </w:p>
    <w:p>
      <w:pPr>
        <w:spacing w:after="0" w:line="200" w:lineRule="exact"/>
        <w:rPr>
          <w:sz w:val="20"/>
          <w:szCs w:val="20"/>
          <w:color w:val="auto"/>
        </w:rPr>
      </w:pPr>
    </w:p>
    <w:p>
      <w:pPr>
        <w:spacing w:after="0" w:line="224" w:lineRule="exact"/>
        <w:rPr>
          <w:sz w:val="20"/>
          <w:szCs w:val="20"/>
          <w:color w:val="auto"/>
        </w:rPr>
      </w:pPr>
    </w:p>
    <w:p>
      <w:pPr>
        <w:ind w:left="260" w:right="40" w:firstLine="464"/>
        <w:spacing w:after="0" w:line="273" w:lineRule="auto"/>
        <w:rPr>
          <w:sz w:val="20"/>
          <w:szCs w:val="20"/>
          <w:color w:val="auto"/>
        </w:rPr>
      </w:pPr>
      <w:r>
        <w:rPr>
          <w:rFonts w:ascii="Arial" w:cs="Arial" w:eastAsia="Arial" w:hAnsi="Arial"/>
          <w:sz w:val="16"/>
          <w:szCs w:val="16"/>
          <w:color w:val="auto"/>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spacing w:after="0" w:line="364" w:lineRule="exact"/>
        <w:rPr>
          <w:sz w:val="20"/>
          <w:szCs w:val="20"/>
          <w:color w:val="auto"/>
        </w:rPr>
      </w:pPr>
    </w:p>
    <w:p>
      <w:pPr>
        <w:ind w:left="260" w:right="100" w:firstLine="464"/>
        <w:spacing w:after="0" w:line="305" w:lineRule="auto"/>
        <w:rPr>
          <w:sz w:val="20"/>
          <w:szCs w:val="20"/>
          <w:color w:val="auto"/>
        </w:rPr>
      </w:pPr>
      <w:r>
        <w:rPr>
          <w:rFonts w:ascii="Arial" w:cs="Arial" w:eastAsia="Arial" w:hAnsi="Arial"/>
          <w:sz w:val="15"/>
          <w:szCs w:val="15"/>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200" w:lineRule="exact"/>
        <w:rPr>
          <w:sz w:val="20"/>
          <w:szCs w:val="20"/>
          <w:color w:val="auto"/>
        </w:rPr>
      </w:pPr>
    </w:p>
    <w:p>
      <w:pPr>
        <w:spacing w:after="0" w:line="249" w:lineRule="exact"/>
        <w:rPr>
          <w:sz w:val="20"/>
          <w:szCs w:val="20"/>
          <w:color w:val="auto"/>
        </w:rPr>
      </w:pPr>
    </w:p>
    <w:p>
      <w:pPr>
        <w:jc w:val="both"/>
        <w:ind w:left="260" w:right="200"/>
        <w:spacing w:after="0" w:line="278" w:lineRule="auto"/>
        <w:rPr>
          <w:sz w:val="20"/>
          <w:szCs w:val="20"/>
          <w:color w:val="auto"/>
        </w:rPr>
      </w:pPr>
      <w:r>
        <w:rPr>
          <w:rFonts w:ascii="Arial" w:cs="Arial" w:eastAsia="Arial" w:hAnsi="Arial"/>
          <w:sz w:val="16"/>
          <w:szCs w:val="16"/>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63" w:lineRule="exact"/>
        <w:rPr>
          <w:sz w:val="20"/>
          <w:szCs w:val="20"/>
          <w:color w:val="auto"/>
        </w:rPr>
      </w:pPr>
    </w:p>
    <w:p>
      <w:pPr>
        <w:ind w:left="260" w:right="40" w:firstLine="458"/>
        <w:spacing w:after="0" w:line="286" w:lineRule="auto"/>
        <w:rPr>
          <w:sz w:val="20"/>
          <w:szCs w:val="20"/>
          <w:color w:val="auto"/>
        </w:rPr>
      </w:pPr>
      <w:r>
        <w:rPr>
          <w:rFonts w:ascii="Arial" w:cs="Arial" w:eastAsia="Arial" w:hAnsi="Arial"/>
          <w:sz w:val="15"/>
          <w:szCs w:val="15"/>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more time-consuming and costly. For example, compared to our prior private company status, these rules and regulations make it more difficult and more expensive for us to obtain director and officer liability insurance, and required us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2" w:lineRule="exact"/>
        <w:rPr>
          <w:sz w:val="20"/>
          <w:szCs w:val="20"/>
          <w:color w:val="auto"/>
        </w:rPr>
      </w:pPr>
    </w:p>
    <w:p>
      <w:pPr>
        <w:ind w:left="260" w:firstLine="458"/>
        <w:spacing w:after="0" w:line="285" w:lineRule="auto"/>
        <w:rPr>
          <w:sz w:val="20"/>
          <w:szCs w:val="20"/>
          <w:color w:val="auto"/>
        </w:rPr>
      </w:pPr>
      <w:r>
        <w:rPr>
          <w:rFonts w:ascii="Arial" w:cs="Arial" w:eastAsia="Arial" w:hAnsi="Arial"/>
          <w:sz w:val="15"/>
          <w:szCs w:val="15"/>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once we cease to be a smaller reporting company with less than $100 million in annual revenue,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 Beginning January 1, 2023, we will be a smaller reporting company and therefore, will no longer be required to include an attestation report on internal control over financial reporting by our independent registered public accounting firm for as long as we remain a smaller reporting company.</w:t>
      </w:r>
    </w:p>
    <w:p>
      <w:pPr>
        <w:spacing w:after="0" w:line="172" w:lineRule="exact"/>
        <w:rPr>
          <w:sz w:val="20"/>
          <w:szCs w:val="20"/>
          <w:color w:val="auto"/>
        </w:rPr>
      </w:pPr>
    </w:p>
    <w:p>
      <w:pPr>
        <w:ind w:left="260" w:right="180" w:firstLine="458"/>
        <w:spacing w:after="0" w:line="273"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62" w:lineRule="exact"/>
        <w:rPr>
          <w:sz w:val="20"/>
          <w:szCs w:val="20"/>
          <w:color w:val="auto"/>
        </w:rPr>
      </w:pPr>
    </w:p>
    <w:p>
      <w:pPr>
        <w:ind w:left="260" w:right="20" w:firstLine="458"/>
        <w:spacing w:after="0" w:line="297" w:lineRule="auto"/>
        <w:rPr>
          <w:sz w:val="20"/>
          <w:szCs w:val="20"/>
          <w:color w:val="auto"/>
        </w:rPr>
      </w:pPr>
      <w:r>
        <w:rPr>
          <w:rFonts w:ascii="Arial" w:cs="Arial" w:eastAsia="Arial" w:hAnsi="Arial"/>
          <w:sz w:val="15"/>
          <w:szCs w:val="15"/>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13" w:lineRule="exact"/>
        <w:rPr>
          <w:sz w:val="20"/>
          <w:szCs w:val="20"/>
          <w:color w:val="auto"/>
        </w:rPr>
      </w:pPr>
    </w:p>
    <w:p>
      <w:pPr>
        <w:ind w:left="260" w:right="620" w:firstLine="458"/>
        <w:spacing w:after="0" w:line="293" w:lineRule="auto"/>
        <w:rPr>
          <w:sz w:val="20"/>
          <w:szCs w:val="20"/>
          <w:color w:val="auto"/>
        </w:rPr>
      </w:pPr>
      <w:r>
        <w:rPr>
          <w:rFonts w:ascii="Arial" w:cs="Arial" w:eastAsia="Arial" w:hAnsi="Arial"/>
          <w:sz w:val="16"/>
          <w:szCs w:val="16"/>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right="200"/>
        <w:spacing w:after="0" w:line="278" w:lineRule="auto"/>
        <w:rPr>
          <w:sz w:val="20"/>
          <w:szCs w:val="20"/>
          <w:color w:val="auto"/>
        </w:rPr>
      </w:pPr>
      <w:r>
        <w:rPr>
          <w:rFonts w:ascii="Arial" w:cs="Arial" w:eastAsia="Arial" w:hAnsi="Arial"/>
          <w:sz w:val="16"/>
          <w:szCs w:val="16"/>
          <w:color w:val="auto"/>
        </w:rPr>
        <w:t>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These inherent limitations include the facts that judgments in decision-making can be faulty and that breakdowns can occur because of simple error or mistake.</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Additionally, controls can be circumvented by the individual acts of some persons, by collusion of two or more people or by an unauthorized override of the controls.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Accordingly, because of the inherent limitations in our control system, misstatements due to error or fraud may occur and not be detected.</w:t>
      </w:r>
    </w:p>
    <w:p>
      <w:pPr>
        <w:spacing w:after="0" w:line="312" w:lineRule="exact"/>
        <w:rPr>
          <w:sz w:val="20"/>
          <w:szCs w:val="20"/>
          <w:color w:val="auto"/>
        </w:rPr>
      </w:pPr>
    </w:p>
    <w:p>
      <w:pPr>
        <w:ind w:left="260" w:right="440" w:firstLine="31"/>
        <w:spacing w:after="0" w:line="293"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0" w:lineRule="exact"/>
        <w:rPr>
          <w:sz w:val="20"/>
          <w:szCs w:val="20"/>
          <w:color w:val="auto"/>
        </w:rPr>
      </w:pPr>
    </w:p>
    <w:p>
      <w:pPr>
        <w:ind w:left="260" w:right="40" w:firstLine="458"/>
        <w:spacing w:after="0" w:line="278"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our management’s attention.</w:t>
      </w:r>
    </w:p>
    <w:p>
      <w:pPr>
        <w:spacing w:after="0" w:line="113" w:lineRule="exact"/>
        <w:rPr>
          <w:sz w:val="20"/>
          <w:szCs w:val="20"/>
          <w:color w:val="auto"/>
        </w:rPr>
      </w:pPr>
    </w:p>
    <w:p>
      <w:pPr>
        <w:ind w:left="260" w:right="80" w:firstLine="458"/>
        <w:spacing w:after="0" w:line="278" w:lineRule="auto"/>
        <w:rPr>
          <w:sz w:val="20"/>
          <w:szCs w:val="20"/>
          <w:color w:val="auto"/>
        </w:rPr>
      </w:pPr>
      <w:r>
        <w:rPr>
          <w:rFonts w:ascii="Arial" w:cs="Arial" w:eastAsia="Arial" w:hAnsi="Arial"/>
          <w:sz w:val="16"/>
          <w:szCs w:val="16"/>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65" w:lineRule="exact"/>
        <w:rPr>
          <w:sz w:val="20"/>
          <w:szCs w:val="20"/>
          <w:color w:val="auto"/>
        </w:rPr>
      </w:pPr>
    </w:p>
    <w:p>
      <w:pPr>
        <w:ind w:left="260"/>
        <w:spacing w:after="0" w:line="278" w:lineRule="auto"/>
        <w:rPr>
          <w:sz w:val="20"/>
          <w:szCs w:val="20"/>
          <w:color w:val="auto"/>
        </w:rPr>
      </w:pPr>
      <w:r>
        <w:rPr>
          <w:rFonts w:ascii="Arial" w:cs="Arial" w:eastAsia="Arial" w:hAnsi="Arial"/>
          <w:sz w:val="16"/>
          <w:szCs w:val="16"/>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3" w:lineRule="exact"/>
        <w:rPr>
          <w:sz w:val="20"/>
          <w:szCs w:val="20"/>
          <w:color w:val="auto"/>
        </w:rPr>
      </w:pPr>
    </w:p>
    <w:p>
      <w:pPr>
        <w:ind w:left="260" w:right="40" w:firstLine="458"/>
        <w:spacing w:after="0" w:line="306"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ITEM 1B. Unresolved Staff Comments</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 applicable.</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2. Properties</w:t>
      </w:r>
    </w:p>
    <w:p>
      <w:pPr>
        <w:spacing w:after="0" w:line="117" w:lineRule="exact"/>
        <w:rPr>
          <w:sz w:val="20"/>
          <w:szCs w:val="20"/>
          <w:color w:val="auto"/>
        </w:rPr>
      </w:pPr>
    </w:p>
    <w:p>
      <w:pPr>
        <w:ind w:left="260" w:right="180" w:firstLine="458"/>
        <w:spacing w:after="0" w:line="278" w:lineRule="auto"/>
        <w:rPr>
          <w:sz w:val="20"/>
          <w:szCs w:val="20"/>
          <w:color w:val="auto"/>
        </w:rPr>
      </w:pPr>
      <w:r>
        <w:rPr>
          <w:rFonts w:ascii="Arial" w:cs="Arial" w:eastAsia="Arial" w:hAnsi="Arial"/>
          <w:sz w:val="16"/>
          <w:szCs w:val="16"/>
          <w:color w:val="auto"/>
        </w:rPr>
        <w:t>Our headquarters are located at 11085 Torreyana Road, San Diego, California 92121, where we lease approximately 43,377 square feet of office and laboratory space under a lease that terminates on February 28, 2025. We believe that our existing facilities are adequate to meet our current needs, and that suitable additional alternative spaces will be available in the future on commercially reasonable terms.</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3. Legal Proceedings</w:t>
      </w:r>
    </w:p>
    <w:p>
      <w:pPr>
        <w:spacing w:after="0" w:line="117" w:lineRule="exact"/>
        <w:rPr>
          <w:sz w:val="20"/>
          <w:szCs w:val="20"/>
          <w:color w:val="auto"/>
        </w:rPr>
      </w:pPr>
    </w:p>
    <w:p>
      <w:pPr>
        <w:jc w:val="both"/>
        <w:ind w:left="260" w:right="80" w:firstLine="458"/>
        <w:spacing w:after="0" w:line="278" w:lineRule="auto"/>
        <w:rPr>
          <w:sz w:val="20"/>
          <w:szCs w:val="20"/>
          <w:color w:val="auto"/>
        </w:rPr>
      </w:pPr>
      <w:r>
        <w:rPr>
          <w:rFonts w:ascii="Arial" w:cs="Arial" w:eastAsia="Arial" w:hAnsi="Arial"/>
          <w:sz w:val="16"/>
          <w:szCs w:val="16"/>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4. Mine Safety Disclosures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82"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ind w:left="260" w:right="2520" w:hanging="5"/>
        <w:spacing w:after="0" w:line="398"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260" w:right="360" w:firstLine="458"/>
        <w:spacing w:after="0" w:line="293" w:lineRule="auto"/>
        <w:rPr>
          <w:sz w:val="20"/>
          <w:szCs w:val="20"/>
          <w:color w:val="auto"/>
        </w:rPr>
      </w:pPr>
      <w:r>
        <w:rPr>
          <w:rFonts w:ascii="Arial" w:cs="Arial" w:eastAsia="Arial" w:hAnsi="Arial"/>
          <w:sz w:val="16"/>
          <w:szCs w:val="16"/>
          <w:color w:val="auto"/>
        </w:rPr>
        <w:t>Shares of our common stock began trading on the Nasdaq Global Market on December 16, 2020 under the symbol “BCAB.” Prior to that time, there was no public market for shares of our common stock.</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Holders of Record</w:t>
      </w:r>
    </w:p>
    <w:p>
      <w:pPr>
        <w:spacing w:after="0" w:line="117" w:lineRule="exact"/>
        <w:rPr>
          <w:sz w:val="20"/>
          <w:szCs w:val="20"/>
          <w:color w:val="auto"/>
        </w:rPr>
      </w:pPr>
    </w:p>
    <w:p>
      <w:pPr>
        <w:ind w:left="260" w:right="280" w:firstLine="458"/>
        <w:spacing w:after="0" w:line="278" w:lineRule="auto"/>
        <w:rPr>
          <w:sz w:val="20"/>
          <w:szCs w:val="20"/>
          <w:color w:val="auto"/>
        </w:rPr>
      </w:pPr>
      <w:r>
        <w:rPr>
          <w:rFonts w:ascii="Arial" w:cs="Arial" w:eastAsia="Arial" w:hAnsi="Arial"/>
          <w:sz w:val="16"/>
          <w:szCs w:val="16"/>
          <w:color w:val="auto"/>
        </w:rPr>
        <w:t>As of March 16, 2023, there were 26 stockholders of record of our common stock and 0 stockholders of record of our Class B common stock. These numbers were derived from our stockholder records and do not include beneficial owners of our common stock whose shares are held in “street” name with various dealers, clearing agencies, banks, brokers and other fiduciaries.</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Dividends</w:t>
      </w:r>
    </w:p>
    <w:p>
      <w:pPr>
        <w:spacing w:after="0" w:line="117" w:lineRule="exact"/>
        <w:rPr>
          <w:sz w:val="20"/>
          <w:szCs w:val="20"/>
          <w:color w:val="auto"/>
        </w:rPr>
      </w:pPr>
    </w:p>
    <w:p>
      <w:pPr>
        <w:ind w:left="260" w:firstLine="458"/>
        <w:spacing w:after="0" w:line="297"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17" w:lineRule="exact"/>
        <w:rPr>
          <w:sz w:val="20"/>
          <w:szCs w:val="20"/>
          <w:color w:val="auto"/>
        </w:rPr>
      </w:pPr>
    </w:p>
    <w:p>
      <w:pPr>
        <w:ind w:left="260" w:right="40" w:firstLine="458"/>
        <w:spacing w:after="0" w:line="293" w:lineRule="auto"/>
        <w:rPr>
          <w:sz w:val="20"/>
          <w:szCs w:val="20"/>
          <w:color w:val="auto"/>
        </w:rPr>
      </w:pPr>
      <w:r>
        <w:rPr>
          <w:rFonts w:ascii="Arial" w:cs="Arial" w:eastAsia="Arial" w:hAnsi="Arial"/>
          <w:sz w:val="16"/>
          <w:szCs w:val="16"/>
          <w:color w:val="auto"/>
        </w:rPr>
        <w:t>Information about securities authorized for issuance under our equity compensation plans is incorporated herein by reference to Item 12 of Part III of this Annual Report on Form 10-K.</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None.</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Use of Proceeds from Registered Securities</w:t>
      </w:r>
    </w:p>
    <w:p>
      <w:pPr>
        <w:spacing w:after="0" w:line="131" w:lineRule="exact"/>
        <w:rPr>
          <w:sz w:val="20"/>
          <w:szCs w:val="20"/>
          <w:color w:val="auto"/>
        </w:rPr>
      </w:pPr>
    </w:p>
    <w:p>
      <w:pPr>
        <w:ind w:left="260" w:firstLine="464"/>
        <w:spacing w:after="0" w:line="269" w:lineRule="auto"/>
        <w:rPr>
          <w:sz w:val="20"/>
          <w:szCs w:val="20"/>
          <w:color w:val="auto"/>
        </w:rPr>
      </w:pPr>
      <w:r>
        <w:rPr>
          <w:rFonts w:ascii="Arial" w:cs="Arial" w:eastAsia="Arial" w:hAnsi="Arial"/>
          <w:sz w:val="16"/>
          <w:szCs w:val="16"/>
          <w:color w:val="auto"/>
        </w:rPr>
        <w:t>On December 15, 2020, the SEC declared effective our registration statement on Form S-1 (File No. 333-250093), as amended, filed in connection with our Initial Public Offering (or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 J.P. Morgan, Jefferies and Credit Suisse acted as joint book-running managers for the offering. BTIG acted as co-manager for the offering. No offering expenses were paid or are payable, directly or indirectly, to our directors or officers, to persons owning 10% or more of any class of our equity securities or to any of our affiliates.</w:t>
      </w:r>
    </w:p>
    <w:p>
      <w:pPr>
        <w:spacing w:after="0" w:line="163" w:lineRule="exact"/>
        <w:rPr>
          <w:sz w:val="20"/>
          <w:szCs w:val="20"/>
          <w:color w:val="auto"/>
        </w:rPr>
      </w:pPr>
    </w:p>
    <w:p>
      <w:pPr>
        <w:ind w:left="260" w:right="240" w:firstLine="458"/>
        <w:spacing w:after="0" w:line="293" w:lineRule="auto"/>
        <w:rPr>
          <w:sz w:val="20"/>
          <w:szCs w:val="20"/>
          <w:color w:val="auto"/>
        </w:rPr>
      </w:pPr>
      <w:r>
        <w:rPr>
          <w:rFonts w:ascii="Arial" w:cs="Arial" w:eastAsia="Arial" w:hAnsi="Arial"/>
          <w:sz w:val="16"/>
          <w:szCs w:val="16"/>
          <w:color w:val="auto"/>
        </w:rPr>
        <w:t>As of December 31, 2022, we have used approximately $115.5 million of the proceeds from our IPO. There has been no material change in the planned use of such proceeds from that described in the final prospectus filed by us with the SEC on December 17, 2020.</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7" w:lineRule="exact"/>
        <w:rPr>
          <w:sz w:val="20"/>
          <w:szCs w:val="20"/>
          <w:color w:val="auto"/>
        </w:rPr>
      </w:pPr>
    </w:p>
    <w:p>
      <w:pPr>
        <w:ind w:left="260" w:right="160" w:firstLine="458"/>
        <w:spacing w:after="0" w:line="271" w:lineRule="auto"/>
        <w:rPr>
          <w:sz w:val="20"/>
          <w:szCs w:val="20"/>
          <w:color w:val="auto"/>
        </w:rPr>
      </w:pPr>
      <w:r>
        <w:rPr>
          <w:rFonts w:ascii="Arial" w:cs="Arial" w:eastAsia="Arial" w:hAnsi="Arial"/>
          <w:sz w:val="16"/>
          <w:szCs w:val="16"/>
          <w:i w:val="1"/>
          <w:iCs w:val="1"/>
          <w:color w:val="auto"/>
        </w:rPr>
        <w:t>You should read the following discussion and analysis together with our consolidated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 Looking Statements.” Our actual results could differ materially from those expressed or implied in any forward-looking statements as a result of various factors, including those set forth under the caption “Item 1A. Risk Factors.”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Overview</w:t>
      </w:r>
    </w:p>
    <w:p>
      <w:pPr>
        <w:spacing w:after="0" w:line="117" w:lineRule="exact"/>
        <w:rPr>
          <w:sz w:val="20"/>
          <w:szCs w:val="20"/>
          <w:color w:val="auto"/>
        </w:rPr>
      </w:pPr>
    </w:p>
    <w:p>
      <w:pPr>
        <w:ind w:left="260" w:firstLine="458"/>
        <w:spacing w:after="0" w:line="291" w:lineRule="auto"/>
        <w:rPr>
          <w:sz w:val="20"/>
          <w:szCs w:val="20"/>
          <w:color w:val="auto"/>
        </w:rPr>
      </w:pPr>
      <w:r>
        <w:rPr>
          <w:rFonts w:ascii="Arial" w:cs="Arial" w:eastAsia="Arial" w:hAnsi="Arial"/>
          <w:sz w:val="15"/>
          <w:szCs w:val="15"/>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352" w:lineRule="exact"/>
        <w:rPr>
          <w:sz w:val="20"/>
          <w:szCs w:val="20"/>
          <w:color w:val="auto"/>
        </w:rPr>
      </w:pPr>
    </w:p>
    <w:p>
      <w:pPr>
        <w:ind w:left="260" w:right="20" w:firstLine="464"/>
        <w:spacing w:after="0" w:line="268" w:lineRule="auto"/>
        <w:rPr>
          <w:sz w:val="20"/>
          <w:szCs w:val="20"/>
          <w:color w:val="auto"/>
        </w:rPr>
      </w:pPr>
      <w:r>
        <w:rPr>
          <w:rFonts w:ascii="Arial" w:cs="Arial" w:eastAsia="Arial" w:hAnsi="Arial"/>
          <w:sz w:val="16"/>
          <w:szCs w:val="16"/>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and our Phase 1 clinical trial of BA3071,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381" w:lineRule="exact"/>
        <w:rPr>
          <w:sz w:val="20"/>
          <w:szCs w:val="20"/>
          <w:color w:val="auto"/>
        </w:rPr>
      </w:pPr>
    </w:p>
    <w:p>
      <w:pPr>
        <w:ind w:left="260" w:right="20" w:firstLine="464"/>
        <w:spacing w:after="0" w:line="268"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$106.5 million and $95.4 million for the years ended December 31, 2022 and 2021, respectively. As of December 31, 2022, we had an accumulated deficit of $292.8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as we conduct clinical trials of our lead product candidates and seek to expand our pipeline.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expect our expenses and capital requirements will increase substantially in connection with our ongoing activities as we:</w:t>
      </w:r>
    </w:p>
    <w:p>
      <w:pPr>
        <w:spacing w:after="0" w:line="127" w:lineRule="exact"/>
        <w:rPr>
          <w:sz w:val="20"/>
          <w:szCs w:val="20"/>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advance the clinical development of mecbotamab vedotin;</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advance the clinical development of ozuriftamab vedotin;</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advance the clinical development of BA3071;</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expand our pipeline of bispecific and other CAB antibody-based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to invest in our CAB technology platform;</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maintain, protect and expand our intellectual property portfolio, including patents, trade secrets and know-how;</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seek marketing approvals for any product candidates that successfully complete clinical trials;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 additional product collaborations and commercial manufacturing relationships with third parties;</w:t>
      </w:r>
    </w:p>
    <w:p>
      <w:pPr>
        <w:spacing w:after="0" w:line="126" w:lineRule="exact"/>
        <w:rPr>
          <w:rFonts w:ascii="Arial" w:cs="Arial" w:eastAsia="Arial" w:hAnsi="Arial"/>
          <w:sz w:val="16"/>
          <w:szCs w:val="16"/>
          <w:color w:val="auto"/>
        </w:rPr>
      </w:pPr>
    </w:p>
    <w:p>
      <w:pPr>
        <w:ind w:left="1280" w:right="140" w:hanging="509"/>
        <w:spacing w:after="0" w:line="293" w:lineRule="auto"/>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build sales, marketing and distribution infrastructure and relationships with third parties to commercialize product candidates for which we may obtain marketing approval;</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to expand our operational, financial and management information systems; and</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attract, hire and retain additional clinical, scientific, management, administrative and commercial personnel.</w:t>
      </w:r>
    </w:p>
    <w:p>
      <w:pPr>
        <w:spacing w:after="0" w:line="221" w:lineRule="exact"/>
        <w:rPr>
          <w:sz w:val="20"/>
          <w:szCs w:val="20"/>
          <w:color w:val="auto"/>
        </w:rPr>
      </w:pPr>
    </w:p>
    <w:p>
      <w:pPr>
        <w:ind w:left="260" w:right="100" w:firstLine="458"/>
        <w:spacing w:after="0" w:line="278" w:lineRule="auto"/>
        <w:rPr>
          <w:sz w:val="20"/>
          <w:szCs w:val="20"/>
          <w:color w:val="auto"/>
        </w:rPr>
      </w:pPr>
      <w:r>
        <w:rPr>
          <w:rFonts w:ascii="Arial" w:cs="Arial" w:eastAsia="Arial" w:hAnsi="Arial"/>
          <w:sz w:val="16"/>
          <w:szCs w:val="16"/>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200"/>
        <w:spacing w:after="0" w:line="293" w:lineRule="auto"/>
        <w:rPr>
          <w:sz w:val="20"/>
          <w:szCs w:val="20"/>
          <w:color w:val="auto"/>
        </w:rPr>
      </w:pPr>
      <w:r>
        <w:rPr>
          <w:rFonts w:ascii="Arial" w:cs="Arial" w:eastAsia="Arial" w:hAnsi="Arial"/>
          <w:sz w:val="16"/>
          <w:szCs w:val="16"/>
          <w:color w:val="auto"/>
        </w:rPr>
        <w:t>requirements will depend on many factors, including the pace and results of our development efforts. We cannot assure you that we will ever be profitable or generate positive cash flow from operating activities.</w:t>
      </w:r>
    </w:p>
    <w:p>
      <w:pPr>
        <w:spacing w:after="0" w:line="158" w:lineRule="exact"/>
        <w:rPr>
          <w:sz w:val="20"/>
          <w:szCs w:val="20"/>
          <w:color w:val="auto"/>
        </w:rPr>
      </w:pPr>
    </w:p>
    <w:p>
      <w:pPr>
        <w:ind w:left="260" w:right="40" w:firstLine="458"/>
        <w:spacing w:after="0" w:line="271"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63" w:lineRule="exact"/>
        <w:rPr>
          <w:sz w:val="20"/>
          <w:szCs w:val="20"/>
          <w:color w:val="auto"/>
        </w:rPr>
      </w:pPr>
    </w:p>
    <w:p>
      <w:pPr>
        <w:ind w:left="260" w:right="40" w:firstLine="458"/>
        <w:spacing w:after="0" w:line="273" w:lineRule="auto"/>
        <w:rPr>
          <w:sz w:val="20"/>
          <w:szCs w:val="20"/>
          <w:color w:val="auto"/>
        </w:rPr>
      </w:pPr>
      <w:r>
        <w:rPr>
          <w:rFonts w:ascii="Arial" w:cs="Arial" w:eastAsia="Arial" w:hAnsi="Arial"/>
          <w:sz w:val="16"/>
          <w:szCs w:val="16"/>
          <w:color w:val="auto"/>
        </w:rPr>
        <w:t>As of December 31, 2022, our cash and cash equivalents totaled approximately $215.5 million. Based on our current operating plan, our current cash and cash equivalents are expected to be sufficient to fund our ongoing operations for a period of at least twelve months from the date the financial statements included in this report are issued. However, we have based this estimate on assumptions that may prove to be wrong, and we could utilize our available capital resources sooner than we currently expect.</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Impact of COVID-19 on our business</w:t>
      </w:r>
    </w:p>
    <w:p>
      <w:pPr>
        <w:spacing w:after="0" w:line="117" w:lineRule="exact"/>
        <w:rPr>
          <w:sz w:val="20"/>
          <w:szCs w:val="20"/>
          <w:color w:val="auto"/>
        </w:rPr>
      </w:pPr>
    </w:p>
    <w:p>
      <w:pPr>
        <w:ind w:left="260" w:right="40" w:firstLine="458"/>
        <w:spacing w:after="0" w:line="310" w:lineRule="auto"/>
        <w:rPr>
          <w:sz w:val="20"/>
          <w:szCs w:val="20"/>
          <w:color w:val="auto"/>
        </w:rPr>
      </w:pPr>
      <w:r>
        <w:rPr>
          <w:rFonts w:ascii="Arial" w:cs="Arial" w:eastAsia="Arial" w:hAnsi="Arial"/>
          <w:sz w:val="14"/>
          <w:szCs w:val="14"/>
          <w:color w:val="auto"/>
        </w:rPr>
        <w:t>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mecbotamab vedotin Phase 2 sarcoma trial remains on schedule and the Phase 2 interim analysis for mecbotamab vedotin NSCLC and ozuriftamab vedotin studies have experienced some modest delays. In April 2020, we borrowed $0.7 million under the Paycheck Protection Program under the CARES Act and we received full loan forgiveness from the U.S. Small Business Association in July 2021, resulting in the recognition of $0.7 million to other income for the twelve months ended December 31, 2021. We are continuing to monitor the potential impact of the pandemic, but we cannot be certain what the overall impact will be on our business, financial condition, results of operations and prospects.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Financial operations overview</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Revenue</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 date, we have not generated any revenue from the sale of products and do not expect to generate meaningful revenue in the near future.</w:t>
      </w:r>
    </w:p>
    <w:p>
      <w:pPr>
        <w:spacing w:after="0" w:line="208" w:lineRule="exact"/>
        <w:rPr>
          <w:sz w:val="20"/>
          <w:szCs w:val="20"/>
          <w:color w:val="auto"/>
        </w:rPr>
      </w:pPr>
    </w:p>
    <w:p>
      <w:pPr>
        <w:ind w:left="260" w:right="60" w:firstLine="464"/>
        <w:spacing w:after="0" w:line="293" w:lineRule="auto"/>
        <w:rPr>
          <w:sz w:val="20"/>
          <w:szCs w:val="20"/>
          <w:color w:val="auto"/>
        </w:rPr>
      </w:pPr>
      <w:r>
        <w:rPr>
          <w:rFonts w:ascii="Arial" w:cs="Arial" w:eastAsia="Arial" w:hAnsi="Arial"/>
          <w:sz w:val="15"/>
          <w:szCs w:val="15"/>
          <w:color w:val="auto"/>
        </w:rPr>
        <w:t>In 2019 we entered into a collaboration agreement with BeiGene, Ltd. The agreement was amended several times and was terminated in November 2021, which resulted in the Company assuming responsibility for development of BA3071. We received a total of $25.0 million in non-refundable payments from BeiGene from this collaboration. Pursuant to the terms of the November 2021 amendment, we agreed to pay single digit royalties to BeiGene and agreed to share on a limited basis in any upfront and milestone payments, if received, through a sublicense of BA3071. In addition, we may in the future seek third-party collaborators or joint venture partners for development and commercialization of additional CAB product candidates.</w:t>
      </w:r>
    </w:p>
    <w:p>
      <w:pPr>
        <w:spacing w:after="0" w:line="162" w:lineRule="exact"/>
        <w:rPr>
          <w:sz w:val="20"/>
          <w:szCs w:val="20"/>
          <w:color w:val="auto"/>
        </w:rPr>
      </w:pPr>
    </w:p>
    <w:p>
      <w:pPr>
        <w:ind w:left="260" w:firstLine="458"/>
        <w:spacing w:after="0" w:line="278" w:lineRule="auto"/>
        <w:rPr>
          <w:sz w:val="20"/>
          <w:szCs w:val="20"/>
          <w:color w:val="auto"/>
        </w:rPr>
      </w:pPr>
      <w:r>
        <w:rPr>
          <w:rFonts w:ascii="Arial" w:cs="Arial" w:eastAsia="Arial" w:hAnsi="Arial"/>
          <w:sz w:val="16"/>
          <w:szCs w:val="16"/>
          <w:color w:val="auto"/>
        </w:rPr>
        <w:t>Prior to developing our own programs, we received revenue from services performed under fixed price service contracts that, in some cases, provided for potential milestone and royalty payments to us. We recognized $0 and $0.3 million in revenues from our legacy service contracts for the years ended December 31, 2022 and 2021, respectively.</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Research and development</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Research and development expenses consist primarily of costs incurred in the discovery and development of our product candidates.</w:t>
      </w:r>
    </w:p>
    <w:p>
      <w:pPr>
        <w:spacing w:after="0" w:line="127" w:lineRule="exact"/>
        <w:rPr>
          <w:sz w:val="20"/>
          <w:szCs w:val="20"/>
          <w:color w:val="auto"/>
        </w:rPr>
      </w:pPr>
    </w:p>
    <w:p>
      <w:pPr>
        <w:ind w:left="1300" w:hanging="529"/>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External expenses consist of:</w:t>
      </w:r>
    </w:p>
    <w:p>
      <w:pPr>
        <w:spacing w:after="0" w:line="126" w:lineRule="exact"/>
        <w:rPr>
          <w:rFonts w:ascii="Arial" w:cs="Arial" w:eastAsia="Arial" w:hAnsi="Arial"/>
          <w:sz w:val="16"/>
          <w:szCs w:val="16"/>
          <w:color w:val="auto"/>
        </w:rPr>
      </w:pPr>
    </w:p>
    <w:p>
      <w:pPr>
        <w:ind w:left="1800" w:right="220" w:hanging="519"/>
        <w:spacing w:after="0" w:line="293" w:lineRule="auto"/>
        <w:tabs>
          <w:tab w:leader="none" w:pos="1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Fees paid to third parties such as contractors, clinical research organizations (CROs) and consultants, and other costs related to preclinical and clinical trials;</w:t>
      </w:r>
    </w:p>
    <w:p>
      <w:pPr>
        <w:spacing w:after="0" w:line="63" w:lineRule="exact"/>
        <w:rPr>
          <w:rFonts w:ascii="Arial" w:cs="Arial" w:eastAsia="Arial" w:hAnsi="Arial"/>
          <w:sz w:val="16"/>
          <w:szCs w:val="16"/>
          <w:color w:val="auto"/>
        </w:rPr>
      </w:pPr>
    </w:p>
    <w:p>
      <w:pPr>
        <w:ind w:left="1800" w:right="180" w:hanging="519"/>
        <w:spacing w:after="0" w:line="293" w:lineRule="auto"/>
        <w:tabs>
          <w:tab w:leader="none" w:pos="1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Fees paid to third parties such as contract manufacturing organizations (CMOs) and other vendors for manufacturing research and clinical trial materials; and</w:t>
      </w:r>
    </w:p>
    <w:p>
      <w:pPr>
        <w:spacing w:after="0" w:line="63" w:lineRule="exact"/>
        <w:rPr>
          <w:rFonts w:ascii="Arial" w:cs="Arial" w:eastAsia="Arial" w:hAnsi="Arial"/>
          <w:sz w:val="16"/>
          <w:szCs w:val="16"/>
          <w:color w:val="auto"/>
        </w:rPr>
      </w:pPr>
    </w:p>
    <w:p>
      <w:pPr>
        <w:ind w:left="1800" w:hanging="519"/>
        <w:spacing w:after="0"/>
        <w:tabs>
          <w:tab w:leader="none" w:pos="1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Expenses related to laboratory supplies and services.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Unallocated expenses consist of:</w:t>
      </w:r>
    </w:p>
    <w:p>
      <w:pPr>
        <w:spacing w:after="0" w:line="126" w:lineRule="exact"/>
        <w:rPr>
          <w:rFonts w:ascii="Arial" w:cs="Arial" w:eastAsia="Arial" w:hAnsi="Arial"/>
          <w:sz w:val="16"/>
          <w:szCs w:val="16"/>
          <w:color w:val="auto"/>
        </w:rPr>
      </w:pPr>
    </w:p>
    <w:p>
      <w:pPr>
        <w:ind w:left="1800" w:right="60" w:hanging="519"/>
        <w:spacing w:after="0" w:line="293" w:lineRule="auto"/>
        <w:tabs>
          <w:tab w:leader="none" w:pos="1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Personnel-related expenses, including salaries, benefits and equity-based compensation expenses, for personnel in our research and development functions; and</w:t>
      </w:r>
    </w:p>
    <w:p>
      <w:pPr>
        <w:spacing w:after="0" w:line="63" w:lineRule="exact"/>
        <w:rPr>
          <w:rFonts w:ascii="Arial" w:cs="Arial" w:eastAsia="Arial" w:hAnsi="Arial"/>
          <w:sz w:val="16"/>
          <w:szCs w:val="16"/>
          <w:color w:val="auto"/>
        </w:rPr>
      </w:pPr>
    </w:p>
    <w:p>
      <w:pPr>
        <w:ind w:left="1800" w:hanging="519"/>
        <w:spacing w:after="0"/>
        <w:tabs>
          <w:tab w:leader="none" w:pos="1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Related equipment and facilities depreciation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jc w:val="both"/>
        <w:ind w:left="260" w:right="160" w:firstLine="458"/>
        <w:spacing w:after="0" w:line="278" w:lineRule="auto"/>
        <w:rPr>
          <w:sz w:val="20"/>
          <w:szCs w:val="20"/>
          <w:color w:val="auto"/>
        </w:rPr>
      </w:pPr>
      <w:r>
        <w:rPr>
          <w:rFonts w:ascii="Arial" w:cs="Arial" w:eastAsia="Arial" w:hAnsi="Arial"/>
          <w:sz w:val="16"/>
          <w:szCs w:val="16"/>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71" w:lineRule="exact"/>
        <w:rPr>
          <w:sz w:val="20"/>
          <w:szCs w:val="20"/>
          <w:color w:val="auto"/>
        </w:rPr>
      </w:pPr>
    </w:p>
    <w:p>
      <w:pPr>
        <w:ind w:left="260" w:right="40" w:firstLine="458"/>
        <w:spacing w:after="0" w:line="267" w:lineRule="auto"/>
        <w:rPr>
          <w:sz w:val="20"/>
          <w:szCs w:val="20"/>
          <w:color w:val="auto"/>
        </w:rPr>
      </w:pPr>
      <w:r>
        <w:rPr>
          <w:rFonts w:ascii="Arial" w:cs="Arial" w:eastAsia="Arial" w:hAnsi="Arial"/>
          <w:sz w:val="16"/>
          <w:szCs w:val="16"/>
          <w:color w:val="auto"/>
        </w:rPr>
        <w:t>We expect our research and development expenses to generally increase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General and administrative</w:t>
      </w:r>
    </w:p>
    <w:p>
      <w:pPr>
        <w:spacing w:after="0" w:line="113" w:lineRule="exact"/>
        <w:rPr>
          <w:sz w:val="20"/>
          <w:szCs w:val="20"/>
          <w:color w:val="auto"/>
        </w:rPr>
      </w:pPr>
    </w:p>
    <w:p>
      <w:pPr>
        <w:ind w:left="260" w:right="40" w:firstLine="458"/>
        <w:spacing w:after="0" w:line="271" w:lineRule="auto"/>
        <w:rPr>
          <w:sz w:val="20"/>
          <w:szCs w:val="20"/>
          <w:color w:val="auto"/>
        </w:rPr>
      </w:pPr>
      <w:r>
        <w:rPr>
          <w:rFonts w:ascii="Arial" w:cs="Arial" w:eastAsia="Arial" w:hAnsi="Arial"/>
          <w:sz w:val="16"/>
          <w:szCs w:val="16"/>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also expect our general and administrative expenses to increase in the future as we increase our personnel headcount to support our research and development activities to advance our product candidates and clinical stage programs.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Interest income</w:t>
      </w:r>
    </w:p>
    <w:p>
      <w:pPr>
        <w:spacing w:after="0" w:line="113" w:lineRule="exact"/>
        <w:rPr>
          <w:sz w:val="20"/>
          <w:szCs w:val="20"/>
          <w:color w:val="auto"/>
        </w:rPr>
      </w:pPr>
    </w:p>
    <w:p>
      <w:pPr>
        <w:ind w:left="260" w:right="80" w:firstLine="458"/>
        <w:spacing w:after="0" w:line="293" w:lineRule="auto"/>
        <w:rPr>
          <w:sz w:val="20"/>
          <w:szCs w:val="20"/>
          <w:color w:val="auto"/>
        </w:rPr>
      </w:pPr>
      <w:r>
        <w:rPr>
          <w:rFonts w:ascii="Arial" w:cs="Arial" w:eastAsia="Arial" w:hAnsi="Arial"/>
          <w:sz w:val="16"/>
          <w:szCs w:val="16"/>
          <w:color w:val="auto"/>
        </w:rPr>
        <w:t>Interest income consists primarily of interest earned on our cash and cash equivalent balances. Our interest income has not been significant to date and we do not expect any material changes.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Interest expense</w:t>
      </w:r>
    </w:p>
    <w:p>
      <w:pPr>
        <w:spacing w:after="0" w:line="127" w:lineRule="exact"/>
        <w:rPr>
          <w:sz w:val="20"/>
          <w:szCs w:val="20"/>
          <w:color w:val="auto"/>
        </w:rPr>
      </w:pPr>
    </w:p>
    <w:p>
      <w:pPr>
        <w:ind w:left="260" w:right="220" w:firstLine="458"/>
        <w:spacing w:after="0" w:line="293" w:lineRule="auto"/>
        <w:rPr>
          <w:sz w:val="20"/>
          <w:szCs w:val="20"/>
          <w:color w:val="auto"/>
        </w:rPr>
      </w:pPr>
      <w:r>
        <w:rPr>
          <w:rFonts w:ascii="Arial" w:cs="Arial" w:eastAsia="Arial" w:hAnsi="Arial"/>
          <w:sz w:val="16"/>
          <w:szCs w:val="16"/>
          <w:color w:val="auto"/>
        </w:rPr>
        <w:t>Interest expense consists primarily of interest incurred on our previously outstanding debt. We no longer have interest expense after the forgiveness of our PPP loan in July 2021.</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Extinguishment of debt</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 July 2021, our PPP loan was fully forgiven and we recorded a gain on extinguishment equal to the principal and interest outstanding at the time of forgiveness.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Other income (expense)</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income (expense) primarily includes miscellaneous items of income and expense that were not significant for the periods presented.</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0" w:type="dxa"/>
            <w:vAlign w:val="bottom"/>
            <w:gridSpan w:val="2"/>
          </w:tcPr>
          <w:p>
            <w:pPr>
              <w:ind w:left="260"/>
              <w:spacing w:after="0"/>
              <w:rPr>
                <w:sz w:val="20"/>
                <w:szCs w:val="20"/>
                <w:color w:val="auto"/>
              </w:rPr>
            </w:pPr>
            <w:r>
              <w:rPr>
                <w:rFonts w:ascii="Arial" w:cs="Arial" w:eastAsia="Arial" w:hAnsi="Arial"/>
                <w:sz w:val="16"/>
                <w:szCs w:val="16"/>
                <w:b w:val="1"/>
                <w:bCs w:val="1"/>
                <w:i w:val="1"/>
                <w:iCs w:val="1"/>
                <w:color w:val="auto"/>
              </w:rPr>
              <w:t>Comparison of the years ended December 31, 2022 and 2021</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8"/>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4"/>
              </w:rPr>
              <w:t>Years Ended December 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1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(in</w:t>
            </w:r>
          </w:p>
        </w:tc>
        <w:tc>
          <w:tcPr>
            <w:tcW w:w="1300" w:type="dxa"/>
            <w:vAlign w:val="bottom"/>
            <w:gridSpan w:val="3"/>
          </w:tcPr>
          <w:p>
            <w:pPr>
              <w:jc w:val="right"/>
              <w:ind w:right="619"/>
              <w:spacing w:after="0"/>
              <w:rPr>
                <w:sz w:val="20"/>
                <w:szCs w:val="20"/>
                <w:color w:val="auto"/>
              </w:rPr>
            </w:pPr>
            <w:r>
              <w:rPr>
                <w:rFonts w:ascii="Arial" w:cs="Arial" w:eastAsia="Arial" w:hAnsi="Arial"/>
                <w:sz w:val="15"/>
                <w:szCs w:val="15"/>
                <w:b w:val="1"/>
                <w:bCs w:val="1"/>
                <w:color w:val="auto"/>
                <w:w w:val="71"/>
              </w:rPr>
              <w:t>thousands)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Collaboration and other revenue</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(250 )</w:t>
            </w:r>
          </w:p>
        </w:tc>
        <w:tc>
          <w:tcPr>
            <w:tcW w:w="1120" w:type="dxa"/>
            <w:vAlign w:val="bottom"/>
          </w:tcPr>
          <w:p>
            <w:pPr>
              <w:spacing w:after="0"/>
              <w:rPr>
                <w:sz w:val="20"/>
                <w:szCs w:val="20"/>
                <w:color w:val="auto"/>
              </w:rPr>
            </w:pPr>
          </w:p>
        </w:tc>
      </w:tr>
      <w:tr>
        <w:trPr>
          <w:trHeight w:val="220"/>
        </w:trPr>
        <w:tc>
          <w:tcPr>
            <w:tcW w:w="1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Operating expenses: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3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Research and development</w:t>
            </w: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79,347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(9,623 )</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108,140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96,690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11,450</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1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Loss from operations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4"/>
              <w:spacing w:after="0"/>
              <w:rPr>
                <w:sz w:val="20"/>
                <w:szCs w:val="20"/>
                <w:color w:val="auto"/>
              </w:rPr>
            </w:pPr>
            <w:r>
              <w:rPr>
                <w:rFonts w:ascii="Arial" w:cs="Arial" w:eastAsia="Arial" w:hAnsi="Arial"/>
                <w:sz w:val="16"/>
                <w:szCs w:val="16"/>
                <w:color w:val="auto"/>
              </w:rPr>
              <w:t xml:space="preserve">(108,140 </w:t>
            </w:r>
            <w:r>
              <w:rPr>
                <w:rFonts w:ascii="Arial" w:cs="Arial" w:eastAsia="Arial" w:hAnsi="Arial"/>
                <w:sz w:val="16"/>
                <w:szCs w:val="16"/>
                <w:color w:val="auto"/>
                <w:highlight w:val="white"/>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 xml:space="preserve">(96,440 </w:t>
            </w:r>
            <w:r>
              <w:rPr>
                <w:rFonts w:ascii="Arial" w:cs="Arial" w:eastAsia="Arial" w:hAnsi="Arial"/>
                <w:sz w:val="16"/>
                <w:szCs w:val="16"/>
                <w:color w:val="auto"/>
                <w:highlight w:val="white"/>
              </w:rPr>
              <w:t>)</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(11,700 </w:t>
            </w:r>
            <w:r>
              <w:rPr>
                <w:rFonts w:ascii="Arial" w:cs="Arial" w:eastAsia="Arial" w:hAnsi="Arial"/>
                <w:sz w:val="16"/>
                <w:szCs w:val="16"/>
                <w:color w:val="auto"/>
                <w:highlight w:val="white"/>
              </w:rPr>
              <w:t>)</w:t>
            </w:r>
          </w:p>
        </w:tc>
        <w:tc>
          <w:tcPr>
            <w:tcW w:w="112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114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3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114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Arial" w:cs="Arial" w:eastAsia="Arial" w:hAnsi="Arial"/>
                <w:sz w:val="16"/>
                <w:szCs w:val="16"/>
                <w:color w:val="auto"/>
              </w:rPr>
              <w:t>Gain (loss) on extinguishment of long-term debt</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(690 )</w:t>
            </w:r>
          </w:p>
        </w:tc>
        <w:tc>
          <w:tcPr>
            <w:tcW w:w="1120" w:type="dxa"/>
            <w:vAlign w:val="bottom"/>
          </w:tcPr>
          <w:p>
            <w:pPr>
              <w:spacing w:after="0"/>
              <w:rPr>
                <w:sz w:val="19"/>
                <w:szCs w:val="19"/>
                <w:color w:val="auto"/>
              </w:rPr>
            </w:pPr>
          </w:p>
        </w:tc>
      </w:tr>
      <w:tr>
        <w:trPr>
          <w:trHeight w:val="233"/>
        </w:trPr>
        <w:tc>
          <w:tcPr>
            <w:tcW w:w="1140" w:type="dxa"/>
            <w:vAlign w:val="bottom"/>
          </w:tcPr>
          <w:p>
            <w:pPr>
              <w:spacing w:after="0"/>
              <w:rPr>
                <w:sz w:val="20"/>
                <w:szCs w:val="20"/>
                <w:color w:val="auto"/>
              </w:rPr>
            </w:pPr>
          </w:p>
        </w:tc>
        <w:tc>
          <w:tcPr>
            <w:tcW w:w="3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Other income (expense)</w:t>
            </w:r>
          </w:p>
        </w:tc>
        <w:tc>
          <w:tcPr>
            <w:tcW w:w="14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Total other income (expense)</w:t>
            </w:r>
          </w:p>
        </w:tc>
        <w:tc>
          <w:tcPr>
            <w:tcW w:w="1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1140" w:type="dxa"/>
            <w:vAlign w:val="bottom"/>
          </w:tcPr>
          <w:p>
            <w:pPr>
              <w:spacing w:after="0"/>
              <w:rPr>
                <w:sz w:val="22"/>
                <w:szCs w:val="22"/>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Consolidated net loss and comprehensive loss</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(106,482 )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(95,402 )</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(11,080 )</w:t>
            </w:r>
          </w:p>
        </w:tc>
        <w:tc>
          <w:tcPr>
            <w:tcW w:w="1120" w:type="dxa"/>
            <w:vAlign w:val="bottom"/>
          </w:tcPr>
          <w:p>
            <w:pPr>
              <w:spacing w:after="0"/>
              <w:rPr>
                <w:sz w:val="22"/>
                <w:szCs w:val="22"/>
                <w:color w:val="auto"/>
              </w:rPr>
            </w:pPr>
          </w:p>
        </w:tc>
      </w:tr>
      <w:tr>
        <w:trPr>
          <w:trHeight w:val="561"/>
        </w:trPr>
        <w:tc>
          <w:tcPr>
            <w:tcW w:w="1140" w:type="dxa"/>
            <w:vAlign w:val="bottom"/>
          </w:tcPr>
          <w:p>
            <w:pPr>
              <w:spacing w:after="0"/>
              <w:rPr>
                <w:sz w:val="24"/>
                <w:szCs w:val="24"/>
                <w:color w:val="auto"/>
              </w:rPr>
            </w:pPr>
          </w:p>
        </w:tc>
        <w:tc>
          <w:tcPr>
            <w:tcW w:w="386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ind w:right="619"/>
              <w:spacing w:after="0"/>
              <w:rPr>
                <w:sz w:val="20"/>
                <w:szCs w:val="20"/>
                <w:color w:val="auto"/>
              </w:rPr>
            </w:pPr>
            <w:r>
              <w:rPr>
                <w:rFonts w:ascii="Arial" w:cs="Arial" w:eastAsia="Arial" w:hAnsi="Arial"/>
                <w:sz w:val="16"/>
                <w:szCs w:val="16"/>
                <w:color w:val="auto"/>
              </w:rPr>
              <w:t>75</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21"/>
        </w:trPr>
        <w:tc>
          <w:tcPr>
            <w:tcW w:w="11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-788035</wp:posOffset>
            </wp:positionV>
            <wp:extent cx="60325"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-788035</wp:posOffset>
            </wp:positionV>
            <wp:extent cx="51435"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-788035</wp:posOffset>
            </wp:positionV>
            <wp:extent cx="51435"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-479425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-462280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-479425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-462280</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-462280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Collaboration and other revenue</w:t>
      </w:r>
    </w:p>
    <w:p>
      <w:pPr>
        <w:spacing w:after="0" w:line="127" w:lineRule="exact"/>
        <w:rPr>
          <w:sz w:val="20"/>
          <w:szCs w:val="20"/>
          <w:color w:val="auto"/>
        </w:rPr>
      </w:pPr>
    </w:p>
    <w:p>
      <w:pPr>
        <w:ind w:left="260" w:right="220" w:firstLine="458"/>
        <w:spacing w:after="0" w:line="297" w:lineRule="auto"/>
        <w:rPr>
          <w:sz w:val="20"/>
          <w:szCs w:val="20"/>
          <w:color w:val="auto"/>
        </w:rPr>
      </w:pPr>
      <w:r>
        <w:rPr>
          <w:rFonts w:ascii="Arial" w:cs="Arial" w:eastAsia="Arial" w:hAnsi="Arial"/>
          <w:sz w:val="15"/>
          <w:szCs w:val="15"/>
          <w:color w:val="auto"/>
        </w:rPr>
        <w:t>We did not recognize any revenue for the year ended December 31, 2022. Collaboration and other revenue for the year ended December 31, 2021 consisted of $0.3 million recognized under our legacy service contracts. As part of the November 2021 amendment to the agreement with BeiGene, we reclassified the remaining $19.8 million of deferred revenue as a long-term liability which we expect to settle as licensing payments are made to BeiGene in accordance with the resulting amendment. In the event the license is terminated, the liability will be extinguished with no further payment to BeiGene.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Research and development expense</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summarizes our research and development expenses allocated by CAB program for the periods indicated:</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w w:val="93"/>
              </w:rPr>
              <w:t>Years Ended December 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r>
      <w:tr>
        <w:trPr>
          <w:trHeight w:val="220"/>
        </w:trPr>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(in</w:t>
            </w:r>
          </w:p>
        </w:tc>
        <w:tc>
          <w:tcPr>
            <w:tcW w:w="1300" w:type="dxa"/>
            <w:vAlign w:val="bottom"/>
            <w:gridSpan w:val="3"/>
          </w:tcPr>
          <w:p>
            <w:pPr>
              <w:jc w:val="right"/>
              <w:ind w:right="619"/>
              <w:spacing w:after="0"/>
              <w:rPr>
                <w:sz w:val="20"/>
                <w:szCs w:val="20"/>
                <w:color w:val="auto"/>
              </w:rPr>
            </w:pPr>
            <w:r>
              <w:rPr>
                <w:rFonts w:ascii="Arial" w:cs="Arial" w:eastAsia="Arial" w:hAnsi="Arial"/>
                <w:sz w:val="15"/>
                <w:szCs w:val="15"/>
                <w:b w:val="1"/>
                <w:bCs w:val="1"/>
                <w:color w:val="auto"/>
                <w:w w:val="71"/>
              </w:rPr>
              <w:t>thousands)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External expenses:</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5260" w:type="dxa"/>
            <w:vAlign w:val="bottom"/>
          </w:tcPr>
          <w:p>
            <w:pPr>
              <w:ind w:left="180"/>
              <w:spacing w:after="0"/>
              <w:rPr>
                <w:sz w:val="20"/>
                <w:szCs w:val="20"/>
                <w:color w:val="auto"/>
              </w:rPr>
            </w:pPr>
            <w:r>
              <w:rPr>
                <w:rFonts w:ascii="Arial" w:cs="Arial" w:eastAsia="Arial" w:hAnsi="Arial"/>
                <w:sz w:val="16"/>
                <w:szCs w:val="16"/>
                <w:color w:val="auto"/>
              </w:rPr>
              <w:t>BA3011 (AXL-ADC)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17,444</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17,883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(439 )</w:t>
            </w:r>
          </w:p>
        </w:tc>
      </w:tr>
      <w:tr>
        <w:trPr>
          <w:trHeight w:val="239"/>
        </w:trPr>
        <w:tc>
          <w:tcPr>
            <w:tcW w:w="5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BA3021 (ROR2-ADC)</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(1,530 )</w:t>
            </w:r>
          </w:p>
        </w:tc>
      </w:tr>
      <w:tr>
        <w:trPr>
          <w:trHeight w:val="220"/>
        </w:trPr>
        <w:tc>
          <w:tcPr>
            <w:tcW w:w="5260" w:type="dxa"/>
            <w:vAlign w:val="bottom"/>
          </w:tcPr>
          <w:p>
            <w:pPr>
              <w:ind w:left="180"/>
              <w:spacing w:after="0"/>
              <w:rPr>
                <w:sz w:val="20"/>
                <w:szCs w:val="20"/>
                <w:color w:val="auto"/>
              </w:rPr>
            </w:pPr>
            <w:r>
              <w:rPr>
                <w:rFonts w:ascii="Arial" w:cs="Arial" w:eastAsia="Arial" w:hAnsi="Arial"/>
                <w:sz w:val="16"/>
                <w:szCs w:val="16"/>
                <w:color w:val="auto"/>
              </w:rPr>
              <w:t>BA3071 (CTLA-4)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9,080</w:t>
            </w:r>
          </w:p>
        </w:tc>
        <w:tc>
          <w:tcPr>
            <w:tcW w:w="80" w:type="dxa"/>
            <w:vAlign w:val="bottom"/>
          </w:tcPr>
          <w:p>
            <w:pPr>
              <w:spacing w:after="0"/>
              <w:rPr>
                <w:sz w:val="19"/>
                <w:szCs w:val="19"/>
                <w:color w:val="auto"/>
              </w:rPr>
            </w:pPr>
          </w:p>
        </w:tc>
      </w:tr>
      <w:tr>
        <w:trPr>
          <w:trHeight w:val="233"/>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Other CAB Programs</w:t>
            </w: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23,482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9,119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6"/>
                <w:szCs w:val="16"/>
                <w:color w:val="auto"/>
              </w:rPr>
              <w:t>Total external expenses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59,988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Personnel and related</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3,759</w:t>
            </w:r>
          </w:p>
        </w:tc>
        <w:tc>
          <w:tcPr>
            <w:tcW w:w="80" w:type="dxa"/>
            <w:vAlign w:val="bottom"/>
            <w:shd w:val="clear" w:color="auto" w:fill="CFF0FC"/>
          </w:tcPr>
          <w:p>
            <w:pPr>
              <w:spacing w:after="0"/>
              <w:rPr>
                <w:sz w:val="19"/>
                <w:szCs w:val="19"/>
                <w:color w:val="auto"/>
              </w:rPr>
            </w:pPr>
          </w:p>
        </w:tc>
      </w:tr>
      <w:tr>
        <w:trPr>
          <w:trHeight w:val="220"/>
        </w:trPr>
        <w:tc>
          <w:tcPr>
            <w:tcW w:w="52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731</w:t>
            </w:r>
          </w:p>
        </w:tc>
        <w:tc>
          <w:tcPr>
            <w:tcW w:w="80" w:type="dxa"/>
            <w:vAlign w:val="bottom"/>
          </w:tcPr>
          <w:p>
            <w:pPr>
              <w:spacing w:after="0"/>
              <w:rPr>
                <w:sz w:val="19"/>
                <w:szCs w:val="19"/>
                <w:color w:val="auto"/>
              </w:rPr>
            </w:pPr>
          </w:p>
        </w:tc>
      </w:tr>
      <w:tr>
        <w:trPr>
          <w:trHeight w:val="233"/>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Facilities and other</w:t>
            </w: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6"/>
                <w:szCs w:val="16"/>
                <w:color w:val="auto"/>
              </w:rPr>
              <w:t>Total research and development expenses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79,347</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58,274</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21,073</w:t>
            </w: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-779145</wp:posOffset>
            </wp:positionV>
            <wp:extent cx="5969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-779145</wp:posOffset>
            </wp:positionV>
            <wp:extent cx="6032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-779145</wp:posOffset>
            </wp:positionV>
            <wp:extent cx="51435"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-179070</wp:posOffset>
            </wp:positionV>
            <wp:extent cx="5969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-179070</wp:posOffset>
            </wp:positionV>
            <wp:extent cx="60325"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200" w:lineRule="exact"/>
        <w:rPr>
          <w:sz w:val="20"/>
          <w:szCs w:val="20"/>
          <w:color w:val="auto"/>
        </w:rPr>
      </w:pPr>
    </w:p>
    <w:p>
      <w:pPr>
        <w:ind w:left="260" w:firstLine="464"/>
        <w:spacing w:after="0" w:line="271" w:lineRule="auto"/>
        <w:rPr>
          <w:sz w:val="20"/>
          <w:szCs w:val="20"/>
          <w:color w:val="auto"/>
        </w:rPr>
      </w:pPr>
      <w:r>
        <w:rPr>
          <w:rFonts w:ascii="Arial" w:cs="Arial" w:eastAsia="Arial" w:hAnsi="Arial"/>
          <w:sz w:val="16"/>
          <w:szCs w:val="16"/>
          <w:color w:val="auto"/>
        </w:rPr>
        <w:t>Research and development expenses were $79.3 million and $58.3 million for the years ended December 31, 2022 and 2021, respectively. The increase of $21.0 million was primarily driven by a $17.2 million increase in clinical development for our clinical-stage programs, a $3.8 million increase in personnel related costs due to an increase in headcount to support ongoing development activities for our programs, a $0.7 million increase in stock-based compensation due to awards issued in connection with our 2020 Equity Incentive Plan, and a $0.4 million increase in facility and other allocated costs, offset by a $1.1 million decrease in pre-clinical and manufacturing costs for various programs.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General and administrative expense</w:t>
      </w:r>
    </w:p>
    <w:p>
      <w:pPr>
        <w:spacing w:after="0" w:line="113" w:lineRule="exact"/>
        <w:rPr>
          <w:sz w:val="20"/>
          <w:szCs w:val="20"/>
          <w:color w:val="auto"/>
        </w:rPr>
      </w:pPr>
    </w:p>
    <w:p>
      <w:pPr>
        <w:ind w:left="260" w:right="120" w:firstLine="458"/>
        <w:spacing w:after="0" w:line="273" w:lineRule="auto"/>
        <w:rPr>
          <w:sz w:val="20"/>
          <w:szCs w:val="20"/>
          <w:color w:val="auto"/>
        </w:rPr>
      </w:pPr>
      <w:r>
        <w:rPr>
          <w:rFonts w:ascii="Arial" w:cs="Arial" w:eastAsia="Arial" w:hAnsi="Arial"/>
          <w:sz w:val="16"/>
          <w:szCs w:val="16"/>
          <w:color w:val="auto"/>
        </w:rPr>
        <w:t>General and administrative expenses were $28.8 million and $38.4 million for the years ended December 31, 2022 and 2021, respectively. The decrease of $9.6 million was primarily driven by an $11.3 million decrease in stock-based compensation related to awards issued under our 2020 Equity Incentive Plan, including new awards granted under the plan and the modification of awards issued to one of our co-founders in 2021, offset by an increase of $1.4 million in accounting and legal services, including a $1.0 million legal settlement, and a $0.3 million increase in travel related expenses.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Interest income</w:t>
      </w:r>
    </w:p>
    <w:p>
      <w:pPr>
        <w:spacing w:after="0" w:line="113" w:lineRule="exact"/>
        <w:rPr>
          <w:sz w:val="20"/>
          <w:szCs w:val="20"/>
          <w:color w:val="auto"/>
        </w:rPr>
      </w:pPr>
    </w:p>
    <w:p>
      <w:pPr>
        <w:ind w:left="260" w:right="240" w:firstLine="458"/>
        <w:spacing w:after="0" w:line="293" w:lineRule="auto"/>
        <w:rPr>
          <w:sz w:val="20"/>
          <w:szCs w:val="20"/>
          <w:color w:val="auto"/>
        </w:rPr>
      </w:pPr>
      <w:r>
        <w:rPr>
          <w:rFonts w:ascii="Arial" w:cs="Arial" w:eastAsia="Arial" w:hAnsi="Arial"/>
          <w:sz w:val="16"/>
          <w:szCs w:val="16"/>
          <w:color w:val="auto"/>
        </w:rPr>
        <w:t>Interest income was $1.6 million and $350,000 for the years ended December 31, 2022 and 2021, respectively. The increase of $1.3 million was due to higher yields earned as compared to the same period in 2021.</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Extinguishment of Debt</w:t>
      </w:r>
    </w:p>
    <w:p>
      <w:pPr>
        <w:spacing w:after="0" w:line="113" w:lineRule="exact"/>
        <w:rPr>
          <w:sz w:val="20"/>
          <w:szCs w:val="20"/>
          <w:color w:val="auto"/>
        </w:rPr>
      </w:pPr>
    </w:p>
    <w:p>
      <w:pPr>
        <w:ind w:left="260" w:right="980" w:firstLine="464"/>
        <w:spacing w:after="0" w:line="328" w:lineRule="auto"/>
        <w:rPr>
          <w:sz w:val="20"/>
          <w:szCs w:val="20"/>
          <w:color w:val="auto"/>
        </w:rPr>
      </w:pPr>
      <w:r>
        <w:rPr>
          <w:rFonts w:ascii="Arial" w:cs="Arial" w:eastAsia="Arial" w:hAnsi="Arial"/>
          <w:sz w:val="15"/>
          <w:szCs w:val="15"/>
          <w:color w:val="auto"/>
        </w:rPr>
        <w:t>Extinguishment of debt was $0 and $0.7 million for the twelve months ended December 31, 2022 and 2021, respectively. The $0.7 million gain on extinguishment during the twelve months ended December 31, 2021 was related to the forgiveness of our PPP loan in July 2021.</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jc w:val="both"/>
        <w:ind w:left="260" w:right="320" w:firstLine="458"/>
        <w:spacing w:after="0" w:line="335" w:lineRule="auto"/>
        <w:rPr>
          <w:sz w:val="20"/>
          <w:szCs w:val="20"/>
          <w:color w:val="auto"/>
        </w:rPr>
      </w:pPr>
      <w:r>
        <w:rPr>
          <w:rFonts w:ascii="Arial" w:cs="Arial" w:eastAsia="Arial" w:hAnsi="Arial"/>
          <w:sz w:val="14"/>
          <w:szCs w:val="14"/>
          <w:color w:val="auto"/>
        </w:rPr>
        <w:t>We have incurred aggregate net losses and negative cash flows from operations since our inception and anticipate we will continue to incur net losses for the foreseeable future. Since July 2020, we have funded our operations primarily through the issuance of equity. In November 2022, we received net proceeds of $61.7 million in an underwritten public offering of our common stock. As of December 31, 2022, we had cash and cash equivalents of $215.5 million.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Debt</w:t>
      </w:r>
    </w:p>
    <w:p>
      <w:pPr>
        <w:spacing w:after="0" w:line="113" w:lineRule="exact"/>
        <w:rPr>
          <w:sz w:val="20"/>
          <w:szCs w:val="20"/>
          <w:color w:val="auto"/>
        </w:rPr>
      </w:pPr>
    </w:p>
    <w:p>
      <w:pPr>
        <w:ind w:left="260" w:right="240" w:firstLine="464"/>
        <w:spacing w:after="0" w:line="278" w:lineRule="auto"/>
        <w:rPr>
          <w:sz w:val="20"/>
          <w:szCs w:val="20"/>
          <w:color w:val="auto"/>
        </w:rPr>
      </w:pPr>
      <w:r>
        <w:rPr>
          <w:rFonts w:ascii="Arial" w:cs="Arial" w:eastAsia="Arial" w:hAnsi="Arial"/>
          <w:sz w:val="16"/>
          <w:szCs w:val="16"/>
          <w:color w:val="auto"/>
        </w:rPr>
        <w:t>On April 22, 2020, we received proceeds from a loan pursuant to the Paycheck Protection Program of the CARES Act, "the PPP Loan", in the amount of $0.7 million from City National Bank, as lender. In July 2021, we were notified by our lender that our PPP Loan had been fully forgiven by the U.S. Small Business Administration and that there was no remaining balance on the PPP Loan. We recorded the forgiveness as other income in July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2021.</w:t>
      </w: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113" w:lineRule="exact"/>
        <w:rPr>
          <w:sz w:val="20"/>
          <w:szCs w:val="20"/>
          <w:color w:val="auto"/>
        </w:rPr>
      </w:pPr>
    </w:p>
    <w:p>
      <w:pPr>
        <w:ind w:left="260" w:right="400" w:firstLine="464"/>
        <w:spacing w:after="0" w:line="293" w:lineRule="auto"/>
        <w:rPr>
          <w:sz w:val="20"/>
          <w:szCs w:val="20"/>
          <w:color w:val="auto"/>
        </w:rPr>
      </w:pPr>
      <w:r>
        <w:rPr>
          <w:rFonts w:ascii="Arial" w:cs="Arial" w:eastAsia="Arial" w:hAnsi="Arial"/>
          <w:sz w:val="16"/>
          <w:szCs w:val="16"/>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64" w:lineRule="exact"/>
        <w:rPr>
          <w:sz w:val="20"/>
          <w:szCs w:val="20"/>
          <w:color w:val="auto"/>
        </w:rPr>
      </w:pPr>
    </w:p>
    <w:p>
      <w:pPr>
        <w:ind w:left="1280" w:hanging="509"/>
        <w:spacing w:after="0"/>
        <w:tabs>
          <w:tab w:leader="none" w:pos="12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initiation, scope, rate of progress, results and costs of our preclinical studies, clinical trials and other related activities for our product candidates;</w:t>
      </w:r>
    </w:p>
    <w:p>
      <w:pPr>
        <w:spacing w:after="0" w:line="138" w:lineRule="exact"/>
        <w:rPr>
          <w:rFonts w:ascii="Arial" w:cs="Arial" w:eastAsia="Arial" w:hAnsi="Arial"/>
          <w:sz w:val="15"/>
          <w:szCs w:val="15"/>
          <w:color w:val="auto"/>
        </w:rPr>
      </w:pPr>
    </w:p>
    <w:p>
      <w:pPr>
        <w:ind w:left="1280" w:hanging="509"/>
        <w:spacing w:after="0"/>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costs associated with manufacturing our product candidates and establishing commercial supplies and sales, marketing and distribution capabilities;</w:t>
      </w:r>
    </w:p>
    <w:p>
      <w:pPr>
        <w:spacing w:after="0" w:line="149" w:lineRule="exact"/>
        <w:rPr>
          <w:rFonts w:ascii="Arial" w:cs="Arial" w:eastAsia="Arial" w:hAnsi="Arial"/>
          <w:sz w:val="14"/>
          <w:szCs w:val="14"/>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timing and costs of capital expenditures to support our research and development efforts;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number and characteristics of other product candidates that we pursue;</w:t>
      </w:r>
    </w:p>
    <w:p>
      <w:pPr>
        <w:spacing w:after="0" w:line="126" w:lineRule="exact"/>
        <w:rPr>
          <w:rFonts w:ascii="Arial" w:cs="Arial" w:eastAsia="Arial" w:hAnsi="Arial"/>
          <w:sz w:val="16"/>
          <w:szCs w:val="16"/>
          <w:color w:val="auto"/>
        </w:rPr>
      </w:pPr>
    </w:p>
    <w:p>
      <w:pPr>
        <w:ind w:left="1280" w:right="120" w:hanging="509"/>
        <w:spacing w:after="0" w:line="328" w:lineRule="auto"/>
        <w:tabs>
          <w:tab w:leader="none" w:pos="12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41" w:lineRule="exact"/>
        <w:rPr>
          <w:rFonts w:ascii="Arial" w:cs="Arial" w:eastAsia="Arial" w:hAnsi="Arial"/>
          <w:sz w:val="15"/>
          <w:szCs w:val="15"/>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timing, receipt and amount of sales from our potential products;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need and ability to hire additional management, scientific and medical personnel;</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effect of competing products that may limit market penetration of our product candidates;</w:t>
      </w:r>
    </w:p>
    <w:p>
      <w:pPr>
        <w:spacing w:after="0" w:line="126" w:lineRule="exact"/>
        <w:rPr>
          <w:rFonts w:ascii="Arial" w:cs="Arial" w:eastAsia="Arial" w:hAnsi="Arial"/>
          <w:sz w:val="16"/>
          <w:szCs w:val="16"/>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w:t>
      </w:r>
    </w:p>
    <w:p>
      <w:pPr>
        <w:spacing w:after="0" w:line="126" w:lineRule="exact"/>
        <w:rPr>
          <w:rFonts w:ascii="Arial" w:cs="Arial" w:eastAsia="Arial" w:hAnsi="Arial"/>
          <w:sz w:val="16"/>
          <w:szCs w:val="16"/>
          <w:color w:val="auto"/>
        </w:rPr>
      </w:pPr>
    </w:p>
    <w:p>
      <w:pPr>
        <w:ind w:left="1280" w:right="60" w:hanging="509"/>
        <w:spacing w:after="0" w:line="293" w:lineRule="auto"/>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3" w:lineRule="exact"/>
        <w:rPr>
          <w:rFonts w:ascii="Arial" w:cs="Arial" w:eastAsia="Arial" w:hAnsi="Arial"/>
          <w:sz w:val="16"/>
          <w:szCs w:val="16"/>
          <w:color w:val="auto"/>
        </w:rPr>
      </w:pPr>
    </w:p>
    <w:p>
      <w:pPr>
        <w:ind w:left="1280" w:hanging="509"/>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compliance and administrative costs associated with being a public company; and</w:t>
      </w:r>
    </w:p>
    <w:p>
      <w:pPr>
        <w:spacing w:after="0" w:line="126" w:lineRule="exact"/>
        <w:rPr>
          <w:rFonts w:ascii="Arial" w:cs="Arial" w:eastAsia="Arial" w:hAnsi="Arial"/>
          <w:sz w:val="16"/>
          <w:szCs w:val="16"/>
          <w:color w:val="auto"/>
        </w:rPr>
      </w:pPr>
    </w:p>
    <w:p>
      <w:pPr>
        <w:ind w:left="1280" w:right="360" w:hanging="509"/>
        <w:spacing w:after="0" w:line="293" w:lineRule="auto"/>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although we have no commitments or agreements relating to any of these types of transactions.</w:t>
      </w:r>
    </w:p>
    <w:p>
      <w:pPr>
        <w:spacing w:after="0" w:line="158" w:lineRule="exact"/>
        <w:rPr>
          <w:sz w:val="20"/>
          <w:szCs w:val="20"/>
          <w:color w:val="auto"/>
        </w:rPr>
      </w:pPr>
    </w:p>
    <w:p>
      <w:pPr>
        <w:ind w:left="260" w:right="300" w:firstLine="458"/>
        <w:spacing w:after="0" w:line="278" w:lineRule="auto"/>
        <w:rPr>
          <w:sz w:val="20"/>
          <w:szCs w:val="20"/>
          <w:color w:val="auto"/>
        </w:rPr>
      </w:pPr>
      <w:r>
        <w:rPr>
          <w:rFonts w:ascii="Arial" w:cs="Arial" w:eastAsia="Arial" w:hAnsi="Arial"/>
          <w:sz w:val="16"/>
          <w:szCs w:val="16"/>
          <w:color w:val="auto"/>
        </w:rPr>
        <w:t>Based on our current operating plan, our current cash and cash equivalents are expected to be sufficient to fund our ongoing operations for a period of at least twelve months from the date the financial statements included in this report are issued. However, we have based this estimate on assumptions that may prove to be wrong, and we could utilize our available capital resources sooner than we currently expect.</w:t>
      </w:r>
    </w:p>
    <w:p>
      <w:pPr>
        <w:spacing w:after="0" w:line="157" w:lineRule="exact"/>
        <w:rPr>
          <w:sz w:val="20"/>
          <w:szCs w:val="20"/>
          <w:color w:val="auto"/>
        </w:rPr>
      </w:pPr>
    </w:p>
    <w:p>
      <w:pPr>
        <w:ind w:left="260" w:firstLine="458"/>
        <w:spacing w:after="0" w:line="284" w:lineRule="auto"/>
        <w:rPr>
          <w:sz w:val="20"/>
          <w:szCs w:val="20"/>
          <w:color w:val="auto"/>
        </w:rPr>
      </w:pPr>
      <w:r>
        <w:rPr>
          <w:rFonts w:ascii="Arial" w:cs="Arial" w:eastAsia="Arial" w:hAnsi="Arial"/>
          <w:sz w:val="15"/>
          <w:szCs w:val="15"/>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the COVID-19 pandemic, supply chain disruptions, and geopolitical disruptions, including the ongoing conflict between Russia and Ukraine,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7040" w:type="dxa"/>
            <w:vAlign w:val="bottom"/>
            <w:gridSpan w:val="3"/>
          </w:tcPr>
          <w:p>
            <w:pPr>
              <w:spacing w:after="0"/>
              <w:rPr>
                <w:sz w:val="20"/>
                <w:szCs w:val="20"/>
                <w:color w:val="auto"/>
              </w:rPr>
            </w:pPr>
            <w:r>
              <w:rPr>
                <w:rFonts w:ascii="Arial" w:cs="Arial" w:eastAsia="Arial" w:hAnsi="Arial"/>
                <w:sz w:val="16"/>
                <w:szCs w:val="16"/>
                <w:b w:val="1"/>
                <w:bCs w:val="1"/>
                <w:color w:val="auto"/>
              </w:rPr>
              <w:t>Table of Contents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14"/>
        </w:trPr>
        <w:tc>
          <w:tcPr>
            <w:tcW w:w="122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i w:val="1"/>
                <w:iCs w:val="1"/>
                <w:color w:val="auto"/>
              </w:rPr>
              <w:t>Cash flows</w:t>
            </w:r>
          </w:p>
        </w:tc>
        <w:tc>
          <w:tcPr>
            <w:tcW w:w="58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7040" w:type="dxa"/>
            <w:vAlign w:val="bottom"/>
            <w:gridSpan w:val="3"/>
          </w:tcPr>
          <w:p>
            <w:pPr>
              <w:ind w:left="260"/>
              <w:spacing w:after="0"/>
              <w:rPr>
                <w:sz w:val="20"/>
                <w:szCs w:val="20"/>
                <w:color w:val="auto"/>
              </w:rPr>
            </w:pPr>
            <w:r>
              <w:rPr>
                <w:rFonts w:ascii="Arial" w:cs="Arial" w:eastAsia="Arial" w:hAnsi="Arial"/>
                <w:sz w:val="16"/>
                <w:szCs w:val="16"/>
                <w:color w:val="auto"/>
              </w:rPr>
              <w:t>The following summarizes our cash flows for the periods indicated: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8"/>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4"/>
              </w:rPr>
              <w:t>Years Ended December 31,</w:t>
            </w:r>
          </w:p>
        </w:tc>
      </w:tr>
      <w:tr>
        <w:trPr>
          <w:trHeight w:val="223"/>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9"/>
                <w:szCs w:val="19"/>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9"/>
              <w:spacing w:after="0"/>
              <w:rPr>
                <w:sz w:val="20"/>
                <w:szCs w:val="20"/>
                <w:color w:val="auto"/>
              </w:rPr>
            </w:pPr>
            <w:r>
              <w:rPr>
                <w:rFonts w:ascii="Arial" w:cs="Arial" w:eastAsia="Arial" w:hAnsi="Arial"/>
                <w:sz w:val="16"/>
                <w:szCs w:val="16"/>
                <w:color w:val="auto"/>
              </w:rPr>
              <w:t>(90,420 )</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(62,214 )</w:t>
            </w:r>
          </w:p>
        </w:tc>
      </w:tr>
      <w:tr>
        <w:trPr>
          <w:trHeight w:val="239"/>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(265 )</w:t>
            </w:r>
          </w:p>
        </w:tc>
        <w:tc>
          <w:tcPr>
            <w:tcW w:w="3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(924 )</w:t>
            </w:r>
          </w:p>
        </w:tc>
      </w:tr>
      <w:tr>
        <w:trPr>
          <w:trHeight w:val="223"/>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69,512</w:t>
            </w:r>
          </w:p>
        </w:tc>
        <w:tc>
          <w:tcPr>
            <w:tcW w:w="80" w:type="dxa"/>
            <w:vAlign w:val="bottom"/>
          </w:tcPr>
          <w:p>
            <w:pPr>
              <w:spacing w:after="0"/>
              <w:rPr>
                <w:sz w:val="19"/>
                <w:szCs w:val="19"/>
                <w:color w:val="auto"/>
              </w:rPr>
            </w:pPr>
          </w:p>
        </w:tc>
      </w:tr>
      <w:tr>
        <w:trPr>
          <w:trHeight w:val="243"/>
        </w:trPr>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(29,472 )</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6,374</w:t>
            </w:r>
          </w:p>
        </w:tc>
        <w:tc>
          <w:tcPr>
            <w:tcW w:w="80" w:type="dxa"/>
            <w:vAlign w:val="bottom"/>
            <w:shd w:val="clear" w:color="auto" w:fill="CFF0FC"/>
          </w:tcPr>
          <w:p>
            <w:pPr>
              <w:spacing w:after="0"/>
              <w:rPr>
                <w:sz w:val="21"/>
                <w:szCs w:val="2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Cash used in operating activities</w:t>
      </w:r>
    </w:p>
    <w:p>
      <w:pPr>
        <w:spacing w:after="0" w:line="113"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Net cash used in operating activities for the year ended December 31, 2022 was $90.4 million, which consisted of a consolidated net loss of $106.5 million, a net increase of $0.3 million in our net operating assets and liabilities and $15.8 million of non-cash transactions. The net change in our operating assets and liabilities was primarily due to an increase in prepaid expenses and other assets of $2.6 million, partially offset by an increase in accounts payable and accrued expenses of $3.4 million and a net decrease in operating lease right-of-use assets and liabilities of $0.5 million. The non-cash transactions primarily consisted of $14.6 million of stock-based compensation and non-cash charges of $1.2 million related to depreciation and amortization.</w:t>
      </w:r>
    </w:p>
    <w:p>
      <w:pPr>
        <w:spacing w:after="0" w:line="162" w:lineRule="exact"/>
        <w:rPr>
          <w:sz w:val="20"/>
          <w:szCs w:val="20"/>
          <w:color w:val="auto"/>
        </w:rPr>
      </w:pPr>
    </w:p>
    <w:p>
      <w:pPr>
        <w:ind w:left="260" w:right="80" w:firstLine="458"/>
        <w:spacing w:after="0" w:line="269" w:lineRule="auto"/>
        <w:rPr>
          <w:sz w:val="20"/>
          <w:szCs w:val="20"/>
          <w:color w:val="auto"/>
        </w:rPr>
      </w:pPr>
      <w:r>
        <w:rPr>
          <w:rFonts w:ascii="Arial" w:cs="Arial" w:eastAsia="Arial" w:hAnsi="Arial"/>
          <w:sz w:val="16"/>
          <w:szCs w:val="16"/>
          <w:color w:val="auto"/>
        </w:rPr>
        <w:t>Net cash used in operating activities for the year ended December 31, 2021 was $62.2 million, which consisted of a consolidated net loss of $95.4 million, a net increase of $7.4 million in our net operating assets and liabilities and $25.8 million of non-cash transactions. The net change in our operating assets and liabilities was primarily due to an increase in accounts payable and accrued expenses of $8.0 million, a decrease in prepaid expenses and other assets of $0.2 million, offset by a net increase in operating lease right-of-use assets and liabilities of $0.3 million in conjunction with the adoption of ASC 842. The non-cash transactions primarily consisted of $25.1 million of stock-based compensation and non-cash charges of $1.3 million related to depreciation and amortization, offset by the $0.7 million gain on the extinguishment of our PPP loan.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Cash used in investing activities</w:t>
      </w:r>
    </w:p>
    <w:p>
      <w:pPr>
        <w:spacing w:after="0" w:line="113" w:lineRule="exact"/>
        <w:rPr>
          <w:sz w:val="20"/>
          <w:szCs w:val="20"/>
          <w:color w:val="auto"/>
        </w:rPr>
      </w:pPr>
    </w:p>
    <w:p>
      <w:pPr>
        <w:ind w:left="260" w:right="540" w:firstLine="458"/>
        <w:spacing w:after="0" w:line="293" w:lineRule="auto"/>
        <w:rPr>
          <w:sz w:val="20"/>
          <w:szCs w:val="20"/>
          <w:color w:val="auto"/>
        </w:rPr>
      </w:pPr>
      <w:r>
        <w:rPr>
          <w:rFonts w:ascii="Arial" w:cs="Arial" w:eastAsia="Arial" w:hAnsi="Arial"/>
          <w:sz w:val="16"/>
          <w:szCs w:val="16"/>
          <w:color w:val="auto"/>
        </w:rPr>
        <w:t>Cash used in investing activities was $0.3 million and $0.9 million for the years ended December 31, 2022 and 2021, respectively, primarily related to the purchase of property and equipment.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Cash provided by financing activities</w:t>
      </w:r>
    </w:p>
    <w:p>
      <w:pPr>
        <w:spacing w:after="0" w:line="113" w:lineRule="exact"/>
        <w:rPr>
          <w:sz w:val="20"/>
          <w:szCs w:val="20"/>
          <w:color w:val="auto"/>
        </w:rPr>
      </w:pPr>
    </w:p>
    <w:p>
      <w:pPr>
        <w:ind w:left="260" w:right="180" w:firstLine="458"/>
        <w:spacing w:after="0" w:line="305" w:lineRule="auto"/>
        <w:rPr>
          <w:sz w:val="20"/>
          <w:szCs w:val="20"/>
          <w:color w:val="auto"/>
        </w:rPr>
      </w:pPr>
      <w:r>
        <w:rPr>
          <w:rFonts w:ascii="Arial" w:cs="Arial" w:eastAsia="Arial" w:hAnsi="Arial"/>
          <w:sz w:val="15"/>
          <w:szCs w:val="15"/>
          <w:color w:val="auto"/>
        </w:rPr>
        <w:t>Net cash provided by financing activities was $61.2 million for the year ended December 31, 2022, which consisted primarily of the $61.7 million net proceeds from the issuance of common stock through an underwritten offering in November 2022 and $0.3 million proceeds from the issuance of common stock under our Employee Stock Purchase Plan, partially offset by payment of taxes related to the net settlement of equity awards of $0.8 million.</w:t>
      </w:r>
    </w:p>
    <w:p>
      <w:pPr>
        <w:spacing w:after="0" w:line="139" w:lineRule="exact"/>
        <w:rPr>
          <w:sz w:val="20"/>
          <w:szCs w:val="20"/>
          <w:color w:val="auto"/>
        </w:rPr>
      </w:pPr>
    </w:p>
    <w:p>
      <w:pPr>
        <w:ind w:left="260" w:right="60" w:firstLine="464"/>
        <w:spacing w:after="0" w:line="273" w:lineRule="auto"/>
        <w:rPr>
          <w:sz w:val="20"/>
          <w:szCs w:val="20"/>
          <w:color w:val="auto"/>
        </w:rPr>
      </w:pPr>
      <w:r>
        <w:rPr>
          <w:rFonts w:ascii="Arial" w:cs="Arial" w:eastAsia="Arial" w:hAnsi="Arial"/>
          <w:sz w:val="16"/>
          <w:szCs w:val="16"/>
          <w:color w:val="auto"/>
        </w:rPr>
        <w:t>Net cash provided by financing activities was $69.5 million for the year ended December 31, 2021, which consisted primarily of the net proceeds from the issuance of common stock through a private placement of $71.0 million, the proceeds from the issuance of common stock under our Employee Stock Purchase Plan of $0.3 million, and $0.1 million due to the exercise of stock options under our Equity Incentive Plan, partially offset by our payment of initial public offering costs of $1.9 million.</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7" w:lineRule="exact"/>
        <w:rPr>
          <w:sz w:val="20"/>
          <w:szCs w:val="20"/>
          <w:color w:val="auto"/>
        </w:rPr>
      </w:pPr>
    </w:p>
    <w:p>
      <w:pPr>
        <w:ind w:left="260" w:right="100" w:firstLine="458"/>
        <w:spacing w:after="0" w:line="291"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49" w:lineRule="exact"/>
        <w:rPr>
          <w:sz w:val="20"/>
          <w:szCs w:val="20"/>
          <w:color w:val="auto"/>
        </w:rPr>
      </w:pPr>
    </w:p>
    <w:p>
      <w:pPr>
        <w:ind w:left="260" w:right="120" w:firstLine="458"/>
        <w:spacing w:after="0" w:line="328" w:lineRule="auto"/>
        <w:rPr>
          <w:sz w:val="20"/>
          <w:szCs w:val="20"/>
          <w:color w:val="auto"/>
        </w:rPr>
      </w:pPr>
      <w:r>
        <w:rPr>
          <w:rFonts w:ascii="Arial" w:cs="Arial" w:eastAsia="Arial" w:hAnsi="Arial"/>
          <w:sz w:val="15"/>
          <w:szCs w:val="15"/>
          <w:color w:val="auto"/>
        </w:rPr>
        <w:t>While our significant accounting policies are described in the Note 1 to our consolidated financial statements included elsewhere in this Annual Report on Form 10-K, we believe that the following critical accounting policies are most important to understanding and evaluating our reported financial results.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Accrued expenses</w:t>
      </w:r>
    </w:p>
    <w:p>
      <w:pPr>
        <w:spacing w:after="0" w:line="113" w:lineRule="exact"/>
        <w:rPr>
          <w:sz w:val="20"/>
          <w:szCs w:val="20"/>
          <w:color w:val="auto"/>
        </w:rPr>
      </w:pPr>
    </w:p>
    <w:p>
      <w:pPr>
        <w:ind w:left="260" w:right="20" w:firstLine="458"/>
        <w:spacing w:after="0" w:line="271" w:lineRule="auto"/>
        <w:rPr>
          <w:sz w:val="20"/>
          <w:szCs w:val="20"/>
          <w:color w:val="auto"/>
        </w:rPr>
      </w:pPr>
      <w:r>
        <w:rPr>
          <w:rFonts w:ascii="Arial" w:cs="Arial" w:eastAsia="Arial" w:hAnsi="Arial"/>
          <w:sz w:val="16"/>
          <w:szCs w:val="16"/>
          <w:color w:val="auto"/>
        </w:rPr>
        <w:t>As part of the process of preparing our consolidated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line="293" w:lineRule="auto"/>
        <w:rPr>
          <w:sz w:val="20"/>
          <w:szCs w:val="20"/>
          <w:color w:val="auto"/>
        </w:rPr>
      </w:pPr>
      <w:r>
        <w:rPr>
          <w:rFonts w:ascii="Arial" w:cs="Arial" w:eastAsia="Arial" w:hAnsi="Arial"/>
          <w:sz w:val="16"/>
          <w:szCs w:val="16"/>
          <w:color w:val="auto"/>
        </w:rPr>
        <w:t>our vendors in connection with research and development activities for which we have not yet been invoiced. We periodically confirm the accuracy of our estimates with the service providers and make adjustments if necessary.</w:t>
      </w:r>
    </w:p>
    <w:p>
      <w:pPr>
        <w:spacing w:after="0" w:line="145" w:lineRule="exact"/>
        <w:rPr>
          <w:sz w:val="20"/>
          <w:szCs w:val="20"/>
          <w:color w:val="auto"/>
        </w:rPr>
      </w:pPr>
    </w:p>
    <w:p>
      <w:pPr>
        <w:ind w:left="260" w:right="140" w:firstLine="458"/>
        <w:spacing w:after="0" w:line="289" w:lineRule="auto"/>
        <w:rPr>
          <w:sz w:val="20"/>
          <w:szCs w:val="20"/>
          <w:color w:val="auto"/>
        </w:rPr>
      </w:pPr>
      <w:r>
        <w:rPr>
          <w:rFonts w:ascii="Arial" w:cs="Arial" w:eastAsia="Arial" w:hAnsi="Arial"/>
          <w:sz w:val="15"/>
          <w:szCs w:val="15"/>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6" w:lineRule="exact"/>
        <w:rPr>
          <w:sz w:val="20"/>
          <w:szCs w:val="20"/>
          <w:color w:val="auto"/>
        </w:rPr>
      </w:pPr>
    </w:p>
    <w:p>
      <w:pPr>
        <w:ind w:left="260" w:right="40" w:firstLine="458"/>
        <w:spacing w:after="0" w:line="278"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Other company information</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See Note 1 to the audited financial statements included in Item 8 of this Annual Report on Form 10-K.</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have not entered into any off-balance sheet arrangements, as defined in the rules and regulations of the SEC.</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 applicable to a smaller reporting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5300" w:type="dxa"/>
            <w:vAlign w:val="bottom"/>
            <w:gridSpan w:val="9"/>
          </w:tcPr>
          <w:p>
            <w:pPr>
              <w:spacing w:after="0"/>
              <w:rPr>
                <w:sz w:val="20"/>
                <w:szCs w:val="20"/>
                <w:color w:val="auto"/>
              </w:rPr>
            </w:pPr>
            <w:r>
              <w:rPr>
                <w:rFonts w:ascii="Arial" w:cs="Arial" w:eastAsia="Arial" w:hAnsi="Arial"/>
                <w:sz w:val="16"/>
                <w:szCs w:val="16"/>
                <w:b w:val="1"/>
                <w:bCs w:val="1"/>
                <w:color w:val="auto"/>
              </w:rPr>
              <w:t>Table of Contents</w:t>
            </w:r>
          </w:p>
        </w:tc>
        <w:tc>
          <w:tcPr>
            <w:tcW w:w="5940" w:type="dxa"/>
            <w:vAlign w:val="bottom"/>
          </w:tcPr>
          <w:p>
            <w:pPr>
              <w:spacing w:after="0"/>
              <w:rPr>
                <w:sz w:val="16"/>
                <w:szCs w:val="16"/>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379"/>
        </w:trPr>
        <w:tc>
          <w:tcPr>
            <w:tcW w:w="5300" w:type="dxa"/>
            <w:vAlign w:val="bottom"/>
            <w:gridSpan w:val="9"/>
          </w:tcPr>
          <w:p>
            <w:pPr>
              <w:ind w:left="260"/>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5940" w:type="dxa"/>
            <w:vAlign w:val="bottom"/>
          </w:tcPr>
          <w:p>
            <w:pPr>
              <w:spacing w:after="0"/>
              <w:rPr>
                <w:sz w:val="24"/>
                <w:szCs w:val="24"/>
                <w:color w:val="auto"/>
              </w:rPr>
            </w:pPr>
          </w:p>
        </w:tc>
      </w:tr>
      <w:tr>
        <w:trPr>
          <w:trHeight w:val="297"/>
        </w:trPr>
        <w:tc>
          <w:tcPr>
            <w:tcW w:w="5300" w:type="dxa"/>
            <w:vAlign w:val="bottom"/>
            <w:gridSpan w:val="9"/>
          </w:tcPr>
          <w:p>
            <w:pPr>
              <w:ind w:left="260"/>
              <w:spacing w:after="0"/>
              <w:rPr>
                <w:sz w:val="20"/>
                <w:szCs w:val="20"/>
                <w:color w:val="auto"/>
              </w:rPr>
            </w:pPr>
            <w:r>
              <w:rPr>
                <w:rFonts w:ascii="Arial" w:cs="Arial" w:eastAsia="Arial" w:hAnsi="Arial"/>
                <w:sz w:val="16"/>
                <w:szCs w:val="16"/>
                <w:b w:val="1"/>
                <w:bCs w:val="1"/>
                <w:color w:val="auto"/>
              </w:rPr>
              <w:t>BioAtla, Inc.</w:t>
            </w:r>
          </w:p>
        </w:tc>
        <w:tc>
          <w:tcPr>
            <w:tcW w:w="5940" w:type="dxa"/>
            <w:vAlign w:val="bottom"/>
          </w:tcPr>
          <w:p>
            <w:pPr>
              <w:spacing w:after="0"/>
              <w:rPr>
                <w:sz w:val="24"/>
                <w:szCs w:val="24"/>
                <w:color w:val="auto"/>
              </w:rPr>
            </w:pPr>
          </w:p>
        </w:tc>
      </w:tr>
      <w:tr>
        <w:trPr>
          <w:trHeight w:val="446"/>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jc w:val="right"/>
              <w:ind w:right="459"/>
              <w:spacing w:after="0"/>
              <w:rPr>
                <w:sz w:val="20"/>
                <w:szCs w:val="20"/>
                <w:color w:val="auto"/>
              </w:rPr>
            </w:pPr>
            <w:r>
              <w:rPr>
                <w:rFonts w:ascii="Arial" w:cs="Arial" w:eastAsia="Arial" w:hAnsi="Arial"/>
                <w:sz w:val="16"/>
                <w:szCs w:val="16"/>
                <w:b w:val="1"/>
                <w:bCs w:val="1"/>
                <w:color w:val="auto"/>
              </w:rPr>
              <w:t>Page</w:t>
            </w:r>
          </w:p>
        </w:tc>
      </w:tr>
      <w:tr>
        <w:trPr>
          <w:trHeight w:val="229"/>
        </w:trPr>
        <w:tc>
          <w:tcPr>
            <w:tcW w:w="280" w:type="dxa"/>
            <w:vAlign w:val="bottom"/>
          </w:tcPr>
          <w:p>
            <w:pPr>
              <w:spacing w:after="0"/>
              <w:rPr>
                <w:sz w:val="19"/>
                <w:szCs w:val="19"/>
                <w:color w:val="auto"/>
              </w:rPr>
            </w:pPr>
          </w:p>
        </w:tc>
        <w:tc>
          <w:tcPr>
            <w:tcW w:w="5020" w:type="dxa"/>
            <w:vAlign w:val="bottom"/>
            <w:gridSpan w:val="8"/>
          </w:tcPr>
          <w:p>
            <w:pPr>
              <w:spacing w:after="0"/>
              <w:rPr>
                <w:sz w:val="20"/>
                <w:szCs w:val="20"/>
                <w:color w:val="auto"/>
              </w:rPr>
            </w:pPr>
            <w:r>
              <w:rPr>
                <w:rFonts w:ascii="Arial" w:cs="Arial" w:eastAsia="Arial" w:hAnsi="Arial"/>
                <w:sz w:val="16"/>
                <w:szCs w:val="16"/>
                <w:b w:val="1"/>
                <w:bCs w:val="1"/>
                <w:color w:val="auto"/>
              </w:rPr>
              <w:t>Index to consolidated financial statements</w:t>
            </w:r>
          </w:p>
        </w:tc>
        <w:tc>
          <w:tcPr>
            <w:tcW w:w="5940" w:type="dxa"/>
            <w:vAlign w:val="bottom"/>
          </w:tcPr>
          <w:p>
            <w:pPr>
              <w:spacing w:after="0"/>
              <w:rPr>
                <w:sz w:val="19"/>
                <w:szCs w:val="19"/>
                <w:color w:val="auto"/>
              </w:rPr>
            </w:pPr>
          </w:p>
        </w:tc>
      </w:tr>
      <w:tr>
        <w:trPr>
          <w:trHeight w:val="236"/>
        </w:trPr>
        <w:tc>
          <w:tcPr>
            <w:tcW w:w="280" w:type="dxa"/>
            <w:vAlign w:val="bottom"/>
          </w:tcPr>
          <w:p>
            <w:pPr>
              <w:spacing w:after="0"/>
              <w:rPr>
                <w:sz w:val="20"/>
                <w:szCs w:val="20"/>
                <w:color w:val="auto"/>
              </w:rPr>
            </w:pPr>
          </w:p>
        </w:tc>
        <w:tc>
          <w:tcPr>
            <w:tcW w:w="48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3"/>
              </w:rPr>
              <w:t>Report of independent registered public accounting firm (PCAOB ID: 42)</w:t>
            </w:r>
          </w:p>
        </w:tc>
        <w:tc>
          <w:tcPr>
            <w:tcW w:w="220" w:type="dxa"/>
            <w:vAlign w:val="bottom"/>
          </w:tcPr>
          <w:p>
            <w:pPr>
              <w:spacing w:after="0"/>
              <w:rPr>
                <w:sz w:val="20"/>
                <w:szCs w:val="20"/>
                <w:color w:val="auto"/>
              </w:rPr>
            </w:pPr>
          </w:p>
        </w:tc>
        <w:tc>
          <w:tcPr>
            <w:tcW w:w="5940" w:type="dxa"/>
            <w:vAlign w:val="bottom"/>
          </w:tcPr>
          <w:p>
            <w:pPr>
              <w:jc w:val="right"/>
              <w:ind w:right="479"/>
              <w:spacing w:after="0"/>
              <w:rPr>
                <w:sz w:val="20"/>
                <w:szCs w:val="20"/>
                <w:color w:val="auto"/>
              </w:rPr>
            </w:pPr>
            <w:r>
              <w:rPr>
                <w:rFonts w:ascii="Arial" w:cs="Arial" w:eastAsia="Arial" w:hAnsi="Arial"/>
                <w:sz w:val="16"/>
                <w:szCs w:val="16"/>
                <w:color w:val="auto"/>
              </w:rPr>
              <w:t>81</w:t>
            </w:r>
          </w:p>
        </w:tc>
      </w:tr>
      <w:tr>
        <w:trPr>
          <w:trHeight w:val="209"/>
        </w:trPr>
        <w:tc>
          <w:tcPr>
            <w:tcW w:w="280" w:type="dxa"/>
            <w:vAlign w:val="bottom"/>
          </w:tcPr>
          <w:p>
            <w:pPr>
              <w:spacing w:after="0"/>
              <w:rPr>
                <w:sz w:val="18"/>
                <w:szCs w:val="18"/>
                <w:color w:val="auto"/>
              </w:rPr>
            </w:pPr>
          </w:p>
        </w:tc>
        <w:tc>
          <w:tcPr>
            <w:tcW w:w="5020" w:type="dxa"/>
            <w:vAlign w:val="bottom"/>
            <w:gridSpan w:val="8"/>
          </w:tcPr>
          <w:p>
            <w:pPr>
              <w:spacing w:after="0"/>
              <w:rPr>
                <w:sz w:val="20"/>
                <w:szCs w:val="20"/>
                <w:color w:val="auto"/>
              </w:rPr>
            </w:pPr>
            <w:r>
              <w:rPr>
                <w:rFonts w:ascii="Arial" w:cs="Arial" w:eastAsia="Arial" w:hAnsi="Arial"/>
                <w:sz w:val="16"/>
                <w:szCs w:val="16"/>
                <w:color w:val="0000FF"/>
              </w:rPr>
              <w:t>Consolidated balance sheets</w:t>
            </w:r>
          </w:p>
        </w:tc>
        <w:tc>
          <w:tcPr>
            <w:tcW w:w="5940" w:type="dxa"/>
            <w:vAlign w:val="bottom"/>
          </w:tcPr>
          <w:p>
            <w:pPr>
              <w:jc w:val="right"/>
              <w:ind w:right="479"/>
              <w:spacing w:after="0"/>
              <w:rPr>
                <w:sz w:val="20"/>
                <w:szCs w:val="20"/>
                <w:color w:val="auto"/>
              </w:rPr>
            </w:pPr>
            <w:r>
              <w:rPr>
                <w:rFonts w:ascii="Arial" w:cs="Arial" w:eastAsia="Arial" w:hAnsi="Arial"/>
                <w:sz w:val="16"/>
                <w:szCs w:val="16"/>
                <w:color w:val="auto"/>
              </w:rPr>
              <w:t>82</w:t>
            </w:r>
          </w:p>
        </w:tc>
      </w:tr>
      <w:tr>
        <w:trPr>
          <w:trHeight w:val="20"/>
        </w:trPr>
        <w:tc>
          <w:tcPr>
            <w:tcW w:w="280" w:type="dxa"/>
            <w:vAlign w:val="bottom"/>
          </w:tcPr>
          <w:p>
            <w:pPr>
              <w:spacing w:after="0" w:line="20" w:lineRule="exact"/>
              <w:rPr>
                <w:sz w:val="1"/>
                <w:szCs w:val="1"/>
                <w:color w:val="auto"/>
              </w:rPr>
            </w:pPr>
          </w:p>
        </w:tc>
        <w:tc>
          <w:tcPr>
            <w:tcW w:w="18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40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9"/>
              </w:rPr>
              <w:t>Consolidated statements of operations and comprehensive loss</w:t>
            </w:r>
          </w:p>
        </w:tc>
        <w:tc>
          <w:tcPr>
            <w:tcW w:w="960" w:type="dxa"/>
            <w:vAlign w:val="bottom"/>
            <w:gridSpan w:val="2"/>
          </w:tcPr>
          <w:p>
            <w:pPr>
              <w:spacing w:after="0"/>
              <w:rPr>
                <w:sz w:val="18"/>
                <w:szCs w:val="18"/>
                <w:color w:val="auto"/>
              </w:rPr>
            </w:pPr>
          </w:p>
        </w:tc>
        <w:tc>
          <w:tcPr>
            <w:tcW w:w="5940" w:type="dxa"/>
            <w:vAlign w:val="bottom"/>
          </w:tcPr>
          <w:p>
            <w:pPr>
              <w:jc w:val="right"/>
              <w:ind w:right="479"/>
              <w:spacing w:after="0"/>
              <w:rPr>
                <w:sz w:val="20"/>
                <w:szCs w:val="20"/>
                <w:color w:val="auto"/>
              </w:rPr>
            </w:pPr>
            <w:r>
              <w:rPr>
                <w:rFonts w:ascii="Arial" w:cs="Arial" w:eastAsia="Arial" w:hAnsi="Arial"/>
                <w:sz w:val="16"/>
                <w:szCs w:val="16"/>
                <w:color w:val="auto"/>
              </w:rPr>
              <w:t>83</w:t>
            </w:r>
          </w:p>
        </w:tc>
      </w:tr>
      <w:tr>
        <w:trPr>
          <w:trHeight w:val="210"/>
        </w:trPr>
        <w:tc>
          <w:tcPr>
            <w:tcW w:w="280" w:type="dxa"/>
            <w:vAlign w:val="bottom"/>
          </w:tcPr>
          <w:p>
            <w:pPr>
              <w:spacing w:after="0"/>
              <w:rPr>
                <w:sz w:val="18"/>
                <w:szCs w:val="18"/>
                <w:color w:val="auto"/>
              </w:rPr>
            </w:pPr>
          </w:p>
        </w:tc>
        <w:tc>
          <w:tcPr>
            <w:tcW w:w="31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1"/>
              </w:rPr>
              <w:t>Consolidated statements of stockholders’ equity</w:t>
            </w:r>
          </w:p>
        </w:tc>
        <w:tc>
          <w:tcPr>
            <w:tcW w:w="1900" w:type="dxa"/>
            <w:vAlign w:val="bottom"/>
            <w:gridSpan w:val="3"/>
          </w:tcPr>
          <w:p>
            <w:pPr>
              <w:spacing w:after="0"/>
              <w:rPr>
                <w:sz w:val="18"/>
                <w:szCs w:val="18"/>
                <w:color w:val="auto"/>
              </w:rPr>
            </w:pPr>
          </w:p>
        </w:tc>
        <w:tc>
          <w:tcPr>
            <w:tcW w:w="5940" w:type="dxa"/>
            <w:vAlign w:val="bottom"/>
          </w:tcPr>
          <w:p>
            <w:pPr>
              <w:jc w:val="right"/>
              <w:ind w:right="479"/>
              <w:spacing w:after="0"/>
              <w:rPr>
                <w:sz w:val="20"/>
                <w:szCs w:val="20"/>
                <w:color w:val="auto"/>
              </w:rPr>
            </w:pPr>
            <w:r>
              <w:rPr>
                <w:rFonts w:ascii="Arial" w:cs="Arial" w:eastAsia="Arial" w:hAnsi="Arial"/>
                <w:sz w:val="16"/>
                <w:szCs w:val="16"/>
                <w:color w:val="auto"/>
              </w:rPr>
              <w:t>84</w:t>
            </w:r>
          </w:p>
        </w:tc>
      </w:tr>
      <w:tr>
        <w:trPr>
          <w:trHeight w:val="209"/>
        </w:trPr>
        <w:tc>
          <w:tcPr>
            <w:tcW w:w="280" w:type="dxa"/>
            <w:vAlign w:val="bottom"/>
          </w:tcPr>
          <w:p>
            <w:pPr>
              <w:spacing w:after="0"/>
              <w:rPr>
                <w:sz w:val="18"/>
                <w:szCs w:val="18"/>
                <w:color w:val="auto"/>
              </w:rPr>
            </w:pPr>
          </w:p>
        </w:tc>
        <w:tc>
          <w:tcPr>
            <w:tcW w:w="5020" w:type="dxa"/>
            <w:vAlign w:val="bottom"/>
            <w:gridSpan w:val="8"/>
          </w:tcPr>
          <w:p>
            <w:pPr>
              <w:spacing w:after="0"/>
              <w:rPr>
                <w:sz w:val="20"/>
                <w:szCs w:val="20"/>
                <w:color w:val="auto"/>
              </w:rPr>
            </w:pPr>
            <w:r>
              <w:rPr>
                <w:rFonts w:ascii="Arial" w:cs="Arial" w:eastAsia="Arial" w:hAnsi="Arial"/>
                <w:sz w:val="16"/>
                <w:szCs w:val="16"/>
                <w:color w:val="0000FF"/>
              </w:rPr>
              <w:t>Consolidated statements of cash flows</w:t>
            </w:r>
          </w:p>
        </w:tc>
        <w:tc>
          <w:tcPr>
            <w:tcW w:w="5940" w:type="dxa"/>
            <w:vAlign w:val="bottom"/>
          </w:tcPr>
          <w:p>
            <w:pPr>
              <w:jc w:val="right"/>
              <w:ind w:right="479"/>
              <w:spacing w:after="0"/>
              <w:rPr>
                <w:sz w:val="20"/>
                <w:szCs w:val="20"/>
                <w:color w:val="auto"/>
              </w:rPr>
            </w:pPr>
            <w:r>
              <w:rPr>
                <w:rFonts w:ascii="Arial" w:cs="Arial" w:eastAsia="Arial" w:hAnsi="Arial"/>
                <w:sz w:val="16"/>
                <w:szCs w:val="16"/>
                <w:color w:val="auto"/>
              </w:rPr>
              <w:t>85</w:t>
            </w:r>
          </w:p>
        </w:tc>
      </w:tr>
      <w:tr>
        <w:trPr>
          <w:trHeight w:val="20"/>
        </w:trPr>
        <w:tc>
          <w:tcPr>
            <w:tcW w:w="280" w:type="dxa"/>
            <w:vAlign w:val="bottom"/>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5020" w:type="dxa"/>
            <w:vAlign w:val="bottom"/>
            <w:gridSpan w:val="8"/>
          </w:tcPr>
          <w:p>
            <w:pPr>
              <w:spacing w:after="0"/>
              <w:rPr>
                <w:sz w:val="20"/>
                <w:szCs w:val="20"/>
                <w:color w:val="auto"/>
              </w:rPr>
            </w:pPr>
            <w:r>
              <w:rPr>
                <w:rFonts w:ascii="Arial" w:cs="Arial" w:eastAsia="Arial" w:hAnsi="Arial"/>
                <w:sz w:val="16"/>
                <w:szCs w:val="16"/>
                <w:color w:val="0000FF"/>
              </w:rPr>
              <w:t>Notes to consolidated financial statements</w:t>
            </w:r>
          </w:p>
        </w:tc>
        <w:tc>
          <w:tcPr>
            <w:tcW w:w="5940" w:type="dxa"/>
            <w:vAlign w:val="bottom"/>
          </w:tcPr>
          <w:p>
            <w:pPr>
              <w:jc w:val="right"/>
              <w:ind w:right="479"/>
              <w:spacing w:after="0"/>
              <w:rPr>
                <w:sz w:val="20"/>
                <w:szCs w:val="20"/>
                <w:color w:val="auto"/>
              </w:rPr>
            </w:pPr>
            <w:r>
              <w:rPr>
                <w:rFonts w:ascii="Arial" w:cs="Arial" w:eastAsia="Arial" w:hAnsi="Arial"/>
                <w:sz w:val="16"/>
                <w:szCs w:val="16"/>
                <w:color w:val="auto"/>
              </w:rPr>
              <w:t>86</w:t>
            </w:r>
          </w:p>
        </w:tc>
      </w:tr>
      <w:tr>
        <w:trPr>
          <w:trHeight w:val="528"/>
        </w:trPr>
        <w:tc>
          <w:tcPr>
            <w:tcW w:w="28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jc w:val="right"/>
              <w:ind w:right="5459"/>
              <w:spacing w:after="0"/>
              <w:rPr>
                <w:sz w:val="20"/>
                <w:szCs w:val="20"/>
                <w:color w:val="auto"/>
              </w:rPr>
            </w:pPr>
            <w:r>
              <w:rPr>
                <w:rFonts w:ascii="Arial" w:cs="Arial" w:eastAsia="Arial" w:hAnsi="Arial"/>
                <w:sz w:val="16"/>
                <w:szCs w:val="16"/>
                <w:color w:val="auto"/>
              </w:rPr>
              <w:t>80</w:t>
            </w:r>
          </w:p>
        </w:tc>
      </w:tr>
      <w:tr>
        <w:trPr>
          <w:trHeight w:val="121"/>
        </w:trPr>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BioAtla,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have audited the accompanying consolidated balance sheets of BioAtla, Inc. (the Company) as of December 31, 2022 and 2021, the related consolidated statements of operations and comprehensive loss,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0"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ind w:left="1700"/>
        <w:spacing w:after="0"/>
        <w:rPr>
          <w:sz w:val="20"/>
          <w:szCs w:val="20"/>
          <w:color w:val="auto"/>
        </w:rPr>
      </w:pPr>
      <w:r>
        <w:rPr>
          <w:rFonts w:ascii="Arial" w:cs="Arial" w:eastAsia="Arial" w:hAnsi="Arial"/>
          <w:sz w:val="16"/>
          <w:szCs w:val="16"/>
          <w:b w:val="1"/>
          <w:bCs w:val="1"/>
          <w:i w:val="1"/>
          <w:iCs w:val="1"/>
          <w:color w:val="auto"/>
        </w:rPr>
        <w:t>Accrual of Clinical Trial Expenses</w:t>
      </w:r>
    </w:p>
    <w:p>
      <w:pPr>
        <w:sectPr>
          <w:pgSz w:w="11900" w:h="16838" w:orient="portrait"/>
          <w:cols w:equalWidth="0" w:num="1">
            <w:col w:w="11240"/>
          </w:cols>
          <w:pgMar w:left="320" w:top="126" w:right="339" w:bottom="1440" w:gutter="0" w:footer="0" w:header="0"/>
        </w:sectPr>
      </w:pPr>
    </w:p>
    <w:p>
      <w:pPr>
        <w:spacing w:after="0" w:line="302" w:lineRule="exact"/>
        <w:rPr>
          <w:sz w:val="20"/>
          <w:szCs w:val="20"/>
          <w:color w:val="auto"/>
        </w:rPr>
      </w:pPr>
    </w:p>
    <w:p>
      <w:pPr>
        <w:ind w:left="20"/>
        <w:spacing w:after="0" w:line="293"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During 2022, the Company incurred $79.3 million for research and development expenses and as of December 31, 2022 accrued $5.5 million for clinical trial costs. A substantial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spacing w:after="0" w:line="67" w:lineRule="exact"/>
        <w:rPr>
          <w:sz w:val="20"/>
          <w:szCs w:val="20"/>
          <w:color w:val="auto"/>
        </w:rPr>
      </w:pPr>
    </w:p>
    <w:p>
      <w:pPr>
        <w:sectPr>
          <w:pgSz w:w="11900" w:h="16838" w:orient="portrait"/>
          <w:cols w:equalWidth="0" w:num="2">
            <w:col w:w="1200" w:space="500"/>
            <w:col w:w="9540"/>
          </w:cols>
          <w:pgMar w:left="320" w:top="126" w:right="339" w:bottom="1440" w:gutter="0" w:footer="0" w:header="0"/>
          <w:type w:val="continuous"/>
        </w:sectPr>
      </w:pPr>
    </w:p>
    <w:p>
      <w:pPr>
        <w:jc w:val="both"/>
        <w:ind w:left="1700" w:right="20"/>
        <w:spacing w:after="0" w:line="273" w:lineRule="auto"/>
        <w:rPr>
          <w:sz w:val="20"/>
          <w:szCs w:val="20"/>
          <w:color w:val="auto"/>
        </w:rPr>
      </w:pPr>
      <w:r>
        <w:rPr>
          <w:rFonts w:ascii="Arial" w:cs="Arial" w:eastAsia="Arial" w:hAnsi="Arial"/>
          <w:sz w:val="16"/>
          <w:szCs w:val="16"/>
          <w:color w:val="auto"/>
        </w:rPr>
        <w:t>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w:t>
      </w:r>
    </w:p>
    <w:p>
      <w:pPr>
        <w:sectPr>
          <w:pgSz w:w="11900" w:h="16838" w:orient="portrait"/>
          <w:cols w:equalWidth="0" w:num="1">
            <w:col w:w="11240"/>
          </w:cols>
          <w:pgMar w:left="320" w:top="126" w:right="339" w:bottom="1440" w:gutter="0" w:footer="0" w:header="0"/>
          <w:type w:val="continuous"/>
        </w:sectPr>
      </w:pPr>
    </w:p>
    <w:p>
      <w:pPr>
        <w:spacing w:after="0" w:line="256" w:lineRule="exact"/>
        <w:rPr>
          <w:sz w:val="20"/>
          <w:szCs w:val="20"/>
          <w:color w:val="auto"/>
        </w:rPr>
      </w:pPr>
    </w:p>
    <w:p>
      <w:pPr>
        <w:ind w:left="20"/>
        <w:spacing w:after="0" w:line="335"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To test the completeness of the Company’s accrued clinical trial expenses, we obtained from third-parties confirmation of the number of patients enrolled and costs billed but unpaid as of year-end for significant clinical trials. We obtained an understanding of the status of significant clinical trial activities from accounting personnel and the clinical project managers.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p>
      <w:pPr>
        <w:spacing w:after="0" w:line="176" w:lineRule="exact"/>
        <w:rPr>
          <w:sz w:val="20"/>
          <w:szCs w:val="20"/>
          <w:color w:val="auto"/>
        </w:rPr>
      </w:pPr>
    </w:p>
    <w:p>
      <w:pPr>
        <w:sectPr>
          <w:pgSz w:w="11900" w:h="16838" w:orient="portrait"/>
          <w:cols w:equalWidth="0" w:num="2">
            <w:col w:w="1260" w:space="440"/>
            <w:col w:w="9540"/>
          </w:cols>
          <w:pgMar w:left="320" w:top="126" w:right="339" w:bottom="1440" w:gutter="0" w:footer="0" w:header="0"/>
          <w:type w:val="continuous"/>
        </w:sectPr>
      </w:pPr>
    </w:p>
    <w:p>
      <w:pPr>
        <w:spacing w:after="0"/>
        <w:rPr>
          <w:sz w:val="20"/>
          <w:szCs w:val="20"/>
          <w:color w:val="auto"/>
        </w:rPr>
      </w:pPr>
      <w:r>
        <w:rPr>
          <w:rFonts w:ascii="Arial" w:cs="Arial" w:eastAsia="Arial" w:hAnsi="Arial"/>
          <w:sz w:val="16"/>
          <w:szCs w:val="16"/>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1"/>
        </w:trPr>
        <w:tc>
          <w:tcPr>
            <w:tcW w:w="1220" w:type="dxa"/>
            <w:vAlign w:val="bottom"/>
            <w:tcBorders>
              <w:top w:val="single" w:sz="8" w:color="auto"/>
            </w:tcBorders>
          </w:tcPr>
          <w:p>
            <w:pPr>
              <w:spacing w:after="0"/>
              <w:rPr>
                <w:sz w:val="24"/>
                <w:szCs w:val="24"/>
                <w:color w:val="auto"/>
              </w:rPr>
            </w:pPr>
          </w:p>
        </w:tc>
        <w:tc>
          <w:tcPr>
            <w:tcW w:w="6520" w:type="dxa"/>
            <w:vAlign w:val="bottom"/>
          </w:tcPr>
          <w:p>
            <w:pPr>
              <w:jc w:val="center"/>
              <w:ind w:left="2199"/>
              <w:spacing w:after="0"/>
              <w:rPr>
                <w:sz w:val="20"/>
                <w:szCs w:val="20"/>
                <w:color w:val="auto"/>
              </w:rPr>
            </w:pPr>
            <w:r>
              <w:rPr>
                <w:rFonts w:ascii="Arial" w:cs="Arial" w:eastAsia="Arial" w:hAnsi="Arial"/>
                <w:sz w:val="16"/>
                <w:szCs w:val="16"/>
                <w:b w:val="1"/>
                <w:bCs w:val="1"/>
                <w:color w:val="auto"/>
                <w:w w:val="95"/>
              </w:rPr>
              <w:t>BioAtla, Inc.</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520" w:type="dxa"/>
            <w:vAlign w:val="bottom"/>
          </w:tcPr>
          <w:p>
            <w:pPr>
              <w:jc w:val="center"/>
              <w:ind w:left="2219"/>
              <w:spacing w:after="0"/>
              <w:rPr>
                <w:sz w:val="20"/>
                <w:szCs w:val="20"/>
                <w:color w:val="auto"/>
              </w:rPr>
            </w:pPr>
            <w:r>
              <w:rPr>
                <w:rFonts w:ascii="Arial" w:cs="Arial" w:eastAsia="Arial" w:hAnsi="Arial"/>
                <w:sz w:val="16"/>
                <w:szCs w:val="16"/>
                <w:b w:val="1"/>
                <w:bCs w:val="1"/>
                <w:color w:val="auto"/>
                <w:w w:val="87"/>
              </w:rPr>
              <w:t>Consolidated balance sheets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220" w:type="dxa"/>
            <w:vAlign w:val="bottom"/>
          </w:tcPr>
          <w:p>
            <w:pPr>
              <w:spacing w:after="0"/>
              <w:rPr>
                <w:sz w:val="18"/>
                <w:szCs w:val="18"/>
                <w:color w:val="auto"/>
              </w:rPr>
            </w:pPr>
          </w:p>
        </w:tc>
        <w:tc>
          <w:tcPr>
            <w:tcW w:w="6520" w:type="dxa"/>
            <w:vAlign w:val="bottom"/>
          </w:tcPr>
          <w:p>
            <w:pPr>
              <w:jc w:val="center"/>
              <w:ind w:left="2199"/>
              <w:spacing w:after="0"/>
              <w:rPr>
                <w:sz w:val="20"/>
                <w:szCs w:val="20"/>
                <w:color w:val="auto"/>
              </w:rPr>
            </w:pPr>
            <w:r>
              <w:rPr>
                <w:rFonts w:ascii="Arial" w:cs="Arial" w:eastAsia="Arial" w:hAnsi="Arial"/>
                <w:sz w:val="16"/>
                <w:szCs w:val="16"/>
                <w:b w:val="1"/>
                <w:bCs w:val="1"/>
                <w:color w:val="auto"/>
                <w:w w:val="88"/>
              </w:rPr>
              <w:t>(in thousands, except share amounts)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8"/>
        </w:trPr>
        <w:tc>
          <w:tcPr>
            <w:tcW w:w="12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215,507</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244,979</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4,924</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19"/>
                <w:szCs w:val="19"/>
                <w:color w:val="auto"/>
              </w:rPr>
            </w:pPr>
          </w:p>
        </w:tc>
      </w:tr>
      <w:tr>
        <w:trPr>
          <w:trHeight w:val="226"/>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220,431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247,292</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2,728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19"/>
                <w:szCs w:val="19"/>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Operating lease right-of-use-asset, net</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2,423</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CFF0FC"/>
          </w:tcPr>
          <w:p>
            <w:pPr>
              <w:spacing w:after="0"/>
              <w:rPr>
                <w:sz w:val="20"/>
                <w:szCs w:val="20"/>
                <w:color w:val="auto"/>
              </w:rPr>
            </w:pPr>
          </w:p>
        </w:tc>
      </w:tr>
      <w:tr>
        <w:trPr>
          <w:trHeight w:val="227"/>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9"/>
                <w:szCs w:val="19"/>
                <w:color w:val="auto"/>
              </w:rPr>
            </w:pPr>
          </w:p>
        </w:tc>
      </w:tr>
      <w:tr>
        <w:trPr>
          <w:trHeight w:val="26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225,736</w:t>
            </w:r>
          </w:p>
        </w:tc>
        <w:tc>
          <w:tcPr>
            <w:tcW w:w="2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254,422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Accounts payable and accrued expenses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21,610</w:t>
            </w:r>
          </w:p>
        </w:tc>
        <w:tc>
          <w:tcPr>
            <w:tcW w:w="28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18,424</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1,521</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Total current liabilities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23,131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19,813</w:t>
            </w:r>
          </w:p>
        </w:tc>
        <w:tc>
          <w:tcPr>
            <w:tcW w:w="100" w:type="dxa"/>
            <w:vAlign w:val="bottom"/>
          </w:tcPr>
          <w:p>
            <w:pPr>
              <w:spacing w:after="0"/>
              <w:rPr>
                <w:sz w:val="18"/>
                <w:szCs w:val="18"/>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3,982</w:t>
            </w:r>
          </w:p>
        </w:tc>
        <w:tc>
          <w:tcPr>
            <w:tcW w:w="100" w:type="dxa"/>
            <w:vAlign w:val="bottom"/>
            <w:shd w:val="clear" w:color="auto" w:fill="CFF0FC"/>
          </w:tcPr>
          <w:p>
            <w:pPr>
              <w:spacing w:after="0"/>
              <w:rPr>
                <w:sz w:val="20"/>
                <w:szCs w:val="20"/>
                <w:color w:val="auto"/>
              </w:rPr>
            </w:pPr>
          </w:p>
        </w:tc>
      </w:tr>
      <w:tr>
        <w:trPr>
          <w:trHeight w:val="227"/>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Liability to licensor</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19,806</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19,806</w:t>
            </w:r>
          </w:p>
        </w:tc>
        <w:tc>
          <w:tcPr>
            <w:tcW w:w="100" w:type="dxa"/>
            <w:vAlign w:val="bottom"/>
          </w:tcPr>
          <w:p>
            <w:pPr>
              <w:spacing w:after="0"/>
              <w:rPr>
                <w:sz w:val="19"/>
                <w:szCs w:val="19"/>
                <w:color w:val="auto"/>
              </w:rPr>
            </w:pPr>
          </w:p>
        </w:tc>
      </w:tr>
      <w:tr>
        <w:trPr>
          <w:trHeight w:val="226"/>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45,397</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43,601</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6)</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6"/>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Preferred stock, $0.0001 par value; 200,000,000 shares authorized at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gridSpan w:val="2"/>
          </w:tcPr>
          <w:p>
            <w:pPr>
              <w:ind w:left="320"/>
              <w:spacing w:after="0"/>
              <w:rPr>
                <w:sz w:val="20"/>
                <w:szCs w:val="20"/>
                <w:color w:val="auto"/>
              </w:rPr>
            </w:pPr>
            <w:r>
              <w:rPr>
                <w:rFonts w:ascii="Arial" w:cs="Arial" w:eastAsia="Arial" w:hAnsi="Arial"/>
                <w:sz w:val="16"/>
                <w:szCs w:val="16"/>
                <w:color w:val="auto"/>
              </w:rPr>
              <w:t>December 31, 2022 and December 31, 2021; 0 shares issued and outstanding at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gridSpan w:val="2"/>
          </w:tcPr>
          <w:p>
            <w:pPr>
              <w:ind w:left="320"/>
              <w:spacing w:after="0"/>
              <w:rPr>
                <w:sz w:val="20"/>
                <w:szCs w:val="20"/>
                <w:color w:val="auto"/>
              </w:rPr>
            </w:pPr>
            <w:r>
              <w:rPr>
                <w:rFonts w:ascii="Arial" w:cs="Arial" w:eastAsia="Arial" w:hAnsi="Arial"/>
                <w:sz w:val="16"/>
                <w:szCs w:val="16"/>
                <w:color w:val="auto"/>
              </w:rPr>
              <w:t>December 31, 2022 and December 31, 2021</w:t>
            </w: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Common stock, $0.0001 par value; 350,000,000 shares authorized at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December 31, 2022 and December 31, 2021; 46,336,166 and 35,799,233</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shares issued and outstanding at December 31, 2022 and December 31, 2021</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r>
      <w:tr>
        <w:trPr>
          <w:trHeight w:val="206"/>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Class B common stock, $0.0001 par value; 15,368,569 shares authorized at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gridSpan w:val="2"/>
          </w:tcPr>
          <w:p>
            <w:pPr>
              <w:ind w:left="320"/>
              <w:spacing w:after="0"/>
              <w:rPr>
                <w:sz w:val="20"/>
                <w:szCs w:val="20"/>
                <w:color w:val="auto"/>
              </w:rPr>
            </w:pPr>
            <w:r>
              <w:rPr>
                <w:rFonts w:ascii="Arial" w:cs="Arial" w:eastAsia="Arial" w:hAnsi="Arial"/>
                <w:sz w:val="16"/>
                <w:szCs w:val="16"/>
                <w:color w:val="auto"/>
              </w:rPr>
              <w:t>December 31, 2022 and December 31, 2021; 1,211,959 and 1,492,059</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gridSpan w:val="2"/>
          </w:tcPr>
          <w:p>
            <w:pPr>
              <w:ind w:left="320"/>
              <w:spacing w:after="0"/>
              <w:rPr>
                <w:sz w:val="20"/>
                <w:szCs w:val="20"/>
                <w:color w:val="auto"/>
              </w:rPr>
            </w:pPr>
            <w:r>
              <w:rPr>
                <w:rFonts w:ascii="Arial" w:cs="Arial" w:eastAsia="Arial" w:hAnsi="Arial"/>
                <w:sz w:val="16"/>
                <w:szCs w:val="16"/>
                <w:color w:val="auto"/>
              </w:rPr>
              <w:t>shares issued and outstanding at December 31, 2022 and December 31, 2021</w:t>
            </w: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473,135</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397,136</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Accumulated deficit</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(292,801 )</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(186,319 )</w:t>
            </w:r>
          </w:p>
        </w:tc>
      </w:tr>
      <w:tr>
        <w:trPr>
          <w:trHeight w:val="22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180,339</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210,821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225,736</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254,422</w:t>
            </w:r>
          </w:p>
        </w:tc>
        <w:tc>
          <w:tcPr>
            <w:tcW w:w="1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-3333750</wp:posOffset>
            </wp:positionV>
            <wp:extent cx="124333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4333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-2725420</wp:posOffset>
            </wp:positionV>
            <wp:extent cx="6858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1"/>
        </w:trPr>
        <w:tc>
          <w:tcPr>
            <w:tcW w:w="122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4820" w:type="dxa"/>
            <w:vAlign w:val="bottom"/>
            <w:gridSpan w:val="2"/>
          </w:tcPr>
          <w:p>
            <w:pPr>
              <w:jc w:val="right"/>
              <w:ind w:right="1919"/>
              <w:spacing w:after="0"/>
              <w:rPr>
                <w:sz w:val="20"/>
                <w:szCs w:val="20"/>
                <w:color w:val="auto"/>
              </w:rPr>
            </w:pPr>
            <w:r>
              <w:rPr>
                <w:rFonts w:ascii="Arial" w:cs="Arial" w:eastAsia="Arial" w:hAnsi="Arial"/>
                <w:sz w:val="16"/>
                <w:szCs w:val="16"/>
                <w:b w:val="1"/>
                <w:bCs w:val="1"/>
                <w:color w:val="auto"/>
              </w:rPr>
              <w:t>BioAtla, Inc.</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2"/>
              </w:rPr>
              <w:t>Consolidated statements of operations and comprehensive loss</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2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1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Years ended December 31,</w:t>
            </w:r>
          </w:p>
        </w:tc>
      </w:tr>
      <w:tr>
        <w:trPr>
          <w:trHeight w:val="243"/>
        </w:trPr>
        <w:tc>
          <w:tcPr>
            <w:tcW w:w="1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1"/>
                <w:szCs w:val="21"/>
                <w:color w:val="auto"/>
              </w:rPr>
            </w:pPr>
          </w:p>
        </w:tc>
      </w:tr>
      <w:tr>
        <w:trPr>
          <w:trHeight w:val="229"/>
        </w:trPr>
        <w:tc>
          <w:tcPr>
            <w:tcW w:w="3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Collaboration and other revenue</w:t>
            </w:r>
          </w:p>
        </w:tc>
        <w:tc>
          <w:tcPr>
            <w:tcW w:w="48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9"/>
                <w:szCs w:val="19"/>
                <w:color w:val="auto"/>
              </w:rPr>
            </w:pPr>
          </w:p>
        </w:tc>
      </w:tr>
      <w:tr>
        <w:trPr>
          <w:trHeight w:val="220"/>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2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Research and development expense</w:t>
            </w:r>
          </w:p>
        </w:tc>
        <w:tc>
          <w:tcPr>
            <w:tcW w:w="4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79,347</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58,274</w:t>
            </w:r>
          </w:p>
        </w:tc>
        <w:tc>
          <w:tcPr>
            <w:tcW w:w="100" w:type="dxa"/>
            <w:vAlign w:val="bottom"/>
            <w:shd w:val="clear" w:color="auto" w:fill="CFF0FC"/>
          </w:tcPr>
          <w:p>
            <w:pPr>
              <w:spacing w:after="0"/>
              <w:rPr>
                <w:sz w:val="20"/>
                <w:szCs w:val="20"/>
                <w:color w:val="auto"/>
              </w:rPr>
            </w:pPr>
          </w:p>
        </w:tc>
      </w:tr>
      <w:tr>
        <w:trPr>
          <w:trHeight w:val="223"/>
        </w:trPr>
        <w:tc>
          <w:tcPr>
            <w:tcW w:w="32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 expense</w:t>
            </w:r>
          </w:p>
        </w:tc>
        <w:tc>
          <w:tcPr>
            <w:tcW w:w="4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38,416</w:t>
            </w:r>
          </w:p>
        </w:tc>
        <w:tc>
          <w:tcPr>
            <w:tcW w:w="100" w:type="dxa"/>
            <w:vAlign w:val="bottom"/>
          </w:tcPr>
          <w:p>
            <w:pPr>
              <w:spacing w:after="0"/>
              <w:rPr>
                <w:sz w:val="19"/>
                <w:szCs w:val="19"/>
                <w:color w:val="auto"/>
              </w:rPr>
            </w:pPr>
          </w:p>
        </w:tc>
      </w:tr>
      <w:tr>
        <w:trPr>
          <w:trHeight w:val="223"/>
        </w:trPr>
        <w:tc>
          <w:tcPr>
            <w:tcW w:w="3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operating expenses</w:t>
            </w:r>
          </w:p>
        </w:tc>
        <w:tc>
          <w:tcPr>
            <w:tcW w:w="4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108,140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Loss from operations</w:t>
            </w: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(108,140 )</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(96,440 )</w:t>
            </w:r>
          </w:p>
        </w:tc>
      </w:tr>
      <w:tr>
        <w:trPr>
          <w:trHeight w:val="239"/>
        </w:trPr>
        <w:tc>
          <w:tcPr>
            <w:tcW w:w="3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4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240" w:type="dxa"/>
            <w:vAlign w:val="bottom"/>
            <w:gridSpan w:val="2"/>
          </w:tcPr>
          <w:p>
            <w:pPr>
              <w:ind w:left="200"/>
              <w:spacing w:after="0"/>
              <w:rPr>
                <w:sz w:val="20"/>
                <w:szCs w:val="20"/>
                <w:color w:val="auto"/>
              </w:rPr>
            </w:pPr>
            <w:r>
              <w:rPr>
                <w:rFonts w:ascii="Arial" w:cs="Arial" w:eastAsia="Arial" w:hAnsi="Arial"/>
                <w:sz w:val="16"/>
                <w:szCs w:val="16"/>
                <w:color w:val="auto"/>
              </w:rPr>
              <w:t>Interest income</w:t>
            </w: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1,648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9"/>
                <w:szCs w:val="19"/>
                <w:color w:val="auto"/>
              </w:rPr>
            </w:pPr>
          </w:p>
        </w:tc>
      </w:tr>
      <w:tr>
        <w:trPr>
          <w:trHeight w:val="239"/>
        </w:trPr>
        <w:tc>
          <w:tcPr>
            <w:tcW w:w="32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Interest expense</w:t>
            </w:r>
          </w:p>
        </w:tc>
        <w:tc>
          <w:tcPr>
            <w:tcW w:w="4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r>
      <w:tr>
        <w:trPr>
          <w:trHeight w:val="220"/>
        </w:trPr>
        <w:tc>
          <w:tcPr>
            <w:tcW w:w="3240" w:type="dxa"/>
            <w:vAlign w:val="bottom"/>
            <w:gridSpan w:val="2"/>
          </w:tcPr>
          <w:p>
            <w:pPr>
              <w:ind w:left="200"/>
              <w:spacing w:after="0"/>
              <w:rPr>
                <w:sz w:val="20"/>
                <w:szCs w:val="20"/>
                <w:color w:val="auto"/>
              </w:rPr>
            </w:pPr>
            <w:r>
              <w:rPr>
                <w:rFonts w:ascii="Arial" w:cs="Arial" w:eastAsia="Arial" w:hAnsi="Arial"/>
                <w:sz w:val="16"/>
                <w:szCs w:val="16"/>
                <w:color w:val="auto"/>
              </w:rPr>
              <w:t>Gain on extinguishment of long-term debt</w:t>
            </w: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9"/>
                <w:szCs w:val="19"/>
                <w:color w:val="auto"/>
              </w:rPr>
            </w:pPr>
          </w:p>
        </w:tc>
      </w:tr>
      <w:tr>
        <w:trPr>
          <w:trHeight w:val="233"/>
        </w:trPr>
        <w:tc>
          <w:tcPr>
            <w:tcW w:w="3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44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Total other income (expense)</w:t>
            </w:r>
          </w:p>
        </w:tc>
        <w:tc>
          <w:tcPr>
            <w:tcW w:w="4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9"/>
                <w:szCs w:val="19"/>
                <w:color w:val="auto"/>
              </w:rPr>
            </w:pPr>
          </w:p>
        </w:tc>
      </w:tr>
      <w:tr>
        <w:trPr>
          <w:trHeight w:val="243"/>
        </w:trPr>
        <w:tc>
          <w:tcPr>
            <w:tcW w:w="3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96"/>
              </w:rPr>
              <w:t>Consolidated net loss and comprehensive loss</w:t>
            </w:r>
          </w:p>
        </w:tc>
        <w:tc>
          <w:tcPr>
            <w:tcW w:w="44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(106,482 )</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(95,402 )</w:t>
            </w:r>
          </w:p>
        </w:tc>
      </w:tr>
      <w:tr>
        <w:trPr>
          <w:trHeight w:val="20"/>
        </w:trPr>
        <w:tc>
          <w:tcPr>
            <w:tcW w:w="12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3240" w:type="dxa"/>
            <w:vAlign w:val="bottom"/>
            <w:gridSpan w:val="2"/>
          </w:tcPr>
          <w:p>
            <w:pPr>
              <w:ind w:left="20"/>
              <w:spacing w:after="0"/>
              <w:rPr>
                <w:sz w:val="20"/>
                <w:szCs w:val="20"/>
                <w:color w:val="auto"/>
              </w:rPr>
            </w:pPr>
            <w:r>
              <w:rPr>
                <w:rFonts w:ascii="Arial" w:cs="Arial" w:eastAsia="Arial" w:hAnsi="Arial"/>
                <w:sz w:val="16"/>
                <w:szCs w:val="16"/>
                <w:color w:val="auto"/>
                <w:w w:val="98"/>
              </w:rPr>
              <w:t>Net loss per common share, basic and diluted</w:t>
            </w:r>
          </w:p>
        </w:tc>
        <w:tc>
          <w:tcPr>
            <w:tcW w:w="44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(2.74 )</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(2.76 )</w:t>
            </w:r>
          </w:p>
        </w:tc>
      </w:tr>
      <w:tr>
        <w:trPr>
          <w:trHeight w:val="20"/>
        </w:trPr>
        <w:tc>
          <w:tcPr>
            <w:tcW w:w="122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Weighted-average shares of common stock outstanding, basic and diluted</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38,927,268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34,561,245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-1559560</wp:posOffset>
            </wp:positionV>
            <wp:extent cx="685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-676910</wp:posOffset>
            </wp:positionV>
            <wp:extent cx="6858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-367665</wp:posOffset>
            </wp:positionV>
            <wp:extent cx="119126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91260" cy="1968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22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5"/>
              </w:rPr>
              <w:t>BioAtla,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040" w:type="dxa"/>
            <w:vAlign w:val="bottom"/>
            <w:gridSpan w:val="9"/>
          </w:tcPr>
          <w:p>
            <w:pPr>
              <w:jc w:val="center"/>
              <w:ind w:right="179"/>
              <w:spacing w:after="0"/>
              <w:rPr>
                <w:sz w:val="20"/>
                <w:szCs w:val="20"/>
                <w:color w:val="auto"/>
              </w:rPr>
            </w:pPr>
            <w:r>
              <w:rPr>
                <w:rFonts w:ascii="Arial" w:cs="Arial" w:eastAsia="Arial" w:hAnsi="Arial"/>
                <w:sz w:val="16"/>
                <w:szCs w:val="16"/>
                <w:b w:val="1"/>
                <w:bCs w:val="1"/>
                <w:color w:val="auto"/>
                <w:w w:val="89"/>
              </w:rPr>
              <w:t>Consolidated statements of stockholders’ equity</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7"/>
          </w:tcPr>
          <w:p>
            <w:pPr>
              <w:jc w:val="center"/>
              <w:ind w:left="439"/>
              <w:spacing w:after="0"/>
              <w:rPr>
                <w:sz w:val="20"/>
                <w:szCs w:val="20"/>
                <w:color w:val="auto"/>
              </w:rPr>
            </w:pPr>
            <w:r>
              <w:rPr>
                <w:rFonts w:ascii="Arial" w:cs="Arial" w:eastAsia="Arial" w:hAnsi="Arial"/>
                <w:sz w:val="16"/>
                <w:szCs w:val="16"/>
                <w:b w:val="1"/>
                <w:bCs w:val="1"/>
                <w:color w:val="auto"/>
                <w:w w:val="88"/>
              </w:rPr>
              <w:t>(in thousands, except share amounts)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Class B</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w:t>
            </w: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Accumulate</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stockholder</w:t>
            </w: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9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9"/>
                <w:szCs w:val="19"/>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common stock</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1"/>
              </w:rPr>
              <w:t>d</w:t>
            </w:r>
          </w:p>
        </w:tc>
        <w:tc>
          <w:tcPr>
            <w:tcW w:w="16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capital</w:t>
            </w:r>
          </w:p>
        </w:tc>
        <w:tc>
          <w:tcPr>
            <w:tcW w:w="16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06"/>
        </w:trPr>
        <w:tc>
          <w:tcPr>
            <w:tcW w:w="3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32,171,56</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2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300,888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(90,917 )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net of $4,007 of</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issuance costs</w:t>
            </w:r>
          </w:p>
        </w:tc>
        <w:tc>
          <w:tcPr>
            <w:tcW w:w="840" w:type="dxa"/>
            <w:vAlign w:val="bottom"/>
          </w:tcPr>
          <w:p>
            <w:pPr>
              <w:jc w:val="right"/>
              <w:spacing w:after="0"/>
              <w:rPr>
                <w:sz w:val="20"/>
                <w:szCs w:val="20"/>
                <w:color w:val="auto"/>
              </w:rPr>
            </w:pPr>
            <w:r>
              <w:rPr>
                <w:rFonts w:ascii="Arial" w:cs="Arial" w:eastAsia="Arial" w:hAnsi="Arial"/>
                <w:sz w:val="16"/>
                <w:szCs w:val="16"/>
                <w:color w:val="auto"/>
              </w:rPr>
              <w:t>2,678,600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70,993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Issuance of common stock under equity incentive</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plans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930,144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40" w:type="dxa"/>
            <w:vAlign w:val="bottom"/>
            <w:gridSpan w:val="2"/>
          </w:tcPr>
          <w:p>
            <w:pPr>
              <w:ind w:left="200"/>
              <w:spacing w:after="0"/>
              <w:rPr>
                <w:sz w:val="20"/>
                <w:szCs w:val="20"/>
                <w:color w:val="auto"/>
              </w:rPr>
            </w:pPr>
            <w:r>
              <w:rPr>
                <w:rFonts w:ascii="Arial" w:cs="Arial" w:eastAsia="Arial" w:hAnsi="Arial"/>
                <w:sz w:val="16"/>
                <w:szCs w:val="16"/>
                <w:color w:val="auto"/>
                <w:w w:val="94"/>
              </w:rPr>
              <w:t>Issuance of common stock upon exercise of options,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net</w:t>
            </w:r>
          </w:p>
        </w:tc>
        <w:tc>
          <w:tcPr>
            <w:tcW w:w="840" w:type="dxa"/>
            <w:vAlign w:val="bottom"/>
          </w:tcPr>
          <w:p>
            <w:pPr>
              <w:jc w:val="right"/>
              <w:spacing w:after="0"/>
              <w:rPr>
                <w:sz w:val="20"/>
                <w:szCs w:val="20"/>
                <w:color w:val="auto"/>
              </w:rPr>
            </w:pPr>
            <w:r>
              <w:rPr>
                <w:rFonts w:ascii="Arial" w:cs="Arial" w:eastAsia="Arial" w:hAnsi="Arial"/>
                <w:sz w:val="16"/>
                <w:szCs w:val="16"/>
                <w:color w:val="auto"/>
              </w:rPr>
              <w:t>7,747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Issuance of common stock for Employee Stock</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Purchase Plan</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Taxes related to net share settlement of equity</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awards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(291 )</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39"/>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(95,402 )</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(95,402 )</w:t>
            </w:r>
          </w:p>
        </w:tc>
        <w:tc>
          <w:tcPr>
            <w:tcW w:w="0" w:type="dxa"/>
            <w:vAlign w:val="bottom"/>
          </w:tcPr>
          <w:p>
            <w:pPr>
              <w:spacing w:after="0"/>
              <w:rPr>
                <w:sz w:val="1"/>
                <w:szCs w:val="1"/>
                <w:color w:val="auto"/>
              </w:rPr>
            </w:pPr>
          </w:p>
        </w:tc>
      </w:tr>
      <w:tr>
        <w:trPr>
          <w:trHeight w:val="206"/>
        </w:trPr>
        <w:tc>
          <w:tcPr>
            <w:tcW w:w="3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35,799,23</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2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397,136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(186,319 )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net of $3,318 of</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issuance costs</w:t>
            </w:r>
          </w:p>
        </w:tc>
        <w:tc>
          <w:tcPr>
            <w:tcW w:w="840" w:type="dxa"/>
            <w:vAlign w:val="bottom"/>
          </w:tcPr>
          <w:p>
            <w:pPr>
              <w:jc w:val="right"/>
              <w:spacing w:after="0"/>
              <w:rPr>
                <w:sz w:val="20"/>
                <w:szCs w:val="20"/>
                <w:color w:val="auto"/>
              </w:rPr>
            </w:pPr>
            <w:r>
              <w:rPr>
                <w:rFonts w:ascii="Arial" w:cs="Arial" w:eastAsia="Arial" w:hAnsi="Arial"/>
                <w:sz w:val="16"/>
                <w:szCs w:val="16"/>
                <w:color w:val="auto"/>
              </w:rPr>
              <w:t>9,745,128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Issuance of common stock under equity incentive</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plans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364,141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for Employee Stock</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Purchase Plan</w:t>
            </w:r>
          </w:p>
        </w:tc>
        <w:tc>
          <w:tcPr>
            <w:tcW w:w="840" w:type="dxa"/>
            <w:vAlign w:val="bottom"/>
          </w:tcPr>
          <w:p>
            <w:pPr>
              <w:jc w:val="right"/>
              <w:spacing w:after="0"/>
              <w:rPr>
                <w:sz w:val="20"/>
                <w:szCs w:val="20"/>
                <w:color w:val="auto"/>
              </w:rPr>
            </w:pPr>
            <w:r>
              <w:rPr>
                <w:rFonts w:ascii="Arial" w:cs="Arial" w:eastAsia="Arial" w:hAnsi="Arial"/>
                <w:sz w:val="16"/>
                <w:szCs w:val="16"/>
                <w:color w:val="auto"/>
              </w:rPr>
              <w:t>147,564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Taxes related to net share settlement of equity</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(534 )</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(534 )</w:t>
            </w:r>
          </w:p>
        </w:tc>
        <w:tc>
          <w:tcPr>
            <w:tcW w:w="0" w:type="dxa"/>
            <w:vAlign w:val="bottom"/>
          </w:tcPr>
          <w:p>
            <w:pPr>
              <w:spacing w:after="0"/>
              <w:rPr>
                <w:sz w:val="1"/>
                <w:szCs w:val="1"/>
                <w:color w:val="auto"/>
              </w:rPr>
            </w:pPr>
          </w:p>
        </w:tc>
      </w:tr>
      <w:tr>
        <w:trPr>
          <w:trHeight w:val="220"/>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Conversion of Class B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280,100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200"/>
              <w:spacing w:after="0"/>
              <w:rPr>
                <w:sz w:val="20"/>
                <w:szCs w:val="20"/>
                <w:color w:val="auto"/>
              </w:rPr>
            </w:pPr>
            <w:r>
              <w:rPr>
                <w:rFonts w:ascii="Arial" w:cs="Arial" w:eastAsia="Arial" w:hAnsi="Arial"/>
                <w:sz w:val="16"/>
                <w:szCs w:val="16"/>
                <w:color w:val="auto"/>
              </w:rPr>
              <w:t>(280,100 )</w:t>
            </w: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20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(106,482 )</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(106,482 )</w:t>
            </w:r>
          </w:p>
        </w:tc>
        <w:tc>
          <w:tcPr>
            <w:tcW w:w="0" w:type="dxa"/>
            <w:vAlign w:val="bottom"/>
          </w:tcPr>
          <w:p>
            <w:pPr>
              <w:spacing w:after="0"/>
              <w:rPr>
                <w:sz w:val="1"/>
                <w:szCs w:val="1"/>
                <w:color w:val="auto"/>
              </w:rPr>
            </w:pPr>
          </w:p>
        </w:tc>
      </w:tr>
      <w:tr>
        <w:trPr>
          <w:trHeight w:val="206"/>
        </w:trPr>
        <w:tc>
          <w:tcPr>
            <w:tcW w:w="3740" w:type="dxa"/>
            <w:vAlign w:val="bottom"/>
            <w:tcBorders>
              <w:top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46,336,16</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473,135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(292,801 )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-8255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-307975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-307975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-307975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-307975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-307975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i w:val="1"/>
          <w:iCs w:val="1"/>
          <w:color w:val="auto"/>
        </w:rPr>
        <w:t>See accompanying notes.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1220" w:type="dxa"/>
            <w:vAlign w:val="bottom"/>
            <w:tcBorders>
              <w:top w:val="single" w:sz="8" w:color="auto"/>
            </w:tcBorders>
          </w:tcPr>
          <w:p>
            <w:pPr>
              <w:spacing w:after="0"/>
              <w:rPr>
                <w:sz w:val="24"/>
                <w:szCs w:val="24"/>
                <w:color w:val="auto"/>
              </w:rPr>
            </w:pPr>
          </w:p>
        </w:tc>
        <w:tc>
          <w:tcPr>
            <w:tcW w:w="6520" w:type="dxa"/>
            <w:vAlign w:val="bottom"/>
          </w:tcPr>
          <w:p>
            <w:pPr>
              <w:jc w:val="center"/>
              <w:ind w:left="2199"/>
              <w:spacing w:after="0"/>
              <w:rPr>
                <w:sz w:val="20"/>
                <w:szCs w:val="20"/>
                <w:color w:val="auto"/>
              </w:rPr>
            </w:pPr>
            <w:r>
              <w:rPr>
                <w:rFonts w:ascii="Arial" w:cs="Arial" w:eastAsia="Arial" w:hAnsi="Arial"/>
                <w:sz w:val="16"/>
                <w:szCs w:val="16"/>
                <w:b w:val="1"/>
                <w:bCs w:val="1"/>
                <w:color w:val="auto"/>
                <w:w w:val="95"/>
              </w:rPr>
              <w:t>BioAtla, Inc.</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6520" w:type="dxa"/>
            <w:vAlign w:val="bottom"/>
          </w:tcPr>
          <w:p>
            <w:pPr>
              <w:jc w:val="center"/>
              <w:ind w:left="2199"/>
              <w:spacing w:after="0"/>
              <w:rPr>
                <w:sz w:val="20"/>
                <w:szCs w:val="20"/>
                <w:color w:val="auto"/>
              </w:rPr>
            </w:pPr>
            <w:r>
              <w:rPr>
                <w:rFonts w:ascii="Arial" w:cs="Arial" w:eastAsia="Arial" w:hAnsi="Arial"/>
                <w:sz w:val="16"/>
                <w:szCs w:val="16"/>
                <w:b w:val="1"/>
                <w:bCs w:val="1"/>
                <w:color w:val="auto"/>
                <w:w w:val="87"/>
              </w:rPr>
              <w:t>Consolidated statements of cash flows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6520" w:type="dxa"/>
            <w:vAlign w:val="bottom"/>
          </w:tcPr>
          <w:p>
            <w:pPr>
              <w:jc w:val="center"/>
              <w:ind w:left="2219"/>
              <w:spacing w:after="0"/>
              <w:rPr>
                <w:sz w:val="20"/>
                <w:szCs w:val="20"/>
                <w:color w:val="auto"/>
              </w:rPr>
            </w:pPr>
            <w:r>
              <w:rPr>
                <w:rFonts w:ascii="Arial" w:cs="Arial" w:eastAsia="Arial" w:hAnsi="Arial"/>
                <w:sz w:val="16"/>
                <w:szCs w:val="16"/>
                <w:b w:val="1"/>
                <w:bCs w:val="1"/>
                <w:color w:val="auto"/>
                <w:w w:val="88"/>
              </w:rPr>
              <w:t>(in thousands)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2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(106,482 )</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(95,402 )</w:t>
            </w: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Gain on extinguishment of debt</w:t>
            </w: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(690 )</w:t>
            </w: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(2,611 )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Accounts payable and accrued expenses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380"/>
              <w:spacing w:after="0"/>
              <w:rPr>
                <w:sz w:val="20"/>
                <w:szCs w:val="20"/>
                <w:color w:val="auto"/>
              </w:rPr>
            </w:pPr>
            <w:r>
              <w:rPr>
                <w:rFonts w:ascii="Arial" w:cs="Arial" w:eastAsia="Arial" w:hAnsi="Arial"/>
                <w:sz w:val="16"/>
                <w:szCs w:val="16"/>
                <w:color w:val="auto"/>
              </w:rPr>
              <w:t>Right-of-use assets and lease liabilities, net</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(513 )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(90,420 )</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(62,214 )</w:t>
            </w:r>
          </w:p>
        </w:tc>
        <w:tc>
          <w:tcPr>
            <w:tcW w:w="0" w:type="dxa"/>
            <w:vAlign w:val="bottom"/>
          </w:tcPr>
          <w:p>
            <w:pPr>
              <w:spacing w:after="0"/>
              <w:rPr>
                <w:sz w:val="1"/>
                <w:szCs w:val="1"/>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(268 )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(924 )</w:t>
            </w: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(265 )</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(924 )</w:t>
            </w:r>
          </w:p>
        </w:tc>
        <w:tc>
          <w:tcPr>
            <w:tcW w:w="0" w:type="dxa"/>
            <w:vAlign w:val="bottom"/>
          </w:tcPr>
          <w:p>
            <w:pPr>
              <w:spacing w:after="0"/>
              <w:rPr>
                <w:sz w:val="1"/>
                <w:szCs w:val="1"/>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Payment of initial public offering costs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(1,911 )</w:t>
            </w:r>
          </w:p>
        </w:tc>
        <w:tc>
          <w:tcPr>
            <w:tcW w:w="0" w:type="dxa"/>
            <w:vAlign w:val="bottom"/>
          </w:tcPr>
          <w:p>
            <w:pPr>
              <w:spacing w:after="0"/>
              <w:rPr>
                <w:sz w:val="1"/>
                <w:szCs w:val="1"/>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Proceeds from issuance of common stock, net of issuance costs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61,682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Payments for taxes related to net settlement of equity awards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(758 )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61,213</w:t>
            </w:r>
          </w:p>
        </w:tc>
        <w:tc>
          <w:tcPr>
            <w:tcW w:w="28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69,512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(29,472 )</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244,979</w:t>
            </w:r>
          </w:p>
        </w:tc>
        <w:tc>
          <w:tcPr>
            <w:tcW w:w="2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238,605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215,507</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244,979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Property and equipment additions included in accounts payable and accrued</w:t>
            </w:r>
          </w:p>
        </w:tc>
        <w:tc>
          <w:tcPr>
            <w:tcW w:w="940" w:type="dxa"/>
            <w:vAlign w:val="bottom"/>
            <w:vMerge w:val="restart"/>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Tax related to net settlement of equity awards included in accounts payable and</w:t>
            </w:r>
          </w:p>
        </w:tc>
        <w:tc>
          <w:tcPr>
            <w:tcW w:w="940" w:type="dxa"/>
            <w:vAlign w:val="bottom"/>
            <w:vMerge w:val="restart"/>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16"/>
                <w:szCs w:val="16"/>
                <w:color w:val="auto"/>
              </w:rPr>
            </w:pPr>
          </w:p>
        </w:tc>
        <w:tc>
          <w:tcPr>
            <w:tcW w:w="1000" w:type="dxa"/>
            <w:vAlign w:val="bottom"/>
            <w:vMerge w:val="restart"/>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-1328420</wp:posOffset>
            </wp:positionV>
            <wp:extent cx="68580"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-719455</wp:posOffset>
            </wp:positionV>
            <wp:extent cx="124333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4333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1243330" cy="300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3330" cy="3003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BioAtla,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1. Organization and summary of significant accounting policies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Organization</w:t>
      </w:r>
    </w:p>
    <w:p>
      <w:pPr>
        <w:spacing w:after="0" w:line="113" w:lineRule="exact"/>
        <w:rPr>
          <w:sz w:val="20"/>
          <w:szCs w:val="20"/>
          <w:color w:val="auto"/>
        </w:rPr>
      </w:pPr>
    </w:p>
    <w:p>
      <w:pPr>
        <w:ind w:left="260" w:right="60" w:firstLine="458"/>
        <w:spacing w:after="0" w:line="297" w:lineRule="auto"/>
        <w:rPr>
          <w:sz w:val="20"/>
          <w:szCs w:val="20"/>
          <w:color w:val="auto"/>
        </w:rPr>
      </w:pPr>
      <w:r>
        <w:rPr>
          <w:rFonts w:ascii="Arial" w:cs="Arial" w:eastAsia="Arial" w:hAnsi="Arial"/>
          <w:sz w:val="15"/>
          <w:szCs w:val="15"/>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 and its CAB immune-oncology antibody targeting CTLA-4.</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ind w:left="260" w:right="360" w:firstLine="458"/>
        <w:spacing w:after="0" w:line="328"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(“GAAP”). BioAtla, Inc. is a single legal entity with no consolidated variable interest entities ("VIEs") or subsidiaries (see Note 9).</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Going Concern</w:t>
      </w:r>
    </w:p>
    <w:p>
      <w:pPr>
        <w:spacing w:after="0" w:line="113" w:lineRule="exact"/>
        <w:rPr>
          <w:sz w:val="20"/>
          <w:szCs w:val="20"/>
          <w:color w:val="auto"/>
        </w:rPr>
      </w:pPr>
    </w:p>
    <w:p>
      <w:pPr>
        <w:ind w:left="260" w:right="100" w:firstLine="458"/>
        <w:spacing w:after="0" w:line="269" w:lineRule="auto"/>
        <w:rPr>
          <w:sz w:val="20"/>
          <w:szCs w:val="20"/>
          <w:color w:val="auto"/>
        </w:rPr>
      </w:pPr>
      <w:r>
        <w:rPr>
          <w:rFonts w:ascii="Arial" w:cs="Arial" w:eastAsia="Arial" w:hAnsi="Arial"/>
          <w:sz w:val="16"/>
          <w:szCs w:val="16"/>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December 31, 2022, the Company had an accumulated deficit of $292.8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67" w:lineRule="exact"/>
        <w:rPr>
          <w:sz w:val="20"/>
          <w:szCs w:val="20"/>
          <w:color w:val="auto"/>
        </w:rPr>
      </w:pPr>
    </w:p>
    <w:p>
      <w:pPr>
        <w:ind w:left="260" w:firstLine="464"/>
        <w:spacing w:after="0" w:line="271" w:lineRule="auto"/>
        <w:rPr>
          <w:sz w:val="20"/>
          <w:szCs w:val="20"/>
          <w:color w:val="auto"/>
        </w:rPr>
      </w:pPr>
      <w:r>
        <w:rPr>
          <w:rFonts w:ascii="Arial" w:cs="Arial" w:eastAsia="Arial" w:hAnsi="Arial"/>
          <w:sz w:val="16"/>
          <w:szCs w:val="16"/>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for 12 months after the date the consolidated financial statements for the year ended December 31, 2022 are issued.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Variable Interest Entities</w:t>
      </w:r>
    </w:p>
    <w:p>
      <w:pPr>
        <w:spacing w:after="0" w:line="113" w:lineRule="exact"/>
        <w:rPr>
          <w:sz w:val="20"/>
          <w:szCs w:val="20"/>
          <w:color w:val="auto"/>
        </w:rPr>
      </w:pPr>
    </w:p>
    <w:p>
      <w:pPr>
        <w:ind w:left="260" w:right="20" w:firstLine="458"/>
        <w:spacing w:after="0" w:line="267" w:lineRule="auto"/>
        <w:rPr>
          <w:sz w:val="20"/>
          <w:szCs w:val="20"/>
          <w:color w:val="auto"/>
        </w:rPr>
      </w:pPr>
      <w:r>
        <w:rPr>
          <w:rFonts w:ascii="Arial" w:cs="Arial" w:eastAsia="Arial" w:hAnsi="Arial"/>
          <w:sz w:val="16"/>
          <w:szCs w:val="16"/>
          <w:color w:val="auto"/>
        </w:rPr>
        <w:t>The Company consolidates entities in which it has a controlling financial interest. The Company determines whether it has a controlling financial interest in an entity by first evaluating whether the entity is a voting interest entity or a variable interest entity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 (see Note 9).</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3" w:lineRule="exact"/>
        <w:rPr>
          <w:sz w:val="20"/>
          <w:szCs w:val="20"/>
          <w:color w:val="auto"/>
        </w:rPr>
      </w:pPr>
    </w:p>
    <w:p>
      <w:pPr>
        <w:ind w:left="260" w:right="40" w:firstLine="458"/>
        <w:spacing w:after="0" w:line="288" w:lineRule="auto"/>
        <w:rPr>
          <w:sz w:val="20"/>
          <w:szCs w:val="20"/>
          <w:color w:val="auto"/>
        </w:rPr>
      </w:pPr>
      <w:r>
        <w:rPr>
          <w:rFonts w:ascii="Arial" w:cs="Arial" w:eastAsia="Arial" w:hAnsi="Arial"/>
          <w:sz w:val="15"/>
          <w:szCs w:val="15"/>
          <w:color w:val="auto"/>
        </w:rPr>
        <w:t>The Company’s consolidated financial statements are prepared in accordance with U.S. generally accepted accounting principles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revenue recognition,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127" w:lineRule="exact"/>
        <w:rPr>
          <w:sz w:val="20"/>
          <w:szCs w:val="20"/>
          <w:color w:val="auto"/>
        </w:rPr>
      </w:pPr>
    </w:p>
    <w:p>
      <w:pPr>
        <w:ind w:left="260" w:right="120" w:firstLine="458"/>
        <w:spacing w:after="0" w:line="278"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when purchased to be cash equivalents.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Concentrations of Risk</w:t>
      </w:r>
    </w:p>
    <w:p>
      <w:pPr>
        <w:spacing w:after="0" w:line="113" w:lineRule="exact"/>
        <w:rPr>
          <w:sz w:val="20"/>
          <w:szCs w:val="20"/>
          <w:color w:val="auto"/>
        </w:rPr>
      </w:pPr>
    </w:p>
    <w:p>
      <w:pPr>
        <w:ind w:left="260" w:right="220" w:firstLine="458"/>
        <w:spacing w:after="0" w:line="273" w:lineRule="auto"/>
        <w:rPr>
          <w:sz w:val="20"/>
          <w:szCs w:val="20"/>
          <w:color w:val="auto"/>
        </w:rPr>
      </w:pPr>
      <w:r>
        <w:rPr>
          <w:rFonts w:ascii="Arial" w:cs="Arial" w:eastAsia="Arial" w:hAnsi="Arial"/>
          <w:sz w:val="16"/>
          <w:szCs w:val="16"/>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13" w:lineRule="exact"/>
        <w:rPr>
          <w:sz w:val="20"/>
          <w:szCs w:val="20"/>
          <w:color w:val="auto"/>
        </w:rPr>
      </w:pPr>
    </w:p>
    <w:p>
      <w:pPr>
        <w:jc w:val="both"/>
        <w:ind w:left="260" w:right="80" w:firstLine="458"/>
        <w:spacing w:after="0" w:line="335" w:lineRule="auto"/>
        <w:rPr>
          <w:sz w:val="20"/>
          <w:szCs w:val="20"/>
          <w:color w:val="auto"/>
        </w:rPr>
      </w:pPr>
      <w:r>
        <w:rPr>
          <w:rFonts w:ascii="Arial" w:cs="Arial" w:eastAsia="Arial" w:hAnsi="Arial"/>
          <w:sz w:val="14"/>
          <w:szCs w:val="14"/>
          <w:color w:val="auto"/>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13" w:lineRule="exact"/>
        <w:rPr>
          <w:sz w:val="20"/>
          <w:szCs w:val="20"/>
          <w:color w:val="auto"/>
        </w:rPr>
      </w:pPr>
    </w:p>
    <w:p>
      <w:pPr>
        <w:ind w:left="260" w:right="240" w:firstLine="458"/>
        <w:spacing w:after="0" w:line="318" w:lineRule="auto"/>
        <w:rPr>
          <w:sz w:val="20"/>
          <w:szCs w:val="20"/>
          <w:color w:val="auto"/>
        </w:rPr>
      </w:pPr>
      <w:r>
        <w:rPr>
          <w:rFonts w:ascii="Arial" w:cs="Arial" w:eastAsia="Arial" w:hAnsi="Arial"/>
          <w:sz w:val="14"/>
          <w:szCs w:val="14"/>
          <w:color w:val="auto"/>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2022 and 2021.</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Leases</w:t>
      </w:r>
    </w:p>
    <w:p>
      <w:pPr>
        <w:spacing w:after="0" w:line="113" w:lineRule="exact"/>
        <w:rPr>
          <w:sz w:val="20"/>
          <w:szCs w:val="20"/>
          <w:color w:val="auto"/>
        </w:rPr>
      </w:pPr>
    </w:p>
    <w:p>
      <w:pPr>
        <w:ind w:left="260" w:firstLine="458"/>
        <w:spacing w:after="0" w:line="287" w:lineRule="auto"/>
        <w:rPr>
          <w:sz w:val="20"/>
          <w:szCs w:val="20"/>
          <w:color w:val="auto"/>
        </w:rPr>
      </w:pPr>
      <w:r>
        <w:rPr>
          <w:rFonts w:ascii="Arial" w:cs="Arial" w:eastAsia="Arial" w:hAnsi="Arial"/>
          <w:sz w:val="15"/>
          <w:szCs w:val="15"/>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358" w:lineRule="exact"/>
        <w:rPr>
          <w:sz w:val="20"/>
          <w:szCs w:val="20"/>
          <w:color w:val="auto"/>
        </w:rPr>
      </w:pPr>
    </w:p>
    <w:p>
      <w:pPr>
        <w:ind w:left="260" w:right="20" w:firstLine="458"/>
        <w:spacing w:after="0" w:line="278" w:lineRule="auto"/>
        <w:rPr>
          <w:sz w:val="20"/>
          <w:szCs w:val="20"/>
          <w:color w:val="auto"/>
        </w:rPr>
      </w:pPr>
      <w:r>
        <w:rPr>
          <w:rFonts w:ascii="Arial" w:cs="Arial" w:eastAsia="Arial" w:hAnsi="Arial"/>
          <w:sz w:val="16"/>
          <w:szCs w:val="16"/>
          <w:color w:val="auto"/>
        </w:rPr>
        <w:t>The Company has a single lease agreement with lease and non-lease components, which are accounted for as a single lease component. Lease payments for short-term leases, defined as leases with a term of twelve months or less, are expensed on a straight-line basis over the lease term. The Company does not currently have any short-term leases.</w:t>
      </w:r>
    </w:p>
    <w:p>
      <w:pPr>
        <w:spacing w:after="0" w:line="171" w:lineRule="exact"/>
        <w:rPr>
          <w:sz w:val="20"/>
          <w:szCs w:val="20"/>
          <w:color w:val="auto"/>
        </w:rPr>
      </w:pPr>
    </w:p>
    <w:p>
      <w:pPr>
        <w:ind w:left="260" w:right="460" w:firstLine="464"/>
        <w:spacing w:after="0" w:line="293" w:lineRule="auto"/>
        <w:rPr>
          <w:sz w:val="20"/>
          <w:szCs w:val="20"/>
          <w:color w:val="auto"/>
        </w:rPr>
      </w:pPr>
      <w:r>
        <w:rPr>
          <w:rFonts w:ascii="Arial" w:cs="Arial" w:eastAsia="Arial" w:hAnsi="Arial"/>
          <w:sz w:val="16"/>
          <w:szCs w:val="16"/>
          <w:color w:val="auto"/>
        </w:rPr>
        <w:t>Operating leases are included in operating lease right-of-use assets, operating lease liabilities, and operating lease liabilities, non-current on the Company’s consolidated balance sheets. The Company does not have any finance leases.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ind w:left="260" w:right="20" w:firstLine="458"/>
        <w:spacing w:after="0" w:line="271" w:lineRule="auto"/>
        <w:rPr>
          <w:sz w:val="20"/>
          <w:szCs w:val="20"/>
          <w:color w:val="auto"/>
        </w:rPr>
      </w:pPr>
      <w:r>
        <w:rPr>
          <w:rFonts w:ascii="Arial" w:cs="Arial" w:eastAsia="Arial" w:hAnsi="Arial"/>
          <w:sz w:val="16"/>
          <w:szCs w:val="16"/>
          <w:color w:val="auto"/>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spacing w:after="0" w:line="163"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180" w:lineRule="exact"/>
        <w:rPr>
          <w:sz w:val="20"/>
          <w:szCs w:val="20"/>
          <w:color w:val="auto"/>
        </w:rPr>
      </w:pPr>
    </w:p>
    <w:p>
      <w:pPr>
        <w:ind w:left="260" w:right="80" w:firstLine="458"/>
        <w:spacing w:after="0" w:line="293" w:lineRule="auto"/>
        <w:rPr>
          <w:sz w:val="20"/>
          <w:szCs w:val="20"/>
          <w:color w:val="auto"/>
        </w:rPr>
      </w:pPr>
      <w:r>
        <w:rPr>
          <w:rFonts w:ascii="Arial" w:cs="Arial" w:eastAsia="Arial" w:hAnsi="Arial"/>
          <w:sz w:val="16"/>
          <w:szCs w:val="16"/>
          <w:color w:val="auto"/>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40"/>
        <w:spacing w:after="0" w:line="324" w:lineRule="auto"/>
        <w:rPr>
          <w:sz w:val="20"/>
          <w:szCs w:val="20"/>
          <w:color w:val="auto"/>
        </w:rPr>
      </w:pPr>
      <w:r>
        <w:rPr>
          <w:rFonts w:ascii="Arial" w:cs="Arial" w:eastAsia="Arial" w:hAnsi="Arial"/>
          <w:sz w:val="14"/>
          <w:szCs w:val="14"/>
          <w:color w:val="auto"/>
        </w:rPr>
        <w:t>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43"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163" w:lineRule="exact"/>
        <w:rPr>
          <w:sz w:val="20"/>
          <w:szCs w:val="20"/>
          <w:color w:val="auto"/>
        </w:rPr>
      </w:pPr>
    </w:p>
    <w:p>
      <w:pPr>
        <w:ind w:left="260" w:right="20" w:firstLine="458"/>
        <w:spacing w:after="0" w:line="305" w:lineRule="auto"/>
        <w:rPr>
          <w:sz w:val="20"/>
          <w:szCs w:val="20"/>
          <w:color w:val="auto"/>
        </w:rPr>
      </w:pPr>
      <w:r>
        <w:rPr>
          <w:rFonts w:ascii="Arial" w:cs="Arial" w:eastAsia="Arial" w:hAnsi="Arial"/>
          <w:sz w:val="15"/>
          <w:szCs w:val="15"/>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spacing w:after="0" w:line="152" w:lineRule="exact"/>
        <w:rPr>
          <w:sz w:val="20"/>
          <w:szCs w:val="20"/>
          <w:color w:val="auto"/>
        </w:rPr>
      </w:pPr>
    </w:p>
    <w:p>
      <w:pPr>
        <w:ind w:left="260" w:right="60" w:firstLine="458"/>
        <w:spacing w:after="0" w:line="278" w:lineRule="auto"/>
        <w:rPr>
          <w:sz w:val="20"/>
          <w:szCs w:val="20"/>
          <w:color w:val="auto"/>
        </w:rPr>
      </w:pPr>
      <w:r>
        <w:rPr>
          <w:rFonts w:ascii="Arial" w:cs="Arial" w:eastAsia="Arial" w:hAnsi="Arial"/>
          <w:sz w:val="16"/>
          <w:szCs w:val="16"/>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157" w:lineRule="exact"/>
        <w:rPr>
          <w:sz w:val="20"/>
          <w:szCs w:val="20"/>
          <w:color w:val="auto"/>
        </w:rPr>
      </w:pPr>
    </w:p>
    <w:p>
      <w:pPr>
        <w:ind w:left="260" w:right="180" w:firstLine="458"/>
        <w:spacing w:after="0" w:line="278" w:lineRule="auto"/>
        <w:rPr>
          <w:sz w:val="20"/>
          <w:szCs w:val="20"/>
          <w:color w:val="auto"/>
        </w:rPr>
      </w:pPr>
      <w:r>
        <w:rPr>
          <w:rFonts w:ascii="Arial" w:cs="Arial" w:eastAsia="Arial" w:hAnsi="Arial"/>
          <w:sz w:val="16"/>
          <w:szCs w:val="16"/>
          <w:color w:val="auto"/>
        </w:rPr>
        <w:t>The Company expenses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27" w:lineRule="exact"/>
        <w:rPr>
          <w:sz w:val="20"/>
          <w:szCs w:val="20"/>
          <w:color w:val="auto"/>
        </w:rPr>
      </w:pPr>
    </w:p>
    <w:p>
      <w:pPr>
        <w:ind w:left="260" w:firstLine="458"/>
        <w:spacing w:after="0" w:line="289" w:lineRule="auto"/>
        <w:rPr>
          <w:sz w:val="20"/>
          <w:szCs w:val="20"/>
          <w:color w:val="auto"/>
        </w:rPr>
      </w:pPr>
      <w:r>
        <w:rPr>
          <w:rFonts w:ascii="Arial" w:cs="Arial" w:eastAsia="Arial" w:hAnsi="Arial"/>
          <w:sz w:val="15"/>
          <w:szCs w:val="15"/>
          <w:color w:val="auto"/>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consolidated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p>
    <w:p>
      <w:pPr>
        <w:spacing w:after="0" w:line="153" w:lineRule="exact"/>
        <w:rPr>
          <w:sz w:val="20"/>
          <w:szCs w:val="20"/>
          <w:color w:val="auto"/>
        </w:rPr>
      </w:pPr>
    </w:p>
    <w:p>
      <w:pPr>
        <w:ind w:left="260" w:firstLine="464"/>
        <w:spacing w:after="0" w:line="291" w:lineRule="auto"/>
        <w:rPr>
          <w:sz w:val="20"/>
          <w:szCs w:val="20"/>
          <w:color w:val="auto"/>
        </w:rPr>
      </w:pPr>
      <w:r>
        <w:rPr>
          <w:rFonts w:ascii="Arial" w:cs="Arial" w:eastAsia="Arial" w:hAnsi="Arial"/>
          <w:sz w:val="15"/>
          <w:szCs w:val="15"/>
          <w:color w:val="auto"/>
        </w:rPr>
        <w:t>As of December 31, 2022, the Company has accrued $5.5 million related to clinical trial costs. The Company has entered into contracts related to its clinical trials with clinical research organizations. The Company reviews and accrues clinical trial costs based on work performed, which relies on estimates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Historically, revisions have not resulted in material changes to research and development expense; however, a modification in the protocol of a clinical trial or cancellation of a trial could result in a change to the Company's results of operations.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Patent Costs</w:t>
      </w:r>
    </w:p>
    <w:p>
      <w:pPr>
        <w:spacing w:after="0" w:line="127" w:lineRule="exact"/>
        <w:rPr>
          <w:sz w:val="20"/>
          <w:szCs w:val="20"/>
          <w:color w:val="auto"/>
        </w:rPr>
      </w:pPr>
    </w:p>
    <w:p>
      <w:pPr>
        <w:ind w:left="260" w:right="60" w:firstLine="458"/>
        <w:spacing w:after="0" w:line="293" w:lineRule="auto"/>
        <w:rPr>
          <w:sz w:val="20"/>
          <w:szCs w:val="20"/>
          <w:color w:val="auto"/>
        </w:rPr>
      </w:pPr>
      <w:r>
        <w:rPr>
          <w:rFonts w:ascii="Arial" w:cs="Arial" w:eastAsia="Arial" w:hAnsi="Arial"/>
          <w:sz w:val="16"/>
          <w:szCs w:val="16"/>
          <w:color w:val="auto"/>
        </w:rPr>
        <w:t>Costs related to filing and pursuing patent applications are recorded as general and administrative expenses and expensed as incurred since recoverability of such expenditures is uncertain.</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3" w:lineRule="exact"/>
        <w:rPr>
          <w:sz w:val="20"/>
          <w:szCs w:val="20"/>
          <w:color w:val="auto"/>
        </w:rPr>
      </w:pPr>
    </w:p>
    <w:p>
      <w:pPr>
        <w:ind w:left="260" w:right="60" w:firstLine="458"/>
        <w:spacing w:after="0" w:line="293" w:lineRule="auto"/>
        <w:rPr>
          <w:sz w:val="20"/>
          <w:szCs w:val="20"/>
          <w:color w:val="auto"/>
        </w:rPr>
      </w:pPr>
      <w:r>
        <w:rPr>
          <w:rFonts w:ascii="Arial" w:cs="Arial" w:eastAsia="Arial" w:hAnsi="Arial"/>
          <w:sz w:val="15"/>
          <w:szCs w:val="15"/>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Taxes</w:t>
      </w:r>
    </w:p>
    <w:p>
      <w:pPr>
        <w:spacing w:after="0" w:line="127" w:lineRule="exact"/>
        <w:rPr>
          <w:sz w:val="20"/>
          <w:szCs w:val="20"/>
          <w:color w:val="auto"/>
        </w:rPr>
      </w:pPr>
    </w:p>
    <w:p>
      <w:pPr>
        <w:ind w:left="260" w:right="40" w:firstLine="458"/>
        <w:spacing w:after="0" w:line="273"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assets and liabilities is recognized as income in the period that includes the enactment date.</w:t>
      </w:r>
    </w:p>
    <w:p>
      <w:pPr>
        <w:spacing w:after="0" w:line="200" w:lineRule="exact"/>
        <w:rPr>
          <w:sz w:val="20"/>
          <w:szCs w:val="20"/>
          <w:color w:val="auto"/>
        </w:rPr>
      </w:pPr>
    </w:p>
    <w:p>
      <w:pPr>
        <w:spacing w:after="0" w:line="210" w:lineRule="exact"/>
        <w:rPr>
          <w:sz w:val="20"/>
          <w:szCs w:val="20"/>
          <w:color w:val="auto"/>
        </w:rPr>
      </w:pPr>
    </w:p>
    <w:p>
      <w:pPr>
        <w:ind w:left="260" w:right="100" w:firstLine="464"/>
        <w:spacing w:after="0" w:line="271" w:lineRule="auto"/>
        <w:rPr>
          <w:sz w:val="20"/>
          <w:szCs w:val="20"/>
          <w:color w:val="auto"/>
        </w:rPr>
      </w:pPr>
      <w:r>
        <w:rPr>
          <w:rFonts w:ascii="Arial" w:cs="Arial" w:eastAsia="Arial" w:hAnsi="Arial"/>
          <w:sz w:val="16"/>
          <w:szCs w:val="16"/>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379" w:lineRule="exact"/>
        <w:rPr>
          <w:sz w:val="20"/>
          <w:szCs w:val="20"/>
          <w:color w:val="auto"/>
        </w:rPr>
      </w:pPr>
    </w:p>
    <w:p>
      <w:pPr>
        <w:ind w:left="260" w:right="40" w:firstLine="464"/>
        <w:spacing w:after="0" w:line="271" w:lineRule="auto"/>
        <w:rPr>
          <w:sz w:val="20"/>
          <w:szCs w:val="20"/>
          <w:color w:val="auto"/>
        </w:rPr>
      </w:pPr>
      <w:r>
        <w:rPr>
          <w:rFonts w:ascii="Arial" w:cs="Arial" w:eastAsia="Arial" w:hAnsi="Arial"/>
          <w:sz w:val="16"/>
          <w:szCs w:val="16"/>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13" w:lineRule="exact"/>
        <w:rPr>
          <w:sz w:val="20"/>
          <w:szCs w:val="20"/>
          <w:color w:val="auto"/>
        </w:rPr>
      </w:pPr>
    </w:p>
    <w:p>
      <w:pPr>
        <w:jc w:val="both"/>
        <w:ind w:left="260" w:right="120" w:firstLine="458"/>
        <w:spacing w:after="0" w:line="369" w:lineRule="auto"/>
        <w:rPr>
          <w:sz w:val="20"/>
          <w:szCs w:val="20"/>
          <w:color w:val="auto"/>
        </w:rPr>
      </w:pPr>
      <w:r>
        <w:rPr>
          <w:rFonts w:ascii="Arial" w:cs="Arial" w:eastAsia="Arial" w:hAnsi="Arial"/>
          <w:sz w:val="14"/>
          <w:szCs w:val="14"/>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13" w:lineRule="exact"/>
        <w:rPr>
          <w:sz w:val="20"/>
          <w:szCs w:val="20"/>
          <w:color w:val="auto"/>
        </w:rPr>
      </w:pPr>
    </w:p>
    <w:p>
      <w:pPr>
        <w:ind w:left="260" w:right="140" w:firstLine="458"/>
        <w:spacing w:after="0" w:line="324" w:lineRule="auto"/>
        <w:rPr>
          <w:sz w:val="20"/>
          <w:szCs w:val="20"/>
          <w:color w:val="auto"/>
        </w:rPr>
      </w:pPr>
      <w:r>
        <w:rPr>
          <w:rFonts w:ascii="Arial" w:cs="Arial" w:eastAsia="Arial" w:hAnsi="Arial"/>
          <w:sz w:val="14"/>
          <w:szCs w:val="14"/>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Company's ESPP plan.</w:t>
      </w:r>
    </w:p>
    <w:p>
      <w:pPr>
        <w:spacing w:after="0" w:line="130" w:lineRule="exact"/>
        <w:rPr>
          <w:sz w:val="20"/>
          <w:szCs w:val="20"/>
          <w:color w:val="auto"/>
        </w:rPr>
      </w:pPr>
    </w:p>
    <w:p>
      <w:pPr>
        <w:ind w:left="260" w:right="60" w:firstLine="464"/>
        <w:spacing w:after="0" w:line="293" w:lineRule="auto"/>
        <w:rPr>
          <w:sz w:val="20"/>
          <w:szCs w:val="20"/>
          <w:color w:val="auto"/>
        </w:rPr>
      </w:pPr>
      <w:r>
        <w:rPr>
          <w:rFonts w:ascii="Arial" w:cs="Arial" w:eastAsia="Arial" w:hAnsi="Arial"/>
          <w:sz w:val="16"/>
          <w:szCs w:val="16"/>
          <w:color w:val="auto"/>
        </w:rPr>
        <w:t>Potentially dilutive securities not included in the calculation of diluted net loss per share because to do so would be anti-dilutive are as follows (in common stock equivalents):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4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151,088</w:t>
            </w:r>
          </w:p>
        </w:tc>
        <w:tc>
          <w:tcPr>
            <w:tcW w:w="80" w:type="dxa"/>
            <w:vAlign w:val="bottom"/>
            <w:shd w:val="clear" w:color="auto" w:fill="CFF0FC"/>
          </w:tcPr>
          <w:p>
            <w:pPr>
              <w:spacing w:after="0"/>
              <w:rPr>
                <w:sz w:val="19"/>
                <w:szCs w:val="19"/>
                <w:color w:val="auto"/>
              </w:rPr>
            </w:pPr>
          </w:p>
        </w:tc>
      </w:tr>
      <w:tr>
        <w:trPr>
          <w:trHeight w:val="220"/>
        </w:trPr>
        <w:tc>
          <w:tcPr>
            <w:tcW w:w="5380" w:type="dxa"/>
            <w:vAlign w:val="bottom"/>
          </w:tcPr>
          <w:p>
            <w:pPr>
              <w:spacing w:after="0"/>
              <w:rPr>
                <w:sz w:val="20"/>
                <w:szCs w:val="20"/>
                <w:color w:val="auto"/>
              </w:rPr>
            </w:pPr>
            <w:r>
              <w:rPr>
                <w:rFonts w:ascii="Arial" w:cs="Arial" w:eastAsia="Arial" w:hAnsi="Arial"/>
                <w:sz w:val="16"/>
                <w:szCs w:val="16"/>
                <w:color w:val="auto"/>
              </w:rPr>
              <w:t>Common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2,736,918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1,086,902</w:t>
            </w:r>
          </w:p>
        </w:tc>
        <w:tc>
          <w:tcPr>
            <w:tcW w:w="80" w:type="dxa"/>
            <w:vAlign w:val="bottom"/>
          </w:tcPr>
          <w:p>
            <w:pPr>
              <w:spacing w:after="0"/>
              <w:rPr>
                <w:sz w:val="19"/>
                <w:szCs w:val="19"/>
                <w:color w:val="auto"/>
              </w:rPr>
            </w:pPr>
          </w:p>
        </w:tc>
      </w:tr>
      <w:tr>
        <w:trPr>
          <w:trHeight w:val="23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510,039</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975,046</w:t>
            </w:r>
          </w:p>
        </w:tc>
        <w:tc>
          <w:tcPr>
            <w:tcW w:w="80" w:type="dxa"/>
            <w:vAlign w:val="bottom"/>
            <w:shd w:val="clear" w:color="auto" w:fill="CFF0FC"/>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6"/>
                <w:szCs w:val="16"/>
                <w:color w:val="auto"/>
              </w:rPr>
              <w:t>ESPP Shares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13,370</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3,260,327</w:t>
            </w:r>
          </w:p>
        </w:tc>
        <w:tc>
          <w:tcPr>
            <w:tcW w:w="1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2,213,036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3" w:lineRule="exact"/>
        <w:rPr>
          <w:sz w:val="20"/>
          <w:szCs w:val="20"/>
          <w:color w:val="auto"/>
        </w:rPr>
      </w:pPr>
    </w:p>
    <w:p>
      <w:pPr>
        <w:ind w:left="260" w:right="300" w:firstLine="458"/>
        <w:spacing w:after="0" w:line="293" w:lineRule="auto"/>
        <w:rPr>
          <w:sz w:val="20"/>
          <w:szCs w:val="20"/>
          <w:color w:val="auto"/>
        </w:rPr>
      </w:pPr>
      <w:r>
        <w:rPr>
          <w:rFonts w:ascii="Arial" w:cs="Arial" w:eastAsia="Arial" w:hAnsi="Arial"/>
          <w:sz w:val="16"/>
          <w:szCs w:val="16"/>
          <w:color w:val="auto"/>
        </w:rPr>
        <w:t>There were no recently issued or effective FASB Accounting Standards Updates (ASUs) that had, or are expected to have, a material effect on the Company's results of operations, financial condition, or liquidity.</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2. Balance sheet details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4"/>
              </w:rPr>
              <w:t>December 31,</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Prepaid research and development</w:t>
            </w:r>
          </w:p>
        </w:tc>
        <w:tc>
          <w:tcPr>
            <w:tcW w:w="3420" w:type="dxa"/>
            <w:vAlign w:val="bottom"/>
            <w:gridSpan w:val="2"/>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4,385</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Other prepaid expenses and current assets</w:t>
            </w:r>
          </w:p>
        </w:tc>
        <w:tc>
          <w:tcPr>
            <w:tcW w:w="25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1140" w:type="dxa"/>
            <w:vAlign w:val="bottom"/>
          </w:tcPr>
          <w:p>
            <w:pPr>
              <w:spacing w:after="0"/>
              <w:rPr>
                <w:sz w:val="22"/>
                <w:szCs w:val="22"/>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3420" w:type="dxa"/>
            <w:vAlign w:val="bottom"/>
            <w:gridSpan w:val="2"/>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4,924</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2,313</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561"/>
        </w:trPr>
        <w:tc>
          <w:tcPr>
            <w:tcW w:w="1140" w:type="dxa"/>
            <w:vAlign w:val="bottom"/>
          </w:tcPr>
          <w:p>
            <w:pPr>
              <w:spacing w:after="0"/>
              <w:rPr>
                <w:sz w:val="24"/>
                <w:szCs w:val="24"/>
                <w:color w:val="auto"/>
              </w:rPr>
            </w:pPr>
          </w:p>
        </w:tc>
        <w:tc>
          <w:tcPr>
            <w:tcW w:w="356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jc w:val="right"/>
              <w:ind w:right="1499"/>
              <w:spacing w:after="0"/>
              <w:rPr>
                <w:sz w:val="20"/>
                <w:szCs w:val="20"/>
                <w:color w:val="auto"/>
              </w:rPr>
            </w:pPr>
            <w:r>
              <w:rPr>
                <w:rFonts w:ascii="Arial" w:cs="Arial" w:eastAsia="Arial" w:hAnsi="Arial"/>
                <w:sz w:val="16"/>
                <w:szCs w:val="16"/>
                <w:color w:val="auto"/>
              </w:rPr>
              <w:t>89</w:t>
            </w: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11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-470535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-454025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-470535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6420" w:type="dxa"/>
            <w:vAlign w:val="bottom"/>
            <w:gridSpan w:val="3"/>
          </w:tcPr>
          <w:p>
            <w:pPr>
              <w:spacing w:after="0"/>
              <w:rPr>
                <w:sz w:val="20"/>
                <w:szCs w:val="20"/>
                <w:color w:val="auto"/>
              </w:rPr>
            </w:pPr>
            <w:r>
              <w:rPr>
                <w:rFonts w:ascii="Arial" w:cs="Arial" w:eastAsia="Arial" w:hAnsi="Arial"/>
                <w:sz w:val="16"/>
                <w:szCs w:val="16"/>
                <w:b w:val="1"/>
                <w:bCs w:val="1"/>
                <w:color w:val="auto"/>
              </w:rPr>
              <w:t>Table of Contents</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20" w:type="dxa"/>
            <w:vAlign w:val="bottom"/>
            <w:gridSpan w:val="3"/>
          </w:tcPr>
          <w:p>
            <w:pPr>
              <w:ind w:left="720"/>
              <w:spacing w:after="0"/>
              <w:rPr>
                <w:sz w:val="20"/>
                <w:szCs w:val="20"/>
                <w:color w:val="auto"/>
              </w:rPr>
            </w:pPr>
            <w:r>
              <w:rPr>
                <w:rFonts w:ascii="Arial" w:cs="Arial" w:eastAsia="Arial" w:hAnsi="Arial"/>
                <w:sz w:val="16"/>
                <w:szCs w:val="16"/>
                <w:color w:val="auto"/>
              </w:rPr>
              <w:t>Property and equipment consist of the following (in thousands):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Arial" w:cs="Arial" w:eastAsia="Arial" w:hAnsi="Arial"/>
                <w:sz w:val="16"/>
                <w:szCs w:val="16"/>
                <w:b w:val="1"/>
                <w:bCs w:val="1"/>
                <w:color w:val="auto"/>
              </w:rPr>
              <w:t>Useful life</w:t>
            </w:r>
          </w:p>
        </w:tc>
        <w:tc>
          <w:tcPr>
            <w:tcW w:w="3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Furniture, fixtures and office equipment</w:t>
            </w:r>
          </w:p>
        </w:tc>
        <w:tc>
          <w:tcPr>
            <w:tcW w:w="86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3"/>
              </w:rPr>
              <w:t>3 - 7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2,140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Laboratory equipment</w:t>
            </w:r>
          </w:p>
        </w:tc>
        <w:tc>
          <w:tcPr>
            <w:tcW w:w="860" w:type="dxa"/>
            <w:vAlign w:val="bottom"/>
          </w:tcPr>
          <w:p>
            <w:pPr>
              <w:jc w:val="center"/>
              <w:ind w:left="179"/>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2,265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860" w:type="dxa"/>
            <w:vAlign w:val="bottom"/>
            <w:tcBorders>
              <w:bottom w:val="single" w:sz="8" w:color="CFF0FC"/>
            </w:tcBorders>
            <w:shd w:val="clear" w:color="auto" w:fill="CFF0FC"/>
          </w:tcPr>
          <w:p>
            <w:pPr>
              <w:jc w:val="center"/>
              <w:ind w:left="199"/>
              <w:spacing w:after="0"/>
              <w:rPr>
                <w:sz w:val="20"/>
                <w:szCs w:val="20"/>
                <w:color w:val="auto"/>
              </w:rPr>
            </w:pPr>
            <w:r>
              <w:rPr>
                <w:rFonts w:ascii="Arial" w:cs="Arial" w:eastAsia="Arial" w:hAnsi="Arial"/>
                <w:sz w:val="16"/>
                <w:szCs w:val="16"/>
                <w:color w:val="auto"/>
                <w:w w:val="93"/>
              </w:rPr>
              <w:t>2 - 3</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3,687</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3,687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8,092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Less accumulated depreciation and amortization</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(5,364 )</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(4,257 )</w:t>
            </w: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2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Total</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2,728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ind w:left="720"/>
              <w:spacing w:after="0"/>
              <w:rPr>
                <w:sz w:val="20"/>
                <w:szCs w:val="20"/>
                <w:color w:val="auto"/>
              </w:rPr>
            </w:pPr>
            <w:r>
              <w:rPr>
                <w:rFonts w:ascii="Arial" w:cs="Arial" w:eastAsia="Arial" w:hAnsi="Arial"/>
                <w:sz w:val="16"/>
                <w:szCs w:val="16"/>
                <w:color w:val="auto"/>
              </w:rPr>
              <w:t>Accounts payable and accrued expenses consist of the following (in thousands):</w:t>
            </w: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99"/>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11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Accrued compensation</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Accrued research and development</w:t>
            </w: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12,649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Other accrued expenses</w:t>
            </w:r>
          </w:p>
        </w:tc>
        <w:tc>
          <w:tcPr>
            <w:tcW w:w="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21,610</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18,424</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-1971040</wp:posOffset>
            </wp:positionV>
            <wp:extent cx="5143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-1971040</wp:posOffset>
            </wp:positionV>
            <wp:extent cx="5143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-1671320</wp:posOffset>
            </wp:positionV>
            <wp:extent cx="51435"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-1671320</wp:posOffset>
            </wp:positionV>
            <wp:extent cx="51435"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3. Fair value measurements</w:t>
      </w:r>
    </w:p>
    <w:p>
      <w:pPr>
        <w:spacing w:after="0" w:line="117" w:lineRule="exact"/>
        <w:rPr>
          <w:sz w:val="20"/>
          <w:szCs w:val="20"/>
          <w:color w:val="auto"/>
        </w:rPr>
      </w:pPr>
    </w:p>
    <w:p>
      <w:pPr>
        <w:jc w:val="both"/>
        <w:ind w:left="260" w:right="80" w:firstLine="458"/>
        <w:spacing w:after="0" w:line="278" w:lineRule="auto"/>
        <w:rPr>
          <w:sz w:val="20"/>
          <w:szCs w:val="20"/>
          <w:color w:val="auto"/>
        </w:rPr>
      </w:pPr>
      <w:r>
        <w:rPr>
          <w:rFonts w:ascii="Arial" w:cs="Arial" w:eastAsia="Arial" w:hAnsi="Arial"/>
          <w:sz w:val="16"/>
          <w:szCs w:val="16"/>
          <w:color w:val="auto"/>
        </w:rPr>
        <w:t>The carrying amounts of the Company’s current financial assets and current financial liabilities are considered to be representative of their respective fair values because of the short-term nature of those instruments. As of December 31, 2022 and December 31, 2021, the Company had no financial assets or liabilities measured at fair value on a recurring basis.</w:t>
      </w:r>
    </w:p>
    <w:p>
      <w:pPr>
        <w:spacing w:after="0" w:line="265" w:lineRule="exact"/>
        <w:rPr>
          <w:sz w:val="20"/>
          <w:szCs w:val="20"/>
          <w:color w:val="auto"/>
        </w:rPr>
      </w:pPr>
    </w:p>
    <w:p>
      <w:pPr>
        <w:jc w:val="both"/>
        <w:ind w:left="260" w:firstLine="458"/>
        <w:spacing w:after="0" w:line="293" w:lineRule="auto"/>
        <w:rPr>
          <w:sz w:val="20"/>
          <w:szCs w:val="20"/>
          <w:color w:val="auto"/>
        </w:rPr>
      </w:pPr>
      <w:r>
        <w:rPr>
          <w:rFonts w:ascii="Arial" w:cs="Arial" w:eastAsia="Arial" w:hAnsi="Arial"/>
          <w:sz w:val="15"/>
          <w:szCs w:val="15"/>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Level 1: Observable inputs such as quoted prices in active markets.</w:t>
      </w:r>
    </w:p>
    <w:p>
      <w:pPr>
        <w:spacing w:after="0" w:line="31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Level 2: Inputs, other than the quoted prices in active markets that are observable either directly or indirectly.</w:t>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Level 3: Unobservable inputs in which there is little or no market data, which require the reporting entity to develop its own assumptions.</w:t>
      </w:r>
    </w:p>
    <w:p>
      <w:pPr>
        <w:spacing w:after="0" w:line="316" w:lineRule="exact"/>
        <w:rPr>
          <w:sz w:val="20"/>
          <w:szCs w:val="20"/>
          <w:color w:val="auto"/>
        </w:rPr>
      </w:pPr>
    </w:p>
    <w:p>
      <w:pPr>
        <w:ind w:left="260" w:right="140" w:firstLine="464"/>
        <w:spacing w:after="0" w:line="293" w:lineRule="auto"/>
        <w:rPr>
          <w:sz w:val="20"/>
          <w:szCs w:val="20"/>
          <w:color w:val="auto"/>
        </w:rPr>
      </w:pPr>
      <w:r>
        <w:rPr>
          <w:rFonts w:ascii="Arial" w:cs="Arial" w:eastAsia="Arial" w:hAnsi="Arial"/>
          <w:sz w:val="16"/>
          <w:szCs w:val="16"/>
          <w:color w:val="auto"/>
        </w:rPr>
        <w:t>None of the Company’s non-financial assets and liabilities are recorded at fair value on a non-recurring basis. No transfers between levels have occurred during the periods presented.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4. Debt</w:t>
      </w:r>
    </w:p>
    <w:p>
      <w:pPr>
        <w:spacing w:after="0" w:line="131" w:lineRule="exact"/>
        <w:rPr>
          <w:sz w:val="20"/>
          <w:szCs w:val="20"/>
          <w:color w:val="auto"/>
        </w:rPr>
      </w:pPr>
    </w:p>
    <w:p>
      <w:pPr>
        <w:ind w:left="260" w:right="140" w:firstLine="458"/>
        <w:spacing w:after="0" w:line="305" w:lineRule="auto"/>
        <w:rPr>
          <w:sz w:val="20"/>
          <w:szCs w:val="20"/>
          <w:color w:val="auto"/>
        </w:rPr>
      </w:pPr>
      <w:r>
        <w:rPr>
          <w:rFonts w:ascii="Arial" w:cs="Arial" w:eastAsia="Arial" w:hAnsi="Arial"/>
          <w:sz w:val="15"/>
          <w:szCs w:val="15"/>
          <w:color w:val="auto"/>
        </w:rPr>
        <w:t>The Company did not have any outstanding debt as of December 31, 2022 or December 31, 2021. In April 2020, the Company borrowed $0.7 million under the Paycheck Protection Program (“PPP”) under the CARES Act. The loan was subsequently forgiven in July 2021. The $0.7 million balance of the forgiven loan was recognized as other income on the Company's Statement of Operations and Comprehensive Loss for the twelve months ended December 31, 2021.</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5. Leases</w:t>
      </w:r>
    </w:p>
    <w:p>
      <w:pPr>
        <w:spacing w:after="0" w:line="117" w:lineRule="exact"/>
        <w:rPr>
          <w:sz w:val="20"/>
          <w:szCs w:val="20"/>
          <w:color w:val="auto"/>
        </w:rPr>
      </w:pPr>
    </w:p>
    <w:p>
      <w:pPr>
        <w:ind w:left="260" w:right="100" w:firstLine="458"/>
        <w:spacing w:after="0" w:line="297" w:lineRule="auto"/>
        <w:rPr>
          <w:sz w:val="20"/>
          <w:szCs w:val="20"/>
          <w:color w:val="auto"/>
        </w:rPr>
      </w:pPr>
      <w:r>
        <w:rPr>
          <w:rFonts w:ascii="Arial" w:cs="Arial" w:eastAsia="Arial" w:hAnsi="Arial"/>
          <w:sz w:val="15"/>
          <w:szCs w:val="15"/>
          <w:color w:val="auto"/>
        </w:rPr>
        <w:t>The Company has a single operating lease for its corporate headquarters and laboratory space in San Diego, California. The lease expires in July 2025 and the Company has an option to extend the term of the lease for an additional five years. However, it is not reasonably certain the Company will exercise the option to renew when the lease term ends and thus, the incremental term was excluded from the calculation of the lease liability. Additionally, the lease includes certain rent abatement, rent escalations, tenant improvement allowances and additional charges for common area maintenance and other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components of lease expense included in the Company’s consolidated statements of operations include (in thousands):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1"/>
              </w:rPr>
              <w:t>Years ended December 31,</w:t>
            </w:r>
          </w:p>
        </w:tc>
      </w:tr>
      <w:tr>
        <w:trPr>
          <w:trHeight w:val="223"/>
        </w:trPr>
        <w:tc>
          <w:tcPr>
            <w:tcW w:w="4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expense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3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lease expense,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260" w:firstLine="464"/>
        <w:spacing w:after="0" w:line="293" w:lineRule="auto"/>
        <w:rPr>
          <w:sz w:val="20"/>
          <w:szCs w:val="20"/>
          <w:color w:val="auto"/>
        </w:rPr>
      </w:pPr>
      <w:r>
        <w:rPr>
          <w:rFonts w:ascii="Arial" w:cs="Arial" w:eastAsia="Arial" w:hAnsi="Arial"/>
          <w:sz w:val="16"/>
          <w:szCs w:val="16"/>
          <w:color w:val="auto"/>
        </w:rPr>
        <w:t>Variable lease costs are primarily related to payments made to lessors for common area maintenance, property taxes, insurance, and other operating expenses. The Company did not have any short-term leases or finance leases for the year ended December 31, 2022.</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weighted average remaining lease term and weighted average discount rate for operating leases as of December 31, 2022 were as follows:</w:t>
      </w:r>
    </w:p>
    <w:p>
      <w:pPr>
        <w:spacing w:after="0" w:line="217"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4760" w:type="dxa"/>
            <w:vAlign w:val="bottom"/>
          </w:tcPr>
          <w:p>
            <w:pPr>
              <w:spacing w:after="0"/>
              <w:rPr>
                <w:sz w:val="19"/>
                <w:szCs w:val="19"/>
                <w:color w:val="auto"/>
              </w:rPr>
            </w:pPr>
          </w:p>
        </w:tc>
        <w:tc>
          <w:tcPr>
            <w:tcW w:w="31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6"/>
                <w:szCs w:val="16"/>
                <w:color w:val="auto"/>
              </w:rPr>
              <w:t>Weighted average discount rate percentage</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3.50 %</w:t>
            </w:r>
          </w:p>
        </w:tc>
        <w:tc>
          <w:tcPr>
            <w:tcW w:w="1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3.50 %</w:t>
            </w:r>
          </w:p>
        </w:tc>
      </w:tr>
    </w:tbl>
    <w:p>
      <w:pPr>
        <w:spacing w:after="0" w:line="19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Supplemental cash flow information related to leases under which the Company is the lessee was as follows (amounts in thousands):</w:t>
      </w:r>
    </w:p>
    <w:p>
      <w:pPr>
        <w:spacing w:after="0" w:line="231"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w w:val="95"/>
              </w:rPr>
              <w:t>2022</w:t>
            </w:r>
          </w:p>
        </w:tc>
        <w:tc>
          <w:tcPr>
            <w:tcW w:w="4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r>
      <w:tr>
        <w:trPr>
          <w:trHeight w:val="229"/>
        </w:trPr>
        <w:tc>
          <w:tcPr>
            <w:tcW w:w="700" w:type="dxa"/>
            <w:vAlign w:val="bottom"/>
          </w:tcPr>
          <w:p>
            <w:pPr>
              <w:spacing w:after="0"/>
              <w:rPr>
                <w:sz w:val="19"/>
                <w:szCs w:val="19"/>
                <w:color w:val="auto"/>
              </w:rPr>
            </w:pPr>
          </w:p>
        </w:tc>
        <w:tc>
          <w:tcPr>
            <w:tcW w:w="60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Cash paid for amounts included in the measurement of operating leases</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1,555</w:t>
            </w:r>
          </w:p>
        </w:tc>
        <w:tc>
          <w:tcPr>
            <w:tcW w:w="60" w:type="dxa"/>
            <w:vAlign w:val="bottom"/>
            <w:shd w:val="clear" w:color="auto" w:fill="CFF0FC"/>
          </w:tcPr>
          <w:p>
            <w:pPr>
              <w:spacing w:after="0"/>
              <w:rPr>
                <w:sz w:val="19"/>
                <w:szCs w:val="19"/>
                <w:color w:val="auto"/>
              </w:rPr>
            </w:pPr>
          </w:p>
        </w:tc>
        <w:tc>
          <w:tcPr>
            <w:tcW w:w="480" w:type="dxa"/>
            <w:vAlign w:val="bottom"/>
            <w:tcBorders>
              <w:right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1,374</w:t>
            </w:r>
          </w:p>
        </w:tc>
        <w:tc>
          <w:tcPr>
            <w:tcW w:w="80" w:type="dxa"/>
            <w:vAlign w:val="bottom"/>
            <w:shd w:val="clear" w:color="auto" w:fill="CFF0FC"/>
          </w:tcPr>
          <w:p>
            <w:pPr>
              <w:spacing w:after="0"/>
              <w:rPr>
                <w:sz w:val="19"/>
                <w:szCs w:val="19"/>
                <w:color w:val="auto"/>
              </w:rPr>
            </w:pPr>
          </w:p>
        </w:tc>
      </w:tr>
      <w:tr>
        <w:trPr>
          <w:trHeight w:val="386"/>
        </w:trPr>
        <w:tc>
          <w:tcPr>
            <w:tcW w:w="6780" w:type="dxa"/>
            <w:vAlign w:val="bottom"/>
            <w:gridSpan w:val="5"/>
          </w:tcPr>
          <w:p>
            <w:pPr>
              <w:spacing w:after="0"/>
              <w:rPr>
                <w:sz w:val="20"/>
                <w:szCs w:val="20"/>
                <w:color w:val="auto"/>
              </w:rPr>
            </w:pPr>
            <w:r>
              <w:rPr>
                <w:rFonts w:ascii="Arial" w:cs="Arial" w:eastAsia="Arial" w:hAnsi="Arial"/>
                <w:sz w:val="16"/>
                <w:szCs w:val="16"/>
                <w:color w:val="auto"/>
              </w:rPr>
              <w:t>Maturities of operating lease liabilities as of December 31, 2022 were as follows (in thousands):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2"/>
              </w:rPr>
              <w:t>Operating</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52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4"/>
              </w:rPr>
              <w:t>lease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260" w:type="dxa"/>
            <w:vAlign w:val="bottom"/>
            <w:gridSpan w:val="2"/>
          </w:tcPr>
          <w:p>
            <w:pPr>
              <w:spacing w:after="0"/>
              <w:rPr>
                <w:sz w:val="19"/>
                <w:szCs w:val="19"/>
                <w:color w:val="auto"/>
              </w:rPr>
            </w:pPr>
          </w:p>
        </w:tc>
        <w:tc>
          <w:tcPr>
            <w:tcW w:w="1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3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94"/>
              </w:rPr>
              <w:t>1,636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3160" w:type="dxa"/>
            <w:vAlign w:val="bottom"/>
            <w:gridSpan w:val="4"/>
          </w:tcPr>
          <w:p>
            <w:pPr>
              <w:ind w:left="1280"/>
              <w:spacing w:after="0"/>
              <w:rPr>
                <w:sz w:val="20"/>
                <w:szCs w:val="20"/>
                <w:color w:val="auto"/>
              </w:rPr>
            </w:pPr>
            <w:r>
              <w:rPr>
                <w:rFonts w:ascii="Arial" w:cs="Arial" w:eastAsia="Arial" w:hAnsi="Arial"/>
                <w:sz w:val="16"/>
                <w:szCs w:val="16"/>
                <w:color w:val="auto"/>
              </w:rPr>
              <w:t>2024</w:t>
            </w:r>
          </w:p>
        </w:tc>
        <w:tc>
          <w:tcPr>
            <w:tcW w:w="3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94"/>
              </w:rPr>
              <w:t>1,685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1260" w:type="dxa"/>
            <w:vAlign w:val="bottom"/>
            <w:gridSpan w:val="2"/>
          </w:tcPr>
          <w:p>
            <w:pPr>
              <w:spacing w:after="0"/>
              <w:rPr>
                <w:sz w:val="20"/>
                <w:szCs w:val="20"/>
                <w:color w:val="auto"/>
              </w:rPr>
            </w:pPr>
          </w:p>
        </w:tc>
        <w:tc>
          <w:tcPr>
            <w:tcW w:w="1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36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3"/>
          </w:tcPr>
          <w:p>
            <w:pPr>
              <w:ind w:left="20"/>
              <w:spacing w:after="0"/>
              <w:rPr>
                <w:sz w:val="20"/>
                <w:szCs w:val="20"/>
                <w:color w:val="auto"/>
              </w:rPr>
            </w:pPr>
            <w:r>
              <w:rPr>
                <w:rFonts w:ascii="Arial" w:cs="Arial" w:eastAsia="Arial" w:hAnsi="Arial"/>
                <w:sz w:val="16"/>
                <w:szCs w:val="16"/>
                <w:color w:val="auto"/>
              </w:rPr>
              <w:t>Thereafter</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future lease payments</w:t>
            </w:r>
          </w:p>
        </w:tc>
        <w:tc>
          <w:tcPr>
            <w:tcW w:w="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94"/>
              </w:rPr>
              <w:t>4,166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3"/>
          </w:tcPr>
          <w:p>
            <w:pPr>
              <w:ind w:left="20"/>
              <w:spacing w:after="0"/>
              <w:rPr>
                <w:sz w:val="20"/>
                <w:szCs w:val="20"/>
                <w:color w:val="auto"/>
              </w:rPr>
            </w:pPr>
            <w:r>
              <w:rPr>
                <w:rFonts w:ascii="Arial" w:cs="Arial" w:eastAsia="Arial" w:hAnsi="Arial"/>
                <w:sz w:val="16"/>
                <w:szCs w:val="16"/>
                <w:color w:val="auto"/>
              </w:rPr>
              <w:t>Less imputed interest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6"/>
                <w:szCs w:val="16"/>
                <w:color w:val="auto"/>
              </w:rPr>
              <w:t>(184 )</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3"/>
        </w:trPr>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operating lease liabilities</w:t>
            </w:r>
          </w:p>
        </w:tc>
        <w:tc>
          <w:tcPr>
            <w:tcW w:w="4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FF0FC"/>
          </w:tcPr>
          <w:p>
            <w:pPr>
              <w:spacing w:after="0"/>
              <w:rPr>
                <w:sz w:val="22"/>
                <w:szCs w:val="22"/>
                <w:color w:val="auto"/>
              </w:rPr>
            </w:pPr>
          </w:p>
        </w:tc>
        <w:tc>
          <w:tcPr>
            <w:tcW w:w="6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94"/>
              </w:rPr>
              <w:t>3,982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-333375</wp:posOffset>
            </wp:positionV>
            <wp:extent cx="4318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6. Commitments and contingencies</w:t>
      </w:r>
    </w:p>
    <w:p>
      <w:pPr>
        <w:spacing w:after="0" w:line="117" w:lineRule="exact"/>
        <w:rPr>
          <w:sz w:val="20"/>
          <w:szCs w:val="20"/>
          <w:color w:val="auto"/>
        </w:rPr>
      </w:pPr>
    </w:p>
    <w:p>
      <w:pPr>
        <w:ind w:left="260" w:right="240" w:firstLine="458"/>
        <w:spacing w:after="0" w:line="278" w:lineRule="auto"/>
        <w:rPr>
          <w:sz w:val="20"/>
          <w:szCs w:val="20"/>
          <w:color w:val="auto"/>
        </w:rPr>
      </w:pPr>
      <w:r>
        <w:rPr>
          <w:rFonts w:ascii="Arial" w:cs="Arial" w:eastAsia="Arial" w:hAnsi="Arial"/>
          <w:sz w:val="16"/>
          <w:szCs w:val="16"/>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7. Stockholders’ equity</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Description of securities of Delaware corporation</w:t>
      </w:r>
    </w:p>
    <w:p>
      <w:pPr>
        <w:spacing w:after="0" w:line="127" w:lineRule="exact"/>
        <w:rPr>
          <w:sz w:val="20"/>
          <w:szCs w:val="20"/>
          <w:color w:val="auto"/>
        </w:rPr>
      </w:pPr>
    </w:p>
    <w:p>
      <w:pPr>
        <w:ind w:left="260" w:right="80" w:firstLine="458"/>
        <w:spacing w:after="0" w:line="293" w:lineRule="auto"/>
        <w:rPr>
          <w:sz w:val="20"/>
          <w:szCs w:val="20"/>
          <w:color w:val="auto"/>
        </w:rPr>
      </w:pPr>
      <w:r>
        <w:rPr>
          <w:rFonts w:ascii="Arial" w:cs="Arial" w:eastAsia="Arial" w:hAnsi="Arial"/>
          <w:sz w:val="16"/>
          <w:szCs w:val="16"/>
          <w:color w:val="auto"/>
        </w:rPr>
        <w:t>The Company is authorized to issue 200,000,000 shares of preferred stock, par value $0.0001 per share, 350,000,000 shares of common stock, par value $0.0001 per share, and 15,368,569 shares of Class B common stock, par value $0.0001 per share.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Dividends</w:t>
      </w:r>
    </w:p>
    <w:p>
      <w:pPr>
        <w:spacing w:after="0" w:line="113" w:lineRule="exact"/>
        <w:rPr>
          <w:sz w:val="20"/>
          <w:szCs w:val="20"/>
          <w:color w:val="auto"/>
        </w:rPr>
      </w:pPr>
    </w:p>
    <w:p>
      <w:pPr>
        <w:ind w:left="260" w:right="160" w:firstLine="458"/>
        <w:spacing w:after="0" w:line="328" w:lineRule="auto"/>
        <w:rPr>
          <w:sz w:val="20"/>
          <w:szCs w:val="20"/>
          <w:color w:val="auto"/>
        </w:rPr>
      </w:pPr>
      <w:r>
        <w:rPr>
          <w:rFonts w:ascii="Arial" w:cs="Arial" w:eastAsia="Arial" w:hAnsi="Arial"/>
          <w:sz w:val="15"/>
          <w:szCs w:val="15"/>
          <w:color w:val="auto"/>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Liquidation preferences</w:t>
      </w:r>
    </w:p>
    <w:p>
      <w:pPr>
        <w:spacing w:after="0" w:line="113" w:lineRule="exact"/>
        <w:rPr>
          <w:sz w:val="20"/>
          <w:szCs w:val="20"/>
          <w:color w:val="auto"/>
        </w:rPr>
      </w:pPr>
    </w:p>
    <w:p>
      <w:pPr>
        <w:ind w:left="260" w:right="440" w:firstLine="458"/>
        <w:spacing w:after="0" w:line="328" w:lineRule="auto"/>
        <w:rPr>
          <w:sz w:val="20"/>
          <w:szCs w:val="20"/>
          <w:color w:val="auto"/>
        </w:rPr>
      </w:pPr>
      <w:r>
        <w:rPr>
          <w:rFonts w:ascii="Arial" w:cs="Arial" w:eastAsia="Arial" w:hAnsi="Arial"/>
          <w:sz w:val="15"/>
          <w:szCs w:val="15"/>
          <w:color w:val="auto"/>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sectPr>
          <w:pgSz w:w="11900" w:h="16838" w:orient="portrait"/>
          <w:cols w:equalWidth="0" w:num="1">
            <w:col w:w="11240"/>
          </w:cols>
          <w:pgMar w:left="320" w:top="126" w:right="33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Conversion</w:t>
      </w:r>
    </w:p>
    <w:p>
      <w:pPr>
        <w:spacing w:after="0" w:line="127" w:lineRule="exact"/>
        <w:rPr>
          <w:sz w:val="20"/>
          <w:szCs w:val="20"/>
          <w:color w:val="auto"/>
        </w:rPr>
      </w:pPr>
    </w:p>
    <w:p>
      <w:pPr>
        <w:ind w:left="260" w:right="120" w:firstLine="458"/>
        <w:spacing w:after="0" w:line="293" w:lineRule="auto"/>
        <w:rPr>
          <w:sz w:val="20"/>
          <w:szCs w:val="20"/>
          <w:color w:val="auto"/>
        </w:rPr>
      </w:pPr>
      <w:r>
        <w:rPr>
          <w:rFonts w:ascii="Arial" w:cs="Arial" w:eastAsia="Arial" w:hAnsi="Arial"/>
          <w:sz w:val="15"/>
          <w:szCs w:val="15"/>
          <w:color w:val="auto"/>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 days’ notice to the Company.</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Voting rights</w:t>
      </w:r>
    </w:p>
    <w:p>
      <w:pPr>
        <w:spacing w:after="0" w:line="113" w:lineRule="exact"/>
        <w:rPr>
          <w:sz w:val="20"/>
          <w:szCs w:val="20"/>
          <w:color w:val="auto"/>
        </w:rPr>
      </w:pPr>
    </w:p>
    <w:p>
      <w:pPr>
        <w:ind w:left="260" w:right="40" w:firstLine="458"/>
        <w:spacing w:after="0" w:line="305" w:lineRule="auto"/>
        <w:rPr>
          <w:sz w:val="20"/>
          <w:szCs w:val="20"/>
          <w:color w:val="auto"/>
        </w:rPr>
      </w:pPr>
      <w:r>
        <w:rPr>
          <w:rFonts w:ascii="Arial" w:cs="Arial" w:eastAsia="Arial" w:hAnsi="Arial"/>
          <w:sz w:val="15"/>
          <w:szCs w:val="15"/>
          <w:color w:val="auto"/>
        </w:rPr>
        <w:t>Except as otherwise expressly provided in the Company’s amended and restated certificate of incorporation or as required by applicable law, on any matter that is submitted to a vote by the Company’s stockholders, holders of the Company’s common stock are entitled to one vote per share of common stock, and holders of the Company’s Class B common stock are not entitled to any votes per share of Class B common stock, including for the election of directors.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September 2021 Private Placement of Common Stock</w:t>
      </w:r>
    </w:p>
    <w:p>
      <w:pPr>
        <w:spacing w:after="0" w:line="113" w:lineRule="exact"/>
        <w:rPr>
          <w:sz w:val="20"/>
          <w:szCs w:val="20"/>
          <w:color w:val="auto"/>
        </w:rPr>
      </w:pPr>
    </w:p>
    <w:p>
      <w:pPr>
        <w:ind w:left="260" w:right="100" w:firstLine="458"/>
        <w:spacing w:after="0" w:line="278" w:lineRule="auto"/>
        <w:rPr>
          <w:sz w:val="20"/>
          <w:szCs w:val="20"/>
          <w:color w:val="auto"/>
        </w:rPr>
      </w:pPr>
      <w:r>
        <w:rPr>
          <w:rFonts w:ascii="Arial" w:cs="Arial" w:eastAsia="Arial" w:hAnsi="Arial"/>
          <w:sz w:val="16"/>
          <w:szCs w:val="16"/>
          <w:color w:val="auto"/>
        </w:rPr>
        <w:t>In September 2021, the Company entered into agreements to sell 2,678,600 shares of its common stock at a price of $28.00 per share through a private investment in public equity financing (or "Private Placement"). Proceeds from the Private Placement, net of underwriting discounts and commissions and other offering costs, were $71.0 million.</w:t>
      </w:r>
    </w:p>
    <w:p>
      <w:pPr>
        <w:spacing w:after="0" w:line="157" w:lineRule="exact"/>
        <w:rPr>
          <w:sz w:val="20"/>
          <w:szCs w:val="20"/>
          <w:color w:val="auto"/>
        </w:rPr>
      </w:pPr>
    </w:p>
    <w:p>
      <w:pPr>
        <w:ind w:left="260" w:right="180" w:firstLine="458"/>
        <w:spacing w:after="0" w:line="293" w:lineRule="auto"/>
        <w:rPr>
          <w:sz w:val="20"/>
          <w:szCs w:val="20"/>
          <w:color w:val="auto"/>
        </w:rPr>
      </w:pPr>
      <w:r>
        <w:rPr>
          <w:rFonts w:ascii="Arial" w:cs="Arial" w:eastAsia="Arial" w:hAnsi="Arial"/>
          <w:sz w:val="16"/>
          <w:szCs w:val="16"/>
          <w:color w:val="auto"/>
        </w:rPr>
        <w:t>In connection with the Private Placement, the Company also issued registration rights to the investors. The Company filed a registration statement on Form S-1 (File No. 333-260440) with the SEC registering for resale the shares of common stock issued in the Private Placement.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November 2022 Underwritten Offering</w:t>
      </w:r>
    </w:p>
    <w:p>
      <w:pPr>
        <w:spacing w:after="0" w:line="113" w:lineRule="exact"/>
        <w:rPr>
          <w:sz w:val="20"/>
          <w:szCs w:val="20"/>
          <w:color w:val="auto"/>
        </w:rPr>
      </w:pPr>
    </w:p>
    <w:p>
      <w:pPr>
        <w:ind w:left="260" w:right="60" w:firstLine="458"/>
        <w:spacing w:after="0" w:line="335" w:lineRule="auto"/>
        <w:rPr>
          <w:sz w:val="20"/>
          <w:szCs w:val="20"/>
          <w:color w:val="auto"/>
        </w:rPr>
      </w:pPr>
      <w:r>
        <w:rPr>
          <w:rFonts w:ascii="Arial" w:cs="Arial" w:eastAsia="Arial" w:hAnsi="Arial"/>
          <w:sz w:val="14"/>
          <w:szCs w:val="14"/>
          <w:color w:val="auto"/>
        </w:rPr>
        <w:t>On November 8, 2022, the Company completed a follow-on offering under its shelf registration statement on Form S-3 (File No. 333-262528) and a related prospectus supplement pursuant to which the Company issued an aggregate of 9,745,128 shares of its common stock to at a public offering price of $6.67 per share. The Company received aggregate net proceeds of $61.7 million from the offering after deducting underwriting discounts and commissions and other offering expenses.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113" w:lineRule="exact"/>
        <w:rPr>
          <w:sz w:val="20"/>
          <w:szCs w:val="20"/>
          <w:color w:val="auto"/>
        </w:rPr>
      </w:pPr>
    </w:p>
    <w:p>
      <w:pPr>
        <w:ind w:left="260" w:right="300" w:firstLine="458"/>
        <w:spacing w:after="0" w:line="293" w:lineRule="auto"/>
        <w:rPr>
          <w:sz w:val="20"/>
          <w:szCs w:val="20"/>
          <w:color w:val="auto"/>
        </w:rPr>
      </w:pPr>
      <w:r>
        <w:rPr>
          <w:rFonts w:ascii="Arial" w:cs="Arial" w:eastAsia="Arial" w:hAnsi="Arial"/>
          <w:sz w:val="16"/>
          <w:szCs w:val="16"/>
          <w:color w:val="auto"/>
        </w:rPr>
        <w:t>The Company issued the warrants described below in 2016 in connection with certain advisory services. The warrants became exercisable upon our IPO for a period of 365 and 450 days.</w:t>
      </w:r>
    </w:p>
    <w:p>
      <w:pPr>
        <w:spacing w:after="0" w:line="158" w:lineRule="exact"/>
        <w:rPr>
          <w:sz w:val="20"/>
          <w:szCs w:val="20"/>
          <w:color w:val="auto"/>
        </w:rPr>
      </w:pPr>
    </w:p>
    <w:p>
      <w:pPr>
        <w:ind w:left="260" w:firstLine="464"/>
        <w:spacing w:after="0" w:line="273" w:lineRule="auto"/>
        <w:rPr>
          <w:sz w:val="20"/>
          <w:szCs w:val="20"/>
          <w:color w:val="auto"/>
        </w:rPr>
      </w:pPr>
      <w:r>
        <w:rPr>
          <w:rFonts w:ascii="Arial" w:cs="Arial" w:eastAsia="Arial" w:hAnsi="Arial"/>
          <w:sz w:val="16"/>
          <w:szCs w:val="16"/>
          <w:color w:val="auto"/>
        </w:rPr>
        <w:t>Upon adoption of ASU No. 2018-07 on October 1, 2020, the measurement date of the warrants became fixed in accordance with the guidance, and such fair value was nominal since the warrants were deeply out-of-the-money. In December 2021, a total of 566,586 warrants with an exercise period of 365 days after our IPO expired unexercised. The remaining 151,088 warrants with an exercise period of 450 days after the Company's IPO expired unexercised in March 2022. Accordingly, there are no remaining common stock warrants outstanding and exercisable at December 31, 2022.</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2020 Equity Incentive Plan</w:t>
      </w:r>
    </w:p>
    <w:p>
      <w:pPr>
        <w:spacing w:after="0" w:line="113" w:lineRule="exact"/>
        <w:rPr>
          <w:sz w:val="20"/>
          <w:szCs w:val="20"/>
          <w:color w:val="auto"/>
        </w:rPr>
      </w:pPr>
    </w:p>
    <w:p>
      <w:pPr>
        <w:ind w:left="260" w:right="20" w:firstLine="458"/>
        <w:spacing w:after="0" w:line="267" w:lineRule="auto"/>
        <w:rPr>
          <w:sz w:val="20"/>
          <w:szCs w:val="20"/>
          <w:color w:val="auto"/>
        </w:rPr>
      </w:pPr>
      <w:r>
        <w:rPr>
          <w:rFonts w:ascii="Arial" w:cs="Arial" w:eastAsia="Arial" w:hAnsi="Arial"/>
          <w:sz w:val="16"/>
          <w:szCs w:val="16"/>
          <w:color w:val="auto"/>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2022 and 2021, the total number of common shares authorized for issuance under the 2020 Plan was 7,658,509 and 6,226,540,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81" w:lineRule="exact"/>
        <w:rPr>
          <w:sz w:val="20"/>
          <w:szCs w:val="20"/>
          <w:color w:val="auto"/>
        </w:rPr>
      </w:pPr>
    </w:p>
    <w:p>
      <w:pPr>
        <w:ind w:left="260" w:right="420" w:firstLine="458"/>
        <w:spacing w:after="0" w:line="293" w:lineRule="auto"/>
        <w:rPr>
          <w:sz w:val="20"/>
          <w:szCs w:val="20"/>
          <w:color w:val="auto"/>
        </w:rPr>
      </w:pPr>
      <w:r>
        <w:rPr>
          <w:rFonts w:ascii="Arial" w:cs="Arial" w:eastAsia="Arial" w:hAnsi="Arial"/>
          <w:sz w:val="16"/>
          <w:szCs w:val="16"/>
          <w:color w:val="auto"/>
        </w:rPr>
        <w:t>Stock-based compensation expense recognized for all equity awards under the 2020 Plan has been reported in the consolidated statements of operations and comprehensive loss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6"/>
              </w:rPr>
              <w:t>Years ended December 31,</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4,688</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9,144</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20,429</w:t>
            </w:r>
          </w:p>
        </w:tc>
        <w:tc>
          <w:tcPr>
            <w:tcW w:w="2240" w:type="dxa"/>
            <w:vAlign w:val="bottom"/>
          </w:tcPr>
          <w:p>
            <w:pPr>
              <w:spacing w:after="0"/>
              <w:rPr>
                <w:sz w:val="19"/>
                <w:szCs w:val="19"/>
                <w:color w:val="auto"/>
              </w:rPr>
            </w:pPr>
          </w:p>
        </w:tc>
      </w:tr>
      <w:tr>
        <w:trPr>
          <w:trHeight w:val="263"/>
        </w:trPr>
        <w:tc>
          <w:tcPr>
            <w:tcW w:w="2260" w:type="dxa"/>
            <w:vAlign w:val="bottom"/>
          </w:tcPr>
          <w:p>
            <w:pPr>
              <w:spacing w:after="0"/>
              <w:rPr>
                <w:sz w:val="22"/>
                <w:szCs w:val="22"/>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14,563</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25,117</w:t>
            </w:r>
          </w:p>
        </w:tc>
        <w:tc>
          <w:tcPr>
            <w:tcW w:w="2240" w:type="dxa"/>
            <w:vAlign w:val="bottom"/>
          </w:tcPr>
          <w:p>
            <w:pPr>
              <w:spacing w:after="0"/>
              <w:rPr>
                <w:sz w:val="22"/>
                <w:szCs w:val="22"/>
                <w:color w:val="auto"/>
              </w:rPr>
            </w:pPr>
          </w:p>
        </w:tc>
      </w:tr>
      <w:tr>
        <w:trPr>
          <w:trHeight w:val="561"/>
        </w:trPr>
        <w:tc>
          <w:tcPr>
            <w:tcW w:w="2260" w:type="dxa"/>
            <w:vAlign w:val="bottom"/>
          </w:tcPr>
          <w:p>
            <w:pPr>
              <w:spacing w:after="0"/>
              <w:rPr>
                <w:sz w:val="24"/>
                <w:szCs w:val="24"/>
                <w:color w:val="auto"/>
              </w:rPr>
            </w:pPr>
          </w:p>
        </w:tc>
        <w:tc>
          <w:tcPr>
            <w:tcW w:w="252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539"/>
              <w:spacing w:after="0"/>
              <w:rPr>
                <w:sz w:val="20"/>
                <w:szCs w:val="20"/>
                <w:color w:val="auto"/>
              </w:rPr>
            </w:pPr>
            <w:r>
              <w:rPr>
                <w:rFonts w:ascii="Arial" w:cs="Arial" w:eastAsia="Arial" w:hAnsi="Arial"/>
                <w:sz w:val="16"/>
                <w:szCs w:val="16"/>
                <w:color w:val="auto"/>
              </w:rPr>
              <w:t>92</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108"/>
        </w:trPr>
        <w:tc>
          <w:tcPr>
            <w:tcW w:w="226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-471170</wp:posOffset>
            </wp:positionV>
            <wp:extent cx="431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-454025</wp:posOffset>
            </wp:positionV>
            <wp:extent cx="431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-624840</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-471170</wp:posOffset>
            </wp:positionV>
            <wp:extent cx="342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-454025</wp:posOffset>
            </wp:positionV>
            <wp:extent cx="342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-624840</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summarizes RSU activity under the 2020 Plan for the years ended December 31, 2022 and 2021:</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center"/>
              <w:ind w:right="279"/>
              <w:spacing w:after="0"/>
              <w:rPr>
                <w:sz w:val="20"/>
                <w:szCs w:val="20"/>
                <w:color w:val="auto"/>
              </w:rPr>
            </w:pPr>
            <w:r>
              <w:rPr>
                <w:rFonts w:ascii="Arial" w:cs="Arial" w:eastAsia="Arial" w:hAnsi="Arial"/>
                <w:sz w:val="16"/>
                <w:szCs w:val="16"/>
                <w:b w:val="1"/>
                <w:bCs w:val="1"/>
                <w:color w:val="auto"/>
                <w:w w:val="90"/>
              </w:rPr>
              <w:t>Weighted -</w:t>
            </w:r>
          </w:p>
        </w:tc>
        <w:tc>
          <w:tcPr>
            <w:tcW w:w="80" w:type="dxa"/>
            <w:vAlign w:val="bottom"/>
          </w:tcPr>
          <w:p>
            <w:pPr>
              <w:spacing w:after="0"/>
              <w:rPr>
                <w:sz w:val="17"/>
                <w:szCs w:val="17"/>
                <w:color w:val="auto"/>
              </w:rPr>
            </w:pPr>
          </w:p>
        </w:tc>
      </w:tr>
      <w:tr>
        <w:trPr>
          <w:trHeight w:val="202"/>
        </w:trPr>
        <w:tc>
          <w:tcPr>
            <w:tcW w:w="3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average</w:t>
            </w:r>
          </w:p>
        </w:tc>
        <w:tc>
          <w:tcPr>
            <w:tcW w:w="8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10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7"/>
                <w:szCs w:val="17"/>
                <w:color w:val="auto"/>
              </w:rPr>
            </w:pPr>
          </w:p>
        </w:tc>
        <w:tc>
          <w:tcPr>
            <w:tcW w:w="166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grant date</w:t>
            </w:r>
          </w:p>
        </w:tc>
        <w:tc>
          <w:tcPr>
            <w:tcW w:w="80" w:type="dxa"/>
            <w:vAlign w:val="bottom"/>
          </w:tcPr>
          <w:p>
            <w:pPr>
              <w:spacing w:after="0"/>
              <w:rPr>
                <w:sz w:val="17"/>
                <w:szCs w:val="17"/>
                <w:color w:val="auto"/>
              </w:rPr>
            </w:pPr>
          </w:p>
        </w:tc>
      </w:tr>
      <w:tr>
        <w:trPr>
          <w:trHeight w:val="223"/>
        </w:trPr>
        <w:tc>
          <w:tcPr>
            <w:tcW w:w="3660" w:type="dxa"/>
            <w:vAlign w:val="bottom"/>
          </w:tcPr>
          <w:p>
            <w:pPr>
              <w:spacing w:after="0"/>
              <w:rPr>
                <w:sz w:val="19"/>
                <w:szCs w:val="19"/>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9"/>
                <w:szCs w:val="19"/>
                <w:color w:val="auto"/>
              </w:rPr>
            </w:pPr>
          </w:p>
        </w:tc>
        <w:tc>
          <w:tcPr>
            <w:tcW w:w="166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fair value</w:t>
            </w:r>
          </w:p>
        </w:tc>
        <w:tc>
          <w:tcPr>
            <w:tcW w:w="8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Outstanding at December 31, 2020</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1,920,037</w:t>
            </w: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20"/>
        </w:trPr>
        <w:tc>
          <w:tcPr>
            <w:tcW w:w="3660" w:type="dxa"/>
            <w:vAlign w:val="bottom"/>
          </w:tcPr>
          <w:p>
            <w:pPr>
              <w:ind w:left="180"/>
              <w:spacing w:after="0"/>
              <w:rPr>
                <w:sz w:val="20"/>
                <w:szCs w:val="20"/>
                <w:color w:val="auto"/>
              </w:rPr>
            </w:pPr>
            <w:r>
              <w:rPr>
                <w:rFonts w:ascii="Arial" w:cs="Arial" w:eastAsia="Arial" w:hAnsi="Arial"/>
                <w:sz w:val="16"/>
                <w:szCs w:val="16"/>
                <w:color w:val="auto"/>
              </w:rPr>
              <w:t>Granted</w:t>
            </w:r>
          </w:p>
        </w:tc>
        <w:tc>
          <w:tcPr>
            <w:tcW w:w="2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r>
      <w:tr>
        <w:trPr>
          <w:trHeight w:val="236"/>
        </w:trPr>
        <w:tc>
          <w:tcPr>
            <w:tcW w:w="3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Vested</w:t>
            </w: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(944,991 )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r>
      <w:tr>
        <w:trPr>
          <w:trHeight w:val="216"/>
        </w:trPr>
        <w:tc>
          <w:tcPr>
            <w:tcW w:w="36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Outstanding at December 31, 2021</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975,046</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18.00</w:t>
            </w:r>
          </w:p>
        </w:tc>
        <w:tc>
          <w:tcPr>
            <w:tcW w:w="80" w:type="dxa"/>
            <w:vAlign w:val="bottom"/>
            <w:tcBorders>
              <w:top w:val="single" w:sz="8" w:color="CFF0FC"/>
            </w:tcBorders>
          </w:tcPr>
          <w:p>
            <w:pPr>
              <w:spacing w:after="0"/>
              <w:rPr>
                <w:sz w:val="18"/>
                <w:szCs w:val="18"/>
                <w:color w:val="auto"/>
              </w:rPr>
            </w:pPr>
          </w:p>
        </w:tc>
      </w:tr>
      <w:tr>
        <w:trPr>
          <w:trHeight w:val="239"/>
        </w:trPr>
        <w:tc>
          <w:tcPr>
            <w:tcW w:w="3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Granted</w:t>
            </w:r>
          </w:p>
        </w:tc>
        <w:tc>
          <w:tcPr>
            <w:tcW w:w="2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r>
      <w:tr>
        <w:trPr>
          <w:trHeight w:val="220"/>
        </w:trPr>
        <w:tc>
          <w:tcPr>
            <w:tcW w:w="3660" w:type="dxa"/>
            <w:vAlign w:val="bottom"/>
          </w:tcPr>
          <w:p>
            <w:pPr>
              <w:ind w:left="180"/>
              <w:spacing w:after="0"/>
              <w:rPr>
                <w:sz w:val="20"/>
                <w:szCs w:val="20"/>
                <w:color w:val="auto"/>
              </w:rPr>
            </w:pPr>
            <w:r>
              <w:rPr>
                <w:rFonts w:ascii="Arial" w:cs="Arial" w:eastAsia="Arial" w:hAnsi="Arial"/>
                <w:sz w:val="16"/>
                <w:szCs w:val="16"/>
                <w:color w:val="auto"/>
              </w:rPr>
              <w:t>Vested</w:t>
            </w:r>
          </w:p>
        </w:tc>
        <w:tc>
          <w:tcPr>
            <w:tcW w:w="2100" w:type="dxa"/>
            <w:vAlign w:val="bottom"/>
            <w:gridSpan w:val="2"/>
          </w:tcPr>
          <w:p>
            <w:pPr>
              <w:jc w:val="right"/>
              <w:ind w:right="220"/>
              <w:spacing w:after="0"/>
              <w:rPr>
                <w:sz w:val="20"/>
                <w:szCs w:val="20"/>
                <w:color w:val="auto"/>
              </w:rPr>
            </w:pPr>
            <w:r>
              <w:rPr>
                <w:rFonts w:ascii="Arial" w:cs="Arial" w:eastAsia="Arial" w:hAnsi="Arial"/>
                <w:sz w:val="16"/>
                <w:szCs w:val="16"/>
                <w:color w:val="auto"/>
              </w:rPr>
              <w:t>(446,260 )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18.00</w:t>
            </w:r>
          </w:p>
        </w:tc>
        <w:tc>
          <w:tcPr>
            <w:tcW w:w="80" w:type="dxa"/>
            <w:vAlign w:val="bottom"/>
          </w:tcPr>
          <w:p>
            <w:pPr>
              <w:spacing w:after="0"/>
              <w:rPr>
                <w:sz w:val="19"/>
                <w:szCs w:val="19"/>
                <w:color w:val="auto"/>
              </w:rPr>
            </w:pPr>
          </w:p>
        </w:tc>
      </w:tr>
      <w:tr>
        <w:trPr>
          <w:trHeight w:val="233"/>
        </w:trPr>
        <w:tc>
          <w:tcPr>
            <w:tcW w:w="3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Forfeited</w:t>
            </w: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(18,747 )</w:t>
            </w:r>
          </w:p>
        </w:tc>
        <w:tc>
          <w:tcPr>
            <w:tcW w:w="3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9"/>
        </w:trPr>
        <w:tc>
          <w:tcPr>
            <w:tcW w:w="36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Outstanding at December 31, 2022</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510,039</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18.00</w:t>
            </w:r>
          </w:p>
        </w:tc>
        <w:tc>
          <w:tcPr>
            <w:tcW w:w="80" w:type="dxa"/>
            <w:vAlign w:val="bottom"/>
            <w:tcBorders>
              <w:top w:val="single" w:sz="8" w:color="CFF0FC"/>
            </w:tcBorders>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-770890</wp:posOffset>
            </wp:positionV>
            <wp:extent cx="5143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-179705</wp:posOffset>
            </wp:positionV>
            <wp:extent cx="51435" cy="180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00" w:lineRule="exact"/>
        <w:rPr>
          <w:sz w:val="20"/>
          <w:szCs w:val="20"/>
          <w:color w:val="auto"/>
        </w:rPr>
      </w:pPr>
    </w:p>
    <w:p>
      <w:pPr>
        <w:ind w:left="260" w:right="560" w:firstLine="464"/>
        <w:spacing w:after="0" w:line="293" w:lineRule="auto"/>
        <w:rPr>
          <w:sz w:val="20"/>
          <w:szCs w:val="20"/>
          <w:color w:val="auto"/>
        </w:rPr>
      </w:pPr>
      <w:r>
        <w:rPr>
          <w:rFonts w:ascii="Arial" w:cs="Arial" w:eastAsia="Arial" w:hAnsi="Arial"/>
          <w:sz w:val="16"/>
          <w:szCs w:val="16"/>
          <w:color w:val="auto"/>
        </w:rPr>
        <w:t>As of December 31, 2022, total unrecognized stock-based compensation expense for RSUs was $9.2 million, which is expected to be recognized over a remaining weighted-average period of approximately 1.3 years.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Stock options</w:t>
      </w:r>
    </w:p>
    <w:p>
      <w:pPr>
        <w:spacing w:after="0" w:line="113" w:lineRule="exact"/>
        <w:rPr>
          <w:sz w:val="20"/>
          <w:szCs w:val="20"/>
          <w:color w:val="auto"/>
        </w:rPr>
      </w:pPr>
    </w:p>
    <w:p>
      <w:pPr>
        <w:ind w:left="260" w:right="120" w:firstLine="458"/>
        <w:spacing w:after="0" w:line="293" w:lineRule="auto"/>
        <w:rPr>
          <w:sz w:val="20"/>
          <w:szCs w:val="20"/>
          <w:color w:val="auto"/>
        </w:rPr>
      </w:pPr>
      <w:r>
        <w:rPr>
          <w:rFonts w:ascii="Arial" w:cs="Arial" w:eastAsia="Arial" w:hAnsi="Arial"/>
          <w:sz w:val="16"/>
          <w:szCs w:val="16"/>
          <w:color w:val="auto"/>
        </w:rPr>
        <w:t>The following table summarizes stock option activity under the 2020 Plan for the year ended December 31, 2022 and 2021 (in thousands, except share and per option data and years):</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Weighted -</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w:t>
            </w:r>
          </w:p>
        </w:tc>
        <w:tc>
          <w:tcPr>
            <w:tcW w:w="160" w:type="dxa"/>
            <w:vAlign w:val="bottom"/>
          </w:tcPr>
          <w:p>
            <w:pPr>
              <w:spacing w:after="0"/>
              <w:rPr>
                <w:sz w:val="17"/>
                <w:szCs w:val="17"/>
                <w:color w:val="auto"/>
              </w:rPr>
            </w:pPr>
          </w:p>
        </w:tc>
        <w:tc>
          <w:tcPr>
            <w:tcW w:w="1160" w:type="dxa"/>
            <w:vAlign w:val="bottom"/>
          </w:tcPr>
          <w:p>
            <w:pPr>
              <w:jc w:val="center"/>
              <w:ind w:left="259"/>
              <w:spacing w:after="0"/>
              <w:rPr>
                <w:sz w:val="20"/>
                <w:szCs w:val="20"/>
                <w:color w:val="auto"/>
              </w:rPr>
            </w:pPr>
            <w:r>
              <w:rPr>
                <w:rFonts w:ascii="Arial" w:cs="Arial" w:eastAsia="Arial" w:hAnsi="Arial"/>
                <w:sz w:val="16"/>
                <w:szCs w:val="16"/>
                <w:b w:val="1"/>
                <w:bCs w:val="1"/>
                <w:color w:val="auto"/>
                <w:w w:val="89"/>
              </w:rPr>
              <w:t>average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left="319"/>
              <w:spacing w:after="0"/>
              <w:rPr>
                <w:sz w:val="20"/>
                <w:szCs w:val="20"/>
                <w:color w:val="auto"/>
              </w:rPr>
            </w:pPr>
            <w:r>
              <w:rPr>
                <w:rFonts w:ascii="Arial" w:cs="Arial" w:eastAsia="Arial" w:hAnsi="Arial"/>
                <w:sz w:val="16"/>
                <w:szCs w:val="16"/>
                <w:b w:val="1"/>
                <w:bCs w:val="1"/>
                <w:color w:val="auto"/>
                <w:w w:val="89"/>
              </w:rPr>
              <w:t>average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remaining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left="319"/>
              <w:spacing w:after="0"/>
              <w:rPr>
                <w:sz w:val="20"/>
                <w:szCs w:val="20"/>
                <w:color w:val="auto"/>
              </w:rPr>
            </w:pPr>
            <w:r>
              <w:rPr>
                <w:rFonts w:ascii="Arial" w:cs="Arial" w:eastAsia="Arial" w:hAnsi="Arial"/>
                <w:sz w:val="16"/>
                <w:szCs w:val="16"/>
                <w:b w:val="1"/>
                <w:bCs w:val="1"/>
                <w:color w:val="auto"/>
                <w:w w:val="84"/>
              </w:rPr>
              <w:t>exercise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contractual</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1100" w:type="dxa"/>
            <w:vAlign w:val="bottom"/>
          </w:tcPr>
          <w:p>
            <w:pPr>
              <w:jc w:val="center"/>
              <w:ind w:left="319"/>
              <w:spacing w:after="0"/>
              <w:rPr>
                <w:sz w:val="20"/>
                <w:szCs w:val="20"/>
                <w:color w:val="auto"/>
              </w:rPr>
            </w:pPr>
            <w:r>
              <w:rPr>
                <w:rFonts w:ascii="Arial" w:cs="Arial" w:eastAsia="Arial" w:hAnsi="Arial"/>
                <w:sz w:val="16"/>
                <w:szCs w:val="16"/>
                <w:b w:val="1"/>
                <w:bCs w:val="1"/>
                <w:color w:val="auto"/>
                <w:w w:val="91"/>
              </w:rPr>
              <w:t>price per</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term</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intrinsic</w:t>
            </w:r>
          </w:p>
        </w:tc>
        <w:tc>
          <w:tcPr>
            <w:tcW w:w="100" w:type="dxa"/>
            <w:vAlign w:val="bottom"/>
          </w:tcPr>
          <w:p>
            <w:pPr>
              <w:spacing w:after="0"/>
              <w:rPr>
                <w:sz w:val="17"/>
                <w:szCs w:val="17"/>
                <w:color w:val="auto"/>
              </w:rPr>
            </w:pPr>
          </w:p>
        </w:tc>
      </w:tr>
      <w:tr>
        <w:trPr>
          <w:trHeight w:val="223"/>
        </w:trPr>
        <w:tc>
          <w:tcPr>
            <w:tcW w:w="4240" w:type="dxa"/>
            <w:vAlign w:val="bottom"/>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options</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w w:val="89"/>
              </w:rPr>
              <w:t>option</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2"/>
              </w:rPr>
              <w:t>(in years)</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2"/>
              </w:rPr>
              <w:t>value</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615,106</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18.00</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9.95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9,848</w:t>
            </w:r>
          </w:p>
        </w:tc>
        <w:tc>
          <w:tcPr>
            <w:tcW w:w="100" w:type="dxa"/>
            <w:vAlign w:val="bottom"/>
            <w:shd w:val="clear" w:color="auto" w:fill="CFF0FC"/>
          </w:tcPr>
          <w:p>
            <w:pPr>
              <w:spacing w:after="0"/>
              <w:rPr>
                <w:sz w:val="19"/>
                <w:szCs w:val="19"/>
                <w:color w:val="auto"/>
              </w:rPr>
            </w:pPr>
          </w:p>
        </w:tc>
      </w:tr>
      <w:tr>
        <w:trPr>
          <w:trHeight w:val="220"/>
        </w:trPr>
        <w:tc>
          <w:tcPr>
            <w:tcW w:w="42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479,543</w:t>
            </w:r>
          </w:p>
        </w:tc>
        <w:tc>
          <w:tcPr>
            <w:tcW w:w="200" w:type="dxa"/>
            <w:vAlign w:val="bottom"/>
          </w:tcPr>
          <w:p>
            <w:pPr>
              <w:spacing w:after="0"/>
              <w:rPr>
                <w:sz w:val="19"/>
                <w:szCs w:val="19"/>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37.86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Exercised</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(7,747 )</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18.00</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42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Balance at December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1,086,902</w:t>
            </w:r>
          </w:p>
        </w:tc>
        <w:tc>
          <w:tcPr>
            <w:tcW w:w="200" w:type="dxa"/>
            <w:vAlign w:val="bottom"/>
            <w:tcBorders>
              <w:top w:val="single" w:sz="8" w:color="CFF0FC"/>
            </w:tcBorders>
          </w:tcPr>
          <w:p>
            <w:pPr>
              <w:spacing w:after="0"/>
              <w:rPr>
                <w:sz w:val="19"/>
                <w:szCs w:val="19"/>
                <w:color w:val="auto"/>
              </w:rPr>
            </w:pPr>
          </w:p>
        </w:tc>
        <w:tc>
          <w:tcPr>
            <w:tcW w:w="1100" w:type="dxa"/>
            <w:vAlign w:val="bottom"/>
            <w:tcBorders>
              <w:top w:val="single" w:sz="8" w:color="CFF0FC"/>
            </w:tcBorders>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26.76</w:t>
            </w:r>
          </w:p>
        </w:tc>
        <w:tc>
          <w:tcPr>
            <w:tcW w:w="16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9.22</w:t>
            </w:r>
          </w:p>
        </w:tc>
        <w:tc>
          <w:tcPr>
            <w:tcW w:w="44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991,495</w:t>
            </w:r>
          </w:p>
        </w:tc>
        <w:tc>
          <w:tcPr>
            <w:tcW w:w="100" w:type="dxa"/>
            <w:vAlign w:val="bottom"/>
            <w:tcBorders>
              <w:top w:val="single" w:sz="8" w:color="CFF0FC"/>
            </w:tcBorders>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Granted</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1,718,200</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424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Forfeited</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(50,387 )</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21.64</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240" w:type="dxa"/>
            <w:vAlign w:val="bottom"/>
          </w:tcPr>
          <w:p>
            <w:pPr>
              <w:ind w:left="180"/>
              <w:spacing w:after="0"/>
              <w:rPr>
                <w:sz w:val="20"/>
                <w:szCs w:val="20"/>
                <w:color w:val="auto"/>
              </w:rPr>
            </w:pPr>
            <w:r>
              <w:rPr>
                <w:rFonts w:ascii="Arial" w:cs="Arial" w:eastAsia="Arial" w:hAnsi="Arial"/>
                <w:sz w:val="16"/>
                <w:szCs w:val="16"/>
                <w:color w:val="auto"/>
              </w:rPr>
              <w:t>Expired</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(17,797 )</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40.00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9"/>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2022</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2,736,918</w:t>
            </w:r>
          </w:p>
        </w:tc>
        <w:tc>
          <w:tcPr>
            <w:tcW w:w="2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13.82</w:t>
            </w:r>
          </w:p>
        </w:tc>
        <w:tc>
          <w:tcPr>
            <w:tcW w:w="1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8.82</w:t>
            </w:r>
          </w:p>
        </w:tc>
        <w:tc>
          <w:tcPr>
            <w:tcW w:w="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3,636,148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6"/>
                <w:szCs w:val="16"/>
                <w:color w:val="auto"/>
              </w:rPr>
              <w:t>Vested and expected to vest at December 31,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2,736,918</w:t>
            </w:r>
          </w:p>
        </w:tc>
        <w:tc>
          <w:tcPr>
            <w:tcW w:w="2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13.82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8.82</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3,636,148</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Exercisable at December 31, 2022</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496,074</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25.95</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8.10</w:t>
            </w:r>
          </w:p>
        </w:tc>
        <w:tc>
          <w:tcPr>
            <w:tcW w:w="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-1276350</wp:posOffset>
            </wp:positionV>
            <wp:extent cx="68580" cy="1803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-367665</wp:posOffset>
            </wp:positionV>
            <wp:extent cx="68580" cy="1968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260" w:firstLine="464"/>
        <w:spacing w:after="0" w:line="297" w:lineRule="auto"/>
        <w:rPr>
          <w:sz w:val="20"/>
          <w:szCs w:val="20"/>
          <w:color w:val="auto"/>
        </w:rPr>
      </w:pPr>
      <w:r>
        <w:rPr>
          <w:rFonts w:ascii="Arial" w:cs="Arial" w:eastAsia="Arial" w:hAnsi="Arial"/>
          <w:sz w:val="15"/>
          <w:szCs w:val="15"/>
          <w:color w:val="auto"/>
        </w:rPr>
        <w:t>As of December 31, 2022, total unrecognized stock-based compensation cost for unvested common stock options was $14.9 million, which is expected to be recognized over a remaining weighted-average period of approximately 2.9 years. The weighted- average grant date fair value of stock options granted during the years ended December 31, 2022 and 2021 was $4.06 per share and $24.61 per share, respectively. The total fair value of options vested during the years ended December 31, 2022 and 2021 was $6.9 million and $1.9 million, respectively. Upon option exercise, the Company issues new shares of its common stock.</w:t>
      </w:r>
    </w:p>
    <w:p>
      <w:pPr>
        <w:spacing w:after="0" w:line="15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assumptions used in the Black-Scholes option pricing model to determine the fair value of stock option grants were as follows:</w:t>
      </w:r>
    </w:p>
    <w:p>
      <w:pPr>
        <w:spacing w:after="0" w:line="258"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266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Years ended December 31,</w:t>
            </w:r>
          </w:p>
        </w:tc>
      </w:tr>
      <w:tr>
        <w:trPr>
          <w:trHeight w:val="223"/>
        </w:trPr>
        <w:tc>
          <w:tcPr>
            <w:tcW w:w="4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6"/>
                <w:szCs w:val="16"/>
                <w:color w:val="auto"/>
              </w:rPr>
              <w:t>Expected volatility</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74.9 %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74.7 %</w:t>
            </w:r>
          </w:p>
        </w:tc>
      </w:tr>
      <w:tr>
        <w:trPr>
          <w:trHeight w:val="229"/>
        </w:trPr>
        <w:tc>
          <w:tcPr>
            <w:tcW w:w="41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2.14 %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1.06 %</w:t>
            </w:r>
          </w:p>
        </w:tc>
      </w:tr>
      <w:tr>
        <w:trPr>
          <w:trHeight w:val="230"/>
        </w:trPr>
        <w:tc>
          <w:tcPr>
            <w:tcW w:w="416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0.0 %</w:t>
            </w:r>
          </w:p>
        </w:tc>
      </w:tr>
      <w:tr>
        <w:trPr>
          <w:trHeight w:val="229"/>
        </w:trPr>
        <w:tc>
          <w:tcPr>
            <w:tcW w:w="4160" w:type="dxa"/>
            <w:vAlign w:val="bottom"/>
          </w:tcPr>
          <w:p>
            <w:pPr>
              <w:spacing w:after="0"/>
              <w:rPr>
                <w:sz w:val="20"/>
                <w:szCs w:val="20"/>
                <w:color w:val="auto"/>
              </w:rPr>
            </w:pPr>
            <w:r>
              <w:rPr>
                <w:rFonts w:ascii="Arial" w:cs="Arial" w:eastAsia="Arial" w:hAnsi="Arial"/>
                <w:sz w:val="16"/>
                <w:szCs w:val="16"/>
                <w:color w:val="auto"/>
              </w:rPr>
              <w:t>Expected term</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6.04 years</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5.98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-569595</wp:posOffset>
            </wp:positionV>
            <wp:extent cx="4277360" cy="146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77360" cy="14605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-278130</wp:posOffset>
            </wp:positionV>
            <wp:extent cx="4277360" cy="146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219" w:lineRule="exact"/>
        <w:rPr>
          <w:sz w:val="20"/>
          <w:szCs w:val="20"/>
          <w:color w:val="auto"/>
        </w:rPr>
      </w:pPr>
    </w:p>
    <w:p>
      <w:pPr>
        <w:ind w:left="260" w:right="100" w:firstLine="464"/>
        <w:spacing w:after="0" w:line="328" w:lineRule="auto"/>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As the Company’s common stock does not have a significant trading history, the expected volatility assumption is based on volatilities of a</w:t>
      </w:r>
      <w:r>
        <w:rPr>
          <w:rFonts w:ascii="Arial" w:cs="Arial" w:eastAsia="Arial" w:hAnsi="Arial"/>
          <w:sz w:val="15"/>
          <w:szCs w:val="15"/>
          <w:i w:val="1"/>
          <w:iCs w:val="1"/>
          <w:color w:val="auto"/>
        </w:rPr>
        <w:t xml:space="preserve"> </w:t>
      </w:r>
      <w:r>
        <w:rPr>
          <w:rFonts w:ascii="Arial" w:cs="Arial" w:eastAsia="Arial" w:hAnsi="Arial"/>
          <w:sz w:val="15"/>
          <w:szCs w:val="15"/>
          <w:color w:val="auto"/>
        </w:rPr>
        <w:t>peer group of similar companies whose share prices are publicly available. The peer group was developed based on companies in the biotechnology industry.</w:t>
      </w:r>
    </w:p>
    <w:p>
      <w:pPr>
        <w:sectPr>
          <w:pgSz w:w="11900" w:h="16838" w:orient="portrait"/>
          <w:cols w:equalWidth="0" w:num="1">
            <w:col w:w="11120"/>
          </w:cols>
          <w:pgMar w:left="320" w:top="126" w:right="459" w:bottom="1440" w:gutter="0" w:footer="0" w:header="0"/>
        </w:sectPr>
      </w:pP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92" w:lineRule="exact"/>
        <w:rPr>
          <w:sz w:val="20"/>
          <w:szCs w:val="20"/>
          <w:color w:val="auto"/>
        </w:rPr>
      </w:pPr>
    </w:p>
    <w:p>
      <w:pPr>
        <w:ind w:left="260" w:right="20" w:firstLine="458"/>
        <w:spacing w:after="0" w:line="293"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Company bases the risk-free interest rate assumption on the U.S. Treasury’s rates for U.S. Treasury zero-coupon bonds with maturities</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to those of the expected term of the award being valued.</w:t>
      </w:r>
    </w:p>
    <w:p>
      <w:pPr>
        <w:spacing w:after="0" w:line="158" w:lineRule="exact"/>
        <w:rPr>
          <w:sz w:val="20"/>
          <w:szCs w:val="20"/>
          <w:color w:val="auto"/>
        </w:rPr>
      </w:pPr>
    </w:p>
    <w:p>
      <w:pPr>
        <w:ind w:left="260" w:right="60" w:firstLine="458"/>
        <w:spacing w:after="0" w:line="293"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The Company bases the expected dividend yield assumption on the fact that it has never paid cash dividends and has no present plans to</w:t>
      </w:r>
      <w:r>
        <w:rPr>
          <w:rFonts w:ascii="Arial" w:cs="Arial" w:eastAsia="Arial" w:hAnsi="Arial"/>
          <w:sz w:val="16"/>
          <w:szCs w:val="16"/>
          <w:i w:val="1"/>
          <w:iCs w:val="1"/>
          <w:color w:val="auto"/>
        </w:rPr>
        <w:t xml:space="preserve"> </w:t>
      </w:r>
      <w:r>
        <w:rPr>
          <w:rFonts w:ascii="Arial" w:cs="Arial" w:eastAsia="Arial" w:hAnsi="Arial"/>
          <w:sz w:val="16"/>
          <w:szCs w:val="16"/>
          <w:color w:val="auto"/>
        </w:rPr>
        <w:t>pay cash dividends.</w:t>
      </w:r>
    </w:p>
    <w:p>
      <w:pPr>
        <w:spacing w:after="0" w:line="145" w:lineRule="exact"/>
        <w:rPr>
          <w:sz w:val="20"/>
          <w:szCs w:val="20"/>
          <w:color w:val="auto"/>
        </w:rPr>
      </w:pPr>
    </w:p>
    <w:p>
      <w:pPr>
        <w:jc w:val="both"/>
        <w:ind w:left="260" w:right="240" w:firstLine="458"/>
        <w:spacing w:after="0" w:line="27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For employees, the expected term represents the period of time that options are expected to be outstanding. Because the Company has minimal</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13" w:lineRule="exact"/>
        <w:rPr>
          <w:sz w:val="20"/>
          <w:szCs w:val="20"/>
          <w:color w:val="auto"/>
        </w:rPr>
      </w:pPr>
    </w:p>
    <w:p>
      <w:pPr>
        <w:ind w:left="260" w:right="220" w:firstLine="464"/>
        <w:spacing w:after="0" w:line="303" w:lineRule="auto"/>
        <w:rPr>
          <w:sz w:val="20"/>
          <w:szCs w:val="20"/>
          <w:color w:val="auto"/>
        </w:rPr>
      </w:pPr>
      <w:r>
        <w:rPr>
          <w:rFonts w:ascii="Arial" w:cs="Arial" w:eastAsia="Arial" w:hAnsi="Arial"/>
          <w:sz w:val="14"/>
          <w:szCs w:val="14"/>
          <w:color w:val="auto"/>
        </w:rPr>
        <w:t>In December 2020, the Company’s board of directors and stockholders approved the BioAtla, Inc. Employee Stock Purchase Plan (the “ESPP”). The ESPP permits participants to purchase common stock through payroll deductions of up to 15% of their eligible compensation. As of December 31, 2022 and 2021, a total of 1,229,148 and 833,993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w:t>
      </w:r>
    </w:p>
    <w:p>
      <w:pPr>
        <w:ind w:left="260" w:right="160" w:firstLine="3"/>
        <w:spacing w:after="0" w:line="292" w:lineRule="auto"/>
        <w:tabs>
          <w:tab w:leader="none" w:pos="544"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number determined by the Company’s board of directors that is less than (i) and (ii). The ESPP plan was amended in September 2021 to change the offering periods to end on May 15th and November 15th of each year beginning January 1, 2022. In February 2021, employees began to enroll in the ESPP, and the Company’s first offering period commenced. During the years ended December 31, 2022 and 2021, the Company issued 147,564 and 11,182 shares of common stock under the ESPP, respectively. As of December 31, 2022, 1,070,402 shares of common stock remained available for issuance under the ESPP. Stock-based compensation expense related to the ESPP for the twelve months ended December 31, 2022 and 2021 was $0.2 million and $0.1 million, respectively.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Common stock reserved for future issuance</w:t>
      </w:r>
    </w:p>
    <w:p>
      <w:pPr>
        <w:spacing w:after="0" w:line="113"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5980" w:type="dxa"/>
            <w:vAlign w:val="bottom"/>
            <w:gridSpan w:val="2"/>
          </w:tcPr>
          <w:p>
            <w:pPr>
              <w:spacing w:after="0"/>
              <w:rPr>
                <w:sz w:val="20"/>
                <w:szCs w:val="20"/>
                <w:color w:val="auto"/>
              </w:rPr>
            </w:pPr>
            <w:r>
              <w:rPr>
                <w:rFonts w:ascii="Arial" w:cs="Arial" w:eastAsia="Arial" w:hAnsi="Arial"/>
                <w:sz w:val="16"/>
                <w:szCs w:val="16"/>
                <w:color w:val="auto"/>
                <w:w w:val="94"/>
              </w:rPr>
              <w:t>Common stock reserved for future issuance are as follows in common equivalent shares: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8"/>
        </w:trPr>
        <w:tc>
          <w:tcPr>
            <w:tcW w:w="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10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w w:val="97"/>
              </w:rPr>
              <w:t>December 31,</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Warrants for the purchase of common stock</w:t>
            </w:r>
          </w:p>
        </w:tc>
        <w:tc>
          <w:tcPr>
            <w:tcW w:w="2100" w:type="dxa"/>
            <w:vAlign w:val="bottom"/>
            <w:gridSpan w:val="3"/>
            <w:shd w:val="clear" w:color="auto" w:fill="CFF0FC"/>
          </w:tcPr>
          <w:p>
            <w:pPr>
              <w:jc w:val="right"/>
              <w:ind w:right="6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151,088</w:t>
            </w:r>
          </w:p>
        </w:tc>
        <w:tc>
          <w:tcPr>
            <w:tcW w:w="80" w:type="dxa"/>
            <w:vAlign w:val="bottom"/>
            <w:shd w:val="clear" w:color="auto" w:fill="CFF0FC"/>
          </w:tcPr>
          <w:p>
            <w:pPr>
              <w:spacing w:after="0"/>
              <w:rPr>
                <w:sz w:val="19"/>
                <w:szCs w:val="19"/>
                <w:color w:val="auto"/>
              </w:rPr>
            </w:pPr>
          </w:p>
        </w:tc>
      </w:tr>
      <w:tr>
        <w:trPr>
          <w:trHeight w:val="220"/>
        </w:trPr>
        <w:tc>
          <w:tcPr>
            <w:tcW w:w="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Common stock options and restricted stock units issued and outstanding</w:t>
            </w:r>
          </w:p>
        </w:tc>
        <w:tc>
          <w:tcPr>
            <w:tcW w:w="1480" w:type="dxa"/>
            <w:vAlign w:val="bottom"/>
          </w:tcPr>
          <w:p>
            <w:pPr>
              <w:jc w:val="right"/>
              <w:spacing w:after="0"/>
              <w:rPr>
                <w:sz w:val="20"/>
                <w:szCs w:val="20"/>
                <w:color w:val="auto"/>
              </w:rPr>
            </w:pPr>
            <w:r>
              <w:rPr>
                <w:rFonts w:ascii="Arial" w:cs="Arial" w:eastAsia="Arial" w:hAnsi="Arial"/>
                <w:sz w:val="16"/>
                <w:szCs w:val="16"/>
                <w:color w:val="auto"/>
              </w:rPr>
              <w:t>3,246,957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2,061,948</w:t>
            </w:r>
          </w:p>
        </w:tc>
        <w:tc>
          <w:tcPr>
            <w:tcW w:w="80" w:type="dxa"/>
            <w:vAlign w:val="bottom"/>
          </w:tcPr>
          <w:p>
            <w:pPr>
              <w:spacing w:after="0"/>
              <w:rPr>
                <w:sz w:val="19"/>
                <w:szCs w:val="19"/>
                <w:color w:val="auto"/>
              </w:rPr>
            </w:pPr>
          </w:p>
        </w:tc>
      </w:tr>
      <w:tr>
        <w:trPr>
          <w:trHeight w:val="239"/>
        </w:trPr>
        <w:tc>
          <w:tcPr>
            <w:tcW w:w="70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Awards available for future issuance under the 2020 Plan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3,012,554</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3,211,854</w:t>
            </w:r>
          </w:p>
        </w:tc>
        <w:tc>
          <w:tcPr>
            <w:tcW w:w="80" w:type="dxa"/>
            <w:vAlign w:val="bottom"/>
            <w:shd w:val="clear" w:color="auto" w:fill="CFF0FC"/>
          </w:tcPr>
          <w:p>
            <w:pPr>
              <w:spacing w:after="0"/>
              <w:rPr>
                <w:sz w:val="20"/>
                <w:szCs w:val="20"/>
                <w:color w:val="auto"/>
              </w:rPr>
            </w:pPr>
          </w:p>
        </w:tc>
      </w:tr>
      <w:tr>
        <w:trPr>
          <w:trHeight w:val="223"/>
        </w:trPr>
        <w:tc>
          <w:tcPr>
            <w:tcW w:w="70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Awards available for future issuance under the ESPP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1,070,402</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822,811</w:t>
            </w:r>
          </w:p>
        </w:tc>
        <w:tc>
          <w:tcPr>
            <w:tcW w:w="80" w:type="dxa"/>
            <w:vAlign w:val="bottom"/>
            <w:tcBorders>
              <w:bottom w:val="single" w:sz="8" w:color="CFF0FC"/>
            </w:tcBorders>
          </w:tcPr>
          <w:p>
            <w:pPr>
              <w:spacing w:after="0"/>
              <w:rPr>
                <w:sz w:val="19"/>
                <w:szCs w:val="19"/>
                <w:color w:val="auto"/>
              </w:rPr>
            </w:pPr>
          </w:p>
        </w:tc>
      </w:tr>
      <w:tr>
        <w:trPr>
          <w:trHeight w:val="263"/>
        </w:trPr>
        <w:tc>
          <w:tcPr>
            <w:tcW w:w="700" w:type="dxa"/>
            <w:vAlign w:val="bottom"/>
          </w:tcPr>
          <w:p>
            <w:pPr>
              <w:spacing w:after="0"/>
              <w:rPr>
                <w:sz w:val="22"/>
                <w:szCs w:val="22"/>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common stock reserved for future issuance</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7,329,913</w:t>
            </w:r>
          </w:p>
        </w:tc>
        <w:tc>
          <w:tcPr>
            <w:tcW w:w="1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6,247,701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8. Collaboration, license and option agreements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Global Co-Development and Collaboration Agreement with BeiGene</w:t>
      </w:r>
    </w:p>
    <w:p>
      <w:pPr>
        <w:spacing w:after="0" w:line="113" w:lineRule="exact"/>
        <w:rPr>
          <w:sz w:val="20"/>
          <w:szCs w:val="20"/>
          <w:color w:val="auto"/>
        </w:rPr>
      </w:pPr>
    </w:p>
    <w:p>
      <w:pPr>
        <w:ind w:left="260" w:firstLine="464"/>
        <w:spacing w:after="0" w:line="273" w:lineRule="auto"/>
        <w:rPr>
          <w:sz w:val="20"/>
          <w:szCs w:val="20"/>
          <w:color w:val="auto"/>
        </w:rPr>
      </w:pPr>
      <w:r>
        <w:rPr>
          <w:rFonts w:ascii="Arial" w:cs="Arial" w:eastAsia="Arial" w:hAnsi="Arial"/>
          <w:sz w:val="16"/>
          <w:szCs w:val="16"/>
          <w:color w:val="auto"/>
        </w:rPr>
        <w:t>In April 2019, the Company entered into a Global Co-Development and Collaboration agreement (the “BeiGene Collaboration”) with BeiGene, Ltd. and BeiGene Switzerland GmbH (collectively “BeiGene”), for the development, manufacturing and commercialization of the Company’s investigational CAB CTLA-4 antibody (BA3071). The BeiGene Collaboration was amended several times between 2019 and 2021 and the Company received a total of $25.0 million in non-refundable payments from BeiGene during that time.</w:t>
      </w:r>
    </w:p>
    <w:p>
      <w:pPr>
        <w:spacing w:after="0" w:line="162" w:lineRule="exact"/>
        <w:rPr>
          <w:sz w:val="20"/>
          <w:szCs w:val="20"/>
          <w:color w:val="auto"/>
        </w:rPr>
      </w:pPr>
    </w:p>
    <w:p>
      <w:pPr>
        <w:ind w:left="260" w:right="60" w:firstLine="464"/>
        <w:spacing w:after="0" w:line="269" w:lineRule="auto"/>
        <w:rPr>
          <w:sz w:val="20"/>
          <w:szCs w:val="20"/>
          <w:color w:val="auto"/>
        </w:rPr>
      </w:pPr>
      <w:r>
        <w:rPr>
          <w:rFonts w:ascii="Arial" w:cs="Arial" w:eastAsia="Arial" w:hAnsi="Arial"/>
          <w:sz w:val="16"/>
          <w:szCs w:val="16"/>
          <w:color w:val="auto"/>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BA3071. As consideration for this amendment, the Company agreed to pay BeiGene mid-single digit royalties on sales worldwide and on a limited basis will share in any upfront and milestone payments received through a sublicense of BA3071.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383" w:lineRule="exact"/>
        <w:rPr>
          <w:sz w:val="20"/>
          <w:szCs w:val="20"/>
          <w:color w:val="auto"/>
        </w:rPr>
      </w:pPr>
    </w:p>
    <w:p>
      <w:pPr>
        <w:ind w:left="260" w:right="600" w:firstLine="464"/>
        <w:spacing w:after="0" w:line="293" w:lineRule="auto"/>
        <w:rPr>
          <w:sz w:val="20"/>
          <w:szCs w:val="20"/>
          <w:color w:val="auto"/>
        </w:rPr>
      </w:pPr>
      <w:r>
        <w:rPr>
          <w:rFonts w:ascii="Arial" w:cs="Arial" w:eastAsia="Arial" w:hAnsi="Arial"/>
          <w:sz w:val="16"/>
          <w:szCs w:val="16"/>
          <w:color w:val="auto"/>
        </w:rPr>
        <w:t>The Company did not recognize any revenue related to the collaboration agreement with BeiGene for the years ended December 31, 2022 and 2021. The Company had a $19.8 million Liability to Licensor as of December 31, 2022 and 2021.</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Collaboration and Supply Agreement with Bristol-Myers Squib</w:t>
      </w:r>
    </w:p>
    <w:p>
      <w:pPr>
        <w:spacing w:after="0" w:line="127" w:lineRule="exact"/>
        <w:rPr>
          <w:sz w:val="20"/>
          <w:szCs w:val="20"/>
          <w:color w:val="auto"/>
        </w:rPr>
      </w:pPr>
    </w:p>
    <w:p>
      <w:pPr>
        <w:ind w:left="260" w:right="780" w:firstLine="464"/>
        <w:spacing w:after="0" w:line="293" w:lineRule="auto"/>
        <w:rPr>
          <w:sz w:val="20"/>
          <w:szCs w:val="20"/>
          <w:color w:val="auto"/>
        </w:rPr>
      </w:pPr>
      <w:r>
        <w:rPr>
          <w:rFonts w:ascii="Arial" w:cs="Arial" w:eastAsia="Arial" w:hAnsi="Arial"/>
          <w:sz w:val="16"/>
          <w:szCs w:val="16"/>
          <w:color w:val="auto"/>
        </w:rPr>
        <w:t>On January 5, 2022, BioAtla and Bristol-Myers Squibb Company (“BMS”) entered into a clinical trial collaboration and supply agreement (the “BMS Agreement”). Under the terms of the BMS Agreement, BioAtla and BMS will collaborate on clinical trials of separate combination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3430" cy="8890"/>
                    </a:xfrm>
                    <a:prstGeom prst="rect">
                      <a:avLst/>
                    </a:prstGeom>
                    <a:noFill/>
                  </pic:spPr>
                </pic:pic>
              </a:graphicData>
            </a:graphic>
          </wp:anchor>
        </w:drawing>
      </w:r>
    </w:p>
    <w:p>
      <w:pPr>
        <w:spacing w:after="0" w:line="165" w:lineRule="exact"/>
        <w:rPr>
          <w:sz w:val="20"/>
          <w:szCs w:val="20"/>
          <w:color w:val="auto"/>
        </w:rPr>
      </w:pPr>
    </w:p>
    <w:p>
      <w:pPr>
        <w:ind w:left="260" w:right="120"/>
        <w:spacing w:after="0" w:line="269" w:lineRule="auto"/>
        <w:rPr>
          <w:sz w:val="20"/>
          <w:szCs w:val="20"/>
          <w:color w:val="auto"/>
        </w:rPr>
      </w:pPr>
      <w:r>
        <w:rPr>
          <w:rFonts w:ascii="Arial" w:cs="Arial" w:eastAsia="Arial" w:hAnsi="Arial"/>
          <w:sz w:val="16"/>
          <w:szCs w:val="16"/>
          <w:color w:val="auto"/>
        </w:rPr>
        <w:t>therapies using two of BioAtla’s Conditionally Active Biologic Antibody Drug Conjugates, BA3011 and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our BA3011 and BA3021 combination study trials. There was no impact to the Company's financial results for the years ended December 31, 2022 or 2021 as a result of this agreement.</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Exclusive License Agreement with Exuma Biotech Corp</w:t>
      </w:r>
    </w:p>
    <w:p>
      <w:pPr>
        <w:spacing w:after="0" w:line="113" w:lineRule="exact"/>
        <w:rPr>
          <w:sz w:val="20"/>
          <w:szCs w:val="20"/>
          <w:color w:val="auto"/>
        </w:rPr>
      </w:pPr>
    </w:p>
    <w:p>
      <w:pPr>
        <w:ind w:left="260" w:firstLine="458"/>
        <w:spacing w:after="0" w:line="324" w:lineRule="auto"/>
        <w:rPr>
          <w:sz w:val="20"/>
          <w:szCs w:val="20"/>
          <w:color w:val="auto"/>
        </w:rPr>
      </w:pPr>
      <w:r>
        <w:rPr>
          <w:rFonts w:ascii="Arial" w:cs="Arial" w:eastAsia="Arial" w:hAnsi="Arial"/>
          <w:sz w:val="14"/>
          <w:szCs w:val="14"/>
          <w:color w:val="auto"/>
        </w:rPr>
        <w:t>Under an Exclusive License Agreement entered into in May 2016, the Company granted EXUMA and its affiliates an exclusive, worldwide, sublicensable license under certain patents and know-how controlled by the Company to develop, manufacture and commercialize Adoptive Cellular Therapy (“ACT”) preparations and treatments for cancer. EXUMA’s rights under the agreement exclude the right to grant sublicenses to third parties to discover, develop or manufacture any CAB ACT or any component of the Company’s CAB ACT technology, except as used in or incorporated into EXUMA’s ACTs for cancer. The license to EXUMA is royalty bearing.</w:t>
      </w:r>
    </w:p>
    <w:p>
      <w:pPr>
        <w:spacing w:after="0" w:line="35" w:lineRule="exact"/>
        <w:rPr>
          <w:sz w:val="20"/>
          <w:szCs w:val="20"/>
          <w:color w:val="auto"/>
        </w:rPr>
      </w:pPr>
    </w:p>
    <w:p>
      <w:pPr>
        <w:jc w:val="both"/>
        <w:ind w:left="260" w:right="360" w:firstLine="458"/>
        <w:spacing w:after="0" w:line="278" w:lineRule="auto"/>
        <w:rPr>
          <w:sz w:val="20"/>
          <w:szCs w:val="20"/>
          <w:color w:val="auto"/>
        </w:rPr>
      </w:pPr>
      <w:r>
        <w:rPr>
          <w:rFonts w:ascii="Arial" w:cs="Arial" w:eastAsia="Arial" w:hAnsi="Arial"/>
          <w:sz w:val="16"/>
          <w:szCs w:val="16"/>
          <w:color w:val="auto"/>
        </w:rPr>
        <w:t>EXUMA granted the Company an exclusive, worldwide, royalty free, fully paid-up, sublicensable license under certain patents and know-how controlled by EXUMA and EXUMA’s interest in technology jointly developed under the agreement to develop, manufacture and commercialize non-ACT CAB products for any indication.</w:t>
      </w:r>
    </w:p>
    <w:p>
      <w:pPr>
        <w:spacing w:after="0" w:line="157" w:lineRule="exact"/>
        <w:rPr>
          <w:sz w:val="20"/>
          <w:szCs w:val="20"/>
          <w:color w:val="auto"/>
        </w:rPr>
      </w:pPr>
    </w:p>
    <w:p>
      <w:pPr>
        <w:ind w:left="260" w:right="80" w:firstLine="458"/>
        <w:spacing w:after="0" w:line="265" w:lineRule="auto"/>
        <w:rPr>
          <w:sz w:val="20"/>
          <w:szCs w:val="20"/>
          <w:color w:val="auto"/>
        </w:rPr>
      </w:pPr>
      <w:r>
        <w:rPr>
          <w:rFonts w:ascii="Arial" w:cs="Arial" w:eastAsia="Arial" w:hAnsi="Arial"/>
          <w:sz w:val="16"/>
          <w:szCs w:val="16"/>
          <w:color w:val="auto"/>
        </w:rPr>
        <w:t>EXUMA is obligated to pay the Company during the royalty term, on a product-by-product basis and country-by-country basis, mid-single digit royalties based on annual net sales of certain EXUMA ACT products, subject to certain adjustments. The term during which EXUMA is obligated to pay royalties under the agreement with respect to any particular product in any particular country, will begin on the first commercial sale of such product in such country and will end on the date of expiration of the last-to-expire of certain product-related patent rights in such country. All royalties to be paid under the agreement are subject to certain adjustments. Future royalties will be recognized when earned.</w:t>
      </w:r>
    </w:p>
    <w:p>
      <w:pPr>
        <w:spacing w:after="0" w:line="1" w:lineRule="exact"/>
        <w:rPr>
          <w:sz w:val="20"/>
          <w:szCs w:val="20"/>
          <w:color w:val="auto"/>
        </w:rPr>
      </w:pPr>
    </w:p>
    <w:p>
      <w:pPr>
        <w:ind w:left="260" w:right="100"/>
        <w:spacing w:after="0" w:line="302" w:lineRule="auto"/>
        <w:rPr>
          <w:sz w:val="20"/>
          <w:szCs w:val="20"/>
          <w:color w:val="auto"/>
        </w:rPr>
      </w:pPr>
      <w:r>
        <w:rPr>
          <w:rFonts w:ascii="Arial" w:cs="Arial" w:eastAsia="Arial" w:hAnsi="Arial"/>
          <w:sz w:val="15"/>
          <w:szCs w:val="15"/>
          <w:color w:val="auto"/>
        </w:rPr>
        <w:t>Unless earlier terminated, the agreement continues in effect so long as EXUMA or any of its affiliates, licensees or sublicensees are developing or commercializing any EXUMA products in the ACT field or the Company or any of its affiliates, licensees or sublicensees are developing or commercializing any CAB products for any indication outside the ACT field. The agreement may be terminated only by the mutual written agreement of the parties.</w:t>
      </w:r>
    </w:p>
    <w:p>
      <w:pPr>
        <w:spacing w:after="0" w:line="358" w:lineRule="exact"/>
        <w:rPr>
          <w:sz w:val="20"/>
          <w:szCs w:val="20"/>
          <w:color w:val="auto"/>
        </w:rPr>
      </w:pPr>
    </w:p>
    <w:p>
      <w:pPr>
        <w:ind w:left="260" w:right="20"/>
        <w:spacing w:after="0" w:line="288" w:lineRule="auto"/>
        <w:rPr>
          <w:sz w:val="20"/>
          <w:szCs w:val="20"/>
          <w:color w:val="auto"/>
        </w:rPr>
      </w:pPr>
      <w:r>
        <w:rPr>
          <w:rFonts w:ascii="Arial" w:cs="Arial" w:eastAsia="Arial" w:hAnsi="Arial"/>
          <w:sz w:val="15"/>
          <w:szCs w:val="15"/>
          <w:color w:val="auto"/>
        </w:rPr>
        <w:t>In November 2019, the Company entered into an Amended and Restated Exclusive License Agreement with EXUMA (the “Amended and Restated EXUMA License”). The Amended and Restated EXUMA License limits CAB ACT products to four specified targets. EXUMA is a VIE, and the Company has a variable interest in EXUMA due to its right to receive royalties during the royalty term under the Amended and Restated EXUMA License. The Company has no equity ownership in EXUMA, no representation on the EXUMA board of directors, and the Amended and Restated EXUMA License does not provide the Company with the ability to make decisions regarding the execution of business strategy that most significantly impact the economic performance of EXUMA. The Company has not funded and has no commitment to fund EXUMA’s losses, and has no exposure to loss as a result of its Amended and Restated EXUMA License. As of December 31, 2022 and 2021, the Company has determined it is not the primary beneficiary of EXUMA and, as such, the Company does not consolidate EXUMA. The Company’s financial statements do not include any assets or liabilities related to the Amended and Restated EXUMA License at December 31, 2022 and 2021.</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27" w:lineRule="exact"/>
        <w:rPr>
          <w:sz w:val="20"/>
          <w:szCs w:val="20"/>
          <w:color w:val="auto"/>
        </w:rPr>
      </w:pPr>
    </w:p>
    <w:p>
      <w:pPr>
        <w:ind w:left="260" w:right="100" w:firstLine="458"/>
        <w:spacing w:after="0" w:line="273" w:lineRule="auto"/>
        <w:rPr>
          <w:sz w:val="20"/>
          <w:szCs w:val="20"/>
          <w:color w:val="auto"/>
        </w:rPr>
      </w:pPr>
      <w:r>
        <w:rPr>
          <w:rFonts w:ascii="Arial" w:cs="Arial" w:eastAsia="Arial" w:hAnsi="Arial"/>
          <w:sz w:val="16"/>
          <w:szCs w:val="16"/>
          <w:color w:val="auto"/>
        </w:rPr>
        <w:t>Prior to developing its own programs, the Company entered into various fixed price research services contracts. In connection with these service contracts, the Company may receive future milestone payments if certain clinical, regulatory and commercialization milestones are achieved. The Company is also eligible to receive royalties based on certain product sales. The Company recognized revenue of $0.3 million for the year ended December 31, 2021, related to the achievement of a clinical milestone on a fixed price service contract.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9. Related 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Dr. Jay Short and Carolyn Anderson Short</w:t>
      </w:r>
    </w:p>
    <w:p>
      <w:pPr>
        <w:spacing w:after="0" w:line="127" w:lineRule="exact"/>
        <w:rPr>
          <w:sz w:val="20"/>
          <w:szCs w:val="20"/>
          <w:color w:val="auto"/>
        </w:rPr>
      </w:pPr>
    </w:p>
    <w:p>
      <w:pPr>
        <w:ind w:left="260" w:firstLine="464"/>
        <w:spacing w:after="0" w:line="286" w:lineRule="auto"/>
        <w:rPr>
          <w:sz w:val="20"/>
          <w:szCs w:val="20"/>
          <w:color w:val="auto"/>
        </w:rPr>
      </w:pPr>
      <w:r>
        <w:rPr>
          <w:rFonts w:ascii="Arial" w:cs="Arial" w:eastAsia="Arial" w:hAnsi="Arial"/>
          <w:sz w:val="15"/>
          <w:szCs w:val="15"/>
          <w:color w:val="auto"/>
        </w:rPr>
        <w:t>On March 23, 2021, the Company entered into a transition agreement with Ms. Anderson Short, our Co-founder and Executive Vice President and Chief of Intellectual Property and Strategy at that time. Pursuant to this transition agreement, Ms. Anderson Short continued in her role with the same base salary and employee benefits until her employment with the Company was terminated on May 31, 2021. Upon her separation from the Company and subject to her execution of a release of claims, Ms. Anderson Short received the following severance benefits as set forth in the transition agreement, which satisfied existing severance obligations owing to her under a legacy pre-IPO severance agreement she had entered into with the Company on July 1, 2018: (i) a lump sum payment equal to 18 months of Ms. Anderson Short’s then-current base salary, (ii) a payment at her targeted bonus rate for 2021, pro-rated to the date of her termination of employment, and (iii) full accelerated vesting of her equity awards including 7,747 stock options and 138,461 restricted stock units. The modification of these equity awards resulted in an incremental fair value of $7.0 million which was recognized on a straight-line basis over the transition service period which ended on the separation date. For the year ended December 31, 2021, the Company recognized $1.0 million related to the lump sum salary payment and target bonus. The Company also recognized non-cash stock-based compensation charges of $9.4 million related to the modified equity awards for the year ended December 31, 2021. No unrecognized stock-based compensation related to the transition agreement was recognized for the year ended December 31, 2022.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Inversagen, LLC</w:t>
      </w:r>
    </w:p>
    <w:p>
      <w:pPr>
        <w:spacing w:after="0" w:line="127" w:lineRule="exact"/>
        <w:rPr>
          <w:sz w:val="20"/>
          <w:szCs w:val="20"/>
          <w:color w:val="auto"/>
        </w:rPr>
      </w:pPr>
    </w:p>
    <w:p>
      <w:pPr>
        <w:ind w:left="260" w:right="40" w:firstLine="499"/>
        <w:spacing w:after="0" w:line="289" w:lineRule="auto"/>
        <w:rPr>
          <w:sz w:val="20"/>
          <w:szCs w:val="20"/>
          <w:color w:val="auto"/>
        </w:rPr>
      </w:pPr>
      <w:r>
        <w:rPr>
          <w:rFonts w:ascii="Arial" w:cs="Arial" w:eastAsia="Arial" w:hAnsi="Arial"/>
          <w:sz w:val="15"/>
          <w:szCs w:val="15"/>
          <w:color w:val="auto"/>
        </w:rPr>
        <w:t>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 to acquire the immuno-oncology antibody in return for royalty payments in the low-single digits during the applicable royalty term. No payments have been made to date.</w:t>
      </w:r>
    </w:p>
    <w:p>
      <w:pPr>
        <w:spacing w:after="0" w:line="153" w:lineRule="exact"/>
        <w:rPr>
          <w:sz w:val="20"/>
          <w:szCs w:val="20"/>
          <w:color w:val="auto"/>
        </w:rPr>
      </w:pPr>
    </w:p>
    <w:p>
      <w:pPr>
        <w:ind w:left="260" w:firstLine="458"/>
        <w:spacing w:after="0" w:line="269" w:lineRule="auto"/>
        <w:rPr>
          <w:sz w:val="20"/>
          <w:szCs w:val="20"/>
          <w:color w:val="auto"/>
        </w:rPr>
      </w:pPr>
      <w:r>
        <w:rPr>
          <w:rFonts w:ascii="Arial" w:cs="Arial" w:eastAsia="Arial" w:hAnsi="Arial"/>
          <w:sz w:val="16"/>
          <w:szCs w:val="16"/>
          <w:color w:val="auto"/>
        </w:rPr>
        <w:t>Inversagen has only nominal assets and liabilities and is a VIE as the entity lacks sufficient equity to finance its activities without additional subordinated financial support. The Company does not consolidate Inversagen as it is not the primary beneficiary;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2022 and 2021.</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Inversagen is a related party of the Company. Dr. Jay Short and his spouse, Carolyn Anderson Short, serve as managers of Inversagen.</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BioAtla Holdings, LLC</w:t>
      </w:r>
    </w:p>
    <w:p>
      <w:pPr>
        <w:spacing w:after="0" w:line="113" w:lineRule="exact"/>
        <w:rPr>
          <w:sz w:val="20"/>
          <w:szCs w:val="20"/>
          <w:color w:val="auto"/>
        </w:rPr>
      </w:pPr>
    </w:p>
    <w:p>
      <w:pPr>
        <w:ind w:left="260" w:right="20" w:firstLine="458"/>
        <w:spacing w:after="0" w:line="269" w:lineRule="auto"/>
        <w:rPr>
          <w:sz w:val="20"/>
          <w:szCs w:val="20"/>
          <w:color w:val="auto"/>
        </w:rPr>
      </w:pPr>
      <w:r>
        <w:rPr>
          <w:rFonts w:ascii="Arial" w:cs="Arial" w:eastAsia="Arial" w:hAnsi="Arial"/>
          <w:sz w:val="16"/>
          <w:szCs w:val="16"/>
          <w:color w:val="auto"/>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 years to acquire the ACT Preparations and ACT Treatments in return for royalty payments in the low-single digits during the applicable royalty term. The Company has not exercised its option and no payments have been made to date under these agreements.</w:t>
      </w:r>
    </w:p>
    <w:p>
      <w:pPr>
        <w:spacing w:after="0" w:line="180" w:lineRule="exact"/>
        <w:rPr>
          <w:sz w:val="20"/>
          <w:szCs w:val="20"/>
          <w:color w:val="auto"/>
        </w:rPr>
      </w:pPr>
    </w:p>
    <w:p>
      <w:pPr>
        <w:ind w:left="260" w:right="280" w:firstLine="458"/>
        <w:spacing w:after="0" w:line="293" w:lineRule="auto"/>
        <w:rPr>
          <w:sz w:val="20"/>
          <w:szCs w:val="20"/>
          <w:color w:val="auto"/>
        </w:rPr>
      </w:pPr>
      <w:r>
        <w:rPr>
          <w:rFonts w:ascii="Arial" w:cs="Arial" w:eastAsia="Arial" w:hAnsi="Arial"/>
          <w:sz w:val="16"/>
          <w:szCs w:val="16"/>
          <w:color w:val="auto"/>
        </w:rPr>
        <w:t>In addition, effective January 1, 2020, the Company entered into a Royalty Sharing Agreement whereby the Company agreed to share with BioAtla Holdings 50% of the royalties it receives under the Amended and Restated EXUMA License defined and described in Note 12 below.</w:t>
      </w:r>
    </w:p>
    <w:p>
      <w:pPr>
        <w:spacing w:after="0" w:line="145" w:lineRule="exact"/>
        <w:rPr>
          <w:sz w:val="20"/>
          <w:szCs w:val="20"/>
          <w:color w:val="auto"/>
        </w:rPr>
      </w:pPr>
    </w:p>
    <w:p>
      <w:pPr>
        <w:ind w:left="260" w:firstLine="458"/>
        <w:spacing w:after="0" w:line="313" w:lineRule="auto"/>
        <w:rPr>
          <w:sz w:val="20"/>
          <w:szCs w:val="20"/>
          <w:color w:val="auto"/>
        </w:rPr>
      </w:pPr>
      <w:r>
        <w:rPr>
          <w:rFonts w:ascii="Arial" w:cs="Arial" w:eastAsia="Arial" w:hAnsi="Arial"/>
          <w:sz w:val="14"/>
          <w:szCs w:val="14"/>
          <w:color w:val="auto"/>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2022 and 2021.</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BioAtla Holdings is a related party of the Company. Dr. Jay Short and his spouse, Carolyn Anderson Short, serve as managers of BioAtla Holdings.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Himalaya Therapeutics SEZC</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Exclusive Rights Agreement</w:t>
      </w:r>
    </w:p>
    <w:p>
      <w:pPr>
        <w:spacing w:after="0" w:line="113" w:lineRule="exact"/>
        <w:rPr>
          <w:sz w:val="20"/>
          <w:szCs w:val="20"/>
          <w:color w:val="auto"/>
        </w:rPr>
      </w:pPr>
    </w:p>
    <w:p>
      <w:pPr>
        <w:ind w:left="260" w:right="140" w:firstLine="458"/>
        <w:spacing w:after="0" w:line="271" w:lineRule="auto"/>
        <w:rPr>
          <w:sz w:val="20"/>
          <w:szCs w:val="20"/>
          <w:color w:val="auto"/>
        </w:rPr>
      </w:pPr>
      <w:r>
        <w:rPr>
          <w:rFonts w:ascii="Arial" w:cs="Arial" w:eastAsia="Arial" w:hAnsi="Arial"/>
          <w:sz w:val="16"/>
          <w:szCs w:val="16"/>
          <w:color w:val="auto"/>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the Company to an IL-22 non-CAB-antibody. Payments to the Company may include upfront payments, milestone payments and double digit royalties, which represent a variable interest held by the Company, but no payments have been made to the Company to date.</w:t>
      </w:r>
    </w:p>
    <w:p>
      <w:pPr>
        <w:spacing w:after="0" w:line="163" w:lineRule="exact"/>
        <w:rPr>
          <w:sz w:val="20"/>
          <w:szCs w:val="20"/>
          <w:color w:val="auto"/>
        </w:rPr>
      </w:pPr>
    </w:p>
    <w:p>
      <w:pPr>
        <w:ind w:left="260" w:right="40" w:firstLine="458"/>
        <w:spacing w:after="0" w:line="269" w:lineRule="auto"/>
        <w:rPr>
          <w:sz w:val="20"/>
          <w:szCs w:val="20"/>
          <w:color w:val="auto"/>
        </w:rPr>
      </w:pPr>
      <w:r>
        <w:rPr>
          <w:rFonts w:ascii="Arial" w:cs="Arial" w:eastAsia="Arial" w:hAnsi="Arial"/>
          <w:sz w:val="16"/>
          <w:szCs w:val="16"/>
          <w:color w:val="auto"/>
        </w:rPr>
        <w:t>Himalaya Therapeutics SEZC is a variable interest entity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2022 associated with its variable interest in Himalaya Therapeutics SEZC, and has no exposure to Himalaya Therapeutics SEZC losses.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260" w:right="300" w:firstLine="458"/>
        <w:spacing w:after="0" w:line="293" w:lineRule="auto"/>
        <w:rPr>
          <w:sz w:val="20"/>
          <w:szCs w:val="20"/>
          <w:color w:val="auto"/>
        </w:rPr>
      </w:pPr>
      <w:r>
        <w:rPr>
          <w:rFonts w:ascii="Arial" w:cs="Arial" w:eastAsia="Arial" w:hAnsi="Arial"/>
          <w:sz w:val="16"/>
          <w:szCs w:val="16"/>
          <w:color w:val="auto"/>
        </w:rPr>
        <w:t>Himalaya Therapeutics SEZC is a related party as Dr. Jay Short and his spouse, Carolyn Anderson Short, serve as directors, and Carolyn Anderson Short also serves as an officer of such entity.</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Clinical Trial Services Agreement</w:t>
      </w:r>
    </w:p>
    <w:p>
      <w:pPr>
        <w:spacing w:after="0" w:line="113" w:lineRule="exact"/>
        <w:rPr>
          <w:sz w:val="20"/>
          <w:szCs w:val="20"/>
          <w:color w:val="auto"/>
        </w:rPr>
      </w:pPr>
    </w:p>
    <w:p>
      <w:pPr>
        <w:ind w:left="260" w:right="300" w:firstLine="458"/>
        <w:spacing w:after="0" w:line="269" w:lineRule="auto"/>
        <w:rPr>
          <w:sz w:val="20"/>
          <w:szCs w:val="20"/>
          <w:color w:val="auto"/>
        </w:rPr>
      </w:pPr>
      <w:r>
        <w:rPr>
          <w:rFonts w:ascii="Arial" w:cs="Arial" w:eastAsia="Arial" w:hAnsi="Arial"/>
          <w:sz w:val="16"/>
          <w:szCs w:val="16"/>
          <w:color w:val="auto"/>
        </w:rPr>
        <w:t>In April 2022, the Company entered into a Clinical Trial Agreement with Himalaya Therapeutics SEZC. Under the agreement, Himalaya Therapeutics SEZC agreed to provide services related to the initiation of clinical trials for BA3011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For the twelve months ended December 31, 2022, the Company recognized $0.4 million in research and development expense related to the Clinical Trial Agreement. The Company did not have any amounts due from or due to Himalaya Therapeutics SEZC as of December 31, 2022.</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Himalaya Parent LLC</w:t>
      </w:r>
    </w:p>
    <w:p>
      <w:pPr>
        <w:spacing w:after="0" w:line="127" w:lineRule="exact"/>
        <w:rPr>
          <w:sz w:val="20"/>
          <w:szCs w:val="20"/>
          <w:color w:val="auto"/>
        </w:rPr>
      </w:pPr>
    </w:p>
    <w:p>
      <w:pPr>
        <w:ind w:left="260" w:right="100" w:firstLine="499"/>
        <w:spacing w:after="0" w:line="293" w:lineRule="auto"/>
        <w:rPr>
          <w:sz w:val="20"/>
          <w:szCs w:val="20"/>
          <w:color w:val="auto"/>
        </w:rPr>
      </w:pPr>
      <w:r>
        <w:rPr>
          <w:rFonts w:ascii="Arial" w:cs="Arial" w:eastAsia="Arial" w:hAnsi="Arial"/>
          <w:sz w:val="16"/>
          <w:szCs w:val="16"/>
          <w:color w:val="auto"/>
        </w:rPr>
        <w:t>Dr. Jay Short and his spouse, Carolyn Anderson Short, serve as managers of Himalaya Parent LLC. The Company does not have a variable interest in Himalaya Parent LLC.</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Private Placement of Common Stock</w:t>
      </w:r>
    </w:p>
    <w:p>
      <w:pPr>
        <w:spacing w:after="0" w:line="113" w:lineRule="exact"/>
        <w:rPr>
          <w:sz w:val="20"/>
          <w:szCs w:val="20"/>
          <w:color w:val="auto"/>
        </w:rPr>
      </w:pPr>
    </w:p>
    <w:p>
      <w:pPr>
        <w:ind w:left="260" w:right="460" w:firstLine="458"/>
        <w:spacing w:after="0" w:line="293" w:lineRule="auto"/>
        <w:rPr>
          <w:sz w:val="20"/>
          <w:szCs w:val="20"/>
          <w:color w:val="auto"/>
        </w:rPr>
      </w:pPr>
      <w:r>
        <w:rPr>
          <w:rFonts w:ascii="Arial" w:cs="Arial" w:eastAsia="Arial" w:hAnsi="Arial"/>
          <w:sz w:val="16"/>
          <w:szCs w:val="16"/>
          <w:color w:val="auto"/>
        </w:rPr>
        <w:t>As part of the 2021 Private Placement, the Company issued 625,000 shares of common stock for total net proceeds of $17.5 million to certain stockholders considered to be related parties.</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November 2022 Underwritten Offering</w:t>
      </w:r>
    </w:p>
    <w:p>
      <w:pPr>
        <w:spacing w:after="0" w:line="113" w:lineRule="exact"/>
        <w:rPr>
          <w:sz w:val="20"/>
          <w:szCs w:val="20"/>
          <w:color w:val="auto"/>
        </w:rPr>
      </w:pPr>
    </w:p>
    <w:p>
      <w:pPr>
        <w:ind w:left="260" w:right="140" w:firstLine="458"/>
        <w:spacing w:after="0" w:line="293" w:lineRule="auto"/>
        <w:rPr>
          <w:sz w:val="20"/>
          <w:szCs w:val="20"/>
          <w:color w:val="auto"/>
        </w:rPr>
      </w:pPr>
      <w:r>
        <w:rPr>
          <w:rFonts w:ascii="Arial" w:cs="Arial" w:eastAsia="Arial" w:hAnsi="Arial"/>
          <w:sz w:val="16"/>
          <w:szCs w:val="16"/>
          <w:color w:val="auto"/>
        </w:rPr>
        <w:t>As part of the 2022 underwritten offering, the Company issued 2,998,500 shares of common stock for total net proceeds of $19.1 million to certain stockholders considered to be related parties.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10. 401(k) plan</w:t>
      </w:r>
    </w:p>
    <w:p>
      <w:pPr>
        <w:spacing w:after="0" w:line="117" w:lineRule="exact"/>
        <w:rPr>
          <w:sz w:val="20"/>
          <w:szCs w:val="20"/>
          <w:color w:val="auto"/>
        </w:rPr>
      </w:pPr>
    </w:p>
    <w:p>
      <w:pPr>
        <w:ind w:left="260" w:right="220" w:firstLine="458"/>
        <w:spacing w:after="0" w:line="278" w:lineRule="auto"/>
        <w:rPr>
          <w:sz w:val="20"/>
          <w:szCs w:val="20"/>
          <w:color w:val="auto"/>
        </w:rPr>
      </w:pPr>
      <w:r>
        <w:rPr>
          <w:rFonts w:ascii="Arial" w:cs="Arial" w:eastAsia="Arial" w:hAnsi="Arial"/>
          <w:sz w:val="16"/>
          <w:szCs w:val="16"/>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11. Income taxes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 reconciliation of income tax expense computed at the U.S. federal statutory income tax rate to the Company’s income tax expense is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4"/>
              </w:rPr>
              <w:t>Years Ended December 31,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Tax computed at the federal statutory rate</w:t>
            </w: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(22,361 )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(20,034 )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State income taxes, net of federal tax benefit</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(6 )</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Deferred impact of conversion to C Corporation</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(2,131 )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Nondeductible executive compensation</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(1,021 )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w w:val="96"/>
              </w:rPr>
              <w:t>Research and development and orphan drug credits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(3,692 )</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(3,091 )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Uncertain tax positions</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Other, net</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(23 )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00" w:type="dxa"/>
            <w:vAlign w:val="bottom"/>
          </w:tcPr>
          <w:p>
            <w:pPr>
              <w:spacing w:after="0"/>
              <w:rPr>
                <w:sz w:val="20"/>
                <w:szCs w:val="20"/>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17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23,355</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20,582</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Income tax expense</w:t>
            </w:r>
          </w:p>
        </w:tc>
        <w:tc>
          <w:tcPr>
            <w:tcW w:w="1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60" w:type="dxa"/>
            <w:vAlign w:val="bottom"/>
            <w:vMerge w:val="restart"/>
          </w:tcPr>
          <w:p>
            <w:pPr>
              <w:jc w:val="right"/>
              <w:ind w:right="1259"/>
              <w:spacing w:after="0"/>
              <w:rPr>
                <w:sz w:val="20"/>
                <w:szCs w:val="20"/>
                <w:color w:val="auto"/>
              </w:rPr>
            </w:pPr>
            <w:r>
              <w:rPr>
                <w:rFonts w:ascii="Arial" w:cs="Arial" w:eastAsia="Arial" w:hAnsi="Arial"/>
                <w:sz w:val="16"/>
                <w:szCs w:val="16"/>
                <w:color w:val="auto"/>
              </w:rPr>
              <w:t>97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7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-633730</wp:posOffset>
            </wp:positionV>
            <wp:extent cx="51435"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-633730</wp:posOffset>
            </wp:positionV>
            <wp:extent cx="4318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6820" w:type="dxa"/>
            <w:vAlign w:val="bottom"/>
            <w:gridSpan w:val="3"/>
          </w:tcPr>
          <w:p>
            <w:pPr>
              <w:spacing w:after="0"/>
              <w:rPr>
                <w:sz w:val="20"/>
                <w:szCs w:val="20"/>
                <w:color w:val="auto"/>
              </w:rPr>
            </w:pPr>
            <w:r>
              <w:rPr>
                <w:rFonts w:ascii="Arial" w:cs="Arial" w:eastAsia="Arial" w:hAnsi="Arial"/>
                <w:sz w:val="16"/>
                <w:szCs w:val="16"/>
                <w:b w:val="1"/>
                <w:bCs w:val="1"/>
                <w:color w:val="auto"/>
              </w:rPr>
              <w:t>Table of Contents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9"/>
        </w:trPr>
        <w:tc>
          <w:tcPr>
            <w:tcW w:w="6820" w:type="dxa"/>
            <w:vAlign w:val="bottom"/>
            <w:gridSpan w:val="3"/>
          </w:tcPr>
          <w:p>
            <w:pPr>
              <w:ind w:left="720"/>
              <w:spacing w:after="0"/>
              <w:rPr>
                <w:sz w:val="20"/>
                <w:szCs w:val="20"/>
                <w:color w:val="auto"/>
              </w:rPr>
            </w:pPr>
            <w:r>
              <w:rPr>
                <w:rFonts w:ascii="Arial" w:cs="Arial" w:eastAsia="Arial" w:hAnsi="Arial"/>
                <w:sz w:val="16"/>
                <w:szCs w:val="16"/>
                <w:color w:val="auto"/>
              </w:rPr>
              <w:t>The Company’s net deferred tax assets (liabilities) are as follows (in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7"/>
              </w:rPr>
              <w:t>Years Ended December 31,</w:t>
            </w:r>
          </w:p>
        </w:tc>
      </w:tr>
      <w:tr>
        <w:trPr>
          <w:trHeight w:val="223"/>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6"/>
                <w:szCs w:val="16"/>
                <w:color w:val="auto"/>
              </w:rPr>
              <w:t>Net operating loss carryforwards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17,430</w:t>
            </w:r>
          </w:p>
        </w:tc>
        <w:tc>
          <w:tcPr>
            <w:tcW w:w="2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21,935</w:t>
            </w:r>
          </w:p>
        </w:tc>
        <w:tc>
          <w:tcPr>
            <w:tcW w:w="80" w:type="dxa"/>
            <w:vAlign w:val="bottom"/>
          </w:tcPr>
          <w:p>
            <w:pPr>
              <w:spacing w:after="0"/>
              <w:rPr>
                <w:sz w:val="19"/>
                <w:szCs w:val="19"/>
                <w:color w:val="auto"/>
              </w:rPr>
            </w:pPr>
          </w:p>
        </w:tc>
      </w:tr>
      <w:tr>
        <w:trPr>
          <w:trHeight w:val="239"/>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Liability to licensor</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w:t>
            </w:r>
          </w:p>
        </w:tc>
        <w:tc>
          <w:tcPr>
            <w:tcW w:w="80" w:type="dxa"/>
            <w:vAlign w:val="bottom"/>
            <w:shd w:val="clear" w:color="auto" w:fill="CFF0FC"/>
          </w:tcPr>
          <w:p>
            <w:pPr>
              <w:spacing w:after="0"/>
              <w:rPr>
                <w:sz w:val="20"/>
                <w:szCs w:val="20"/>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3,449</w:t>
            </w:r>
          </w:p>
        </w:tc>
        <w:tc>
          <w:tcPr>
            <w:tcW w:w="80" w:type="dxa"/>
            <w:vAlign w:val="bottom"/>
          </w:tcPr>
          <w:p>
            <w:pPr>
              <w:spacing w:after="0"/>
              <w:rPr>
                <w:sz w:val="19"/>
                <w:szCs w:val="19"/>
                <w:color w:val="auto"/>
              </w:rPr>
            </w:pPr>
          </w:p>
        </w:tc>
      </w:tr>
      <w:tr>
        <w:trPr>
          <w:trHeight w:val="239"/>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Lease liability</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CFF0FC"/>
          </w:tcPr>
          <w:p>
            <w:pPr>
              <w:spacing w:after="0"/>
              <w:rPr>
                <w:sz w:val="20"/>
                <w:szCs w:val="20"/>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19"/>
                <w:szCs w:val="19"/>
                <w:color w:val="auto"/>
              </w:rPr>
            </w:pPr>
          </w:p>
        </w:tc>
      </w:tr>
      <w:tr>
        <w:trPr>
          <w:trHeight w:val="239"/>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Research credit carryforwards</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2,945</w:t>
            </w:r>
          </w:p>
        </w:tc>
        <w:tc>
          <w:tcPr>
            <w:tcW w:w="80" w:type="dxa"/>
            <w:vAlign w:val="bottom"/>
            <w:shd w:val="clear" w:color="auto" w:fill="CFF0FC"/>
          </w:tcPr>
          <w:p>
            <w:pPr>
              <w:spacing w:after="0"/>
              <w:rPr>
                <w:sz w:val="20"/>
                <w:szCs w:val="20"/>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6"/>
                <w:szCs w:val="16"/>
                <w:color w:val="auto"/>
              </w:rPr>
              <w:t>Section 174 cost capitalization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Section 59(e) cost capitalization</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9"/>
                <w:szCs w:val="19"/>
                <w:color w:val="auto"/>
              </w:rPr>
            </w:pPr>
          </w:p>
        </w:tc>
      </w:tr>
      <w:tr>
        <w:trPr>
          <w:trHeight w:val="233"/>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Gross deferred tax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57,641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34,800</w:t>
            </w:r>
          </w:p>
        </w:tc>
        <w:tc>
          <w:tcPr>
            <w:tcW w:w="80" w:type="dxa"/>
            <w:vAlign w:val="bottom"/>
          </w:tcPr>
          <w:p>
            <w:pPr>
              <w:spacing w:after="0"/>
              <w:rPr>
                <w:sz w:val="19"/>
                <w:szCs w:val="19"/>
                <w:color w:val="auto"/>
              </w:rPr>
            </w:pPr>
          </w:p>
        </w:tc>
      </w:tr>
      <w:tr>
        <w:trPr>
          <w:trHeight w:val="233"/>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Less: valuation allowance</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(56,706 )</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(33,351 )</w:t>
            </w:r>
          </w:p>
        </w:tc>
      </w:tr>
      <w:tr>
        <w:trPr>
          <w:trHeight w:val="223"/>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Total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80" w:type="dxa"/>
            <w:vAlign w:val="bottom"/>
            <w:tcBorders>
              <w:top w:val="single" w:sz="8" w:color="CFF0FC"/>
            </w:tcBorders>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6"/>
                <w:szCs w:val="16"/>
                <w:color w:val="auto"/>
              </w:rPr>
              <w:t>Fixed assets</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(426 )</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(756 )</w:t>
            </w:r>
          </w:p>
        </w:tc>
      </w:tr>
      <w:tr>
        <w:trPr>
          <w:trHeight w:val="229"/>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right-of-use asset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(509 )</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(693 )</w:t>
            </w:r>
          </w:p>
        </w:tc>
      </w:tr>
      <w:tr>
        <w:trPr>
          <w:trHeight w:val="23"/>
        </w:trPr>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1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Total deferred tax liabilities</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(935 )</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(1,449 )</w:t>
            </w:r>
          </w:p>
        </w:tc>
      </w:tr>
      <w:tr>
        <w:trPr>
          <w:trHeight w:val="263"/>
        </w:trPr>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tax assets</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-1233805</wp:posOffset>
            </wp:positionV>
            <wp:extent cx="51435"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4318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-934085</wp:posOffset>
            </wp:positionV>
            <wp:extent cx="51435" cy="1631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-934085</wp:posOffset>
            </wp:positionV>
            <wp:extent cx="4318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-334010</wp:posOffset>
            </wp:positionV>
            <wp:extent cx="51435" cy="163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-334010</wp:posOffset>
            </wp:positionV>
            <wp:extent cx="4318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ind w:left="260" w:right="540" w:firstLine="464"/>
        <w:spacing w:after="0" w:line="369" w:lineRule="auto"/>
        <w:rPr>
          <w:sz w:val="20"/>
          <w:szCs w:val="20"/>
          <w:color w:val="auto"/>
        </w:rPr>
      </w:pPr>
      <w:r>
        <w:rPr>
          <w:rFonts w:ascii="Arial" w:cs="Arial" w:eastAsia="Arial" w:hAnsi="Arial"/>
          <w:sz w:val="14"/>
          <w:szCs w:val="14"/>
          <w:color w:val="auto"/>
        </w:rPr>
        <w:t>A valuation allowance of approximately $56.7 million as of December 31, 2022 has been established to offset the deferred tax assets as the Company has determined that it is not more likely than not that these assets will be realized. The valuation allowance increased by approximately $23.4 million during 2022.</w:t>
      </w:r>
    </w:p>
    <w:p>
      <w:pPr>
        <w:spacing w:after="0" w:line="99" w:lineRule="exact"/>
        <w:rPr>
          <w:sz w:val="20"/>
          <w:szCs w:val="20"/>
          <w:color w:val="auto"/>
        </w:rPr>
      </w:pPr>
    </w:p>
    <w:p>
      <w:pPr>
        <w:ind w:left="260" w:right="180" w:firstLine="458"/>
        <w:spacing w:after="0" w:line="293" w:lineRule="auto"/>
        <w:rPr>
          <w:sz w:val="20"/>
          <w:szCs w:val="20"/>
          <w:color w:val="auto"/>
        </w:rPr>
      </w:pPr>
      <w:r>
        <w:rPr>
          <w:rFonts w:ascii="Arial" w:cs="Arial" w:eastAsia="Arial" w:hAnsi="Arial"/>
          <w:sz w:val="16"/>
          <w:szCs w:val="16"/>
          <w:color w:val="auto"/>
        </w:rPr>
        <w:t>At December 31, 2022, the Company had federal and state net operating loss carryforwards of approximately $83.0 million and $0.2 million, respectively. The federal and state net operating losses can be carried forward indefinitely, subject to an 80% limitation against taxable income.</w:t>
      </w:r>
    </w:p>
    <w:p>
      <w:pPr>
        <w:spacing w:after="0" w:line="158" w:lineRule="exact"/>
        <w:rPr>
          <w:sz w:val="20"/>
          <w:szCs w:val="20"/>
          <w:color w:val="auto"/>
        </w:rPr>
      </w:pPr>
    </w:p>
    <w:p>
      <w:pPr>
        <w:ind w:left="260" w:right="100" w:firstLine="458"/>
        <w:spacing w:after="0" w:line="328" w:lineRule="auto"/>
        <w:rPr>
          <w:sz w:val="20"/>
          <w:szCs w:val="20"/>
          <w:color w:val="auto"/>
        </w:rPr>
      </w:pPr>
      <w:r>
        <w:rPr>
          <w:rFonts w:ascii="Arial" w:cs="Arial" w:eastAsia="Arial" w:hAnsi="Arial"/>
          <w:sz w:val="15"/>
          <w:szCs w:val="15"/>
          <w:color w:val="auto"/>
        </w:rPr>
        <w:t>At December 31, 2022, the Company had federal and California research and development credit carryforwards of approximately $3.7 million and $2.0 million, respectively. The federal credit carryforwards will begin to expire in 2040, unless previously utilized. The California credits will carry forward indefinitely.</w:t>
      </w:r>
    </w:p>
    <w:p>
      <w:pPr>
        <w:spacing w:after="0" w:line="123" w:lineRule="exact"/>
        <w:rPr>
          <w:sz w:val="20"/>
          <w:szCs w:val="20"/>
          <w:color w:val="auto"/>
        </w:rPr>
      </w:pPr>
    </w:p>
    <w:p>
      <w:pPr>
        <w:ind w:left="260" w:firstLine="458"/>
        <w:spacing w:after="0" w:line="293" w:lineRule="auto"/>
        <w:rPr>
          <w:sz w:val="20"/>
          <w:szCs w:val="20"/>
          <w:color w:val="auto"/>
        </w:rPr>
      </w:pPr>
      <w:r>
        <w:rPr>
          <w:rFonts w:ascii="Arial" w:cs="Arial" w:eastAsia="Arial" w:hAnsi="Arial"/>
          <w:sz w:val="16"/>
          <w:szCs w:val="16"/>
          <w:color w:val="auto"/>
        </w:rPr>
        <w:t>At December 31, 2022, the Company also had federal orphan drug credit carryforwards of approximately $2.3 million. The orphan drug credit carryforwards will begin to expire in 2041, unless previously utilized.</w:t>
      </w:r>
    </w:p>
    <w:p>
      <w:pPr>
        <w:spacing w:after="0" w:line="158"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Pursuant to Internal Revenue Code (“IRC”) Sections 382 and 383, annual use of the Company’s net operating loss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spacing w:after="0" w:line="149" w:lineRule="exact"/>
        <w:rPr>
          <w:sz w:val="20"/>
          <w:szCs w:val="20"/>
          <w:color w:val="auto"/>
        </w:rPr>
      </w:pPr>
    </w:p>
    <w:p>
      <w:pPr>
        <w:ind w:left="260" w:right="100" w:firstLine="458"/>
        <w:spacing w:after="0" w:line="273" w:lineRule="auto"/>
        <w:rPr>
          <w:sz w:val="20"/>
          <w:szCs w:val="20"/>
          <w:color w:val="auto"/>
        </w:rPr>
      </w:pPr>
      <w:r>
        <w:rPr>
          <w:rFonts w:ascii="Arial" w:cs="Arial" w:eastAsia="Arial" w:hAnsi="Arial"/>
          <w:sz w:val="16"/>
          <w:szCs w:val="16"/>
          <w:color w:val="auto"/>
        </w:rPr>
        <w:t>Pursuant to the Paycheck Protection Program (the “PPP”) of the CARES Act, the Company received a PPP loan in the amount of $0.7 million. In 2021, the Company received forgiveness of the PPP loan. The loan forgiveness income is not considered taxable for Federal or state income tax purposes. In accordance with the Consolidated Appropriations Act, 2021 (CAA) enacted on December 27, 2020, certain qualified expenses used with the funds of the PPP Loan are fully deductible for Federal income tax purposes; however, California does not conform to this aspect of the CAA.</w:t>
      </w:r>
    </w:p>
    <w:p>
      <w:pPr>
        <w:spacing w:after="0" w:line="162"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guidance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 reconciliation of the beginning and ending unrecognized tax benefit amount is as follows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Unrecognized tax benefits - beginning</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1180" w:type="dxa"/>
            <w:vAlign w:val="bottom"/>
            <w:gridSpan w:val="2"/>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9"/>
                <w:szCs w:val="19"/>
                <w:color w:val="auto"/>
              </w:rPr>
            </w:pPr>
          </w:p>
        </w:tc>
      </w:tr>
      <w:tr>
        <w:trPr>
          <w:trHeight w:val="220"/>
        </w:trPr>
        <w:tc>
          <w:tcPr>
            <w:tcW w:w="4740" w:type="dxa"/>
            <w:vAlign w:val="bottom"/>
          </w:tcPr>
          <w:p>
            <w:pPr>
              <w:ind w:left="180"/>
              <w:spacing w:after="0"/>
              <w:rPr>
                <w:sz w:val="20"/>
                <w:szCs w:val="20"/>
                <w:color w:val="auto"/>
              </w:rPr>
            </w:pPr>
            <w:r>
              <w:rPr>
                <w:rFonts w:ascii="Arial" w:cs="Arial" w:eastAsia="Arial" w:hAnsi="Arial"/>
                <w:sz w:val="16"/>
                <w:szCs w:val="16"/>
                <w:color w:val="auto"/>
              </w:rPr>
              <w:t>Gross increases - tax positions in prior period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9"/>
                <w:szCs w:val="19"/>
                <w:color w:val="auto"/>
              </w:rPr>
            </w:pPr>
          </w:p>
        </w:tc>
      </w:tr>
      <w:tr>
        <w:trPr>
          <w:trHeight w:val="233"/>
        </w:trPr>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Gross increase – current-period tax positions</w:t>
            </w:r>
          </w:p>
        </w:tc>
        <w:tc>
          <w:tcPr>
            <w:tcW w:w="9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6"/>
                <w:szCs w:val="16"/>
                <w:color w:val="auto"/>
              </w:rPr>
              <w:t>Unrecognized tax benefits - ending</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1,968</w:t>
            </w:r>
          </w:p>
        </w:tc>
        <w:tc>
          <w:tcPr>
            <w:tcW w:w="118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-179705</wp:posOffset>
            </wp:positionV>
            <wp:extent cx="51435" cy="180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18034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-179705</wp:posOffset>
            </wp:positionV>
            <wp:extent cx="43180" cy="180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180340"/>
                    </a:xfrm>
                    <a:prstGeom prst="rect">
                      <a:avLst/>
                    </a:prstGeom>
                    <a:noFill/>
                  </pic:spPr>
                </pic:pic>
              </a:graphicData>
            </a:graphic>
          </wp:anchor>
        </w:drawing>
      </w:r>
    </w:p>
    <w:p>
      <w:pPr>
        <w:spacing w:after="0" w:line="173" w:lineRule="exact"/>
        <w:rPr>
          <w:sz w:val="20"/>
          <w:szCs w:val="20"/>
          <w:color w:val="auto"/>
        </w:rPr>
      </w:pPr>
    </w:p>
    <w:p>
      <w:pPr>
        <w:ind w:left="260" w:firstLine="464"/>
        <w:spacing w:after="0" w:line="271" w:lineRule="auto"/>
        <w:rPr>
          <w:sz w:val="20"/>
          <w:szCs w:val="20"/>
          <w:color w:val="auto"/>
        </w:rPr>
      </w:pPr>
      <w:r>
        <w:rPr>
          <w:rFonts w:ascii="Arial" w:cs="Arial" w:eastAsia="Arial" w:hAnsi="Arial"/>
          <w:sz w:val="16"/>
          <w:szCs w:val="16"/>
          <w:color w:val="auto"/>
        </w:rPr>
        <w:t>As of December 31, 2022, the Company had gross unrecognized tax benefits of approximately $2.0 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consolidated balance sheet and has not recognized interest or penalties in the consolidated statements of net and comprehensive income for the year ended December 31, 2022. The Company does not anticipate a significant change to its liability for unrecognized tax benefits within the next twelve months.</w:t>
      </w:r>
    </w:p>
    <w:p>
      <w:pPr>
        <w:spacing w:after="0" w:line="163" w:lineRule="exact"/>
        <w:rPr>
          <w:sz w:val="20"/>
          <w:szCs w:val="20"/>
          <w:color w:val="auto"/>
        </w:rPr>
      </w:pPr>
    </w:p>
    <w:p>
      <w:pPr>
        <w:ind w:left="260" w:right="80" w:firstLine="458"/>
        <w:spacing w:after="0" w:line="273" w:lineRule="auto"/>
        <w:rPr>
          <w:sz w:val="20"/>
          <w:szCs w:val="20"/>
          <w:color w:val="auto"/>
        </w:rPr>
      </w:pPr>
      <w:r>
        <w:rPr>
          <w:rFonts w:ascii="Arial" w:cs="Arial" w:eastAsia="Arial" w:hAnsi="Arial"/>
          <w:sz w:val="16"/>
          <w:szCs w:val="16"/>
          <w:color w:val="auto"/>
        </w:rPr>
        <w:t>The Company is subject to taxation in the United States and various state jurisdictions. The Company is subject to examination by tax authorities in those jurisdictions since 2019 and 2018, respectively, and forward. However,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12. Subsequent events</w:t>
      </w:r>
    </w:p>
    <w:p>
      <w:pPr>
        <w:spacing w:after="0" w:line="117" w:lineRule="exact"/>
        <w:rPr>
          <w:sz w:val="20"/>
          <w:szCs w:val="20"/>
          <w:color w:val="auto"/>
        </w:rPr>
      </w:pPr>
    </w:p>
    <w:p>
      <w:pPr>
        <w:ind w:left="260" w:right="80" w:firstLine="464"/>
        <w:spacing w:after="0" w:line="273" w:lineRule="auto"/>
        <w:rPr>
          <w:sz w:val="20"/>
          <w:szCs w:val="20"/>
          <w:color w:val="auto"/>
        </w:rPr>
      </w:pPr>
      <w:r>
        <w:rPr>
          <w:rFonts w:ascii="Arial" w:cs="Arial" w:eastAsia="Arial" w:hAnsi="Arial"/>
          <w:sz w:val="16"/>
          <w:szCs w:val="16"/>
          <w:color w:val="auto"/>
        </w:rPr>
        <w:t>The Company has completed an evaluation of all subsequent events through March 23, 2023 for the financial statements as of and for the year ended December 31, 2022 to ensure these consolidated financial statements include appropriate disclosure of events both recognized in the consolidated financial statements and events which occurred but were not recognized in the consolidated financial statements. Except as described below or elsewhere in these consolidated financial statements, the Company has concluded that no subsequent event has occurred that requires disclosure.</w:t>
      </w:r>
    </w:p>
    <w:p>
      <w:pPr>
        <w:spacing w:after="0" w:line="162" w:lineRule="exact"/>
        <w:rPr>
          <w:sz w:val="20"/>
          <w:szCs w:val="20"/>
          <w:color w:val="auto"/>
        </w:rPr>
      </w:pPr>
    </w:p>
    <w:p>
      <w:pPr>
        <w:jc w:val="both"/>
        <w:ind w:left="260" w:right="160" w:firstLine="464"/>
        <w:spacing w:after="0" w:line="305" w:lineRule="auto"/>
        <w:rPr>
          <w:sz w:val="20"/>
          <w:szCs w:val="20"/>
          <w:color w:val="auto"/>
        </w:rPr>
      </w:pPr>
      <w:r>
        <w:rPr>
          <w:rFonts w:ascii="Arial" w:cs="Arial" w:eastAsia="Arial" w:hAnsi="Arial"/>
          <w:sz w:val="15"/>
          <w:szCs w:val="15"/>
          <w:color w:val="auto"/>
        </w:rPr>
        <w:t>In January 2023, BioAtla, Inc. (the “Company”) entered into an open market sale agreement under which the Company may offer and sell, from time to time in its sole discretion, shares of the Company’s common stock, par value $0.0001 per share, with aggregate gross sales proceeds of up to $100,000,000 through an “at the market” equity offering program under which Jefferies LLC will act as sales agent. No shares have been sold under the agreement to date.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None.</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9A. Controls and Procedures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ind w:left="260" w:right="140" w:firstLine="464"/>
        <w:spacing w:after="0" w:line="286" w:lineRule="auto"/>
        <w:rPr>
          <w:sz w:val="20"/>
          <w:szCs w:val="20"/>
          <w:color w:val="auto"/>
        </w:rPr>
      </w:pPr>
      <w:r>
        <w:rPr>
          <w:rFonts w:ascii="Arial" w:cs="Arial" w:eastAsia="Arial" w:hAnsi="Arial"/>
          <w:sz w:val="15"/>
          <w:szCs w:val="15"/>
          <w:color w:val="auto"/>
        </w:rPr>
        <w:t>As required by Rules 13a-15(b) and 15d-15(b) of the Exchange Act, our management with the participation of our Chief Executive Officer and our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our Chief Financial Officer concluded that, as of such date, our disclosure controls and procedures were effective at the reasonable assurance level.</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31" w:lineRule="exact"/>
        <w:rPr>
          <w:sz w:val="20"/>
          <w:szCs w:val="20"/>
          <w:color w:val="auto"/>
        </w:rPr>
      </w:pPr>
    </w:p>
    <w:p>
      <w:pPr>
        <w:ind w:left="260" w:right="360" w:firstLine="458"/>
        <w:spacing w:after="0" w:line="293"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2022, to provide reasonable assurance regarding the reliability of financial reporting and the preparation of financial statements in accordance with GAAP.</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ind w:left="260" w:firstLine="458"/>
        <w:spacing w:after="0" w:line="27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any changes in our internal control over financial reporting (as such term is defined in Rules 13a-15(d) and 15d-15(d) under the Exchange Act) that occurred during our most recently completed fiscal quarter. Based on that evaluation, our principal executive officers and principal financial officer concluded that there has not been any material change in our internal control over financial reporting during the fourth quarter of fiscal 2022 that materially affected, or is reasonably likely to materially affect, our internal control over financial reporting.</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Limitations on Effectiveness of Controls and Procedures and Internal Control over Financial Reporting</w:t>
      </w:r>
    </w:p>
    <w:p>
      <w:pPr>
        <w:spacing w:after="0" w:line="117" w:lineRule="exact"/>
        <w:rPr>
          <w:sz w:val="20"/>
          <w:szCs w:val="20"/>
          <w:color w:val="auto"/>
        </w:rPr>
      </w:pPr>
    </w:p>
    <w:p>
      <w:pPr>
        <w:ind w:left="260" w:right="80" w:firstLine="458"/>
        <w:spacing w:after="0" w:line="273"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See Management’s Report on Internal Control over Financial Reporting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9C. Disclosure Regarding Foreign Jurisdictions that Prevent Inspections</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III</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17" w:lineRule="exact"/>
        <w:rPr>
          <w:sz w:val="20"/>
          <w:szCs w:val="20"/>
          <w:color w:val="auto"/>
        </w:rPr>
      </w:pPr>
    </w:p>
    <w:p>
      <w:pPr>
        <w:ind w:left="260" w:right="820" w:firstLine="458"/>
        <w:spacing w:after="0" w:line="293" w:lineRule="auto"/>
        <w:rPr>
          <w:sz w:val="20"/>
          <w:szCs w:val="20"/>
          <w:color w:val="auto"/>
        </w:rPr>
      </w:pPr>
      <w:r>
        <w:rPr>
          <w:rFonts w:ascii="Arial" w:cs="Arial" w:eastAsia="Arial" w:hAnsi="Arial"/>
          <w:sz w:val="16"/>
          <w:szCs w:val="16"/>
          <w:color w:val="auto"/>
        </w:rPr>
        <w:t>Except to the extent provided below, the information required by this Item 10 will be included in our Proxy Statement to be filed with the SEC and is incorporated herein by reference.</w:t>
      </w:r>
    </w:p>
    <w:p>
      <w:pPr>
        <w:spacing w:after="0" w:line="158" w:lineRule="exact"/>
        <w:rPr>
          <w:sz w:val="20"/>
          <w:szCs w:val="20"/>
          <w:color w:val="auto"/>
        </w:rPr>
      </w:pPr>
    </w:p>
    <w:p>
      <w:pPr>
        <w:ind w:left="260" w:firstLine="458"/>
        <w:spacing w:after="0" w:line="293" w:lineRule="auto"/>
        <w:rPr>
          <w:sz w:val="20"/>
          <w:szCs w:val="20"/>
          <w:color w:val="auto"/>
        </w:rPr>
      </w:pPr>
      <w:r>
        <w:rPr>
          <w:rFonts w:ascii="Arial" w:cs="Arial" w:eastAsia="Arial" w:hAnsi="Arial"/>
          <w:sz w:val="15"/>
          <w:szCs w:val="15"/>
          <w:color w:val="auto"/>
        </w:rPr>
        <w:t>We have adopted a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www.bioatla.com.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11. Executive Compensation</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information required by this Item 11 will be included in our Proxy Statement to be filed with the SEC and is incorporated herein by reference.</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information required by this Item 12 will be included in our Proxy Statement to be filed with the SEC and is incorporated herein by reference.</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13. Certain Relationships and Related Party Transactions, and Director Independence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information required by this Item 13 will be included in our Proxy Statement to be filed with the SEC and is incorporated herein by reference.</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information required by this Item 14 will be included in our Proxy Statement to be filed with the SEC and is incorporated herein by reference.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IV</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27" w:lineRule="exact"/>
        <w:rPr>
          <w:sz w:val="20"/>
          <w:szCs w:val="20"/>
          <w:color w:val="auto"/>
        </w:rPr>
      </w:pPr>
    </w:p>
    <w:p>
      <w:pPr>
        <w:ind w:left="960" w:hanging="235"/>
        <w:spacing w:after="0"/>
        <w:tabs>
          <w:tab w:leader="none" w:pos="9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files as part of this Annual Report on Form 10-K:</w:t>
      </w:r>
    </w:p>
    <w:p>
      <w:pPr>
        <w:spacing w:after="0" w:line="113" w:lineRule="exact"/>
        <w:rPr>
          <w:rFonts w:ascii="Arial" w:cs="Arial" w:eastAsia="Arial" w:hAnsi="Arial"/>
          <w:sz w:val="16"/>
          <w:szCs w:val="16"/>
          <w:b w:val="1"/>
          <w:bCs w:val="1"/>
          <w:color w:val="auto"/>
        </w:rPr>
      </w:pPr>
    </w:p>
    <w:p>
      <w:pPr>
        <w:ind w:left="1420" w:hanging="237"/>
        <w:spacing w:after="0"/>
        <w:tabs>
          <w:tab w:leader="none" w:pos="1420"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11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The response to this portion of Item 15 is set forth under Item 8 hereof.</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(2) Financial Statement Schedules</w:t>
      </w:r>
    </w:p>
    <w:p>
      <w:pPr>
        <w:spacing w:after="0" w:line="117" w:lineRule="exact"/>
        <w:rPr>
          <w:sz w:val="20"/>
          <w:szCs w:val="20"/>
          <w:color w:val="auto"/>
        </w:rPr>
      </w:pPr>
    </w:p>
    <w:p>
      <w:pPr>
        <w:ind w:left="1520" w:right="500"/>
        <w:spacing w:after="0" w:line="293" w:lineRule="auto"/>
        <w:rPr>
          <w:sz w:val="20"/>
          <w:szCs w:val="20"/>
          <w:color w:val="auto"/>
        </w:rPr>
      </w:pPr>
      <w:r>
        <w:rPr>
          <w:rFonts w:ascii="Arial" w:cs="Arial" w:eastAsia="Arial" w:hAnsi="Arial"/>
          <w:sz w:val="16"/>
          <w:szCs w:val="16"/>
          <w:color w:val="auto"/>
        </w:rPr>
        <w:t>All financial statement schedules have been omitted because they are not applicable, not required, or the information required is shown in the consolidated financial statements or the notes thereto.</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(3) Exhibits</w:t>
      </w:r>
    </w:p>
    <w:p>
      <w:pPr>
        <w:spacing w:after="0" w:line="131" w:lineRule="exact"/>
        <w:rPr>
          <w:sz w:val="20"/>
          <w:szCs w:val="20"/>
          <w:color w:val="auto"/>
        </w:rPr>
      </w:pPr>
    </w:p>
    <w:p>
      <w:pPr>
        <w:ind w:left="1520"/>
        <w:spacing w:after="0" w:line="328" w:lineRule="auto"/>
        <w:rPr>
          <w:sz w:val="20"/>
          <w:szCs w:val="20"/>
          <w:color w:val="auto"/>
        </w:rPr>
      </w:pPr>
      <w:r>
        <w:rPr>
          <w:rFonts w:ascii="Arial" w:cs="Arial" w:eastAsia="Arial" w:hAnsi="Arial"/>
          <w:sz w:val="15"/>
          <w:szCs w:val="15"/>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16. Form 10-K Summary</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Exhibit Index</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exhibits, if not filed or furnished herewith, are incorporated herein by reference to this Annual Report on form 10-K:</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780" w:type="dxa"/>
            <w:vAlign w:val="bottom"/>
          </w:tcPr>
          <w:p>
            <w:pPr>
              <w:ind w:left="180"/>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Filed/Furnished</w:t>
            </w:r>
          </w:p>
        </w:tc>
        <w:tc>
          <w:tcPr>
            <w:tcW w:w="80" w:type="dxa"/>
            <w:vAlign w:val="bottom"/>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26"/>
          </w:tcPr>
          <w:p>
            <w:pPr>
              <w:ind w:left="34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Herewith</w:t>
            </w:r>
          </w:p>
        </w:tc>
        <w:tc>
          <w:tcPr>
            <w:tcW w:w="80" w:type="dxa"/>
            <w:vAlign w:val="bottom"/>
          </w:tcPr>
          <w:p>
            <w:pPr>
              <w:spacing w:after="0"/>
              <w:rPr>
                <w:sz w:val="14"/>
                <w:szCs w:val="14"/>
                <w:color w:val="auto"/>
              </w:rPr>
            </w:pPr>
          </w:p>
        </w:tc>
      </w:tr>
      <w:tr>
        <w:trPr>
          <w:trHeight w:val="278"/>
        </w:trPr>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4"/>
          </w:tcPr>
          <w:p>
            <w:pPr>
              <w:spacing w:after="0"/>
              <w:rPr>
                <w:rFonts w:ascii="Arial" w:cs="Arial" w:eastAsia="Arial" w:hAnsi="Arial"/>
                <w:sz w:val="16"/>
                <w:szCs w:val="16"/>
                <w:color w:val="0000FF"/>
              </w:rPr>
            </w:pPr>
            <w:hyperlink r:id="rId338">
              <w:r>
                <w:rPr>
                  <w:rFonts w:ascii="Arial" w:cs="Arial" w:eastAsia="Arial" w:hAnsi="Arial"/>
                  <w:sz w:val="16"/>
                  <w:szCs w:val="16"/>
                  <w:color w:val="0000FF"/>
                </w:rPr>
                <w:t>Amended and Restated Certificate of Incorporation of BioAtla, Inc.</w:t>
              </w:r>
            </w:hyperlink>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001-39787</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3.1</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12-18-2020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2"/>
              </w:rPr>
            </w:pPr>
            <w:hyperlink r:id="rId339">
              <w:r>
                <w:rPr>
                  <w:rFonts w:ascii="Arial" w:cs="Arial" w:eastAsia="Arial" w:hAnsi="Arial"/>
                  <w:sz w:val="16"/>
                  <w:szCs w:val="16"/>
                  <w:color w:val="0000FF"/>
                  <w:w w:val="92"/>
                </w:rPr>
                <w:t>Amended and Restated Bylaws of BioAtla, Inc.</w:t>
              </w:r>
            </w:hyperlink>
          </w:p>
        </w:tc>
        <w:tc>
          <w:tcPr>
            <w:tcW w:w="20" w:type="dxa"/>
            <w:vAlign w:val="bottom"/>
            <w:tcBorders>
              <w:top w:val="single" w:sz="8" w:color="0000FF"/>
              <w:bottom w:val="single" w:sz="8" w:color="0000EE"/>
            </w:tcBorders>
          </w:tcPr>
          <w:p>
            <w:pPr>
              <w:spacing w:after="0"/>
              <w:rPr>
                <w:sz w:val="24"/>
                <w:szCs w:val="24"/>
                <w:color w:val="auto"/>
              </w:rPr>
            </w:pPr>
          </w:p>
        </w:tc>
        <w:tc>
          <w:tcPr>
            <w:tcW w:w="1260" w:type="dxa"/>
            <w:vAlign w:val="bottom"/>
            <w:tcBorders>
              <w:top w:val="single" w:sz="8" w:color="0000FF"/>
            </w:tcBorders>
            <w:gridSpan w:val="7"/>
          </w:tcPr>
          <w:p>
            <w:pPr>
              <w:spacing w:after="0"/>
              <w:rPr>
                <w:sz w:val="24"/>
                <w:szCs w:val="24"/>
                <w:color w:val="auto"/>
              </w:rPr>
            </w:pPr>
          </w:p>
        </w:tc>
        <w:tc>
          <w:tcPr>
            <w:tcW w:w="90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001-39787</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3.2</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12-18-2020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4"/>
          </w:tcPr>
          <w:p>
            <w:pPr>
              <w:spacing w:after="0"/>
              <w:rPr>
                <w:rFonts w:ascii="Arial" w:cs="Arial" w:eastAsia="Arial" w:hAnsi="Arial"/>
                <w:sz w:val="16"/>
                <w:szCs w:val="16"/>
                <w:color w:val="0000FF"/>
                <w:w w:val="95"/>
              </w:rPr>
            </w:pPr>
            <w:hyperlink r:id="rId340">
              <w:r>
                <w:rPr>
                  <w:rFonts w:ascii="Arial" w:cs="Arial" w:eastAsia="Arial" w:hAnsi="Arial"/>
                  <w:sz w:val="16"/>
                  <w:szCs w:val="16"/>
                  <w:color w:val="0000FF"/>
                  <w:w w:val="95"/>
                </w:rPr>
                <w:t>Specimen Common Stock Certificate evidencing the shares of common stock</w:t>
              </w:r>
            </w:hyperlink>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4.1</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top w:val="single" w:sz="8" w:color="0000FF"/>
            </w:tcBorders>
            <w:gridSpan w:val="25"/>
          </w:tcPr>
          <w:p>
            <w:pPr>
              <w:spacing w:after="0"/>
              <w:rPr>
                <w:rFonts w:ascii="Arial" w:cs="Arial" w:eastAsia="Arial" w:hAnsi="Arial"/>
                <w:sz w:val="16"/>
                <w:szCs w:val="16"/>
                <w:color w:val="0000FF"/>
              </w:rPr>
            </w:pPr>
            <w:hyperlink r:id="rId341">
              <w:r>
                <w:rPr>
                  <w:rFonts w:ascii="Arial" w:cs="Arial" w:eastAsia="Arial" w:hAnsi="Arial"/>
                  <w:sz w:val="16"/>
                  <w:szCs w:val="16"/>
                  <w:color w:val="0000FF"/>
                </w:rPr>
                <w:t>Investors’ Rights Agreement, dated July 13, 2020</w:t>
              </w:r>
            </w:hyperlink>
          </w:p>
        </w:tc>
        <w:tc>
          <w:tcPr>
            <w:tcW w:w="26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4.2</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1"/>
              </w:rPr>
              <w:t>Description of Securities</w:t>
            </w:r>
          </w:p>
        </w:tc>
        <w:tc>
          <w:tcPr>
            <w:tcW w:w="20" w:type="dxa"/>
            <w:vAlign w:val="bottom"/>
            <w:tcBorders>
              <w:top w:val="single" w:sz="8" w:color="0000FF"/>
              <w:bottom w:val="single" w:sz="8" w:color="0000EE"/>
            </w:tcBorders>
          </w:tcPr>
          <w:p>
            <w:pPr>
              <w:spacing w:after="0"/>
              <w:rPr>
                <w:sz w:val="24"/>
                <w:szCs w:val="24"/>
                <w:color w:val="auto"/>
              </w:rPr>
            </w:pPr>
          </w:p>
        </w:tc>
        <w:tc>
          <w:tcPr>
            <w:tcW w:w="1580" w:type="dxa"/>
            <w:vAlign w:val="bottom"/>
            <w:tcBorders>
              <w:top w:val="single" w:sz="8" w:color="0000FF"/>
            </w:tcBorders>
            <w:gridSpan w:val="8"/>
          </w:tcPr>
          <w:p>
            <w:pPr>
              <w:spacing w:after="0"/>
              <w:rPr>
                <w:sz w:val="24"/>
                <w:szCs w:val="24"/>
                <w:color w:val="auto"/>
              </w:rPr>
            </w:pPr>
          </w:p>
        </w:tc>
        <w:tc>
          <w:tcPr>
            <w:tcW w:w="2060" w:type="dxa"/>
            <w:vAlign w:val="bottom"/>
            <w:gridSpan w:val="19"/>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0000FF"/>
            </w:tcBorders>
            <w:gridSpan w:val="8"/>
          </w:tcPr>
          <w:p>
            <w:pPr>
              <w:spacing w:after="0"/>
              <w:rPr>
                <w:rFonts w:ascii="Arial" w:cs="Arial" w:eastAsia="Arial" w:hAnsi="Arial"/>
                <w:sz w:val="16"/>
                <w:szCs w:val="16"/>
                <w:color w:val="0000FF"/>
                <w:w w:val="91"/>
              </w:rPr>
            </w:pPr>
            <w:hyperlink r:id="rId342">
              <w:r>
                <w:rPr>
                  <w:rFonts w:ascii="Arial" w:cs="Arial" w:eastAsia="Arial" w:hAnsi="Arial"/>
                  <w:sz w:val="16"/>
                  <w:szCs w:val="16"/>
                  <w:color w:val="0000FF"/>
                  <w:w w:val="91"/>
                </w:rPr>
                <w:t>2020 Equity Incentive Plan</w:t>
              </w:r>
            </w:hyperlink>
          </w:p>
        </w:tc>
        <w:tc>
          <w:tcPr>
            <w:tcW w:w="3500" w:type="dxa"/>
            <w:vAlign w:val="bottom"/>
            <w:gridSpan w:val="26"/>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4"/>
          </w:tcPr>
          <w:p>
            <w:pPr>
              <w:spacing w:after="0"/>
              <w:rPr>
                <w:rFonts w:ascii="Arial" w:cs="Arial" w:eastAsia="Arial" w:hAnsi="Arial"/>
                <w:sz w:val="16"/>
                <w:szCs w:val="16"/>
                <w:color w:val="0000FF"/>
              </w:rPr>
            </w:pPr>
            <w:hyperlink r:id="rId343">
              <w:r>
                <w:rPr>
                  <w:rFonts w:ascii="Arial" w:cs="Arial" w:eastAsia="Arial" w:hAnsi="Arial"/>
                  <w:sz w:val="16"/>
                  <w:szCs w:val="16"/>
                  <w:color w:val="0000FF"/>
                </w:rPr>
                <w:t>Amendment No. 1 to 2020 Equity Incentive Plan</w:t>
              </w:r>
            </w:hyperlink>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S-8</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333-251520</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99.2</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12-18-2020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2"/>
              </w:rPr>
            </w:pPr>
            <w:hyperlink r:id="rId344">
              <w:r>
                <w:rPr>
                  <w:rFonts w:ascii="Arial" w:cs="Arial" w:eastAsia="Arial" w:hAnsi="Arial"/>
                  <w:sz w:val="16"/>
                  <w:szCs w:val="16"/>
                  <w:color w:val="0000FF"/>
                  <w:w w:val="92"/>
                </w:rPr>
                <w:t>Form of Restricted Stock Agreement</w:t>
              </w:r>
            </w:hyperlink>
          </w:p>
        </w:tc>
        <w:tc>
          <w:tcPr>
            <w:tcW w:w="740" w:type="dxa"/>
            <w:vAlign w:val="bottom"/>
            <w:tcBorders>
              <w:top w:val="single" w:sz="8" w:color="0000FF"/>
            </w:tcBorders>
            <w:gridSpan w:val="3"/>
          </w:tcPr>
          <w:p>
            <w:pPr>
              <w:spacing w:after="0"/>
              <w:rPr>
                <w:sz w:val="24"/>
                <w:szCs w:val="24"/>
                <w:color w:val="auto"/>
              </w:rPr>
            </w:pPr>
          </w:p>
        </w:tc>
        <w:tc>
          <w:tcPr>
            <w:tcW w:w="2100" w:type="dxa"/>
            <w:vAlign w:val="bottom"/>
            <w:gridSpan w:val="20"/>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10.2</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0000FF"/>
            </w:tcBorders>
            <w:gridSpan w:val="9"/>
          </w:tcPr>
          <w:p>
            <w:pPr>
              <w:spacing w:after="0"/>
              <w:rPr>
                <w:rFonts w:ascii="Arial" w:cs="Arial" w:eastAsia="Arial" w:hAnsi="Arial"/>
                <w:sz w:val="16"/>
                <w:szCs w:val="16"/>
                <w:color w:val="0000FF"/>
                <w:w w:val="89"/>
              </w:rPr>
            </w:pPr>
            <w:hyperlink r:id="rId345">
              <w:r>
                <w:rPr>
                  <w:rFonts w:ascii="Arial" w:cs="Arial" w:eastAsia="Arial" w:hAnsi="Arial"/>
                  <w:sz w:val="16"/>
                  <w:szCs w:val="16"/>
                  <w:color w:val="0000FF"/>
                  <w:w w:val="89"/>
                </w:rPr>
                <w:t>2020 Employee Stock Purchase Plan</w:t>
              </w:r>
            </w:hyperlink>
          </w:p>
        </w:tc>
        <w:tc>
          <w:tcPr>
            <w:tcW w:w="20" w:type="dxa"/>
            <w:vAlign w:val="bottom"/>
            <w:tcBorders>
              <w:bottom w:val="single" w:sz="8" w:color="0000EE"/>
            </w:tcBorders>
          </w:tcPr>
          <w:p>
            <w:pPr>
              <w:spacing w:after="0"/>
              <w:rPr>
                <w:sz w:val="24"/>
                <w:szCs w:val="24"/>
                <w:color w:val="auto"/>
              </w:rPr>
            </w:pPr>
          </w:p>
        </w:tc>
        <w:tc>
          <w:tcPr>
            <w:tcW w:w="2860" w:type="dxa"/>
            <w:vAlign w:val="bottom"/>
            <w:gridSpan w:val="24"/>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10.3</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4"/>
          </w:tcPr>
          <w:p>
            <w:pPr>
              <w:spacing w:after="0"/>
              <w:rPr>
                <w:rFonts w:ascii="Arial" w:cs="Arial" w:eastAsia="Arial" w:hAnsi="Arial"/>
                <w:sz w:val="16"/>
                <w:szCs w:val="16"/>
                <w:color w:val="0000FF"/>
              </w:rPr>
            </w:pPr>
            <w:hyperlink r:id="rId346">
              <w:r>
                <w:rPr>
                  <w:rFonts w:ascii="Arial" w:cs="Arial" w:eastAsia="Arial" w:hAnsi="Arial"/>
                  <w:sz w:val="16"/>
                  <w:szCs w:val="16"/>
                  <w:color w:val="0000FF"/>
                </w:rPr>
                <w:t>Exclusive Rights Agreement with Himalaya SEZC, dated January 1, 2020</w:t>
              </w:r>
            </w:hyperlink>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10.4</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29"/>
          </w:tcPr>
          <w:p>
            <w:pPr>
              <w:spacing w:after="0"/>
              <w:rPr>
                <w:rFonts w:ascii="Arial" w:cs="Arial" w:eastAsia="Arial" w:hAnsi="Arial"/>
                <w:sz w:val="16"/>
                <w:szCs w:val="16"/>
                <w:color w:val="0000FF"/>
                <w:w w:val="92"/>
              </w:rPr>
            </w:pPr>
            <w:hyperlink r:id="rId347">
              <w:r>
                <w:rPr>
                  <w:rFonts w:ascii="Arial" w:cs="Arial" w:eastAsia="Arial" w:hAnsi="Arial"/>
                  <w:sz w:val="16"/>
                  <w:szCs w:val="16"/>
                  <w:color w:val="0000FF"/>
                  <w:w w:val="92"/>
                </w:rPr>
                <w:t>Exclusive License Agreement with Inversagen LLC, dated March 15, 2019, as</w:t>
              </w:r>
            </w:hyperlink>
          </w:p>
        </w:tc>
        <w:tc>
          <w:tcPr>
            <w:tcW w:w="1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10.5</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tcBorders>
              <w:bottom w:val="single" w:sz="8" w:color="0000FF"/>
            </w:tcBorders>
            <w:gridSpan w:val="27"/>
          </w:tcPr>
          <w:p>
            <w:pPr>
              <w:spacing w:after="0" w:line="183" w:lineRule="exact"/>
              <w:rPr>
                <w:rFonts w:ascii="Arial" w:cs="Arial" w:eastAsia="Arial" w:hAnsi="Arial"/>
                <w:sz w:val="16"/>
                <w:szCs w:val="16"/>
                <w:color w:val="0000FF"/>
                <w:w w:val="91"/>
              </w:rPr>
            </w:pPr>
            <w:hyperlink r:id="rId347">
              <w:r>
                <w:rPr>
                  <w:rFonts w:ascii="Arial" w:cs="Arial" w:eastAsia="Arial" w:hAnsi="Arial"/>
                  <w:sz w:val="16"/>
                  <w:szCs w:val="16"/>
                  <w:color w:val="0000FF"/>
                  <w:w w:val="91"/>
                </w:rPr>
                <w:t>amended by First Amendment to Exclusive License Agreement, dated July 7,</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3"/>
          </w:tcPr>
          <w:p>
            <w:pPr>
              <w:ind w:left="120"/>
              <w:spacing w:after="0" w:line="183" w:lineRule="exact"/>
              <w:rPr>
                <w:rFonts w:ascii="Arial" w:cs="Arial" w:eastAsia="Arial" w:hAnsi="Arial"/>
                <w:sz w:val="16"/>
                <w:szCs w:val="16"/>
                <w:color w:val="0000FF"/>
                <w:w w:val="89"/>
              </w:rPr>
            </w:pPr>
            <w:hyperlink r:id="rId347">
              <w:r>
                <w:rPr>
                  <w:rFonts w:ascii="Arial" w:cs="Arial" w:eastAsia="Arial" w:hAnsi="Arial"/>
                  <w:sz w:val="16"/>
                  <w:szCs w:val="16"/>
                  <w:color w:val="0000FF"/>
                  <w:w w:val="89"/>
                </w:rPr>
                <w:t>2020</w:t>
              </w:r>
            </w:hyperlink>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4"/>
          </w:tcPr>
          <w:p>
            <w:pPr>
              <w:spacing w:after="0"/>
              <w:rPr>
                <w:rFonts w:ascii="Arial" w:cs="Arial" w:eastAsia="Arial" w:hAnsi="Arial"/>
                <w:sz w:val="16"/>
                <w:szCs w:val="16"/>
                <w:color w:val="0000FF"/>
                <w:w w:val="94"/>
              </w:rPr>
            </w:pPr>
            <w:hyperlink r:id="rId348">
              <w:r>
                <w:rPr>
                  <w:rFonts w:ascii="Arial" w:cs="Arial" w:eastAsia="Arial" w:hAnsi="Arial"/>
                  <w:sz w:val="16"/>
                  <w:szCs w:val="16"/>
                  <w:color w:val="0000FF"/>
                  <w:w w:val="94"/>
                </w:rPr>
                <w:t>Exclusive License Agreement with BioAtla Holdings LLC, dated January 1,</w:t>
              </w:r>
            </w:hyperlink>
          </w:p>
        </w:tc>
        <w:tc>
          <w:tcPr>
            <w:tcW w:w="28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10.6</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bottom w:val="single" w:sz="8" w:color="0000FF"/>
            </w:tcBorders>
            <w:gridSpan w:val="29"/>
          </w:tcPr>
          <w:p>
            <w:pPr>
              <w:spacing w:after="0" w:line="183" w:lineRule="exact"/>
              <w:rPr>
                <w:rFonts w:ascii="Arial" w:cs="Arial" w:eastAsia="Arial" w:hAnsi="Arial"/>
                <w:sz w:val="16"/>
                <w:szCs w:val="16"/>
                <w:color w:val="0000FF"/>
                <w:w w:val="91"/>
              </w:rPr>
            </w:pPr>
            <w:hyperlink r:id="rId348">
              <w:r>
                <w:rPr>
                  <w:rFonts w:ascii="Arial" w:cs="Arial" w:eastAsia="Arial" w:hAnsi="Arial"/>
                  <w:sz w:val="16"/>
                  <w:szCs w:val="16"/>
                  <w:color w:val="0000FF"/>
                  <w:w w:val="91"/>
                </w:rPr>
                <w:t>2020, as amended by First Amendment to Exclusive License agreement, dated</w:t>
              </w:r>
            </w:hyperlink>
          </w:p>
        </w:tc>
        <w:tc>
          <w:tcPr>
            <w:tcW w:w="14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gridSpan w:val="34"/>
          </w:tcPr>
          <w:p>
            <w:pPr>
              <w:spacing w:after="0" w:line="183" w:lineRule="exact"/>
              <w:rPr>
                <w:rFonts w:ascii="Arial" w:cs="Arial" w:eastAsia="Arial" w:hAnsi="Arial"/>
                <w:sz w:val="16"/>
                <w:szCs w:val="16"/>
                <w:color w:val="0000FF"/>
              </w:rPr>
            </w:pPr>
            <w:hyperlink r:id="rId348">
              <w:r>
                <w:rPr>
                  <w:rFonts w:ascii="Arial" w:cs="Arial" w:eastAsia="Arial" w:hAnsi="Arial"/>
                  <w:sz w:val="16"/>
                  <w:szCs w:val="16"/>
                  <w:color w:val="0000FF"/>
                </w:rPr>
                <w:t>July 7, 2020</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26"/>
          </w:tcPr>
          <w:p>
            <w:pPr>
              <w:spacing w:after="0"/>
              <w:rPr>
                <w:rFonts w:ascii="Arial" w:cs="Arial" w:eastAsia="Arial" w:hAnsi="Arial"/>
                <w:sz w:val="16"/>
                <w:szCs w:val="16"/>
                <w:color w:val="0000FF"/>
                <w:w w:val="93"/>
              </w:rPr>
            </w:pPr>
            <w:hyperlink r:id="rId349">
              <w:r>
                <w:rPr>
                  <w:rFonts w:ascii="Arial" w:cs="Arial" w:eastAsia="Arial" w:hAnsi="Arial"/>
                  <w:sz w:val="16"/>
                  <w:szCs w:val="16"/>
                  <w:color w:val="0000FF"/>
                  <w:w w:val="93"/>
                </w:rPr>
                <w:t>Amended and Restated Exclusive License Agreement with EXUMA Biotech</w:t>
              </w:r>
            </w:hyperlink>
          </w:p>
        </w:tc>
        <w:tc>
          <w:tcPr>
            <w:tcW w:w="2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10.7</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bottom w:val="single" w:sz="8" w:color="0000FF"/>
            </w:tcBorders>
            <w:gridSpan w:val="18"/>
          </w:tcPr>
          <w:p>
            <w:pPr>
              <w:spacing w:after="0" w:line="183" w:lineRule="exact"/>
              <w:rPr>
                <w:rFonts w:ascii="Arial" w:cs="Arial" w:eastAsia="Arial" w:hAnsi="Arial"/>
                <w:sz w:val="16"/>
                <w:szCs w:val="16"/>
                <w:color w:val="0000FF"/>
                <w:w w:val="92"/>
              </w:rPr>
            </w:pPr>
            <w:hyperlink r:id="rId349">
              <w:r>
                <w:rPr>
                  <w:rFonts w:ascii="Arial" w:cs="Arial" w:eastAsia="Arial" w:hAnsi="Arial"/>
                  <w:sz w:val="16"/>
                  <w:szCs w:val="16"/>
                  <w:color w:val="0000FF"/>
                  <w:w w:val="92"/>
                </w:rPr>
                <w:t>Corp. (formerly F1 Oncology, Inc.), dated November 22, 2019</w:t>
              </w:r>
            </w:hyperlink>
          </w:p>
        </w:tc>
        <w:tc>
          <w:tcPr>
            <w:tcW w:w="20" w:type="dxa"/>
            <w:vAlign w:val="bottom"/>
            <w:tcBorders>
              <w:bottom w:val="single" w:sz="8" w:color="0000EE"/>
            </w:tcBorders>
          </w:tcPr>
          <w:p>
            <w:pPr>
              <w:spacing w:after="0"/>
              <w:rPr>
                <w:sz w:val="15"/>
                <w:szCs w:val="15"/>
                <w:color w:val="auto"/>
              </w:rPr>
            </w:pPr>
          </w:p>
        </w:tc>
        <w:tc>
          <w:tcPr>
            <w:tcW w:w="1200" w:type="dxa"/>
            <w:vAlign w:val="bottom"/>
            <w:gridSpan w:val="1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30"/>
          </w:tcPr>
          <w:p>
            <w:pPr>
              <w:spacing w:after="0"/>
              <w:rPr>
                <w:rFonts w:ascii="Arial" w:cs="Arial" w:eastAsia="Arial" w:hAnsi="Arial"/>
                <w:sz w:val="16"/>
                <w:szCs w:val="16"/>
                <w:color w:val="0000FF"/>
                <w:w w:val="93"/>
              </w:rPr>
            </w:pPr>
            <w:hyperlink r:id="rId350">
              <w:r>
                <w:rPr>
                  <w:rFonts w:ascii="Arial" w:cs="Arial" w:eastAsia="Arial" w:hAnsi="Arial"/>
                  <w:sz w:val="16"/>
                  <w:szCs w:val="16"/>
                  <w:color w:val="0000FF"/>
                  <w:w w:val="93"/>
                </w:rPr>
                <w:t>Global Co-Development and Collaboration Agreement with BeiGene, Ltd. and</w:t>
              </w:r>
            </w:hyperlink>
          </w:p>
        </w:tc>
        <w:tc>
          <w:tcPr>
            <w:tcW w:w="1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10.8</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21"/>
          </w:tcPr>
          <w:p>
            <w:pPr>
              <w:spacing w:after="0" w:line="183" w:lineRule="exact"/>
              <w:rPr>
                <w:rFonts w:ascii="Arial" w:cs="Arial" w:eastAsia="Arial" w:hAnsi="Arial"/>
                <w:sz w:val="16"/>
                <w:szCs w:val="16"/>
                <w:color w:val="0000FF"/>
                <w:w w:val="92"/>
              </w:rPr>
            </w:pPr>
            <w:hyperlink r:id="rId350">
              <w:r>
                <w:rPr>
                  <w:rFonts w:ascii="Arial" w:cs="Arial" w:eastAsia="Arial" w:hAnsi="Arial"/>
                  <w:sz w:val="16"/>
                  <w:szCs w:val="16"/>
                  <w:color w:val="0000FF"/>
                  <w:w w:val="92"/>
                </w:rPr>
                <w:t>BeiGene Switzerland GmbH, dated April 8, 2019, as amended by First</w:t>
              </w:r>
            </w:hyperlink>
          </w:p>
        </w:tc>
        <w:tc>
          <w:tcPr>
            <w:tcW w:w="640" w:type="dxa"/>
            <w:vAlign w:val="bottom"/>
            <w:gridSpan w:val="13"/>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bottom w:val="single" w:sz="8" w:color="0000FF"/>
            </w:tcBorders>
            <w:gridSpan w:val="34"/>
          </w:tcPr>
          <w:p>
            <w:pPr>
              <w:spacing w:after="0" w:line="183" w:lineRule="exact"/>
              <w:rPr>
                <w:rFonts w:ascii="Arial" w:cs="Arial" w:eastAsia="Arial" w:hAnsi="Arial"/>
                <w:sz w:val="16"/>
                <w:szCs w:val="16"/>
                <w:color w:val="0000FF"/>
                <w:w w:val="90"/>
              </w:rPr>
            </w:pPr>
            <w:hyperlink r:id="rId350">
              <w:r>
                <w:rPr>
                  <w:rFonts w:ascii="Arial" w:cs="Arial" w:eastAsia="Arial" w:hAnsi="Arial"/>
                  <w:sz w:val="16"/>
                  <w:szCs w:val="16"/>
                  <w:color w:val="0000FF"/>
                  <w:w w:val="90"/>
                </w:rPr>
                <w:t>Amendment, dated December 24, 2019 and as amended by Second Amendment,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0000FF"/>
            </w:tcBorders>
            <w:gridSpan w:val="4"/>
          </w:tcPr>
          <w:p>
            <w:pPr>
              <w:spacing w:after="0" w:line="183" w:lineRule="exact"/>
              <w:rPr>
                <w:rFonts w:ascii="Arial" w:cs="Arial" w:eastAsia="Arial" w:hAnsi="Arial"/>
                <w:sz w:val="16"/>
                <w:szCs w:val="16"/>
                <w:color w:val="0000FF"/>
                <w:w w:val="88"/>
              </w:rPr>
            </w:pPr>
            <w:hyperlink r:id="rId350">
              <w:r>
                <w:rPr>
                  <w:rFonts w:ascii="Arial" w:cs="Arial" w:eastAsia="Arial" w:hAnsi="Arial"/>
                  <w:sz w:val="16"/>
                  <w:szCs w:val="16"/>
                  <w:color w:val="0000FF"/>
                  <w:w w:val="88"/>
                </w:rPr>
                <w:t>October 5, 2020</w:t>
              </w:r>
            </w:hyperlink>
          </w:p>
        </w:tc>
        <w:tc>
          <w:tcPr>
            <w:tcW w:w="20" w:type="dxa"/>
            <w:vAlign w:val="bottom"/>
            <w:tcBorders>
              <w:bottom w:val="single" w:sz="8" w:color="0000EE"/>
            </w:tcBorders>
          </w:tcPr>
          <w:p>
            <w:pPr>
              <w:spacing w:after="0"/>
              <w:rPr>
                <w:sz w:val="15"/>
                <w:szCs w:val="15"/>
                <w:color w:val="auto"/>
              </w:rPr>
            </w:pPr>
          </w:p>
        </w:tc>
        <w:tc>
          <w:tcPr>
            <w:tcW w:w="4200" w:type="dxa"/>
            <w:vAlign w:val="bottom"/>
            <w:gridSpan w:val="29"/>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bottom w:val="single" w:sz="8" w:color="0000FF"/>
            </w:tcBorders>
            <w:gridSpan w:val="28"/>
          </w:tcPr>
          <w:p>
            <w:pPr>
              <w:spacing w:after="0"/>
              <w:rPr>
                <w:rFonts w:ascii="Arial" w:cs="Arial" w:eastAsia="Arial" w:hAnsi="Arial"/>
                <w:sz w:val="16"/>
                <w:szCs w:val="16"/>
                <w:color w:val="0000FF"/>
                <w:w w:val="93"/>
              </w:rPr>
            </w:pPr>
            <w:hyperlink r:id="rId351">
              <w:r>
                <w:rPr>
                  <w:rFonts w:ascii="Arial" w:cs="Arial" w:eastAsia="Arial" w:hAnsi="Arial"/>
                  <w:sz w:val="16"/>
                  <w:szCs w:val="16"/>
                  <w:color w:val="0000FF"/>
                  <w:w w:val="93"/>
                </w:rPr>
                <w:t>Cell Line License Agreement with Life Technologies Corporation, dated June</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10.9</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gridSpan w:val="4"/>
          </w:tcPr>
          <w:p>
            <w:pPr>
              <w:ind w:left="120"/>
              <w:spacing w:after="0" w:line="183" w:lineRule="exact"/>
              <w:rPr>
                <w:rFonts w:ascii="Arial" w:cs="Arial" w:eastAsia="Arial" w:hAnsi="Arial"/>
                <w:sz w:val="16"/>
                <w:szCs w:val="16"/>
                <w:color w:val="0000FF"/>
                <w:w w:val="89"/>
              </w:rPr>
            </w:pPr>
            <w:hyperlink r:id="rId351">
              <w:r>
                <w:rPr>
                  <w:rFonts w:ascii="Arial" w:cs="Arial" w:eastAsia="Arial" w:hAnsi="Arial"/>
                  <w:sz w:val="16"/>
                  <w:szCs w:val="16"/>
                  <w:color w:val="0000FF"/>
                  <w:w w:val="89"/>
                </w:rPr>
                <w:t>28, 2018</w:t>
              </w:r>
            </w:hyperlink>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32"/>
          </w:tcPr>
          <w:p>
            <w:pPr>
              <w:spacing w:after="0"/>
              <w:rPr>
                <w:rFonts w:ascii="Arial" w:cs="Arial" w:eastAsia="Arial" w:hAnsi="Arial"/>
                <w:sz w:val="16"/>
                <w:szCs w:val="16"/>
                <w:color w:val="0000FF"/>
                <w:w w:val="93"/>
              </w:rPr>
            </w:pPr>
            <w:hyperlink r:id="rId352">
              <w:r>
                <w:rPr>
                  <w:rFonts w:ascii="Arial" w:cs="Arial" w:eastAsia="Arial" w:hAnsi="Arial"/>
                  <w:sz w:val="16"/>
                  <w:szCs w:val="16"/>
                  <w:color w:val="0000FF"/>
                  <w:w w:val="93"/>
                </w:rPr>
                <w:t>Royalty Sharing Agreement with BioAtla Holdings, LLC, dated January 1, 2020</w:t>
              </w:r>
            </w:hyperlink>
          </w:p>
        </w:tc>
        <w:tc>
          <w:tcPr>
            <w:tcW w:w="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10.10</w:t>
            </w:r>
          </w:p>
        </w:tc>
        <w:tc>
          <w:tcPr>
            <w:tcW w:w="1100" w:type="dxa"/>
            <w:vAlign w:val="bottom"/>
            <w:gridSpan w:val="2"/>
          </w:tcPr>
          <w:p>
            <w:pPr>
              <w:jc w:val="right"/>
              <w:ind w:right="177"/>
              <w:spacing w:after="0"/>
              <w:rPr>
                <w:sz w:val="20"/>
                <w:szCs w:val="20"/>
                <w:color w:val="auto"/>
              </w:rPr>
            </w:pPr>
            <w:r>
              <w:rPr>
                <w:rFonts w:ascii="Arial" w:cs="Arial" w:eastAsia="Arial" w:hAnsi="Arial"/>
                <w:sz w:val="16"/>
                <w:szCs w:val="16"/>
                <w:color w:val="auto"/>
              </w:rPr>
              <w:t>11-13-2020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bottom w:val="single" w:sz="8" w:color="0000FF"/>
            </w:tcBorders>
            <w:gridSpan w:val="22"/>
          </w:tcPr>
          <w:p>
            <w:pPr>
              <w:spacing w:after="0"/>
              <w:rPr>
                <w:rFonts w:ascii="Arial" w:cs="Arial" w:eastAsia="Arial" w:hAnsi="Arial"/>
                <w:sz w:val="16"/>
                <w:szCs w:val="16"/>
                <w:color w:val="0000FF"/>
                <w:w w:val="94"/>
              </w:rPr>
            </w:pPr>
            <w:hyperlink r:id="rId353">
              <w:r>
                <w:rPr>
                  <w:rFonts w:ascii="Arial" w:cs="Arial" w:eastAsia="Arial" w:hAnsi="Arial"/>
                  <w:sz w:val="16"/>
                  <w:szCs w:val="16"/>
                  <w:color w:val="0000FF"/>
                  <w:w w:val="94"/>
                </w:rPr>
                <w:t>Employment Letter Agreement between BioAtla, LLC and Jay Short, as</w:t>
              </w:r>
            </w:hyperlink>
          </w:p>
        </w:tc>
        <w:tc>
          <w:tcPr>
            <w:tcW w:w="46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10.11</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bottom w:val="single" w:sz="8" w:color="0000FF"/>
            </w:tcBorders>
            <w:gridSpan w:val="16"/>
          </w:tcPr>
          <w:p>
            <w:pPr>
              <w:spacing w:after="0" w:line="183" w:lineRule="exact"/>
              <w:rPr>
                <w:rFonts w:ascii="Arial" w:cs="Arial" w:eastAsia="Arial" w:hAnsi="Arial"/>
                <w:sz w:val="16"/>
                <w:szCs w:val="16"/>
                <w:color w:val="0000FF"/>
                <w:w w:val="90"/>
              </w:rPr>
            </w:pPr>
            <w:hyperlink r:id="rId353">
              <w:r>
                <w:rPr>
                  <w:rFonts w:ascii="Arial" w:cs="Arial" w:eastAsia="Arial" w:hAnsi="Arial"/>
                  <w:sz w:val="16"/>
                  <w:szCs w:val="16"/>
                  <w:color w:val="0000FF"/>
                  <w:w w:val="90"/>
                </w:rPr>
                <w:t>amended by the Letter Amendment dated October 1, 2011</w:t>
              </w:r>
            </w:hyperlink>
          </w:p>
        </w:tc>
        <w:tc>
          <w:tcPr>
            <w:tcW w:w="20" w:type="dxa"/>
            <w:vAlign w:val="bottom"/>
            <w:tcBorders>
              <w:bottom w:val="single" w:sz="8" w:color="0000EE"/>
            </w:tcBorders>
          </w:tcPr>
          <w:p>
            <w:pPr>
              <w:spacing w:after="0"/>
              <w:rPr>
                <w:sz w:val="15"/>
                <w:szCs w:val="15"/>
                <w:color w:val="auto"/>
              </w:rPr>
            </w:pPr>
          </w:p>
        </w:tc>
        <w:tc>
          <w:tcPr>
            <w:tcW w:w="1480" w:type="dxa"/>
            <w:vAlign w:val="bottom"/>
            <w:gridSpan w:val="1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4"/>
          </w:tcPr>
          <w:p>
            <w:pPr>
              <w:spacing w:after="0"/>
              <w:rPr>
                <w:rFonts w:ascii="Arial" w:cs="Arial" w:eastAsia="Arial" w:hAnsi="Arial"/>
                <w:sz w:val="16"/>
                <w:szCs w:val="16"/>
                <w:color w:val="0000FF"/>
                <w:w w:val="93"/>
              </w:rPr>
            </w:pPr>
            <w:hyperlink r:id="rId354">
              <w:r>
                <w:rPr>
                  <w:rFonts w:ascii="Arial" w:cs="Arial" w:eastAsia="Arial" w:hAnsi="Arial"/>
                  <w:sz w:val="16"/>
                  <w:szCs w:val="16"/>
                  <w:color w:val="0000FF"/>
                  <w:w w:val="93"/>
                </w:rPr>
                <w:t>Severance Agreement between BioAtla, LLC and Jay Short, dated July 1, 2018</w:t>
              </w:r>
            </w:hyperlink>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10.13</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top w:val="single" w:sz="8" w:color="0000FF"/>
            </w:tcBorders>
            <w:gridSpan w:val="29"/>
          </w:tcPr>
          <w:p>
            <w:pPr>
              <w:spacing w:after="0"/>
              <w:rPr>
                <w:rFonts w:ascii="Arial" w:cs="Arial" w:eastAsia="Arial" w:hAnsi="Arial"/>
                <w:sz w:val="16"/>
                <w:szCs w:val="16"/>
                <w:color w:val="0000FF"/>
                <w:w w:val="98"/>
              </w:rPr>
            </w:pPr>
            <w:hyperlink r:id="rId355">
              <w:r>
                <w:rPr>
                  <w:rFonts w:ascii="Arial" w:cs="Arial" w:eastAsia="Arial" w:hAnsi="Arial"/>
                  <w:sz w:val="16"/>
                  <w:szCs w:val="16"/>
                  <w:color w:val="0000FF"/>
                  <w:w w:val="98"/>
                </w:rPr>
                <w:t>Offer Letter between BioAtla, LLC and Scott Smith, dated August 2, 2018</w:t>
              </w:r>
            </w:hyperlink>
          </w:p>
        </w:tc>
        <w:tc>
          <w:tcPr>
            <w:tcW w:w="1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10.14</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Borders>
              <w:right w:val="single" w:sz="8" w:color="0000EE"/>
            </w:tcBorders>
            <w:gridSpan w:val="2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31"/>
          </w:tcPr>
          <w:p>
            <w:pPr>
              <w:spacing w:after="0"/>
              <w:rPr>
                <w:rFonts w:ascii="Arial" w:cs="Arial" w:eastAsia="Arial" w:hAnsi="Arial"/>
                <w:sz w:val="16"/>
                <w:szCs w:val="16"/>
                <w:color w:val="0000FF"/>
                <w:w w:val="92"/>
              </w:rPr>
            </w:pPr>
            <w:hyperlink r:id="rId356">
              <w:r>
                <w:rPr>
                  <w:rFonts w:ascii="Arial" w:cs="Arial" w:eastAsia="Arial" w:hAnsi="Arial"/>
                  <w:sz w:val="16"/>
                  <w:szCs w:val="16"/>
                  <w:color w:val="0000FF"/>
                  <w:w w:val="92"/>
                </w:rPr>
                <w:t>Letter Agreement between BioAtla, LLC and Scott Smith, dated August 3, 2018</w:t>
              </w:r>
            </w:hyperlink>
          </w:p>
        </w:tc>
        <w:tc>
          <w:tcPr>
            <w:tcW w:w="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10.15</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33"/>
          </w:tcPr>
          <w:p>
            <w:pPr>
              <w:spacing w:after="0"/>
              <w:rPr>
                <w:rFonts w:ascii="Arial" w:cs="Arial" w:eastAsia="Arial" w:hAnsi="Arial"/>
                <w:sz w:val="16"/>
                <w:szCs w:val="16"/>
                <w:color w:val="0000FF"/>
                <w:w w:val="92"/>
              </w:rPr>
            </w:pPr>
            <w:hyperlink r:id="rId357">
              <w:r>
                <w:rPr>
                  <w:rFonts w:ascii="Arial" w:cs="Arial" w:eastAsia="Arial" w:hAnsi="Arial"/>
                  <w:sz w:val="16"/>
                  <w:szCs w:val="16"/>
                  <w:color w:val="0000FF"/>
                  <w:w w:val="92"/>
                </w:rPr>
                <w:t>Severance Agreement between BioAtla, LLC and Scott Smith, dated August 20,</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S-1/A</w:t>
            </w: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333-250093</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10.16</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12-08-2020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3"/>
          </w:tcPr>
          <w:p>
            <w:pPr>
              <w:ind w:left="120"/>
              <w:spacing w:after="0" w:line="183" w:lineRule="exact"/>
              <w:rPr>
                <w:rFonts w:ascii="Arial" w:cs="Arial" w:eastAsia="Arial" w:hAnsi="Arial"/>
                <w:sz w:val="16"/>
                <w:szCs w:val="16"/>
                <w:color w:val="0000FF"/>
                <w:w w:val="89"/>
              </w:rPr>
            </w:pPr>
            <w:hyperlink r:id="rId357">
              <w:r>
                <w:rPr>
                  <w:rFonts w:ascii="Arial" w:cs="Arial" w:eastAsia="Arial" w:hAnsi="Arial"/>
                  <w:sz w:val="16"/>
                  <w:szCs w:val="16"/>
                  <w:color w:val="0000FF"/>
                  <w:w w:val="89"/>
                </w:rPr>
                <w:t>2018</w:t>
              </w:r>
            </w:hyperlink>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640" w:type="dxa"/>
            <w:vAlign w:val="bottom"/>
            <w:gridSpan w:val="23"/>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4"/>
          </w:tcPr>
          <w:p>
            <w:pPr>
              <w:spacing w:after="0"/>
              <w:rPr>
                <w:rFonts w:ascii="Arial" w:cs="Arial" w:eastAsia="Arial" w:hAnsi="Arial"/>
                <w:sz w:val="16"/>
                <w:szCs w:val="16"/>
                <w:color w:val="0000FF"/>
                <w:w w:val="93"/>
              </w:rPr>
            </w:pPr>
            <w:hyperlink r:id="rId358">
              <w:r>
                <w:rPr>
                  <w:rFonts w:ascii="Arial" w:cs="Arial" w:eastAsia="Arial" w:hAnsi="Arial"/>
                  <w:sz w:val="16"/>
                  <w:szCs w:val="16"/>
                  <w:color w:val="0000FF"/>
                  <w:w w:val="93"/>
                </w:rPr>
                <w:t>Offer Letter between BioAtla, LLC and Richard Waldron, dated October 23,</w:t>
              </w:r>
            </w:hyperlink>
          </w:p>
        </w:tc>
        <w:tc>
          <w:tcPr>
            <w:tcW w:w="28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right"/>
              <w:ind w:right="177"/>
              <w:spacing w:after="0"/>
              <w:rPr>
                <w:sz w:val="20"/>
                <w:szCs w:val="20"/>
                <w:color w:val="auto"/>
              </w:rPr>
            </w:pPr>
            <w:r>
              <w:rPr>
                <w:rFonts w:ascii="Arial" w:cs="Arial" w:eastAsia="Arial" w:hAnsi="Arial"/>
                <w:sz w:val="16"/>
                <w:szCs w:val="16"/>
                <w:color w:val="auto"/>
              </w:rPr>
              <w:t>001-39787</w:t>
            </w:r>
          </w:p>
        </w:tc>
        <w:tc>
          <w:tcPr>
            <w:tcW w:w="660" w:type="dxa"/>
            <w:vAlign w:val="bottom"/>
            <w:gridSpan w:val="2"/>
          </w:tcPr>
          <w:p>
            <w:pPr>
              <w:jc w:val="right"/>
              <w:ind w:right="77"/>
              <w:spacing w:after="0"/>
              <w:rPr>
                <w:sz w:val="20"/>
                <w:szCs w:val="20"/>
                <w:color w:val="auto"/>
              </w:rPr>
            </w:pPr>
            <w:r>
              <w:rPr>
                <w:rFonts w:ascii="Arial" w:cs="Arial" w:eastAsia="Arial" w:hAnsi="Arial"/>
                <w:sz w:val="16"/>
                <w:szCs w:val="16"/>
                <w:color w:val="auto"/>
              </w:rPr>
              <w:t>10.19</w:t>
            </w:r>
          </w:p>
        </w:tc>
        <w:tc>
          <w:tcPr>
            <w:tcW w:w="1100" w:type="dxa"/>
            <w:vAlign w:val="bottom"/>
            <w:gridSpan w:val="2"/>
          </w:tcPr>
          <w:p>
            <w:pPr>
              <w:jc w:val="right"/>
              <w:ind w:right="117"/>
              <w:spacing w:after="0"/>
              <w:rPr>
                <w:sz w:val="20"/>
                <w:szCs w:val="20"/>
                <w:color w:val="auto"/>
              </w:rPr>
            </w:pPr>
            <w:r>
              <w:rPr>
                <w:rFonts w:ascii="Arial" w:cs="Arial" w:eastAsia="Arial" w:hAnsi="Arial"/>
                <w:sz w:val="16"/>
                <w:szCs w:val="16"/>
                <w:color w:val="auto"/>
              </w:rPr>
              <w:t>02-28-2022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3"/>
          </w:tcPr>
          <w:p>
            <w:pPr>
              <w:ind w:left="120"/>
              <w:spacing w:after="0" w:line="183" w:lineRule="exact"/>
              <w:rPr>
                <w:rFonts w:ascii="Arial" w:cs="Arial" w:eastAsia="Arial" w:hAnsi="Arial"/>
                <w:sz w:val="16"/>
                <w:szCs w:val="16"/>
                <w:color w:val="0000FF"/>
                <w:w w:val="89"/>
              </w:rPr>
            </w:pPr>
            <w:hyperlink r:id="rId358">
              <w:r>
                <w:rPr>
                  <w:rFonts w:ascii="Arial" w:cs="Arial" w:eastAsia="Arial" w:hAnsi="Arial"/>
                  <w:sz w:val="16"/>
                  <w:szCs w:val="16"/>
                  <w:color w:val="0000FF"/>
                  <w:w w:val="89"/>
                </w:rPr>
                <w:t>2013</w:t>
              </w:r>
            </w:hyperlink>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87"/>
        </w:trPr>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80" w:type="dxa"/>
            <w:vAlign w:val="bottom"/>
            <w:gridSpan w:val="20"/>
          </w:tcPr>
          <w:p>
            <w:pPr>
              <w:jc w:val="right"/>
              <w:ind w:right="60"/>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1"/>
        </w:trPr>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734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780" w:type="dxa"/>
            <w:vAlign w:val="bottom"/>
          </w:tcPr>
          <w:p>
            <w:pPr>
              <w:jc w:val="right"/>
              <w:ind w:right="126"/>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4"/>
          </w:tcPr>
          <w:p>
            <w:pPr>
              <w:ind w:left="1600"/>
              <w:spacing w:after="0"/>
              <w:rPr>
                <w:sz w:val="20"/>
                <w:szCs w:val="20"/>
                <w:color w:val="auto"/>
              </w:rPr>
            </w:pPr>
            <w:r>
              <w:rPr>
                <w:rFonts w:ascii="Arial" w:cs="Arial" w:eastAsia="Arial" w:hAnsi="Arial"/>
                <w:sz w:val="13"/>
                <w:szCs w:val="13"/>
                <w:b w:val="1"/>
                <w:bCs w:val="1"/>
                <w:color w:val="auto"/>
              </w:rPr>
              <w:t>Exhibit Description</w:t>
            </w:r>
          </w:p>
        </w:tc>
      </w:tr>
      <w:tr>
        <w:trPr>
          <w:trHeight w:val="170"/>
        </w:trPr>
        <w:tc>
          <w:tcPr>
            <w:tcW w:w="780" w:type="dxa"/>
            <w:vAlign w:val="bottom"/>
          </w:tcPr>
          <w:p>
            <w:pPr>
              <w:jc w:val="right"/>
              <w:ind w:right="226"/>
              <w:spacing w:after="0" w:line="171" w:lineRule="exact"/>
              <w:rPr>
                <w:sz w:val="20"/>
                <w:szCs w:val="20"/>
                <w:color w:val="auto"/>
              </w:rPr>
            </w:pPr>
            <w:r>
              <w:rPr>
                <w:rFonts w:ascii="Arial" w:cs="Arial" w:eastAsia="Arial" w:hAnsi="Arial"/>
                <w:sz w:val="16"/>
                <w:szCs w:val="16"/>
                <w:color w:val="auto"/>
                <w:w w:val="93"/>
              </w:rPr>
              <w:t>10.18+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bottom w:val="single" w:sz="8" w:color="0000FF"/>
            </w:tcBorders>
            <w:gridSpan w:val="5"/>
          </w:tcPr>
          <w:p>
            <w:pPr>
              <w:spacing w:after="0" w:line="171" w:lineRule="exact"/>
              <w:rPr>
                <w:rFonts w:ascii="Arial" w:cs="Arial" w:eastAsia="Arial" w:hAnsi="Arial"/>
                <w:sz w:val="16"/>
                <w:szCs w:val="16"/>
                <w:color w:val="0000FF"/>
                <w:w w:val="92"/>
              </w:rPr>
            </w:pPr>
            <w:hyperlink r:id="rId362">
              <w:r>
                <w:rPr>
                  <w:rFonts w:ascii="Arial" w:cs="Arial" w:eastAsia="Arial" w:hAnsi="Arial"/>
                  <w:sz w:val="16"/>
                  <w:szCs w:val="16"/>
                  <w:color w:val="0000FF"/>
                  <w:w w:val="92"/>
                </w:rPr>
                <w:t>Severance Agreement between BioAtla, LLC and Richard Waldron, dated July</w:t>
              </w:r>
            </w:hyperlink>
          </w:p>
        </w:tc>
        <w:tc>
          <w:tcPr>
            <w:tcW w:w="120" w:type="dxa"/>
            <w:vAlign w:val="bottom"/>
          </w:tcPr>
          <w:p>
            <w:pPr>
              <w:spacing w:after="0"/>
              <w:rPr>
                <w:sz w:val="14"/>
                <w:szCs w:val="14"/>
                <w:color w:val="auto"/>
              </w:rPr>
            </w:pPr>
          </w:p>
        </w:tc>
      </w:tr>
      <w:tr>
        <w:trPr>
          <w:trHeight w:val="183"/>
        </w:trPr>
        <w:tc>
          <w:tcPr>
            <w:tcW w:w="780" w:type="dxa"/>
            <w:vAlign w:val="bottom"/>
          </w:tcPr>
          <w:p>
            <w:pPr>
              <w:spacing w:after="0"/>
              <w:rPr>
                <w:sz w:val="15"/>
                <w:szCs w:val="15"/>
                <w:color w:val="auto"/>
              </w:rPr>
            </w:pPr>
          </w:p>
        </w:tc>
        <w:tc>
          <w:tcPr>
            <w:tcW w:w="640" w:type="dxa"/>
            <w:vAlign w:val="bottom"/>
            <w:gridSpan w:val="4"/>
          </w:tcPr>
          <w:p>
            <w:pPr>
              <w:ind w:left="120"/>
              <w:spacing w:after="0" w:line="183" w:lineRule="exact"/>
              <w:rPr>
                <w:rFonts w:ascii="Arial" w:cs="Arial" w:eastAsia="Arial" w:hAnsi="Arial"/>
                <w:sz w:val="16"/>
                <w:szCs w:val="16"/>
                <w:color w:val="0000FF"/>
                <w:w w:val="89"/>
              </w:rPr>
            </w:pPr>
            <w:hyperlink r:id="rId362">
              <w:r>
                <w:rPr>
                  <w:rFonts w:ascii="Arial" w:cs="Arial" w:eastAsia="Arial" w:hAnsi="Arial"/>
                  <w:sz w:val="16"/>
                  <w:szCs w:val="16"/>
                  <w:color w:val="0000FF"/>
                  <w:w w:val="89"/>
                </w:rPr>
                <w:t>1, 2018</w:t>
              </w:r>
            </w:hyperlink>
          </w:p>
        </w:tc>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98"/>
        </w:trPr>
        <w:tc>
          <w:tcPr>
            <w:tcW w:w="780" w:type="dxa"/>
            <w:vAlign w:val="bottom"/>
          </w:tcPr>
          <w:p>
            <w:pPr>
              <w:jc w:val="right"/>
              <w:ind w:right="226"/>
              <w:spacing w:after="0"/>
              <w:rPr>
                <w:sz w:val="20"/>
                <w:szCs w:val="20"/>
                <w:color w:val="auto"/>
              </w:rPr>
            </w:pPr>
            <w:r>
              <w:rPr>
                <w:rFonts w:ascii="Arial" w:cs="Arial" w:eastAsia="Arial" w:hAnsi="Arial"/>
                <w:sz w:val="16"/>
                <w:szCs w:val="16"/>
                <w:color w:val="auto"/>
                <w:w w:val="93"/>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6"/>
          </w:tcPr>
          <w:p>
            <w:pPr>
              <w:spacing w:after="0"/>
              <w:rPr>
                <w:rFonts w:ascii="Arial" w:cs="Arial" w:eastAsia="Arial" w:hAnsi="Arial"/>
                <w:sz w:val="16"/>
                <w:szCs w:val="16"/>
                <w:color w:val="0000FF"/>
              </w:rPr>
            </w:pPr>
            <w:hyperlink r:id="rId363">
              <w:r>
                <w:rPr>
                  <w:rFonts w:ascii="Arial" w:cs="Arial" w:eastAsia="Arial" w:hAnsi="Arial"/>
                  <w:sz w:val="16"/>
                  <w:szCs w:val="16"/>
                  <w:color w:val="0000FF"/>
                </w:rPr>
                <w:t>Offer Letter between BioAtla, LLC and Eric Sievers, dated June 17, 2019</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780" w:type="dxa"/>
            <w:vAlign w:val="bottom"/>
          </w:tcPr>
          <w:p>
            <w:pPr>
              <w:jc w:val="right"/>
              <w:ind w:right="226"/>
              <w:spacing w:after="0"/>
              <w:rPr>
                <w:sz w:val="20"/>
                <w:szCs w:val="20"/>
                <w:color w:val="auto"/>
              </w:rPr>
            </w:pPr>
            <w:r>
              <w:rPr>
                <w:rFonts w:ascii="Arial" w:cs="Arial" w:eastAsia="Arial" w:hAnsi="Arial"/>
                <w:sz w:val="16"/>
                <w:szCs w:val="16"/>
                <w:color w:val="auto"/>
                <w:w w:val="93"/>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FF"/>
            </w:tcBorders>
            <w:gridSpan w:val="4"/>
          </w:tcPr>
          <w:p>
            <w:pPr>
              <w:spacing w:after="0"/>
              <w:rPr>
                <w:rFonts w:ascii="Arial" w:cs="Arial" w:eastAsia="Arial" w:hAnsi="Arial"/>
                <w:sz w:val="16"/>
                <w:szCs w:val="16"/>
                <w:color w:val="0000FF"/>
                <w:w w:val="92"/>
              </w:rPr>
            </w:pPr>
            <w:hyperlink r:id="rId364">
              <w:r>
                <w:rPr>
                  <w:rFonts w:ascii="Arial" w:cs="Arial" w:eastAsia="Arial" w:hAnsi="Arial"/>
                  <w:sz w:val="16"/>
                  <w:szCs w:val="16"/>
                  <w:color w:val="0000FF"/>
                  <w:w w:val="92"/>
                </w:rPr>
                <w:t>Offer Letter between BioAtla, LLC and Christian Vasquez, dated October 22,</w:t>
              </w:r>
            </w:hyperlink>
          </w:p>
        </w:tc>
        <w:tc>
          <w:tcPr>
            <w:tcW w:w="220" w:type="dxa"/>
            <w:vAlign w:val="bottom"/>
            <w:gridSpan w:val="2"/>
          </w:tcPr>
          <w:p>
            <w:pPr>
              <w:spacing w:after="0"/>
              <w:rPr>
                <w:sz w:val="24"/>
                <w:szCs w:val="24"/>
                <w:color w:val="auto"/>
              </w:rPr>
            </w:pPr>
          </w:p>
        </w:tc>
      </w:tr>
      <w:tr>
        <w:trPr>
          <w:trHeight w:val="183"/>
        </w:trPr>
        <w:tc>
          <w:tcPr>
            <w:tcW w:w="780" w:type="dxa"/>
            <w:vAlign w:val="bottom"/>
          </w:tcPr>
          <w:p>
            <w:pPr>
              <w:spacing w:after="0"/>
              <w:rPr>
                <w:sz w:val="15"/>
                <w:szCs w:val="15"/>
                <w:color w:val="auto"/>
              </w:rPr>
            </w:pPr>
          </w:p>
        </w:tc>
        <w:tc>
          <w:tcPr>
            <w:tcW w:w="480" w:type="dxa"/>
            <w:vAlign w:val="bottom"/>
            <w:gridSpan w:val="3"/>
          </w:tcPr>
          <w:p>
            <w:pPr>
              <w:ind w:left="120"/>
              <w:spacing w:after="0" w:line="183" w:lineRule="exact"/>
              <w:rPr>
                <w:rFonts w:ascii="Arial" w:cs="Arial" w:eastAsia="Arial" w:hAnsi="Arial"/>
                <w:sz w:val="16"/>
                <w:szCs w:val="16"/>
                <w:color w:val="0000FF"/>
                <w:w w:val="89"/>
              </w:rPr>
            </w:pPr>
            <w:hyperlink r:id="rId364">
              <w:r>
                <w:rPr>
                  <w:rFonts w:ascii="Arial" w:cs="Arial" w:eastAsia="Arial" w:hAnsi="Arial"/>
                  <w:sz w:val="16"/>
                  <w:szCs w:val="16"/>
                  <w:color w:val="0000FF"/>
                  <w:w w:val="89"/>
                </w:rPr>
                <w:t>2015</w:t>
              </w:r>
            </w:hyperlink>
          </w:p>
        </w:tc>
        <w:tc>
          <w:tcPr>
            <w:tcW w:w="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Filed/Furnished</w:t>
            </w:r>
          </w:p>
        </w:tc>
      </w:tr>
      <w:tr>
        <w:trPr>
          <w:trHeight w:val="165"/>
        </w:trPr>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Herewith</w:t>
            </w:r>
          </w:p>
        </w:tc>
      </w:tr>
      <w:tr>
        <w:trPr>
          <w:trHeight w:val="299"/>
        </w:trPr>
        <w:tc>
          <w:tcPr>
            <w:tcW w:w="580" w:type="dxa"/>
            <w:vAlign w:val="bottom"/>
          </w:tcPr>
          <w:p>
            <w:pPr>
              <w:ind w:left="20"/>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right"/>
              <w:ind w:right="217"/>
              <w:spacing w:after="0"/>
              <w:rPr>
                <w:sz w:val="20"/>
                <w:szCs w:val="20"/>
                <w:color w:val="auto"/>
              </w:rPr>
            </w:pPr>
            <w:r>
              <w:rPr>
                <w:rFonts w:ascii="Arial" w:cs="Arial" w:eastAsia="Arial" w:hAnsi="Arial"/>
                <w:sz w:val="16"/>
                <w:szCs w:val="16"/>
                <w:color w:val="auto"/>
              </w:rPr>
              <w:t>001-39787</w:t>
            </w:r>
          </w:p>
        </w:tc>
        <w:tc>
          <w:tcPr>
            <w:tcW w:w="660" w:type="dxa"/>
            <w:vAlign w:val="bottom"/>
            <w:gridSpan w:val="2"/>
          </w:tcPr>
          <w:p>
            <w:pPr>
              <w:jc w:val="right"/>
              <w:ind w:right="117"/>
              <w:spacing w:after="0"/>
              <w:rPr>
                <w:sz w:val="20"/>
                <w:szCs w:val="20"/>
                <w:color w:val="auto"/>
              </w:rPr>
            </w:pPr>
            <w:r>
              <w:rPr>
                <w:rFonts w:ascii="Arial" w:cs="Arial" w:eastAsia="Arial" w:hAnsi="Arial"/>
                <w:sz w:val="16"/>
                <w:szCs w:val="16"/>
                <w:color w:val="auto"/>
              </w:rPr>
              <w:t>10.20</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02-28-2022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27"/>
        </w:trPr>
        <w:tc>
          <w:tcPr>
            <w:tcW w:w="580" w:type="dxa"/>
            <w:vAlign w:val="bottom"/>
          </w:tcPr>
          <w:p>
            <w:pPr>
              <w:ind w:left="60"/>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right"/>
              <w:ind w:right="217"/>
              <w:spacing w:after="0"/>
              <w:rPr>
                <w:sz w:val="20"/>
                <w:szCs w:val="20"/>
                <w:color w:val="auto"/>
              </w:rPr>
            </w:pPr>
            <w:r>
              <w:rPr>
                <w:rFonts w:ascii="Arial" w:cs="Arial" w:eastAsia="Arial" w:hAnsi="Arial"/>
                <w:sz w:val="16"/>
                <w:szCs w:val="16"/>
                <w:color w:val="auto"/>
              </w:rPr>
              <w:t>001-39787</w:t>
            </w:r>
          </w:p>
        </w:tc>
        <w:tc>
          <w:tcPr>
            <w:tcW w:w="660" w:type="dxa"/>
            <w:vAlign w:val="bottom"/>
            <w:gridSpan w:val="2"/>
          </w:tcPr>
          <w:p>
            <w:pPr>
              <w:jc w:val="right"/>
              <w:ind w:right="77"/>
              <w:spacing w:after="0"/>
              <w:rPr>
                <w:sz w:val="20"/>
                <w:szCs w:val="20"/>
                <w:color w:val="auto"/>
              </w:rPr>
            </w:pPr>
            <w:r>
              <w:rPr>
                <w:rFonts w:ascii="Arial" w:cs="Arial" w:eastAsia="Arial" w:hAnsi="Arial"/>
                <w:sz w:val="16"/>
                <w:szCs w:val="16"/>
                <w:color w:val="auto"/>
              </w:rPr>
              <w:t>10.21</w:t>
            </w:r>
          </w:p>
        </w:tc>
        <w:tc>
          <w:tcPr>
            <w:tcW w:w="1100" w:type="dxa"/>
            <w:vAlign w:val="bottom"/>
            <w:gridSpan w:val="2"/>
          </w:tcPr>
          <w:p>
            <w:pPr>
              <w:jc w:val="right"/>
              <w:ind w:right="157"/>
              <w:spacing w:after="0"/>
              <w:rPr>
                <w:sz w:val="20"/>
                <w:szCs w:val="20"/>
                <w:color w:val="auto"/>
              </w:rPr>
            </w:pPr>
            <w:r>
              <w:rPr>
                <w:rFonts w:ascii="Arial" w:cs="Arial" w:eastAsia="Arial" w:hAnsi="Arial"/>
                <w:sz w:val="16"/>
                <w:szCs w:val="16"/>
                <w:color w:val="auto"/>
              </w:rPr>
              <w:t>02-28-2022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580" w:type="dxa"/>
            <w:vAlign w:val="bottom"/>
          </w:tcPr>
          <w:p>
            <w:pPr>
              <w:ind w:left="60"/>
              <w:spacing w:after="0"/>
              <w:rPr>
                <w:sz w:val="20"/>
                <w:szCs w:val="20"/>
                <w:color w:val="auto"/>
              </w:rPr>
            </w:pPr>
            <w:r>
              <w:rPr>
                <w:rFonts w:ascii="Arial" w:cs="Arial" w:eastAsia="Arial" w:hAnsi="Arial"/>
                <w:sz w:val="16"/>
                <w:szCs w:val="16"/>
                <w:color w:val="auto"/>
              </w:rPr>
              <w:t>10-K</w:t>
            </w:r>
          </w:p>
        </w:tc>
        <w:tc>
          <w:tcPr>
            <w:tcW w:w="1120" w:type="dxa"/>
            <w:vAlign w:val="bottom"/>
            <w:gridSpan w:val="2"/>
          </w:tcPr>
          <w:p>
            <w:pPr>
              <w:jc w:val="right"/>
              <w:ind w:right="217"/>
              <w:spacing w:after="0"/>
              <w:rPr>
                <w:sz w:val="20"/>
                <w:szCs w:val="20"/>
                <w:color w:val="auto"/>
              </w:rPr>
            </w:pPr>
            <w:r>
              <w:rPr>
                <w:rFonts w:ascii="Arial" w:cs="Arial" w:eastAsia="Arial" w:hAnsi="Arial"/>
                <w:sz w:val="16"/>
                <w:szCs w:val="16"/>
                <w:color w:val="auto"/>
              </w:rPr>
              <w:t>001-39787</w:t>
            </w:r>
          </w:p>
        </w:tc>
        <w:tc>
          <w:tcPr>
            <w:tcW w:w="660" w:type="dxa"/>
            <w:vAlign w:val="bottom"/>
            <w:gridSpan w:val="2"/>
          </w:tcPr>
          <w:p>
            <w:pPr>
              <w:jc w:val="right"/>
              <w:ind w:right="77"/>
              <w:spacing w:after="0"/>
              <w:rPr>
                <w:sz w:val="20"/>
                <w:szCs w:val="20"/>
                <w:color w:val="auto"/>
              </w:rPr>
            </w:pPr>
            <w:r>
              <w:rPr>
                <w:rFonts w:ascii="Arial" w:cs="Arial" w:eastAsia="Arial" w:hAnsi="Arial"/>
                <w:sz w:val="16"/>
                <w:szCs w:val="16"/>
                <w:color w:val="auto"/>
              </w:rPr>
              <w:t>10.22</w:t>
            </w:r>
          </w:p>
        </w:tc>
        <w:tc>
          <w:tcPr>
            <w:tcW w:w="1100" w:type="dxa"/>
            <w:vAlign w:val="bottom"/>
            <w:gridSpan w:val="2"/>
          </w:tcPr>
          <w:p>
            <w:pPr>
              <w:jc w:val="right"/>
              <w:ind w:right="117"/>
              <w:spacing w:after="0"/>
              <w:rPr>
                <w:sz w:val="20"/>
                <w:szCs w:val="20"/>
                <w:color w:val="auto"/>
              </w:rPr>
            </w:pPr>
            <w:r>
              <w:rPr>
                <w:rFonts w:ascii="Arial" w:cs="Arial" w:eastAsia="Arial" w:hAnsi="Arial"/>
                <w:sz w:val="16"/>
                <w:szCs w:val="16"/>
                <w:color w:val="auto"/>
              </w:rPr>
              <w:t>02-28-2022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08" w:lineRule="exact"/>
        <w:rPr>
          <w:sz w:val="20"/>
          <w:szCs w:val="20"/>
          <w:color w:val="auto"/>
        </w:rPr>
      </w:pPr>
    </w:p>
    <w:p>
      <w:pPr>
        <w:sectPr>
          <w:pgSz w:w="11900" w:h="16838" w:orient="portrait"/>
          <w:cols w:equalWidth="0" w:num="2">
            <w:col w:w="6440" w:space="120"/>
            <w:col w:w="4600"/>
          </w:cols>
          <w:pgMar w:left="320" w:top="126" w:right="419" w:bottom="1440" w:gutter="0" w:footer="0" w:header="0"/>
          <w:type w:val="continuous"/>
        </w:sectPr>
      </w:pPr>
    </w:p>
    <w:tbl>
      <w:tblPr>
        <w:tblLayout w:type="fixed"/>
        <w:tblInd w:w="28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10.21+</w:t>
            </w:r>
          </w:p>
        </w:tc>
        <w:tc>
          <w:tcPr>
            <w:tcW w:w="4920" w:type="dxa"/>
            <w:vAlign w:val="bottom"/>
            <w:tcBorders>
              <w:bottom w:val="single" w:sz="8" w:color="0000FF"/>
            </w:tcBorders>
            <w:gridSpan w:val="21"/>
          </w:tcPr>
          <w:p>
            <w:pPr>
              <w:spacing w:after="0"/>
              <w:rPr>
                <w:rFonts w:ascii="Arial" w:cs="Arial" w:eastAsia="Arial" w:hAnsi="Arial"/>
                <w:sz w:val="16"/>
                <w:szCs w:val="16"/>
                <w:color w:val="0000FF"/>
                <w:w w:val="92"/>
              </w:rPr>
            </w:pPr>
            <w:hyperlink r:id="rId365">
              <w:r>
                <w:rPr>
                  <w:rFonts w:ascii="Arial" w:cs="Arial" w:eastAsia="Arial" w:hAnsi="Arial"/>
                  <w:sz w:val="16"/>
                  <w:szCs w:val="16"/>
                  <w:color w:val="0000FF"/>
                  <w:w w:val="92"/>
                </w:rPr>
                <w:t>Form of Indemnification Agreement between the Registrant and each of its</w:t>
              </w:r>
            </w:hyperlink>
          </w:p>
        </w:tc>
        <w:tc>
          <w:tcPr>
            <w:tcW w:w="360" w:type="dxa"/>
            <w:vAlign w:val="bottom"/>
            <w:gridSpan w:val="7"/>
          </w:tcPr>
          <w:p>
            <w:pPr>
              <w:spacing w:after="0"/>
              <w:rPr>
                <w:sz w:val="16"/>
                <w:szCs w:val="16"/>
                <w:color w:val="auto"/>
              </w:rPr>
            </w:pPr>
          </w:p>
        </w:tc>
        <w:tc>
          <w:tcPr>
            <w:tcW w:w="680" w:type="dxa"/>
            <w:vAlign w:val="bottom"/>
          </w:tcPr>
          <w:p>
            <w:pPr>
              <w:ind w:left="140"/>
              <w:spacing w:after="0"/>
              <w:rPr>
                <w:sz w:val="20"/>
                <w:szCs w:val="20"/>
                <w:color w:val="auto"/>
              </w:rPr>
            </w:pPr>
            <w:r>
              <w:rPr>
                <w:rFonts w:ascii="Arial" w:cs="Arial" w:eastAsia="Arial" w:hAnsi="Arial"/>
                <w:sz w:val="16"/>
                <w:szCs w:val="16"/>
                <w:color w:val="auto"/>
              </w:rPr>
              <w:t>S-1/A</w:t>
            </w:r>
          </w:p>
        </w:tc>
        <w:tc>
          <w:tcPr>
            <w:tcW w:w="1100" w:type="dxa"/>
            <w:vAlign w:val="bottom"/>
          </w:tcPr>
          <w:p>
            <w:pPr>
              <w:ind w:left="140"/>
              <w:spacing w:after="0"/>
              <w:rPr>
                <w:sz w:val="20"/>
                <w:szCs w:val="20"/>
                <w:color w:val="auto"/>
              </w:rPr>
            </w:pPr>
            <w:r>
              <w:rPr>
                <w:rFonts w:ascii="Arial" w:cs="Arial" w:eastAsia="Arial" w:hAnsi="Arial"/>
                <w:sz w:val="16"/>
                <w:szCs w:val="16"/>
                <w:color w:val="auto"/>
              </w:rPr>
              <w:t>333-250093</w:t>
            </w:r>
          </w:p>
        </w:tc>
        <w:tc>
          <w:tcPr>
            <w:tcW w:w="680" w:type="dxa"/>
            <w:vAlign w:val="bottom"/>
          </w:tcPr>
          <w:p>
            <w:pPr>
              <w:ind w:left="160"/>
              <w:spacing w:after="0"/>
              <w:rPr>
                <w:sz w:val="20"/>
                <w:szCs w:val="20"/>
                <w:color w:val="auto"/>
              </w:rPr>
            </w:pPr>
            <w:r>
              <w:rPr>
                <w:rFonts w:ascii="Arial" w:cs="Arial" w:eastAsia="Arial" w:hAnsi="Arial"/>
                <w:sz w:val="16"/>
                <w:szCs w:val="16"/>
                <w:color w:val="auto"/>
              </w:rPr>
              <w:t>10.18</w:t>
            </w:r>
          </w:p>
        </w:tc>
        <w:tc>
          <w:tcPr>
            <w:tcW w:w="1800" w:type="dxa"/>
            <w:vAlign w:val="bottom"/>
          </w:tcPr>
          <w:p>
            <w:pPr>
              <w:ind w:left="140"/>
              <w:spacing w:after="0"/>
              <w:rPr>
                <w:sz w:val="20"/>
                <w:szCs w:val="20"/>
                <w:color w:val="auto"/>
              </w:rPr>
            </w:pPr>
            <w:r>
              <w:rPr>
                <w:rFonts w:ascii="Arial" w:cs="Arial" w:eastAsia="Arial" w:hAnsi="Arial"/>
                <w:sz w:val="16"/>
                <w:szCs w:val="16"/>
                <w:color w:val="auto"/>
              </w:rPr>
              <w:t>12-08-2020</w:t>
            </w:r>
          </w:p>
        </w:tc>
      </w:tr>
      <w:tr>
        <w:trPr>
          <w:trHeight w:val="183"/>
        </w:trPr>
        <w:tc>
          <w:tcPr>
            <w:tcW w:w="880" w:type="dxa"/>
            <w:vAlign w:val="bottom"/>
          </w:tcPr>
          <w:p>
            <w:pPr>
              <w:spacing w:after="0"/>
              <w:rPr>
                <w:sz w:val="15"/>
                <w:szCs w:val="15"/>
                <w:color w:val="auto"/>
              </w:rPr>
            </w:pPr>
          </w:p>
        </w:tc>
        <w:tc>
          <w:tcPr>
            <w:tcW w:w="5280" w:type="dxa"/>
            <w:vAlign w:val="bottom"/>
            <w:gridSpan w:val="28"/>
          </w:tcPr>
          <w:p>
            <w:pPr>
              <w:spacing w:after="0" w:line="183" w:lineRule="exact"/>
              <w:rPr>
                <w:rFonts w:ascii="Arial" w:cs="Arial" w:eastAsia="Arial" w:hAnsi="Arial"/>
                <w:sz w:val="16"/>
                <w:szCs w:val="16"/>
                <w:color w:val="0000FF"/>
              </w:rPr>
            </w:pPr>
            <w:hyperlink r:id="rId365">
              <w:r>
                <w:rPr>
                  <w:rFonts w:ascii="Arial" w:cs="Arial" w:eastAsia="Arial" w:hAnsi="Arial"/>
                  <w:sz w:val="16"/>
                  <w:szCs w:val="16"/>
                  <w:color w:val="0000FF"/>
                </w:rPr>
                <w:t>executive officers</w:t>
              </w:r>
            </w:hyperlink>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10.22</w:t>
            </w:r>
          </w:p>
        </w:tc>
        <w:tc>
          <w:tcPr>
            <w:tcW w:w="5280" w:type="dxa"/>
            <w:vAlign w:val="bottom"/>
            <w:tcBorders>
              <w:bottom w:val="single" w:sz="8" w:color="0000FF"/>
            </w:tcBorders>
            <w:gridSpan w:val="28"/>
          </w:tcPr>
          <w:p>
            <w:pPr>
              <w:spacing w:after="0"/>
              <w:rPr>
                <w:rFonts w:ascii="Arial" w:cs="Arial" w:eastAsia="Arial" w:hAnsi="Arial"/>
                <w:sz w:val="16"/>
                <w:szCs w:val="16"/>
                <w:color w:val="0000FF"/>
                <w:w w:val="91"/>
              </w:rPr>
            </w:pPr>
            <w:hyperlink r:id="rId366">
              <w:r>
                <w:rPr>
                  <w:rFonts w:ascii="Arial" w:cs="Arial" w:eastAsia="Arial" w:hAnsi="Arial"/>
                  <w:sz w:val="16"/>
                  <w:szCs w:val="16"/>
                  <w:color w:val="0000FF"/>
                  <w:w w:val="91"/>
                </w:rPr>
                <w:t>Lease Agreement with HCP Torreyana, LLC, dated June 2, 2017, as amended by</w:t>
              </w:r>
            </w:hyperlink>
          </w:p>
        </w:tc>
        <w:tc>
          <w:tcPr>
            <w:tcW w:w="680" w:type="dxa"/>
            <w:vAlign w:val="bottom"/>
          </w:tcPr>
          <w:p>
            <w:pPr>
              <w:ind w:left="140"/>
              <w:spacing w:after="0"/>
              <w:rPr>
                <w:sz w:val="20"/>
                <w:szCs w:val="20"/>
                <w:color w:val="auto"/>
              </w:rPr>
            </w:pPr>
            <w:r>
              <w:rPr>
                <w:rFonts w:ascii="Arial" w:cs="Arial" w:eastAsia="Arial" w:hAnsi="Arial"/>
                <w:sz w:val="16"/>
                <w:szCs w:val="16"/>
                <w:color w:val="auto"/>
              </w:rPr>
              <w:t>S-1/A</w:t>
            </w:r>
          </w:p>
        </w:tc>
        <w:tc>
          <w:tcPr>
            <w:tcW w:w="1100" w:type="dxa"/>
            <w:vAlign w:val="bottom"/>
          </w:tcPr>
          <w:p>
            <w:pPr>
              <w:ind w:left="140"/>
              <w:spacing w:after="0"/>
              <w:rPr>
                <w:sz w:val="20"/>
                <w:szCs w:val="20"/>
                <w:color w:val="auto"/>
              </w:rPr>
            </w:pPr>
            <w:r>
              <w:rPr>
                <w:rFonts w:ascii="Arial" w:cs="Arial" w:eastAsia="Arial" w:hAnsi="Arial"/>
                <w:sz w:val="16"/>
                <w:szCs w:val="16"/>
                <w:color w:val="auto"/>
              </w:rPr>
              <w:t>333-250093</w:t>
            </w:r>
          </w:p>
        </w:tc>
        <w:tc>
          <w:tcPr>
            <w:tcW w:w="680" w:type="dxa"/>
            <w:vAlign w:val="bottom"/>
          </w:tcPr>
          <w:p>
            <w:pPr>
              <w:ind w:left="160"/>
              <w:spacing w:after="0"/>
              <w:rPr>
                <w:sz w:val="20"/>
                <w:szCs w:val="20"/>
                <w:color w:val="auto"/>
              </w:rPr>
            </w:pPr>
            <w:r>
              <w:rPr>
                <w:rFonts w:ascii="Arial" w:cs="Arial" w:eastAsia="Arial" w:hAnsi="Arial"/>
                <w:sz w:val="16"/>
                <w:szCs w:val="16"/>
                <w:color w:val="auto"/>
              </w:rPr>
              <w:t>10.19</w:t>
            </w:r>
          </w:p>
        </w:tc>
        <w:tc>
          <w:tcPr>
            <w:tcW w:w="1800" w:type="dxa"/>
            <w:vAlign w:val="bottom"/>
          </w:tcPr>
          <w:p>
            <w:pPr>
              <w:ind w:left="140"/>
              <w:spacing w:after="0"/>
              <w:rPr>
                <w:sz w:val="20"/>
                <w:szCs w:val="20"/>
                <w:color w:val="auto"/>
              </w:rPr>
            </w:pPr>
            <w:r>
              <w:rPr>
                <w:rFonts w:ascii="Arial" w:cs="Arial" w:eastAsia="Arial" w:hAnsi="Arial"/>
                <w:sz w:val="16"/>
                <w:szCs w:val="16"/>
                <w:color w:val="auto"/>
              </w:rPr>
              <w:t>12-08-2020</w:t>
            </w:r>
          </w:p>
        </w:tc>
      </w:tr>
      <w:tr>
        <w:trPr>
          <w:trHeight w:val="183"/>
        </w:trPr>
        <w:tc>
          <w:tcPr>
            <w:tcW w:w="880" w:type="dxa"/>
            <w:vAlign w:val="bottom"/>
          </w:tcPr>
          <w:p>
            <w:pPr>
              <w:spacing w:after="0"/>
              <w:rPr>
                <w:sz w:val="15"/>
                <w:szCs w:val="15"/>
                <w:color w:val="auto"/>
              </w:rPr>
            </w:pPr>
          </w:p>
        </w:tc>
        <w:tc>
          <w:tcPr>
            <w:tcW w:w="3320" w:type="dxa"/>
            <w:vAlign w:val="bottom"/>
            <w:tcBorders>
              <w:bottom w:val="single" w:sz="8" w:color="0000FF"/>
            </w:tcBorders>
            <w:gridSpan w:val="13"/>
          </w:tcPr>
          <w:p>
            <w:pPr>
              <w:spacing w:after="0" w:line="183" w:lineRule="exact"/>
              <w:rPr>
                <w:rFonts w:ascii="Arial" w:cs="Arial" w:eastAsia="Arial" w:hAnsi="Arial"/>
                <w:sz w:val="16"/>
                <w:szCs w:val="16"/>
                <w:color w:val="0000FF"/>
                <w:w w:val="90"/>
              </w:rPr>
            </w:pPr>
            <w:hyperlink r:id="rId366">
              <w:r>
                <w:rPr>
                  <w:rFonts w:ascii="Arial" w:cs="Arial" w:eastAsia="Arial" w:hAnsi="Arial"/>
                  <w:sz w:val="16"/>
                  <w:szCs w:val="16"/>
                  <w:color w:val="0000FF"/>
                  <w:w w:val="90"/>
                </w:rPr>
                <w:t>First Amendment to Lease, dated January 16, 2019</w:t>
              </w:r>
            </w:hyperlink>
          </w:p>
        </w:tc>
        <w:tc>
          <w:tcPr>
            <w:tcW w:w="20" w:type="dxa"/>
            <w:vAlign w:val="bottom"/>
            <w:tcBorders>
              <w:bottom w:val="single" w:sz="8" w:color="0000EE"/>
            </w:tcBorders>
          </w:tcPr>
          <w:p>
            <w:pPr>
              <w:spacing w:after="0"/>
              <w:rPr>
                <w:sz w:val="15"/>
                <w:szCs w:val="15"/>
                <w:color w:val="auto"/>
              </w:rPr>
            </w:pPr>
          </w:p>
        </w:tc>
        <w:tc>
          <w:tcPr>
            <w:tcW w:w="1940" w:type="dxa"/>
            <w:vAlign w:val="bottom"/>
            <w:gridSpan w:val="14"/>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10.23*</w:t>
            </w:r>
          </w:p>
        </w:tc>
        <w:tc>
          <w:tcPr>
            <w:tcW w:w="5120" w:type="dxa"/>
            <w:vAlign w:val="bottom"/>
            <w:tcBorders>
              <w:bottom w:val="single" w:sz="8" w:color="0000FF"/>
            </w:tcBorders>
            <w:gridSpan w:val="25"/>
          </w:tcPr>
          <w:p>
            <w:pPr>
              <w:spacing w:after="0"/>
              <w:rPr>
                <w:rFonts w:ascii="Arial" w:cs="Arial" w:eastAsia="Arial" w:hAnsi="Arial"/>
                <w:sz w:val="16"/>
                <w:szCs w:val="16"/>
                <w:color w:val="0000FF"/>
                <w:w w:val="93"/>
              </w:rPr>
            </w:pPr>
            <w:hyperlink r:id="rId367">
              <w:r>
                <w:rPr>
                  <w:rFonts w:ascii="Arial" w:cs="Arial" w:eastAsia="Arial" w:hAnsi="Arial"/>
                  <w:sz w:val="16"/>
                  <w:szCs w:val="16"/>
                  <w:color w:val="0000FF"/>
                  <w:w w:val="93"/>
                </w:rPr>
                <w:t>Master Clinical Trial Collaboration Agreement, dated January 5, 2022, by and</w:t>
              </w:r>
            </w:hyperlink>
          </w:p>
        </w:tc>
        <w:tc>
          <w:tcPr>
            <w:tcW w:w="160" w:type="dxa"/>
            <w:vAlign w:val="bottom"/>
            <w:gridSpan w:val="3"/>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6"/>
                <w:szCs w:val="16"/>
                <w:color w:val="auto"/>
              </w:rPr>
              <w:t>10-Q</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160"/>
              <w:spacing w:after="0"/>
              <w:rPr>
                <w:sz w:val="20"/>
                <w:szCs w:val="20"/>
                <w:color w:val="auto"/>
              </w:rPr>
            </w:pPr>
            <w:r>
              <w:rPr>
                <w:rFonts w:ascii="Arial" w:cs="Arial" w:eastAsia="Arial" w:hAnsi="Arial"/>
                <w:sz w:val="16"/>
                <w:szCs w:val="16"/>
                <w:color w:val="auto"/>
              </w:rPr>
              <w:t>10.2</w:t>
            </w:r>
          </w:p>
        </w:tc>
        <w:tc>
          <w:tcPr>
            <w:tcW w:w="1800" w:type="dxa"/>
            <w:vAlign w:val="bottom"/>
          </w:tcPr>
          <w:p>
            <w:pPr>
              <w:ind w:left="140"/>
              <w:spacing w:after="0"/>
              <w:rPr>
                <w:sz w:val="20"/>
                <w:szCs w:val="20"/>
                <w:color w:val="auto"/>
              </w:rPr>
            </w:pPr>
            <w:r>
              <w:rPr>
                <w:rFonts w:ascii="Arial" w:cs="Arial" w:eastAsia="Arial" w:hAnsi="Arial"/>
                <w:sz w:val="16"/>
                <w:szCs w:val="16"/>
                <w:color w:val="auto"/>
              </w:rPr>
              <w:t>11-04-2022</w:t>
            </w:r>
          </w:p>
        </w:tc>
      </w:tr>
      <w:tr>
        <w:trPr>
          <w:trHeight w:val="183"/>
        </w:trPr>
        <w:tc>
          <w:tcPr>
            <w:tcW w:w="880" w:type="dxa"/>
            <w:vAlign w:val="bottom"/>
          </w:tcPr>
          <w:p>
            <w:pPr>
              <w:spacing w:after="0"/>
              <w:rPr>
                <w:sz w:val="15"/>
                <w:szCs w:val="15"/>
                <w:color w:val="auto"/>
              </w:rPr>
            </w:pPr>
          </w:p>
        </w:tc>
        <w:tc>
          <w:tcPr>
            <w:tcW w:w="3160" w:type="dxa"/>
            <w:vAlign w:val="bottom"/>
            <w:tcBorders>
              <w:bottom w:val="single" w:sz="8" w:color="0000FF"/>
            </w:tcBorders>
            <w:gridSpan w:val="11"/>
          </w:tcPr>
          <w:p>
            <w:pPr>
              <w:spacing w:after="0" w:line="183" w:lineRule="exact"/>
              <w:rPr>
                <w:rFonts w:ascii="Arial" w:cs="Arial" w:eastAsia="Arial" w:hAnsi="Arial"/>
                <w:sz w:val="16"/>
                <w:szCs w:val="16"/>
                <w:color w:val="0000FF"/>
                <w:w w:val="94"/>
              </w:rPr>
            </w:pPr>
            <w:hyperlink r:id="rId367">
              <w:r>
                <w:rPr>
                  <w:rFonts w:ascii="Arial" w:cs="Arial" w:eastAsia="Arial" w:hAnsi="Arial"/>
                  <w:sz w:val="16"/>
                  <w:szCs w:val="16"/>
                  <w:color w:val="0000FF"/>
                  <w:w w:val="94"/>
                </w:rPr>
                <w:t>between BioAtla, Inc. and Bristol-Myers Squibb</w:t>
              </w:r>
            </w:hyperlink>
          </w:p>
        </w:tc>
        <w:tc>
          <w:tcPr>
            <w:tcW w:w="40" w:type="dxa"/>
            <w:vAlign w:val="bottom"/>
            <w:tcBorders>
              <w:bottom w:val="single" w:sz="8" w:color="0000EE"/>
            </w:tcBorders>
          </w:tcPr>
          <w:p>
            <w:pPr>
              <w:spacing w:after="0"/>
              <w:rPr>
                <w:sz w:val="15"/>
                <w:szCs w:val="15"/>
                <w:color w:val="auto"/>
              </w:rPr>
            </w:pPr>
          </w:p>
        </w:tc>
        <w:tc>
          <w:tcPr>
            <w:tcW w:w="2080" w:type="dxa"/>
            <w:vAlign w:val="bottom"/>
            <w:gridSpan w:val="16"/>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10.24*</w:t>
            </w:r>
          </w:p>
        </w:tc>
        <w:tc>
          <w:tcPr>
            <w:tcW w:w="524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w w:val="94"/>
              </w:rPr>
              <w:t>First Amendment to Master Clinical Trial Agreement between BioAtla, Inc. and</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183"/>
        </w:trPr>
        <w:tc>
          <w:tcPr>
            <w:tcW w:w="880" w:type="dxa"/>
            <w:vAlign w:val="bottom"/>
          </w:tcPr>
          <w:p>
            <w:pPr>
              <w:spacing w:after="0"/>
              <w:rPr>
                <w:sz w:val="15"/>
                <w:szCs w:val="15"/>
                <w:color w:val="auto"/>
              </w:rPr>
            </w:pPr>
          </w:p>
        </w:tc>
        <w:tc>
          <w:tcPr>
            <w:tcW w:w="1420" w:type="dxa"/>
            <w:vAlign w:val="bottom"/>
            <w:tcBorders>
              <w:bottom w:val="single" w:sz="8" w:color="0000FF"/>
            </w:tcBorders>
            <w:gridSpan w:val="4"/>
          </w:tcPr>
          <w:p>
            <w:pPr>
              <w:spacing w:after="0" w:line="183" w:lineRule="exact"/>
              <w:rPr>
                <w:sz w:val="20"/>
                <w:szCs w:val="20"/>
                <w:color w:val="auto"/>
              </w:rPr>
            </w:pPr>
            <w:r>
              <w:rPr>
                <w:rFonts w:ascii="Arial" w:cs="Arial" w:eastAsia="Arial" w:hAnsi="Arial"/>
                <w:sz w:val="16"/>
                <w:szCs w:val="16"/>
                <w:color w:val="0000FF"/>
                <w:w w:val="94"/>
              </w:rPr>
              <w:t>Bristol-Myers Squibb</w:t>
            </w:r>
          </w:p>
        </w:tc>
        <w:tc>
          <w:tcPr>
            <w:tcW w:w="20" w:type="dxa"/>
            <w:vAlign w:val="bottom"/>
            <w:tcBorders>
              <w:bottom w:val="single" w:sz="8" w:color="0000EE"/>
            </w:tcBorders>
          </w:tcPr>
          <w:p>
            <w:pPr>
              <w:spacing w:after="0"/>
              <w:rPr>
                <w:sz w:val="15"/>
                <w:szCs w:val="15"/>
                <w:color w:val="auto"/>
              </w:rPr>
            </w:pPr>
          </w:p>
        </w:tc>
        <w:tc>
          <w:tcPr>
            <w:tcW w:w="3840" w:type="dxa"/>
            <w:vAlign w:val="bottom"/>
            <w:gridSpan w:val="23"/>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10.25*</w:t>
            </w:r>
          </w:p>
        </w:tc>
        <w:tc>
          <w:tcPr>
            <w:tcW w:w="5120" w:type="dxa"/>
            <w:vAlign w:val="bottom"/>
            <w:tcBorders>
              <w:bottom w:val="single" w:sz="8" w:color="0000FF"/>
            </w:tcBorders>
            <w:gridSpan w:val="25"/>
          </w:tcPr>
          <w:p>
            <w:pPr>
              <w:spacing w:after="0"/>
              <w:rPr>
                <w:rFonts w:ascii="Arial" w:cs="Arial" w:eastAsia="Arial" w:hAnsi="Arial"/>
                <w:sz w:val="16"/>
                <w:szCs w:val="16"/>
                <w:color w:val="0000FF"/>
                <w:w w:val="93"/>
              </w:rPr>
            </w:pPr>
            <w:hyperlink r:id="rId368">
              <w:r>
                <w:rPr>
                  <w:rFonts w:ascii="Arial" w:cs="Arial" w:eastAsia="Arial" w:hAnsi="Arial"/>
                  <w:sz w:val="16"/>
                  <w:szCs w:val="16"/>
                  <w:color w:val="0000FF"/>
                  <w:w w:val="93"/>
                </w:rPr>
                <w:t>China Clinical Trial Services Agreement, dated April 8, 2022, by and between</w:t>
              </w:r>
            </w:hyperlink>
          </w:p>
        </w:tc>
        <w:tc>
          <w:tcPr>
            <w:tcW w:w="160" w:type="dxa"/>
            <w:vAlign w:val="bottom"/>
            <w:gridSpan w:val="3"/>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6"/>
                <w:szCs w:val="16"/>
                <w:color w:val="auto"/>
              </w:rPr>
              <w:t>10-Q</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160"/>
              <w:spacing w:after="0"/>
              <w:rPr>
                <w:sz w:val="20"/>
                <w:szCs w:val="20"/>
                <w:color w:val="auto"/>
              </w:rPr>
            </w:pPr>
            <w:r>
              <w:rPr>
                <w:rFonts w:ascii="Arial" w:cs="Arial" w:eastAsia="Arial" w:hAnsi="Arial"/>
                <w:sz w:val="16"/>
                <w:szCs w:val="16"/>
                <w:color w:val="auto"/>
              </w:rPr>
              <w:t>10.1</w:t>
            </w:r>
          </w:p>
        </w:tc>
        <w:tc>
          <w:tcPr>
            <w:tcW w:w="1800" w:type="dxa"/>
            <w:vAlign w:val="bottom"/>
          </w:tcPr>
          <w:p>
            <w:pPr>
              <w:ind w:left="140"/>
              <w:spacing w:after="0"/>
              <w:rPr>
                <w:sz w:val="20"/>
                <w:szCs w:val="20"/>
                <w:color w:val="auto"/>
              </w:rPr>
            </w:pPr>
            <w:r>
              <w:rPr>
                <w:rFonts w:ascii="Arial" w:cs="Arial" w:eastAsia="Arial" w:hAnsi="Arial"/>
                <w:sz w:val="16"/>
                <w:szCs w:val="16"/>
                <w:color w:val="auto"/>
              </w:rPr>
              <w:t>08-09-2022</w:t>
            </w:r>
          </w:p>
        </w:tc>
      </w:tr>
      <w:tr>
        <w:trPr>
          <w:trHeight w:val="183"/>
        </w:trPr>
        <w:tc>
          <w:tcPr>
            <w:tcW w:w="880" w:type="dxa"/>
            <w:vAlign w:val="bottom"/>
          </w:tcPr>
          <w:p>
            <w:pPr>
              <w:spacing w:after="0"/>
              <w:rPr>
                <w:sz w:val="15"/>
                <w:szCs w:val="15"/>
                <w:color w:val="auto"/>
              </w:rPr>
            </w:pPr>
          </w:p>
        </w:tc>
        <w:tc>
          <w:tcPr>
            <w:tcW w:w="3900" w:type="dxa"/>
            <w:vAlign w:val="bottom"/>
            <w:tcBorders>
              <w:bottom w:val="single" w:sz="8" w:color="0000FF"/>
            </w:tcBorders>
            <w:gridSpan w:val="18"/>
          </w:tcPr>
          <w:p>
            <w:pPr>
              <w:spacing w:after="0" w:line="183" w:lineRule="exact"/>
              <w:rPr>
                <w:rFonts w:ascii="Arial" w:cs="Arial" w:eastAsia="Arial" w:hAnsi="Arial"/>
                <w:sz w:val="16"/>
                <w:szCs w:val="16"/>
                <w:color w:val="0000FF"/>
                <w:w w:val="93"/>
              </w:rPr>
            </w:pPr>
            <w:hyperlink r:id="rId368">
              <w:r>
                <w:rPr>
                  <w:rFonts w:ascii="Arial" w:cs="Arial" w:eastAsia="Arial" w:hAnsi="Arial"/>
                  <w:sz w:val="16"/>
                  <w:szCs w:val="16"/>
                  <w:color w:val="0000FF"/>
                  <w:w w:val="93"/>
                </w:rPr>
                <w:t>BioAtla, Inc. and Himalaya Therapeutics Limited Company</w:t>
              </w:r>
            </w:hyperlink>
          </w:p>
        </w:tc>
        <w:tc>
          <w:tcPr>
            <w:tcW w:w="1380" w:type="dxa"/>
            <w:vAlign w:val="bottom"/>
            <w:gridSpan w:val="10"/>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10.26</w:t>
            </w:r>
          </w:p>
        </w:tc>
        <w:tc>
          <w:tcPr>
            <w:tcW w:w="5280" w:type="dxa"/>
            <w:vAlign w:val="bottom"/>
            <w:gridSpan w:val="28"/>
          </w:tcPr>
          <w:p>
            <w:pPr>
              <w:spacing w:after="0"/>
              <w:rPr>
                <w:rFonts w:ascii="Arial" w:cs="Arial" w:eastAsia="Arial" w:hAnsi="Arial"/>
                <w:sz w:val="16"/>
                <w:szCs w:val="16"/>
                <w:color w:val="0000FF"/>
              </w:rPr>
            </w:pPr>
            <w:hyperlink r:id="rId369">
              <w:r>
                <w:rPr>
                  <w:rFonts w:ascii="Arial" w:cs="Arial" w:eastAsia="Arial" w:hAnsi="Arial"/>
                  <w:sz w:val="16"/>
                  <w:szCs w:val="16"/>
                  <w:color w:val="0000FF"/>
                </w:rPr>
                <w:t>Amendment No. 2 to 2020 Equity Incentive Plan</w:t>
              </w:r>
            </w:hyperlink>
          </w:p>
        </w:tc>
        <w:tc>
          <w:tcPr>
            <w:tcW w:w="680" w:type="dxa"/>
            <w:vAlign w:val="bottom"/>
          </w:tcPr>
          <w:p>
            <w:pPr>
              <w:ind w:left="180"/>
              <w:spacing w:after="0"/>
              <w:rPr>
                <w:sz w:val="20"/>
                <w:szCs w:val="20"/>
                <w:color w:val="auto"/>
              </w:rPr>
            </w:pPr>
            <w:r>
              <w:rPr>
                <w:rFonts w:ascii="Arial" w:cs="Arial" w:eastAsia="Arial" w:hAnsi="Arial"/>
                <w:sz w:val="16"/>
                <w:szCs w:val="16"/>
                <w:color w:val="auto"/>
              </w:rPr>
              <w:t>10-K</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200"/>
              <w:spacing w:after="0"/>
              <w:rPr>
                <w:sz w:val="20"/>
                <w:szCs w:val="20"/>
                <w:color w:val="auto"/>
              </w:rPr>
            </w:pPr>
            <w:r>
              <w:rPr>
                <w:rFonts w:ascii="Arial" w:cs="Arial" w:eastAsia="Arial" w:hAnsi="Arial"/>
                <w:sz w:val="16"/>
                <w:szCs w:val="16"/>
                <w:color w:val="auto"/>
              </w:rPr>
              <w:t>10.26</w:t>
            </w:r>
          </w:p>
        </w:tc>
        <w:tc>
          <w:tcPr>
            <w:tcW w:w="1800" w:type="dxa"/>
            <w:vAlign w:val="bottom"/>
          </w:tcPr>
          <w:p>
            <w:pPr>
              <w:ind w:left="140"/>
              <w:spacing w:after="0"/>
              <w:rPr>
                <w:sz w:val="20"/>
                <w:szCs w:val="20"/>
                <w:color w:val="auto"/>
              </w:rPr>
            </w:pPr>
            <w:r>
              <w:rPr>
                <w:rFonts w:ascii="Arial" w:cs="Arial" w:eastAsia="Arial" w:hAnsi="Arial"/>
                <w:sz w:val="16"/>
                <w:szCs w:val="16"/>
                <w:color w:val="auto"/>
              </w:rPr>
              <w:t>02-28-2022</w:t>
            </w:r>
          </w:p>
        </w:tc>
      </w:tr>
      <w:tr>
        <w:trPr>
          <w:trHeight w:val="20"/>
        </w:trPr>
        <w:tc>
          <w:tcPr>
            <w:tcW w:w="88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10.27</w:t>
            </w:r>
          </w:p>
        </w:tc>
        <w:tc>
          <w:tcPr>
            <w:tcW w:w="3440" w:type="dxa"/>
            <w:vAlign w:val="bottom"/>
            <w:tcBorders>
              <w:bottom w:val="single" w:sz="8" w:color="0000FF"/>
            </w:tcBorders>
            <w:gridSpan w:val="15"/>
          </w:tcPr>
          <w:p>
            <w:pPr>
              <w:spacing w:after="0"/>
              <w:rPr>
                <w:rFonts w:ascii="Arial" w:cs="Arial" w:eastAsia="Arial" w:hAnsi="Arial"/>
                <w:sz w:val="16"/>
                <w:szCs w:val="16"/>
                <w:color w:val="0000FF"/>
                <w:w w:val="90"/>
              </w:rPr>
            </w:pPr>
            <w:hyperlink r:id="rId370">
              <w:r>
                <w:rPr>
                  <w:rFonts w:ascii="Arial" w:cs="Arial" w:eastAsia="Arial" w:hAnsi="Arial"/>
                  <w:sz w:val="16"/>
                  <w:szCs w:val="16"/>
                  <w:color w:val="0000FF"/>
                  <w:w w:val="90"/>
                </w:rPr>
                <w:t>Amendment No. 1 to Employee Share Purchase Plan</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12"/>
          </w:tcPr>
          <w:p>
            <w:pPr>
              <w:spacing w:after="0"/>
              <w:rPr>
                <w:sz w:val="24"/>
                <w:szCs w:val="24"/>
                <w:color w:val="auto"/>
              </w:rPr>
            </w:pPr>
          </w:p>
        </w:tc>
        <w:tc>
          <w:tcPr>
            <w:tcW w:w="680" w:type="dxa"/>
            <w:vAlign w:val="bottom"/>
          </w:tcPr>
          <w:p>
            <w:pPr>
              <w:ind w:left="180"/>
              <w:spacing w:after="0"/>
              <w:rPr>
                <w:sz w:val="20"/>
                <w:szCs w:val="20"/>
                <w:color w:val="auto"/>
              </w:rPr>
            </w:pPr>
            <w:r>
              <w:rPr>
                <w:rFonts w:ascii="Arial" w:cs="Arial" w:eastAsia="Arial" w:hAnsi="Arial"/>
                <w:sz w:val="16"/>
                <w:szCs w:val="16"/>
                <w:color w:val="auto"/>
              </w:rPr>
              <w:t>10-K</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200"/>
              <w:spacing w:after="0"/>
              <w:rPr>
                <w:sz w:val="20"/>
                <w:szCs w:val="20"/>
                <w:color w:val="auto"/>
              </w:rPr>
            </w:pPr>
            <w:r>
              <w:rPr>
                <w:rFonts w:ascii="Arial" w:cs="Arial" w:eastAsia="Arial" w:hAnsi="Arial"/>
                <w:sz w:val="16"/>
                <w:szCs w:val="16"/>
                <w:color w:val="auto"/>
              </w:rPr>
              <w:t>10.27</w:t>
            </w:r>
          </w:p>
        </w:tc>
        <w:tc>
          <w:tcPr>
            <w:tcW w:w="1800" w:type="dxa"/>
            <w:vAlign w:val="bottom"/>
          </w:tcPr>
          <w:p>
            <w:pPr>
              <w:ind w:left="140"/>
              <w:spacing w:after="0"/>
              <w:rPr>
                <w:sz w:val="20"/>
                <w:szCs w:val="20"/>
                <w:color w:val="auto"/>
              </w:rPr>
            </w:pPr>
            <w:r>
              <w:rPr>
                <w:rFonts w:ascii="Arial" w:cs="Arial" w:eastAsia="Arial" w:hAnsi="Arial"/>
                <w:sz w:val="16"/>
                <w:szCs w:val="16"/>
                <w:color w:val="auto"/>
              </w:rPr>
              <w:t>02-28-2022</w:t>
            </w: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10.28*</w:t>
            </w:r>
          </w:p>
        </w:tc>
        <w:tc>
          <w:tcPr>
            <w:tcW w:w="5020" w:type="dxa"/>
            <w:vAlign w:val="bottom"/>
            <w:tcBorders>
              <w:bottom w:val="single" w:sz="8" w:color="0000FF"/>
            </w:tcBorders>
            <w:gridSpan w:val="23"/>
          </w:tcPr>
          <w:p>
            <w:pPr>
              <w:spacing w:after="0"/>
              <w:rPr>
                <w:rFonts w:ascii="Arial" w:cs="Arial" w:eastAsia="Arial" w:hAnsi="Arial"/>
                <w:sz w:val="16"/>
                <w:szCs w:val="16"/>
                <w:color w:val="0000FF"/>
                <w:w w:val="93"/>
              </w:rPr>
            </w:pPr>
            <w:hyperlink r:id="rId371">
              <w:r>
                <w:rPr>
                  <w:rFonts w:ascii="Arial" w:cs="Arial" w:eastAsia="Arial" w:hAnsi="Arial"/>
                  <w:sz w:val="16"/>
                  <w:szCs w:val="16"/>
                  <w:color w:val="0000FF"/>
                  <w:w w:val="93"/>
                </w:rPr>
                <w:t>Amendment No. 3 to Global Co-Development and Collaboration Agreement</w:t>
              </w:r>
            </w:hyperlink>
          </w:p>
        </w:tc>
        <w:tc>
          <w:tcPr>
            <w:tcW w:w="260" w:type="dxa"/>
            <w:vAlign w:val="bottom"/>
            <w:gridSpan w:val="5"/>
          </w:tcPr>
          <w:p>
            <w:pPr>
              <w:spacing w:after="0"/>
              <w:rPr>
                <w:sz w:val="24"/>
                <w:szCs w:val="24"/>
                <w:color w:val="auto"/>
              </w:rPr>
            </w:pPr>
          </w:p>
        </w:tc>
        <w:tc>
          <w:tcPr>
            <w:tcW w:w="680" w:type="dxa"/>
            <w:vAlign w:val="bottom"/>
          </w:tcPr>
          <w:p>
            <w:pPr>
              <w:ind w:left="180"/>
              <w:spacing w:after="0"/>
              <w:rPr>
                <w:sz w:val="20"/>
                <w:szCs w:val="20"/>
                <w:color w:val="auto"/>
              </w:rPr>
            </w:pPr>
            <w:r>
              <w:rPr>
                <w:rFonts w:ascii="Arial" w:cs="Arial" w:eastAsia="Arial" w:hAnsi="Arial"/>
                <w:sz w:val="16"/>
                <w:szCs w:val="16"/>
                <w:color w:val="auto"/>
              </w:rPr>
              <w:t>10-K</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200"/>
              <w:spacing w:after="0"/>
              <w:rPr>
                <w:sz w:val="20"/>
                <w:szCs w:val="20"/>
                <w:color w:val="auto"/>
              </w:rPr>
            </w:pPr>
            <w:r>
              <w:rPr>
                <w:rFonts w:ascii="Arial" w:cs="Arial" w:eastAsia="Arial" w:hAnsi="Arial"/>
                <w:sz w:val="16"/>
                <w:szCs w:val="16"/>
                <w:color w:val="auto"/>
              </w:rPr>
              <w:t>10.28</w:t>
            </w:r>
          </w:p>
        </w:tc>
        <w:tc>
          <w:tcPr>
            <w:tcW w:w="1800" w:type="dxa"/>
            <w:vAlign w:val="bottom"/>
          </w:tcPr>
          <w:p>
            <w:pPr>
              <w:ind w:left="140"/>
              <w:spacing w:after="0"/>
              <w:rPr>
                <w:sz w:val="20"/>
                <w:szCs w:val="20"/>
                <w:color w:val="auto"/>
              </w:rPr>
            </w:pPr>
            <w:r>
              <w:rPr>
                <w:rFonts w:ascii="Arial" w:cs="Arial" w:eastAsia="Arial" w:hAnsi="Arial"/>
                <w:sz w:val="16"/>
                <w:szCs w:val="16"/>
                <w:color w:val="auto"/>
              </w:rPr>
              <w:t>02-28-2022</w:t>
            </w:r>
          </w:p>
        </w:tc>
      </w:tr>
      <w:tr>
        <w:trPr>
          <w:trHeight w:val="183"/>
        </w:trPr>
        <w:tc>
          <w:tcPr>
            <w:tcW w:w="880" w:type="dxa"/>
            <w:vAlign w:val="bottom"/>
          </w:tcPr>
          <w:p>
            <w:pPr>
              <w:spacing w:after="0"/>
              <w:rPr>
                <w:sz w:val="15"/>
                <w:szCs w:val="15"/>
                <w:color w:val="auto"/>
              </w:rPr>
            </w:pPr>
          </w:p>
        </w:tc>
        <w:tc>
          <w:tcPr>
            <w:tcW w:w="262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371">
              <w:r>
                <w:rPr>
                  <w:rFonts w:ascii="Arial" w:cs="Arial" w:eastAsia="Arial" w:hAnsi="Arial"/>
                  <w:sz w:val="16"/>
                  <w:szCs w:val="16"/>
                  <w:color w:val="0000FF"/>
                  <w:w w:val="93"/>
                </w:rPr>
                <w:t>between BioAtla, Inc. and BeiGene, Ltd</w:t>
              </w:r>
            </w:hyperlink>
          </w:p>
        </w:tc>
        <w:tc>
          <w:tcPr>
            <w:tcW w:w="20" w:type="dxa"/>
            <w:vAlign w:val="bottom"/>
            <w:tcBorders>
              <w:bottom w:val="single" w:sz="8" w:color="0000EE"/>
            </w:tcBorders>
          </w:tcPr>
          <w:p>
            <w:pPr>
              <w:spacing w:after="0"/>
              <w:rPr>
                <w:sz w:val="15"/>
                <w:szCs w:val="15"/>
                <w:color w:val="auto"/>
              </w:rPr>
            </w:pPr>
          </w:p>
        </w:tc>
        <w:tc>
          <w:tcPr>
            <w:tcW w:w="2640" w:type="dxa"/>
            <w:vAlign w:val="bottom"/>
            <w:gridSpan w:val="21"/>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10.29+</w:t>
            </w:r>
          </w:p>
        </w:tc>
        <w:tc>
          <w:tcPr>
            <w:tcW w:w="5280" w:type="dxa"/>
            <w:vAlign w:val="bottom"/>
            <w:gridSpan w:val="28"/>
          </w:tcPr>
          <w:p>
            <w:pPr>
              <w:spacing w:after="0"/>
              <w:rPr>
                <w:rFonts w:ascii="Arial" w:cs="Arial" w:eastAsia="Arial" w:hAnsi="Arial"/>
                <w:sz w:val="16"/>
                <w:szCs w:val="16"/>
                <w:color w:val="0000FF"/>
              </w:rPr>
            </w:pPr>
            <w:hyperlink r:id="rId372">
              <w:r>
                <w:rPr>
                  <w:rFonts w:ascii="Arial" w:cs="Arial" w:eastAsia="Arial" w:hAnsi="Arial"/>
                  <w:sz w:val="16"/>
                  <w:szCs w:val="16"/>
                  <w:color w:val="0000FF"/>
                </w:rPr>
                <w:t>Form of Non-Employee Director Stock Option Agreement</w:t>
              </w:r>
            </w:hyperlink>
          </w:p>
        </w:tc>
        <w:tc>
          <w:tcPr>
            <w:tcW w:w="680" w:type="dxa"/>
            <w:vAlign w:val="bottom"/>
          </w:tcPr>
          <w:p>
            <w:pPr>
              <w:ind w:left="140"/>
              <w:spacing w:after="0"/>
              <w:rPr>
                <w:sz w:val="20"/>
                <w:szCs w:val="20"/>
                <w:color w:val="auto"/>
              </w:rPr>
            </w:pPr>
            <w:r>
              <w:rPr>
                <w:rFonts w:ascii="Arial" w:cs="Arial" w:eastAsia="Arial" w:hAnsi="Arial"/>
                <w:sz w:val="16"/>
                <w:szCs w:val="16"/>
                <w:color w:val="auto"/>
              </w:rPr>
              <w:t>10-Q</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160"/>
              <w:spacing w:after="0"/>
              <w:rPr>
                <w:sz w:val="20"/>
                <w:szCs w:val="20"/>
                <w:color w:val="auto"/>
              </w:rPr>
            </w:pPr>
            <w:r>
              <w:rPr>
                <w:rFonts w:ascii="Arial" w:cs="Arial" w:eastAsia="Arial" w:hAnsi="Arial"/>
                <w:sz w:val="16"/>
                <w:szCs w:val="16"/>
                <w:color w:val="auto"/>
              </w:rPr>
              <w:t>10.1</w:t>
            </w:r>
          </w:p>
        </w:tc>
        <w:tc>
          <w:tcPr>
            <w:tcW w:w="1800" w:type="dxa"/>
            <w:vAlign w:val="bottom"/>
          </w:tcPr>
          <w:p>
            <w:pPr>
              <w:ind w:left="140"/>
              <w:spacing w:after="0"/>
              <w:rPr>
                <w:sz w:val="20"/>
                <w:szCs w:val="20"/>
                <w:color w:val="auto"/>
              </w:rPr>
            </w:pPr>
            <w:r>
              <w:rPr>
                <w:rFonts w:ascii="Arial" w:cs="Arial" w:eastAsia="Arial" w:hAnsi="Arial"/>
                <w:sz w:val="16"/>
                <w:szCs w:val="16"/>
                <w:color w:val="auto"/>
              </w:rPr>
              <w:t>11-15-2021</w:t>
            </w: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10.30+</w:t>
            </w:r>
          </w:p>
        </w:tc>
        <w:tc>
          <w:tcPr>
            <w:tcW w:w="290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3"/>
              </w:rPr>
            </w:pPr>
            <w:hyperlink r:id="rId373">
              <w:r>
                <w:rPr>
                  <w:rFonts w:ascii="Arial" w:cs="Arial" w:eastAsia="Arial" w:hAnsi="Arial"/>
                  <w:sz w:val="16"/>
                  <w:szCs w:val="16"/>
                  <w:color w:val="0000FF"/>
                  <w:w w:val="93"/>
                </w:rPr>
                <w:t>Form of Employee Stock Option Agreement</w:t>
              </w:r>
            </w:hyperlink>
          </w:p>
        </w:tc>
        <w:tc>
          <w:tcPr>
            <w:tcW w:w="20" w:type="dxa"/>
            <w:vAlign w:val="bottom"/>
            <w:tcBorders>
              <w:top w:val="single" w:sz="8" w:color="0000FF"/>
              <w:bottom w:val="single" w:sz="8" w:color="0000EE"/>
            </w:tcBorders>
          </w:tcPr>
          <w:p>
            <w:pPr>
              <w:spacing w:after="0"/>
              <w:rPr>
                <w:sz w:val="24"/>
                <w:szCs w:val="24"/>
                <w:color w:val="auto"/>
              </w:rPr>
            </w:pPr>
          </w:p>
        </w:tc>
        <w:tc>
          <w:tcPr>
            <w:tcW w:w="880" w:type="dxa"/>
            <w:vAlign w:val="bottom"/>
            <w:tcBorders>
              <w:top w:val="single" w:sz="8" w:color="0000FF"/>
            </w:tcBorders>
            <w:gridSpan w:val="8"/>
          </w:tcPr>
          <w:p>
            <w:pPr>
              <w:spacing w:after="0"/>
              <w:rPr>
                <w:sz w:val="24"/>
                <w:szCs w:val="24"/>
                <w:color w:val="auto"/>
              </w:rPr>
            </w:pPr>
          </w:p>
        </w:tc>
        <w:tc>
          <w:tcPr>
            <w:tcW w:w="1480" w:type="dxa"/>
            <w:vAlign w:val="bottom"/>
            <w:gridSpan w:val="11"/>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6"/>
                <w:szCs w:val="16"/>
                <w:color w:val="auto"/>
              </w:rPr>
              <w:t>10-Q</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160"/>
              <w:spacing w:after="0"/>
              <w:rPr>
                <w:sz w:val="20"/>
                <w:szCs w:val="20"/>
                <w:color w:val="auto"/>
              </w:rPr>
            </w:pPr>
            <w:r>
              <w:rPr>
                <w:rFonts w:ascii="Arial" w:cs="Arial" w:eastAsia="Arial" w:hAnsi="Arial"/>
                <w:sz w:val="16"/>
                <w:szCs w:val="16"/>
                <w:color w:val="auto"/>
              </w:rPr>
              <w:t>10.2</w:t>
            </w:r>
          </w:p>
        </w:tc>
        <w:tc>
          <w:tcPr>
            <w:tcW w:w="1800" w:type="dxa"/>
            <w:vAlign w:val="bottom"/>
          </w:tcPr>
          <w:p>
            <w:pPr>
              <w:ind w:left="140"/>
              <w:spacing w:after="0"/>
              <w:rPr>
                <w:sz w:val="20"/>
                <w:szCs w:val="20"/>
                <w:color w:val="auto"/>
              </w:rPr>
            </w:pPr>
            <w:r>
              <w:rPr>
                <w:rFonts w:ascii="Arial" w:cs="Arial" w:eastAsia="Arial" w:hAnsi="Arial"/>
                <w:sz w:val="16"/>
                <w:szCs w:val="16"/>
                <w:color w:val="auto"/>
              </w:rPr>
              <w:t>11-15-2021</w:t>
            </w: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10.31+</w:t>
            </w:r>
          </w:p>
        </w:tc>
        <w:tc>
          <w:tcPr>
            <w:tcW w:w="40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2"/>
              </w:rPr>
              <w:t>Amended and Restated BioAtla Director Compensation Policy</w:t>
            </w:r>
          </w:p>
        </w:tc>
        <w:tc>
          <w:tcPr>
            <w:tcW w:w="120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10.32+</w:t>
            </w:r>
          </w:p>
        </w:tc>
        <w:tc>
          <w:tcPr>
            <w:tcW w:w="4020" w:type="dxa"/>
            <w:vAlign w:val="bottom"/>
            <w:tcBorders>
              <w:bottom w:val="single" w:sz="8" w:color="0000FF"/>
            </w:tcBorders>
            <w:gridSpan w:val="19"/>
          </w:tcPr>
          <w:p>
            <w:pPr>
              <w:spacing w:after="0"/>
              <w:rPr>
                <w:rFonts w:ascii="Arial" w:cs="Arial" w:eastAsia="Arial" w:hAnsi="Arial"/>
                <w:sz w:val="16"/>
                <w:szCs w:val="16"/>
                <w:color w:val="0000FF"/>
                <w:w w:val="91"/>
              </w:rPr>
            </w:pPr>
            <w:hyperlink r:id="rId374">
              <w:r>
                <w:rPr>
                  <w:rFonts w:ascii="Arial" w:cs="Arial" w:eastAsia="Arial" w:hAnsi="Arial"/>
                  <w:sz w:val="16"/>
                  <w:szCs w:val="16"/>
                  <w:color w:val="0000FF"/>
                  <w:w w:val="91"/>
                </w:rPr>
                <w:t>BioAtla, Inc. Management Change of Control Severance Plan</w:t>
              </w:r>
            </w:hyperlink>
          </w:p>
        </w:tc>
        <w:tc>
          <w:tcPr>
            <w:tcW w:w="1260" w:type="dxa"/>
            <w:vAlign w:val="bottom"/>
            <w:gridSpan w:val="9"/>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6"/>
                <w:szCs w:val="16"/>
                <w:color w:val="auto"/>
              </w:rPr>
              <w:t>8-K</w:t>
            </w:r>
          </w:p>
        </w:tc>
        <w:tc>
          <w:tcPr>
            <w:tcW w:w="1100" w:type="dxa"/>
            <w:vAlign w:val="bottom"/>
          </w:tcPr>
          <w:p>
            <w:pPr>
              <w:ind w:left="140"/>
              <w:spacing w:after="0"/>
              <w:rPr>
                <w:sz w:val="20"/>
                <w:szCs w:val="20"/>
                <w:color w:val="auto"/>
              </w:rPr>
            </w:pPr>
            <w:r>
              <w:rPr>
                <w:rFonts w:ascii="Arial" w:cs="Arial" w:eastAsia="Arial" w:hAnsi="Arial"/>
                <w:sz w:val="16"/>
                <w:szCs w:val="16"/>
                <w:color w:val="auto"/>
              </w:rPr>
              <w:t>001-39787</w:t>
            </w:r>
          </w:p>
        </w:tc>
        <w:tc>
          <w:tcPr>
            <w:tcW w:w="680" w:type="dxa"/>
            <w:vAlign w:val="bottom"/>
          </w:tcPr>
          <w:p>
            <w:pPr>
              <w:ind w:left="160"/>
              <w:spacing w:after="0"/>
              <w:rPr>
                <w:sz w:val="20"/>
                <w:szCs w:val="20"/>
                <w:color w:val="auto"/>
              </w:rPr>
            </w:pPr>
            <w:r>
              <w:rPr>
                <w:rFonts w:ascii="Arial" w:cs="Arial" w:eastAsia="Arial" w:hAnsi="Arial"/>
                <w:sz w:val="16"/>
                <w:szCs w:val="16"/>
                <w:color w:val="auto"/>
              </w:rPr>
              <w:t>10.1</w:t>
            </w:r>
          </w:p>
        </w:tc>
        <w:tc>
          <w:tcPr>
            <w:tcW w:w="1800" w:type="dxa"/>
            <w:vAlign w:val="bottom"/>
          </w:tcPr>
          <w:p>
            <w:pPr>
              <w:ind w:left="140"/>
              <w:spacing w:after="0"/>
              <w:rPr>
                <w:sz w:val="20"/>
                <w:szCs w:val="20"/>
                <w:color w:val="auto"/>
              </w:rPr>
            </w:pPr>
            <w:r>
              <w:rPr>
                <w:rFonts w:ascii="Arial" w:cs="Arial" w:eastAsia="Arial" w:hAnsi="Arial"/>
                <w:sz w:val="16"/>
                <w:szCs w:val="16"/>
                <w:color w:val="auto"/>
              </w:rPr>
              <w:t>09-15-2022</w:t>
            </w: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23.1</w:t>
            </w:r>
          </w:p>
        </w:tc>
        <w:tc>
          <w:tcPr>
            <w:tcW w:w="39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2"/>
              </w:rPr>
              <w:t>Consent of Independent Registered Public Accounting Firm</w:t>
            </w:r>
          </w:p>
        </w:tc>
        <w:tc>
          <w:tcPr>
            <w:tcW w:w="138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24.1</w:t>
            </w:r>
          </w:p>
        </w:tc>
        <w:tc>
          <w:tcPr>
            <w:tcW w:w="5280" w:type="dxa"/>
            <w:vAlign w:val="bottom"/>
            <w:gridSpan w:val="28"/>
          </w:tcPr>
          <w:p>
            <w:pPr>
              <w:spacing w:after="0"/>
              <w:rPr>
                <w:sz w:val="20"/>
                <w:szCs w:val="20"/>
                <w:color w:val="auto"/>
              </w:rPr>
            </w:pPr>
            <w:r>
              <w:rPr>
                <w:rFonts w:ascii="Arial" w:cs="Arial" w:eastAsia="Arial" w:hAnsi="Arial"/>
                <w:sz w:val="16"/>
                <w:szCs w:val="16"/>
                <w:color w:val="0000FF"/>
              </w:rPr>
              <w:t>Power of Attorney (included on signature page)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20"/>
        </w:trPr>
        <w:tc>
          <w:tcPr>
            <w:tcW w:w="88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7"/>
            <w:shd w:val="clear" w:color="auto" w:fill="0000FF"/>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31.1</w:t>
            </w:r>
          </w:p>
        </w:tc>
        <w:tc>
          <w:tcPr>
            <w:tcW w:w="5280" w:type="dxa"/>
            <w:vAlign w:val="bottom"/>
            <w:gridSpan w:val="28"/>
          </w:tcPr>
          <w:p>
            <w:pPr>
              <w:spacing w:after="0"/>
              <w:rPr>
                <w:sz w:val="20"/>
                <w:szCs w:val="20"/>
                <w:color w:val="auto"/>
              </w:rPr>
            </w:pPr>
            <w:r>
              <w:rPr>
                <w:rFonts w:ascii="Arial" w:cs="Arial" w:eastAsia="Arial" w:hAnsi="Arial"/>
                <w:sz w:val="16"/>
                <w:szCs w:val="16"/>
                <w:color w:val="0000FF"/>
                <w:w w:val="98"/>
              </w:rPr>
              <w:t>Certification of Chief Executive Officer pursuant to Rule 13a-14(a) and 15d-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20"/>
        </w:trPr>
        <w:tc>
          <w:tcPr>
            <w:tcW w:w="88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80" w:type="dxa"/>
            <w:vAlign w:val="bottom"/>
            <w:tcBorders>
              <w:right w:val="single" w:sz="8" w:color="0000FF"/>
            </w:tcBorders>
            <w:gridSpan w:val="19"/>
            <w:shd w:val="clear" w:color="auto" w:fill="0000FF"/>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5040" w:type="dxa"/>
            <w:vAlign w:val="bottom"/>
            <w:tcBorders>
              <w:bottom w:val="single" w:sz="8" w:color="0000FF"/>
            </w:tcBorders>
            <w:gridSpan w:val="24"/>
          </w:tcPr>
          <w:p>
            <w:pPr>
              <w:spacing w:after="0" w:line="183" w:lineRule="exact"/>
              <w:rPr>
                <w:sz w:val="20"/>
                <w:szCs w:val="20"/>
                <w:color w:val="auto"/>
              </w:rPr>
            </w:pPr>
            <w:r>
              <w:rPr>
                <w:rFonts w:ascii="Arial" w:cs="Arial" w:eastAsia="Arial" w:hAnsi="Arial"/>
                <w:sz w:val="16"/>
                <w:szCs w:val="16"/>
                <w:color w:val="0000FF"/>
                <w:w w:val="90"/>
              </w:rPr>
              <w:t>14(a), as adopted pursuant to Section 302 of the Sarbanes-Oxley Act of 2002.</w:t>
            </w:r>
          </w:p>
        </w:tc>
        <w:tc>
          <w:tcPr>
            <w:tcW w:w="2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31.2</w:t>
            </w:r>
          </w:p>
        </w:tc>
        <w:tc>
          <w:tcPr>
            <w:tcW w:w="5280" w:type="dxa"/>
            <w:vAlign w:val="bottom"/>
            <w:gridSpan w:val="28"/>
          </w:tcPr>
          <w:p>
            <w:pPr>
              <w:spacing w:after="0"/>
              <w:rPr>
                <w:sz w:val="20"/>
                <w:szCs w:val="20"/>
                <w:color w:val="auto"/>
              </w:rPr>
            </w:pPr>
            <w:r>
              <w:rPr>
                <w:rFonts w:ascii="Arial" w:cs="Arial" w:eastAsia="Arial" w:hAnsi="Arial"/>
                <w:sz w:val="16"/>
                <w:szCs w:val="16"/>
                <w:color w:val="0000FF"/>
                <w:w w:val="99"/>
              </w:rPr>
              <w:t>Certification of Chief Financial Officer pursuant to Rule 13a-14(a) and 15d-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20"/>
        </w:trPr>
        <w:tc>
          <w:tcPr>
            <w:tcW w:w="88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80" w:type="dxa"/>
            <w:vAlign w:val="bottom"/>
            <w:tcBorders>
              <w:right w:val="single" w:sz="8" w:color="0000EE"/>
            </w:tcBorders>
            <w:gridSpan w:val="19"/>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5040" w:type="dxa"/>
            <w:vAlign w:val="bottom"/>
            <w:tcBorders>
              <w:bottom w:val="single" w:sz="8" w:color="0000FF"/>
            </w:tcBorders>
            <w:gridSpan w:val="24"/>
          </w:tcPr>
          <w:p>
            <w:pPr>
              <w:spacing w:after="0" w:line="183" w:lineRule="exact"/>
              <w:rPr>
                <w:sz w:val="20"/>
                <w:szCs w:val="20"/>
                <w:color w:val="auto"/>
              </w:rPr>
            </w:pPr>
            <w:r>
              <w:rPr>
                <w:rFonts w:ascii="Arial" w:cs="Arial" w:eastAsia="Arial" w:hAnsi="Arial"/>
                <w:sz w:val="16"/>
                <w:szCs w:val="16"/>
                <w:color w:val="0000FF"/>
                <w:w w:val="90"/>
              </w:rPr>
              <w:t>14(a), as adopted pursuant to Section 302 of the Sarbanes-Oxley Act of 2002.</w:t>
            </w:r>
          </w:p>
        </w:tc>
        <w:tc>
          <w:tcPr>
            <w:tcW w:w="2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6"/>
                <w:szCs w:val="16"/>
                <w:color w:val="auto"/>
              </w:rPr>
              <w:t>32.1†</w:t>
            </w:r>
          </w:p>
        </w:tc>
        <w:tc>
          <w:tcPr>
            <w:tcW w:w="522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color w:val="0000FF"/>
                <w:w w:val="95"/>
              </w:rPr>
              <w:t>Certification of Chief Executive Officer and Chief Financial Officer pursuant to</w:t>
            </w:r>
          </w:p>
        </w:tc>
        <w:tc>
          <w:tcPr>
            <w:tcW w:w="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183"/>
        </w:trPr>
        <w:tc>
          <w:tcPr>
            <w:tcW w:w="880" w:type="dxa"/>
            <w:vAlign w:val="bottom"/>
          </w:tcPr>
          <w:p>
            <w:pPr>
              <w:spacing w:after="0"/>
              <w:rPr>
                <w:sz w:val="15"/>
                <w:szCs w:val="15"/>
                <w:color w:val="auto"/>
              </w:rPr>
            </w:pPr>
          </w:p>
        </w:tc>
        <w:tc>
          <w:tcPr>
            <w:tcW w:w="4960" w:type="dxa"/>
            <w:vAlign w:val="bottom"/>
            <w:tcBorders>
              <w:bottom w:val="single" w:sz="8" w:color="0000FF"/>
            </w:tcBorders>
            <w:gridSpan w:val="22"/>
          </w:tcPr>
          <w:p>
            <w:pPr>
              <w:spacing w:after="0" w:line="183" w:lineRule="exact"/>
              <w:rPr>
                <w:sz w:val="20"/>
                <w:szCs w:val="20"/>
                <w:color w:val="auto"/>
              </w:rPr>
            </w:pPr>
            <w:r>
              <w:rPr>
                <w:rFonts w:ascii="Arial" w:cs="Arial" w:eastAsia="Arial" w:hAnsi="Arial"/>
                <w:sz w:val="16"/>
                <w:szCs w:val="16"/>
                <w:color w:val="0000FF"/>
                <w:w w:val="90"/>
              </w:rPr>
              <w:t>18.</w:t>
            </w:r>
            <w:r>
              <w:rPr>
                <w:rFonts w:ascii="Arial" w:cs="Arial" w:eastAsia="Arial" w:hAnsi="Arial"/>
                <w:sz w:val="16"/>
                <w:szCs w:val="16"/>
                <w:u w:val="single" w:color="auto"/>
                <w:color w:val="0000FF"/>
                <w:w w:val="90"/>
              </w:rPr>
              <w:t>U.S.C.</w:t>
            </w:r>
            <w:r>
              <w:rPr>
                <w:rFonts w:ascii="Arial" w:cs="Arial" w:eastAsia="Arial" w:hAnsi="Arial"/>
                <w:sz w:val="16"/>
                <w:szCs w:val="16"/>
                <w:color w:val="0000FF"/>
                <w:w w:val="90"/>
              </w:rPr>
              <w:t xml:space="preserve"> Section 1350, as adopted pursuant to Section 906 of the Sarbanes</w:t>
            </w:r>
          </w:p>
        </w:tc>
        <w:tc>
          <w:tcPr>
            <w:tcW w:w="32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1260" w:type="dxa"/>
            <w:vAlign w:val="bottom"/>
            <w:tcBorders>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4"/>
              </w:rPr>
              <w:t>Oxley Act of 2002.</w:t>
            </w:r>
          </w:p>
        </w:tc>
        <w:tc>
          <w:tcPr>
            <w:tcW w:w="20" w:type="dxa"/>
            <w:vAlign w:val="bottom"/>
            <w:tcBorders>
              <w:bottom w:val="single" w:sz="8" w:color="0000EE"/>
            </w:tcBorders>
          </w:tcPr>
          <w:p>
            <w:pPr>
              <w:spacing w:after="0"/>
              <w:rPr>
                <w:sz w:val="15"/>
                <w:szCs w:val="15"/>
                <w:color w:val="auto"/>
              </w:rPr>
            </w:pPr>
          </w:p>
        </w:tc>
        <w:tc>
          <w:tcPr>
            <w:tcW w:w="4000" w:type="dxa"/>
            <w:vAlign w:val="bottom"/>
            <w:gridSpan w:val="25"/>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35"/>
        </w:trPr>
        <w:tc>
          <w:tcPr>
            <w:tcW w:w="880" w:type="dxa"/>
            <w:vAlign w:val="bottom"/>
          </w:tcPr>
          <w:p>
            <w:pPr>
              <w:spacing w:after="0"/>
              <w:rPr>
                <w:sz w:val="20"/>
                <w:szCs w:val="20"/>
                <w:color w:val="auto"/>
              </w:rPr>
            </w:pPr>
            <w:r>
              <w:rPr>
                <w:rFonts w:ascii="Arial" w:cs="Arial" w:eastAsia="Arial" w:hAnsi="Arial"/>
                <w:sz w:val="16"/>
                <w:szCs w:val="16"/>
                <w:color w:val="auto"/>
              </w:rPr>
              <w:t>101.INS</w:t>
            </w:r>
          </w:p>
        </w:tc>
        <w:tc>
          <w:tcPr>
            <w:tcW w:w="5280" w:type="dxa"/>
            <w:vAlign w:val="bottom"/>
            <w:gridSpan w:val="28"/>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203"/>
        </w:trPr>
        <w:tc>
          <w:tcPr>
            <w:tcW w:w="880" w:type="dxa"/>
            <w:vAlign w:val="bottom"/>
          </w:tcPr>
          <w:p>
            <w:pPr>
              <w:spacing w:after="0"/>
              <w:rPr>
                <w:sz w:val="17"/>
                <w:szCs w:val="17"/>
                <w:color w:val="auto"/>
              </w:rPr>
            </w:pPr>
          </w:p>
        </w:tc>
        <w:tc>
          <w:tcPr>
            <w:tcW w:w="5280" w:type="dxa"/>
            <w:vAlign w:val="bottom"/>
            <w:gridSpan w:val="28"/>
          </w:tcPr>
          <w:p>
            <w:pPr>
              <w:spacing w:after="0"/>
              <w:rPr>
                <w:sz w:val="20"/>
                <w:szCs w:val="20"/>
                <w:color w:val="auto"/>
              </w:rPr>
            </w:pPr>
            <w:r>
              <w:rPr>
                <w:rFonts w:ascii="Arial" w:cs="Arial" w:eastAsia="Arial" w:hAnsi="Arial"/>
                <w:sz w:val="16"/>
                <w:szCs w:val="16"/>
                <w:color w:val="auto"/>
                <w:w w:val="99"/>
              </w:rPr>
              <w:t>Interactive Data File because its XBRL tags are embedded within the Inline</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5280" w:type="dxa"/>
            <w:vAlign w:val="bottom"/>
            <w:gridSpan w:val="28"/>
          </w:tcPr>
          <w:p>
            <w:pPr>
              <w:spacing w:after="0"/>
              <w:rPr>
                <w:sz w:val="20"/>
                <w:szCs w:val="20"/>
                <w:color w:val="auto"/>
              </w:rPr>
            </w:pPr>
            <w:r>
              <w:rPr>
                <w:rFonts w:ascii="Arial" w:cs="Arial" w:eastAsia="Arial" w:hAnsi="Arial"/>
                <w:sz w:val="16"/>
                <w:szCs w:val="16"/>
                <w:color w:val="auto"/>
              </w:rPr>
              <w:t>XBRL document.</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6"/>
                <w:szCs w:val="16"/>
                <w:color w:val="auto"/>
              </w:rPr>
              <w:t>101.SCH</w:t>
            </w:r>
          </w:p>
        </w:tc>
        <w:tc>
          <w:tcPr>
            <w:tcW w:w="5280" w:type="dxa"/>
            <w:vAlign w:val="bottom"/>
            <w:gridSpan w:val="28"/>
          </w:tcPr>
          <w:p>
            <w:pPr>
              <w:spacing w:after="0"/>
              <w:rPr>
                <w:sz w:val="20"/>
                <w:szCs w:val="20"/>
                <w:color w:val="auto"/>
              </w:rPr>
            </w:pPr>
            <w:r>
              <w:rPr>
                <w:rFonts w:ascii="Arial" w:cs="Arial" w:eastAsia="Arial" w:hAnsi="Arial"/>
                <w:sz w:val="16"/>
                <w:szCs w:val="16"/>
                <w:color w:val="auto"/>
              </w:rPr>
              <w:t>Inline XBRL Taxonomy Extension Schema Document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24"/>
        </w:trPr>
        <w:tc>
          <w:tcPr>
            <w:tcW w:w="880" w:type="dxa"/>
            <w:vAlign w:val="bottom"/>
          </w:tcPr>
          <w:p>
            <w:pPr>
              <w:spacing w:after="0"/>
              <w:rPr>
                <w:sz w:val="20"/>
                <w:szCs w:val="20"/>
                <w:color w:val="auto"/>
              </w:rPr>
            </w:pPr>
            <w:r>
              <w:rPr>
                <w:rFonts w:ascii="Arial" w:cs="Arial" w:eastAsia="Arial" w:hAnsi="Arial"/>
                <w:sz w:val="16"/>
                <w:szCs w:val="16"/>
                <w:color w:val="auto"/>
              </w:rPr>
              <w:t>101.CAL</w:t>
            </w:r>
          </w:p>
        </w:tc>
        <w:tc>
          <w:tcPr>
            <w:tcW w:w="5280" w:type="dxa"/>
            <w:vAlign w:val="bottom"/>
            <w:gridSpan w:val="2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24"/>
        </w:trPr>
        <w:tc>
          <w:tcPr>
            <w:tcW w:w="880" w:type="dxa"/>
            <w:vAlign w:val="bottom"/>
          </w:tcPr>
          <w:p>
            <w:pPr>
              <w:spacing w:after="0"/>
              <w:rPr>
                <w:sz w:val="20"/>
                <w:szCs w:val="20"/>
                <w:color w:val="auto"/>
              </w:rPr>
            </w:pPr>
            <w:r>
              <w:rPr>
                <w:rFonts w:ascii="Arial" w:cs="Arial" w:eastAsia="Arial" w:hAnsi="Arial"/>
                <w:sz w:val="16"/>
                <w:szCs w:val="16"/>
                <w:color w:val="auto"/>
              </w:rPr>
              <w:t>101.DEF</w:t>
            </w:r>
          </w:p>
        </w:tc>
        <w:tc>
          <w:tcPr>
            <w:tcW w:w="5280" w:type="dxa"/>
            <w:vAlign w:val="bottom"/>
            <w:gridSpan w:val="2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24"/>
        </w:trPr>
        <w:tc>
          <w:tcPr>
            <w:tcW w:w="880" w:type="dxa"/>
            <w:vAlign w:val="bottom"/>
          </w:tcPr>
          <w:p>
            <w:pPr>
              <w:spacing w:after="0"/>
              <w:rPr>
                <w:sz w:val="20"/>
                <w:szCs w:val="20"/>
                <w:color w:val="auto"/>
              </w:rPr>
            </w:pPr>
            <w:r>
              <w:rPr>
                <w:rFonts w:ascii="Arial" w:cs="Arial" w:eastAsia="Arial" w:hAnsi="Arial"/>
                <w:sz w:val="16"/>
                <w:szCs w:val="16"/>
                <w:color w:val="auto"/>
              </w:rPr>
              <w:t>101.LAB</w:t>
            </w:r>
          </w:p>
        </w:tc>
        <w:tc>
          <w:tcPr>
            <w:tcW w:w="5280" w:type="dxa"/>
            <w:vAlign w:val="bottom"/>
            <w:gridSpan w:val="2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24"/>
        </w:trPr>
        <w:tc>
          <w:tcPr>
            <w:tcW w:w="880" w:type="dxa"/>
            <w:vAlign w:val="bottom"/>
          </w:tcPr>
          <w:p>
            <w:pPr>
              <w:spacing w:after="0"/>
              <w:rPr>
                <w:sz w:val="20"/>
                <w:szCs w:val="20"/>
                <w:color w:val="auto"/>
              </w:rPr>
            </w:pPr>
            <w:r>
              <w:rPr>
                <w:rFonts w:ascii="Arial" w:cs="Arial" w:eastAsia="Arial" w:hAnsi="Arial"/>
                <w:sz w:val="16"/>
                <w:szCs w:val="16"/>
                <w:color w:val="auto"/>
              </w:rPr>
              <w:t>101.PRE</w:t>
            </w:r>
          </w:p>
        </w:tc>
        <w:tc>
          <w:tcPr>
            <w:tcW w:w="5280" w:type="dxa"/>
            <w:vAlign w:val="bottom"/>
            <w:gridSpan w:val="2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320"/>
        </w:trPr>
        <w:tc>
          <w:tcPr>
            <w:tcW w:w="880" w:type="dxa"/>
            <w:vAlign w:val="bottom"/>
          </w:tcPr>
          <w:p>
            <w:pPr>
              <w:spacing w:after="0"/>
              <w:rPr>
                <w:sz w:val="20"/>
                <w:szCs w:val="20"/>
                <w:color w:val="auto"/>
              </w:rPr>
            </w:pPr>
            <w:r>
              <w:rPr>
                <w:rFonts w:ascii="Arial" w:cs="Arial" w:eastAsia="Arial" w:hAnsi="Arial"/>
                <w:sz w:val="16"/>
                <w:szCs w:val="16"/>
                <w:color w:val="auto"/>
              </w:rPr>
              <w:t>104</w:t>
            </w:r>
          </w:p>
        </w:tc>
        <w:tc>
          <w:tcPr>
            <w:tcW w:w="5280" w:type="dxa"/>
            <w:vAlign w:val="bottom"/>
            <w:gridSpan w:val="28"/>
          </w:tcPr>
          <w:p>
            <w:pPr>
              <w:spacing w:after="0"/>
              <w:rPr>
                <w:sz w:val="20"/>
                <w:szCs w:val="20"/>
                <w:color w:val="auto"/>
              </w:rPr>
            </w:pPr>
            <w:r>
              <w:rPr>
                <w:rFonts w:ascii="Arial" w:cs="Arial" w:eastAsia="Arial" w:hAnsi="Arial"/>
                <w:sz w:val="16"/>
                <w:szCs w:val="16"/>
                <w:color w:val="auto"/>
                <w:w w:val="95"/>
              </w:rPr>
              <w:t>Cover Page Interactive Data File (formatted in iXBRL and contained in Exhibit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1680"/>
              <w:spacing w:after="0"/>
              <w:rPr>
                <w:sz w:val="20"/>
                <w:szCs w:val="20"/>
                <w:color w:val="auto"/>
              </w:rPr>
            </w:pPr>
            <w:r>
              <w:rPr>
                <w:rFonts w:ascii="Arial" w:cs="Arial" w:eastAsia="Arial" w:hAnsi="Arial"/>
                <w:sz w:val="16"/>
                <w:szCs w:val="16"/>
                <w:color w:val="auto"/>
                <w:w w:val="93"/>
              </w:rPr>
              <w:t>X</w:t>
            </w:r>
          </w:p>
        </w:tc>
      </w:tr>
      <w:tr>
        <w:trPr>
          <w:trHeight w:val="206"/>
        </w:trPr>
        <w:tc>
          <w:tcPr>
            <w:tcW w:w="88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145" w:lineRule="exact"/>
        <w:rPr>
          <w:sz w:val="20"/>
          <w:szCs w:val="20"/>
          <w:color w:val="auto"/>
        </w:rPr>
      </w:pPr>
    </w:p>
    <w:p>
      <w:pPr>
        <w:ind w:left="520" w:hanging="239"/>
        <w:spacing w:after="0"/>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Furnished and not filed.</w:t>
      </w:r>
    </w:p>
    <w:p>
      <w:pPr>
        <w:spacing w:after="0" w:line="46"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management contract or compensatory plan.</w:t>
      </w:r>
    </w:p>
    <w:p>
      <w:pPr>
        <w:spacing w:after="0" w:line="46" w:lineRule="exact"/>
        <w:rPr>
          <w:sz w:val="20"/>
          <w:szCs w:val="20"/>
          <w:color w:val="auto"/>
        </w:rPr>
      </w:pPr>
    </w:p>
    <w:p>
      <w:pPr>
        <w:ind w:left="520" w:hanging="239"/>
        <w:spacing w:after="0"/>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Portions of this exhibit have been redacted in accordance with Item 601(b)(10)(iv) of Regulation S-K.</w:t>
      </w:r>
    </w:p>
    <w:p>
      <w:pPr>
        <w:sectPr>
          <w:pgSz w:w="11900" w:h="16838" w:orient="portrait"/>
          <w:cols w:equalWidth="0" w:num="1">
            <w:col w:w="11160"/>
          </w:cols>
          <w:pgMar w:left="320" w:top="126" w:right="41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34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12" w:lineRule="exact"/>
        <w:rPr>
          <w:sz w:val="20"/>
          <w:szCs w:val="20"/>
          <w:color w:val="auto"/>
        </w:rPr>
      </w:pPr>
    </w:p>
    <w:p>
      <w:pPr>
        <w:ind w:left="260" w:right="180" w:firstLine="458"/>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1" w:lineRule="exact"/>
        <w:rPr>
          <w:sz w:val="20"/>
          <w:szCs w:val="20"/>
          <w:color w:val="auto"/>
        </w:rPr>
      </w:pPr>
    </w:p>
    <w:p>
      <w:pPr>
        <w:ind w:left="5900"/>
        <w:spacing w:after="0"/>
        <w:rPr>
          <w:sz w:val="20"/>
          <w:szCs w:val="20"/>
          <w:color w:val="auto"/>
        </w:rPr>
      </w:pPr>
      <w:r>
        <w:rPr>
          <w:rFonts w:ascii="Arial" w:cs="Arial" w:eastAsia="Arial" w:hAnsi="Arial"/>
          <w:sz w:val="16"/>
          <w:szCs w:val="16"/>
          <w:b w:val="1"/>
          <w:bCs w:val="1"/>
          <w:color w:val="auto"/>
        </w:rPr>
        <w:t>BioAtla, Inc.</w:t>
      </w:r>
    </w:p>
    <w:p>
      <w:pPr>
        <w:spacing w:after="0" w:line="360" w:lineRule="exact"/>
        <w:rPr>
          <w:sz w:val="20"/>
          <w:szCs w:val="20"/>
          <w:color w:val="auto"/>
        </w:rPr>
      </w:pPr>
    </w:p>
    <w:p>
      <w:pPr>
        <w:ind w:left="280"/>
        <w:spacing w:after="0"/>
        <w:tabs>
          <w:tab w:leader="none" w:pos="5880" w:val="left"/>
          <w:tab w:leader="none" w:pos="6340" w:val="left"/>
        </w:tabs>
        <w:rPr>
          <w:sz w:val="20"/>
          <w:szCs w:val="20"/>
          <w:color w:val="auto"/>
        </w:rPr>
      </w:pPr>
      <w:r>
        <w:rPr>
          <w:rFonts w:ascii="Arial" w:cs="Arial" w:eastAsia="Arial" w:hAnsi="Arial"/>
          <w:sz w:val="16"/>
          <w:szCs w:val="16"/>
          <w:color w:val="auto"/>
        </w:rPr>
        <w:t>Date: March 23,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43815</wp:posOffset>
            </wp:positionV>
            <wp:extent cx="306006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Jay M. Short, Ph.D.</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2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 and Authorized Signatory)</w:t>
      </w:r>
    </w:p>
    <w:p>
      <w:pPr>
        <w:spacing w:after="0" w:line="217" w:lineRule="exact"/>
        <w:rPr>
          <w:sz w:val="20"/>
          <w:szCs w:val="20"/>
          <w:color w:val="auto"/>
        </w:rPr>
      </w:pPr>
    </w:p>
    <w:p>
      <w:pPr>
        <w:ind w:left="260" w:right="120" w:firstLine="458"/>
        <w:spacing w:after="0" w:line="291"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Jay M. Short, Ph.D. and Richard A. Waldron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36" w:lineRule="exact"/>
        <w:rPr>
          <w:sz w:val="20"/>
          <w:szCs w:val="20"/>
          <w:color w:val="auto"/>
        </w:rPr>
      </w:pPr>
    </w:p>
    <w:p>
      <w:pPr>
        <w:ind w:left="260" w:right="440" w:firstLine="458"/>
        <w:spacing w:after="0" w:line="293" w:lineRule="auto"/>
        <w:rPr>
          <w:sz w:val="20"/>
          <w:szCs w:val="20"/>
          <w:color w:val="auto"/>
        </w:rPr>
      </w:pPr>
      <w:r>
        <w:rPr>
          <w:rFonts w:ascii="Arial" w:cs="Arial" w:eastAsia="Arial" w:hAnsi="Arial"/>
          <w:sz w:val="16"/>
          <w:szCs w:val="16"/>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6"/>
              </w:rPr>
              <w:t>SIGNATURE</w:t>
            </w:r>
          </w:p>
        </w:tc>
        <w:tc>
          <w:tcPr>
            <w:tcW w:w="240" w:type="dxa"/>
            <w:vAlign w:val="bottom"/>
          </w:tcPr>
          <w:p>
            <w:pPr>
              <w:spacing w:after="0"/>
              <w:rPr>
                <w:sz w:val="14"/>
                <w:szCs w:val="14"/>
                <w:color w:val="auto"/>
              </w:rPr>
            </w:pPr>
          </w:p>
        </w:tc>
        <w:tc>
          <w:tcPr>
            <w:tcW w:w="422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TITLE</w:t>
            </w:r>
          </w:p>
        </w:tc>
        <w:tc>
          <w:tcPr>
            <w:tcW w:w="2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DATE</w:t>
            </w:r>
          </w:p>
        </w:tc>
        <w:tc>
          <w:tcPr>
            <w:tcW w:w="200" w:type="dxa"/>
            <w:vAlign w:val="bottom"/>
          </w:tcPr>
          <w:p>
            <w:pPr>
              <w:spacing w:after="0"/>
              <w:rPr>
                <w:sz w:val="14"/>
                <w:szCs w:val="14"/>
                <w:color w:val="auto"/>
              </w:rPr>
            </w:pPr>
          </w:p>
        </w:tc>
      </w:tr>
      <w:tr>
        <w:trPr>
          <w:trHeight w:val="47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Jay M. Short, Ph.D.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Chief Executive Officer and 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09"/>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Jay M. Short, Ph.D.</w:t>
            </w:r>
          </w:p>
        </w:tc>
        <w:tc>
          <w:tcPr>
            <w:tcW w:w="2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500"/>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Richard A. Waldron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Richard A. Waldron</w:t>
            </w:r>
          </w:p>
        </w:tc>
        <w:tc>
          <w:tcPr>
            <w:tcW w:w="2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503"/>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Scott Smith</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5"/>
              </w:rPr>
              <w:t>Scott Smith</w:t>
            </w:r>
          </w:p>
        </w:tc>
        <w:tc>
          <w:tcPr>
            <w:tcW w:w="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62"/>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Lawrence Steinman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07"/>
        </w:trPr>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Lawrence Steinman</w:t>
            </w:r>
          </w:p>
        </w:tc>
        <w:tc>
          <w:tcPr>
            <w:tcW w:w="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03"/>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Mary Ann Gray, Ph.D.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Mary Ann Gray, Ph.D.</w:t>
            </w:r>
          </w:p>
        </w:tc>
        <w:tc>
          <w:tcPr>
            <w:tcW w:w="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03"/>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Susan Moran, M.D.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4"/>
              </w:rPr>
              <w:t>Susan Moran, M.D.</w:t>
            </w:r>
          </w:p>
        </w:tc>
        <w:tc>
          <w:tcPr>
            <w:tcW w:w="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76"/>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Sylvia McBrinn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Sylvia McBrinn</w:t>
            </w:r>
          </w:p>
        </w:tc>
        <w:tc>
          <w:tcPr>
            <w:tcW w:w="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7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Edward Williams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March 23, 2023</w:t>
            </w:r>
          </w:p>
        </w:tc>
        <w:tc>
          <w:tcPr>
            <w:tcW w:w="20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Edward Williams</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13"/>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2"/>
          </w:tcPr>
          <w:p>
            <w:pPr>
              <w:jc w:val="right"/>
              <w:ind w:right="3321"/>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1"/>
        </w:trPr>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4.3</w:t>
      </w:r>
    </w:p>
    <w:p>
      <w:pPr>
        <w:spacing w:after="0" w:line="19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EXCHANGE ACT OF 1934</w:t>
      </w:r>
    </w:p>
    <w:p>
      <w:pPr>
        <w:spacing w:after="0" w:line="19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i w:val="1"/>
          <w:iCs w:val="1"/>
          <w:color w:val="auto"/>
        </w:rPr>
        <w:t>BioAtla, Inc. (“we,” “our,” “us,” or the “Company”) has one class of securities registered under Section 12 of the Securities Exchange Act of 1934, as amended: our common stock. The following summary of the terms of our common stock is based upon our restated certificate of incorporation and our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and are incorporated by reference herein. We encourage you to read our amended and restated certificate of incorporation, our amended and restated bylaws and the applicable provisions of the Delaware General Corporation Law for more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B common stock</w:t>
      </w:r>
    </w:p>
    <w:p>
      <w:pPr>
        <w:spacing w:after="0" w:line="121" w:lineRule="exact"/>
        <w:rPr>
          <w:sz w:val="20"/>
          <w:szCs w:val="20"/>
          <w:color w:val="auto"/>
        </w:rPr>
      </w:pPr>
    </w:p>
    <w:p>
      <w:pPr>
        <w:ind w:right="280" w:firstLine="1030"/>
        <w:spacing w:after="0" w:line="288" w:lineRule="auto"/>
        <w:rPr>
          <w:sz w:val="20"/>
          <w:szCs w:val="20"/>
          <w:color w:val="auto"/>
        </w:rPr>
      </w:pPr>
      <w:r>
        <w:rPr>
          <w:rFonts w:ascii="Arial" w:cs="Arial" w:eastAsia="Arial" w:hAnsi="Arial"/>
          <w:sz w:val="16"/>
          <w:szCs w:val="16"/>
          <w:color w:val="auto"/>
        </w:rPr>
        <w:t>We are authorized to issue up to a total of 350,000,000 shares of common stock, par value $0.0001 per share and up to a total of 15,368,569 shares of Class B common stock, par value $0.0001 per share.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 (ii) 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spacing w:after="0" w:line="47" w:lineRule="exact"/>
        <w:rPr>
          <w:sz w:val="20"/>
          <w:szCs w:val="20"/>
          <w:color w:val="auto"/>
        </w:rPr>
      </w:pPr>
    </w:p>
    <w:p>
      <w:pPr>
        <w:ind w:right="280" w:firstLine="1033"/>
        <w:spacing w:after="0" w:line="296" w:lineRule="auto"/>
        <w:rPr>
          <w:sz w:val="20"/>
          <w:szCs w:val="20"/>
          <w:color w:val="auto"/>
        </w:rPr>
      </w:pPr>
      <w:r>
        <w:rPr>
          <w:rFonts w:ascii="Arial" w:cs="Arial" w:eastAsia="Arial" w:hAnsi="Arial"/>
          <w:sz w:val="16"/>
          <w:szCs w:val="16"/>
          <w:color w:val="auto"/>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520" w:firstLine="1030"/>
        <w:spacing w:after="0" w:line="257" w:lineRule="auto"/>
        <w:rPr>
          <w:sz w:val="20"/>
          <w:szCs w:val="20"/>
          <w:color w:val="auto"/>
        </w:rPr>
      </w:pPr>
      <w:r>
        <w:rPr>
          <w:rFonts w:ascii="Arial" w:cs="Arial" w:eastAsia="Arial" w:hAnsi="Arial"/>
          <w:sz w:val="18"/>
          <w:szCs w:val="18"/>
          <w:color w:val="auto"/>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82" w:lineRule="exact"/>
        <w:rPr>
          <w:sz w:val="20"/>
          <w:szCs w:val="20"/>
          <w:color w:val="auto"/>
        </w:rPr>
      </w:pPr>
    </w:p>
    <w:p>
      <w:pPr>
        <w:ind w:right="360" w:firstLine="1033"/>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60" w:firstLine="1030"/>
        <w:spacing w:after="0" w:line="293" w:lineRule="auto"/>
        <w:rPr>
          <w:sz w:val="20"/>
          <w:szCs w:val="20"/>
          <w:color w:val="auto"/>
        </w:rPr>
      </w:pPr>
      <w:r>
        <w:rPr>
          <w:rFonts w:ascii="Arial" w:cs="Arial" w:eastAsia="Arial" w:hAnsi="Arial"/>
          <w:sz w:val="16"/>
          <w:szCs w:val="16"/>
          <w:color w:val="auto"/>
        </w:rPr>
        <w:t>Upon the completion of the initial public offering and subject to the lock-up agreements entered into in connection with such offering and federal securities laws, certain holders of shares of our common stock are initially be entitled to certain rights with respect to registration of such shares under the Securities Act. These shares are referred to as registrable securities.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registration described below.</w:t>
      </w:r>
    </w:p>
    <w:p>
      <w:pPr>
        <w:spacing w:after="0" w:line="137" w:lineRule="exact"/>
        <w:rPr>
          <w:sz w:val="20"/>
          <w:szCs w:val="20"/>
          <w:color w:val="auto"/>
        </w:rPr>
      </w:pPr>
    </w:p>
    <w:p>
      <w:pPr>
        <w:jc w:val="both"/>
        <w:ind w:right="280" w:firstLine="1030"/>
        <w:spacing w:after="0" w:line="263"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of (i) with respect to each stockholder, such date, on or after the completion of our initial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181610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09" w:name="page110"/>
    <w:bookmarkEnd w:id="109"/>
    <w:p>
      <w:pPr>
        <w:jc w:val="both"/>
        <w:ind w:right="40"/>
        <w:spacing w:after="0" w:line="263" w:lineRule="auto"/>
        <w:rPr>
          <w:sz w:val="20"/>
          <w:szCs w:val="20"/>
          <w:color w:val="auto"/>
        </w:rPr>
      </w:pPr>
      <w:r>
        <w:rPr>
          <w:rFonts w:ascii="Arial" w:cs="Arial" w:eastAsia="Arial" w:hAnsi="Arial"/>
          <w:sz w:val="18"/>
          <w:szCs w:val="18"/>
          <w:color w:val="auto"/>
        </w:rPr>
        <w:t>offering, on which all registrable shares held by such stockholder may immediately be sold during any three month period pursuant to Rule 144, (ii) the occurrence of a deemed liquidation event, as defined in our certificate of incorporation, as currently in effect and (iii) the fifth anniversary of the completion of our initial public offering.</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right="100" w:firstLine="1030"/>
        <w:spacing w:after="0" w:line="301" w:lineRule="auto"/>
        <w:rPr>
          <w:sz w:val="20"/>
          <w:szCs w:val="20"/>
          <w:color w:val="auto"/>
        </w:rPr>
      </w:pPr>
      <w:r>
        <w:rPr>
          <w:rFonts w:ascii="Arial" w:cs="Arial" w:eastAsia="Arial" w:hAnsi="Arial"/>
          <w:sz w:val="16"/>
          <w:szCs w:val="16"/>
          <w:color w:val="auto"/>
        </w:rPr>
        <w:t>As of December 31, 2022, certain holders of our common stock are entitled to their rights to notice of public offerings and to include their shares of registrable securities in public offerings. 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our bylaws and Delaware law</w:t>
      </w:r>
    </w:p>
    <w:p>
      <w:pPr>
        <w:spacing w:after="0" w:line="108" w:lineRule="exact"/>
        <w:rPr>
          <w:sz w:val="20"/>
          <w:szCs w:val="20"/>
          <w:color w:val="auto"/>
        </w:rPr>
      </w:pPr>
    </w:p>
    <w:p>
      <w:pPr>
        <w:ind w:right="180" w:firstLine="1030"/>
        <w:spacing w:after="0" w:line="257"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04" w:lineRule="exact"/>
        <w:rPr>
          <w:sz w:val="20"/>
          <w:szCs w:val="20"/>
          <w:color w:val="auto"/>
        </w:rPr>
      </w:pPr>
    </w:p>
    <w:p>
      <w:pPr>
        <w:ind w:right="240" w:firstLine="1030"/>
        <w:spacing w:after="0" w:line="263" w:lineRule="auto"/>
        <w:rPr>
          <w:sz w:val="20"/>
          <w:szCs w:val="20"/>
          <w:color w:val="auto"/>
        </w:rPr>
      </w:pPr>
      <w:r>
        <w:rPr>
          <w:rFonts w:ascii="Arial" w:cs="Arial" w:eastAsia="Arial" w:hAnsi="Arial"/>
          <w:sz w:val="18"/>
          <w:szCs w:val="18"/>
          <w:color w:val="auto"/>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97" w:lineRule="exact"/>
        <w:rPr>
          <w:sz w:val="20"/>
          <w:szCs w:val="20"/>
          <w:color w:val="auto"/>
        </w:rPr>
      </w:pPr>
    </w:p>
    <w:p>
      <w:pPr>
        <w:ind w:left="1040" w:right="760" w:hanging="560"/>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040" w:right="780" w:hanging="560"/>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upon consummation of the transaction, excluding for purposes of determining the number of shares outstanding</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both"/>
        <w:ind w:left="1000" w:right="280" w:firstLine="7"/>
        <w:spacing w:after="0" w:line="263" w:lineRule="auto"/>
        <w:tabs>
          <w:tab w:leader="none" w:pos="1245"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40" w:right="200" w:hanging="560"/>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a business combination to include:</w:t>
      </w:r>
    </w:p>
    <w:p>
      <w:pPr>
        <w:spacing w:after="0" w:line="239" w:lineRule="exact"/>
        <w:rPr>
          <w:sz w:val="20"/>
          <w:szCs w:val="20"/>
          <w:color w:val="auto"/>
        </w:rPr>
      </w:pPr>
    </w:p>
    <w:p>
      <w:pPr>
        <w:ind w:left="1040" w:hanging="560"/>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40" w:hanging="560"/>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sale, transfer, pledge or other disposition involving the interested stockholder of 10% or more of the assets of the corporation;</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40" w:hanging="560"/>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197" w:lineRule="exact"/>
        <w:rPr>
          <w:rFonts w:ascii="Arial" w:cs="Arial" w:eastAsia="Arial" w:hAnsi="Arial"/>
          <w:sz w:val="18"/>
          <w:szCs w:val="18"/>
          <w:color w:val="auto"/>
        </w:rPr>
      </w:pPr>
    </w:p>
    <w:p>
      <w:pPr>
        <w:ind w:left="1040" w:right="160" w:hanging="560"/>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197" w:lineRule="exact"/>
        <w:rPr>
          <w:rFonts w:ascii="Arial" w:cs="Arial" w:eastAsia="Arial" w:hAnsi="Arial"/>
          <w:sz w:val="18"/>
          <w:szCs w:val="18"/>
          <w:color w:val="auto"/>
        </w:rPr>
      </w:pPr>
    </w:p>
    <w:p>
      <w:pPr>
        <w:ind w:left="1040" w:right="20" w:hanging="560"/>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220" w:firstLine="908"/>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207645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80" w:top="530" w:right="619" w:bottom="1440" w:gutter="0" w:footer="0" w:header="0"/>
        </w:sectPr>
      </w:pPr>
    </w:p>
    <w:bookmarkStart w:id="110" w:name="page111"/>
    <w:bookmarkEnd w:id="110"/>
    <w:p>
      <w:pPr>
        <w:ind w:right="140" w:firstLine="1030"/>
        <w:spacing w:after="0" w:line="301" w:lineRule="auto"/>
        <w:rPr>
          <w:sz w:val="20"/>
          <w:szCs w:val="20"/>
          <w:color w:val="auto"/>
        </w:rPr>
      </w:pPr>
      <w:r>
        <w:rPr>
          <w:rFonts w:ascii="Arial" w:cs="Arial" w:eastAsia="Arial" w:hAnsi="Arial"/>
          <w:sz w:val="16"/>
          <w:szCs w:val="16"/>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right="220" w:firstLine="1030"/>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jc w:val="both"/>
        <w:ind w:right="80" w:firstLine="1030"/>
        <w:spacing w:after="0" w:line="263"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right="20" w:firstLine="1030"/>
        <w:spacing w:after="0" w:line="263" w:lineRule="auto"/>
        <w:rPr>
          <w:sz w:val="20"/>
          <w:szCs w:val="20"/>
          <w:color w:val="auto"/>
        </w:rPr>
      </w:pPr>
      <w:r>
        <w:rPr>
          <w:rFonts w:ascii="Arial" w:cs="Arial" w:eastAsia="Arial" w:hAnsi="Arial"/>
          <w:sz w:val="18"/>
          <w:szCs w:val="18"/>
          <w:color w:val="auto"/>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right="20" w:firstLine="1030"/>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firstLine="103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right="360" w:firstLine="103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require that any action to be taken by our stockholders must be effected at a duly called annual or special meeting of stockholders and not be taken by written consent.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04" w:lineRule="exact"/>
        <w:rPr>
          <w:sz w:val="20"/>
          <w:szCs w:val="20"/>
          <w:color w:val="auto"/>
        </w:rPr>
      </w:pPr>
    </w:p>
    <w:p>
      <w:pPr>
        <w:ind w:right="20" w:firstLine="1030"/>
        <w:spacing w:after="0" w:line="263" w:lineRule="auto"/>
        <w:rPr>
          <w:sz w:val="20"/>
          <w:szCs w:val="20"/>
          <w:color w:val="auto"/>
        </w:rPr>
      </w:pPr>
      <w:r>
        <w:rPr>
          <w:rFonts w:ascii="Arial" w:cs="Arial" w:eastAsia="Arial" w:hAnsi="Arial"/>
          <w:sz w:val="18"/>
          <w:szCs w:val="18"/>
          <w:color w:val="auto"/>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right="140" w:firstLine="1030"/>
        <w:spacing w:after="0" w:line="279" w:lineRule="auto"/>
        <w:rPr>
          <w:sz w:val="20"/>
          <w:szCs w:val="20"/>
          <w:color w:val="auto"/>
        </w:rPr>
      </w:pPr>
      <w:r>
        <w:rPr>
          <w:rFonts w:ascii="Arial" w:cs="Arial" w:eastAsia="Arial" w:hAnsi="Arial"/>
          <w:sz w:val="17"/>
          <w:szCs w:val="17"/>
          <w:color w:val="auto"/>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17" w:lineRule="exact"/>
        <w:rPr>
          <w:sz w:val="20"/>
          <w:szCs w:val="20"/>
          <w:color w:val="auto"/>
        </w:rPr>
      </w:pPr>
    </w:p>
    <w:p>
      <w:pPr>
        <w:ind w:right="140" w:firstLine="1030"/>
        <w:spacing w:after="0" w:line="259"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183515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436" w:right="599" w:bottom="1440" w:gutter="0" w:footer="0" w:header="0"/>
        </w:sectPr>
      </w:pPr>
    </w:p>
    <w:bookmarkStart w:id="111" w:name="page112"/>
    <w:bookmarkEnd w:id="111"/>
    <w:p>
      <w:pPr>
        <w:spacing w:after="0" w:line="285" w:lineRule="auto"/>
        <w:rPr>
          <w:sz w:val="20"/>
          <w:szCs w:val="20"/>
          <w:color w:val="auto"/>
        </w:rPr>
      </w:pPr>
      <w:r>
        <w:rPr>
          <w:rFonts w:ascii="Arial" w:cs="Arial" w:eastAsia="Arial" w:hAnsi="Arial"/>
          <w:sz w:val="16"/>
          <w:szCs w:val="16"/>
          <w:color w:val="auto"/>
        </w:rPr>
        <w:t>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Our common stock is listed on The Nasdaq Global Market under the symbol “BCAB.”</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right="260" w:firstLine="1030"/>
        <w:spacing w:after="0" w:line="277" w:lineRule="auto"/>
        <w:rPr>
          <w:sz w:val="20"/>
          <w:szCs w:val="20"/>
          <w:color w:val="auto"/>
        </w:rPr>
      </w:pPr>
      <w:r>
        <w:rPr>
          <w:rFonts w:ascii="Arial" w:cs="Arial" w:eastAsia="Arial" w:hAnsi="Arial"/>
          <w:sz w:val="18"/>
          <w:szCs w:val="18"/>
          <w:color w:val="auto"/>
        </w:rPr>
        <w:t>The transfer agent and registrar for our common stock and Class B common stock is Pacific Stock Transfer, Inc. The transfer agent and registrar’s address is 6725 Via Austi Pkwy, Suite 300, Las Vegas, NV 89119.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310515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436" w:right="599" w:bottom="1440" w:gutter="0" w:footer="0" w:header="0"/>
        </w:sectPr>
      </w:pPr>
    </w:p>
    <w:bookmarkStart w:id="112" w:name="page113"/>
    <w:bookmarkEnd w:id="112"/>
    <w:p>
      <w:pPr>
        <w:ind w:left="10020"/>
        <w:spacing w:after="0"/>
        <w:rPr>
          <w:sz w:val="20"/>
          <w:szCs w:val="20"/>
          <w:color w:val="auto"/>
        </w:rPr>
      </w:pPr>
      <w:r>
        <w:rPr>
          <w:rFonts w:ascii="Arial" w:cs="Arial" w:eastAsia="Arial" w:hAnsi="Arial"/>
          <w:sz w:val="19"/>
          <w:szCs w:val="19"/>
          <w:b w:val="1"/>
          <w:bCs w:val="1"/>
          <w:color w:val="auto"/>
        </w:rPr>
        <w:t>Exhibit 10.24</w:t>
      </w:r>
    </w:p>
    <w:p>
      <w:pPr>
        <w:spacing w:after="0" w:line="273" w:lineRule="exact"/>
        <w:rPr>
          <w:sz w:val="20"/>
          <w:szCs w:val="20"/>
          <w:color w:val="auto"/>
        </w:rPr>
      </w:pPr>
    </w:p>
    <w:p>
      <w:pPr>
        <w:jc w:val="center"/>
        <w:ind w:right="40"/>
        <w:spacing w:after="0" w:line="253"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NOT MATERIAL AND IS THE TYPE OF INFORMATION THAT THE REGISTRANT TREATS AS PRIVATE OR CONFIDENTIAL. SUCH EXCLUDED INFORMATION HAS BEEN MARKED WITH “[***].</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CLINICAL TRIAL COLLABORATION AGREEMENT</w:t>
      </w:r>
    </w:p>
    <w:p>
      <w:pPr>
        <w:spacing w:after="0" w:line="19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 xml:space="preserve">This First Amendment to the Master Clinical Trial Collaboration Agreement (this </w:t>
      </w:r>
      <w:r>
        <w:rPr>
          <w:rFonts w:ascii="Arial" w:cs="Arial" w:eastAsia="Arial" w:hAnsi="Arial"/>
          <w:sz w:val="16"/>
          <w:szCs w:val="16"/>
          <w:b w:val="1"/>
          <w:bCs w:val="1"/>
          <w:color w:val="auto"/>
        </w:rPr>
        <w:t>“</w:t>
      </w:r>
      <w:r>
        <w:rPr>
          <w:rFonts w:ascii="Arial" w:cs="Arial" w:eastAsia="Arial" w:hAnsi="Arial"/>
          <w:sz w:val="18"/>
          <w:szCs w:val="18"/>
          <w:b w:val="1"/>
          <w:bCs w:val="1"/>
          <w:i w:val="1"/>
          <w:iCs w:val="1"/>
          <w:color w:val="auto"/>
        </w:rPr>
        <w:t>First Amendment</w:t>
      </w:r>
      <w:r>
        <w:rPr>
          <w:rFonts w:ascii="Arial" w:cs="Arial" w:eastAsia="Arial" w:hAnsi="Arial"/>
          <w:sz w:val="16"/>
          <w:szCs w:val="16"/>
          <w:b w:val="1"/>
          <w:bCs w:val="1"/>
          <w:color w:val="auto"/>
        </w:rPr>
        <w:t>”)</w:t>
      </w:r>
      <w:r>
        <w:rPr>
          <w:rFonts w:ascii="Arial" w:cs="Arial" w:eastAsia="Arial" w:hAnsi="Arial"/>
          <w:sz w:val="18"/>
          <w:szCs w:val="18"/>
          <w:color w:val="auto"/>
        </w:rPr>
        <w:t xml:space="preserve"> is entered into on October 14, 2022 </w:t>
      </w:r>
      <w:r>
        <w:rPr>
          <w:rFonts w:ascii="Arial" w:cs="Arial" w:eastAsia="Arial" w:hAnsi="Arial"/>
          <w:sz w:val="16"/>
          <w:szCs w:val="16"/>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First Amendment Effective Date</w:t>
      </w:r>
      <w:r>
        <w:rPr>
          <w:rFonts w:ascii="Arial" w:cs="Arial" w:eastAsia="Arial" w:hAnsi="Arial"/>
          <w:sz w:val="16"/>
          <w:szCs w:val="16"/>
          <w:b w:val="1"/>
          <w:bCs w:val="1"/>
          <w:color w:val="auto"/>
        </w:rPr>
        <w: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Bristol-Myers Squibb Company</w:t>
      </w:r>
      <w:r>
        <w:rPr>
          <w:rFonts w:ascii="Arial" w:cs="Arial" w:eastAsia="Arial" w:hAnsi="Arial"/>
          <w:sz w:val="18"/>
          <w:szCs w:val="18"/>
          <w:color w:val="auto"/>
        </w:rPr>
        <w:t xml:space="preserve"> with offices located at Route 206 and Province Line Road, Princeton, NJ 08543-4000 </w:t>
      </w:r>
      <w:r>
        <w:rPr>
          <w:rFonts w:ascii="Arial" w:cs="Arial" w:eastAsia="Arial" w:hAnsi="Arial"/>
          <w:sz w:val="16"/>
          <w:szCs w:val="16"/>
          <w:b w:val="1"/>
          <w:bCs w:val="1"/>
          <w:color w:val="auto"/>
        </w:rPr>
        <w:t>(“</w:t>
      </w:r>
      <w:r>
        <w:rPr>
          <w:rFonts w:ascii="Arial" w:cs="Arial" w:eastAsia="Arial" w:hAnsi="Arial"/>
          <w:sz w:val="18"/>
          <w:szCs w:val="18"/>
          <w:b w:val="1"/>
          <w:bCs w:val="1"/>
          <w:i w:val="1"/>
          <w:iCs w:val="1"/>
          <w:color w:val="auto"/>
        </w:rPr>
        <w:t>BMS</w:t>
      </w:r>
      <w:r>
        <w:rPr>
          <w:rFonts w:ascii="Arial" w:cs="Arial" w:eastAsia="Arial" w:hAnsi="Arial"/>
          <w:sz w:val="16"/>
          <w:szCs w:val="16"/>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BioAtla, Inc.</w:t>
      </w:r>
      <w:r>
        <w:rPr>
          <w:rFonts w:ascii="Arial" w:cs="Arial" w:eastAsia="Arial" w:hAnsi="Arial"/>
          <w:sz w:val="18"/>
          <w:szCs w:val="18"/>
          <w:color w:val="auto"/>
        </w:rPr>
        <w:t xml:space="preserve">, headquartered at 11085 Torreyana Road, San Diego, California 92121 (the </w:t>
      </w:r>
      <w:r>
        <w:rPr>
          <w:rFonts w:ascii="Arial" w:cs="Arial" w:eastAsia="Arial" w:hAnsi="Arial"/>
          <w:sz w:val="16"/>
          <w:szCs w:val="16"/>
          <w:b w:val="1"/>
          <w:bCs w:val="1"/>
          <w:color w:val="auto"/>
        </w:rPr>
        <w:t>“</w:t>
      </w:r>
      <w:r>
        <w:rPr>
          <w:rFonts w:ascii="Arial" w:cs="Arial" w:eastAsia="Arial" w:hAnsi="Arial"/>
          <w:sz w:val="18"/>
          <w:szCs w:val="18"/>
          <w:b w:val="1"/>
          <w:bCs w:val="1"/>
          <w:i w:val="1"/>
          <w:iCs w:val="1"/>
          <w:color w:val="auto"/>
        </w:rPr>
        <w:t>Company</w:t>
      </w:r>
      <w:r>
        <w:rPr>
          <w:rFonts w:ascii="Arial" w:cs="Arial" w:eastAsia="Arial" w:hAnsi="Arial"/>
          <w:sz w:val="16"/>
          <w:szCs w:val="16"/>
          <w:b w:val="1"/>
          <w:bCs w:val="1"/>
          <w:color w:val="auto"/>
        </w:rPr>
        <w:t>”</w:t>
      </w:r>
      <w:r>
        <w:rPr>
          <w:rFonts w:ascii="Arial" w:cs="Arial" w:eastAsia="Arial" w:hAnsi="Arial"/>
          <w:sz w:val="18"/>
          <w:szCs w:val="18"/>
          <w:color w:val="auto"/>
        </w:rPr>
        <w:t xml:space="preserve">). Each of BMS and the Company are individually referred to herein as a </w:t>
      </w:r>
      <w:r>
        <w:rPr>
          <w:rFonts w:ascii="Arial" w:cs="Arial" w:eastAsia="Arial" w:hAnsi="Arial"/>
          <w:sz w:val="16"/>
          <w:szCs w:val="16"/>
          <w:b w:val="1"/>
          <w:bCs w:val="1"/>
          <w:color w:val="auto"/>
        </w:rPr>
        <w:t>“</w:t>
      </w:r>
      <w:r>
        <w:rPr>
          <w:rFonts w:ascii="Arial" w:cs="Arial" w:eastAsia="Arial" w:hAnsi="Arial"/>
          <w:sz w:val="18"/>
          <w:szCs w:val="18"/>
          <w:b w:val="1"/>
          <w:bCs w:val="1"/>
          <w:i w:val="1"/>
          <w:iCs w:val="1"/>
          <w:color w:val="auto"/>
        </w:rPr>
        <w:t>Party</w:t>
      </w:r>
      <w:r>
        <w:rPr>
          <w:rFonts w:ascii="Arial" w:cs="Arial" w:eastAsia="Arial" w:hAnsi="Arial"/>
          <w:sz w:val="16"/>
          <w:szCs w:val="16"/>
          <w:b w:val="1"/>
          <w:bCs w:val="1"/>
          <w:color w:val="auto"/>
        </w:rPr>
        <w:t>”</w:t>
      </w:r>
      <w:r>
        <w:rPr>
          <w:rFonts w:ascii="Arial" w:cs="Arial" w:eastAsia="Arial" w:hAnsi="Arial"/>
          <w:sz w:val="18"/>
          <w:szCs w:val="18"/>
          <w:color w:val="auto"/>
        </w:rPr>
        <w:t xml:space="preserve"> and collectively as the </w:t>
      </w:r>
      <w:r>
        <w:rPr>
          <w:rFonts w:ascii="Arial" w:cs="Arial" w:eastAsia="Arial" w:hAnsi="Arial"/>
          <w:sz w:val="16"/>
          <w:szCs w:val="16"/>
          <w:b w:val="1"/>
          <w:bCs w:val="1"/>
          <w:color w:val="auto"/>
        </w:rPr>
        <w:t>“</w:t>
      </w:r>
      <w:r>
        <w:rPr>
          <w:rFonts w:ascii="Arial" w:cs="Arial" w:eastAsia="Arial" w:hAnsi="Arial"/>
          <w:sz w:val="18"/>
          <w:szCs w:val="18"/>
          <w:b w:val="1"/>
          <w:bCs w:val="1"/>
          <w:i w:val="1"/>
          <w:iCs w:val="1"/>
          <w:color w:val="auto"/>
        </w:rPr>
        <w:t>Parties</w:t>
      </w:r>
      <w:r>
        <w:rPr>
          <w:rFonts w:ascii="Arial" w:cs="Arial" w:eastAsia="Arial" w:hAnsi="Arial"/>
          <w:sz w:val="16"/>
          <w:szCs w:val="16"/>
          <w:b w:val="1"/>
          <w:bCs w:val="1"/>
          <w:color w:val="auto"/>
        </w:rPr>
        <w:t>”</w:t>
      </w:r>
      <w:r>
        <w:rPr>
          <w:rFonts w:ascii="Arial" w:cs="Arial" w:eastAsia="Arial" w:hAnsi="Arial"/>
          <w:sz w:val="18"/>
          <w:szCs w:val="18"/>
          <w:color w:val="auto"/>
        </w:rPr>
        <w:t>.</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RECITALS:</w:t>
      </w:r>
    </w:p>
    <w:p>
      <w:pPr>
        <w:spacing w:after="0" w:line="20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BMS and the Company entered into the Master Clinical Trial Collaboration Agreement dated January 5, 2022 (the</w:t>
      </w:r>
      <w:r>
        <w:rPr>
          <w:rFonts w:ascii="Arial" w:cs="Arial" w:eastAsia="Arial" w:hAnsi="Arial"/>
          <w:sz w:val="20"/>
          <w:szCs w:val="20"/>
          <w:b w:val="1"/>
          <w:bCs w:val="1"/>
          <w:color w:val="auto"/>
        </w:rPr>
        <w:t xml:space="preserve"> </w:t>
      </w:r>
      <w:r>
        <w:rPr>
          <w:rFonts w:ascii="Arial" w:cs="Arial" w:eastAsia="Arial" w:hAnsi="Arial"/>
          <w:sz w:val="18"/>
          <w:szCs w:val="18"/>
          <w:b w:val="1"/>
          <w:bCs w:val="1"/>
          <w:color w:val="auto"/>
        </w:rPr>
        <w:t>“</w:t>
      </w:r>
      <w:r>
        <w:rPr>
          <w:rFonts w:ascii="Arial" w:cs="Arial" w:eastAsia="Arial" w:hAnsi="Arial"/>
          <w:sz w:val="19"/>
          <w:szCs w:val="19"/>
          <w:b w:val="1"/>
          <w:bCs w:val="1"/>
          <w:i w:val="1"/>
          <w:iCs w:val="1"/>
          <w:color w:val="auto"/>
        </w:rPr>
        <w:t>Master Agreement</w:t>
      </w:r>
      <w:r>
        <w:rPr>
          <w:rFonts w:ascii="Arial" w:cs="Arial" w:eastAsia="Arial" w:hAnsi="Arial"/>
          <w:sz w:val="18"/>
          <w:szCs w:val="18"/>
          <w:b w:val="1"/>
          <w:bCs w:val="1"/>
          <w:color w:val="auto"/>
        </w:rPr>
        <w:t>”)</w:t>
      </w:r>
      <w:r>
        <w:rPr>
          <w:rFonts w:ascii="Arial" w:cs="Arial" w:eastAsia="Arial" w:hAnsi="Arial"/>
          <w:sz w:val="19"/>
          <w:szCs w:val="19"/>
          <w:color w:val="auto"/>
        </w:rPr>
        <w: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terms of the Master Agreement in accordance with the terms and conditions set forth</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19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view of the foregoing, for good and valuable consideration the receipt and sufficiency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acknowledged, both Parties hereto, intending to be legally bound, hereby agree as follows:</w:t>
      </w:r>
    </w:p>
    <w:p>
      <w:pPr>
        <w:spacing w:after="0" w:line="150" w:lineRule="exact"/>
        <w:rPr>
          <w:sz w:val="20"/>
          <w:szCs w:val="20"/>
          <w:color w:val="auto"/>
        </w:rPr>
      </w:pPr>
    </w:p>
    <w:p>
      <w:pPr>
        <w:jc w:val="both"/>
        <w:ind w:firstLine="823"/>
        <w:spacing w:after="0" w:line="267" w:lineRule="auto"/>
        <w:rPr>
          <w:sz w:val="20"/>
          <w:szCs w:val="20"/>
          <w:color w:val="auto"/>
        </w:rPr>
      </w:pPr>
      <w:r>
        <w:rPr>
          <w:rFonts w:ascii="Arial" w:cs="Arial" w:eastAsia="Arial" w:hAnsi="Arial"/>
          <w:sz w:val="20"/>
          <w:szCs w:val="20"/>
          <w:b w:val="1"/>
          <w:bCs w:val="1"/>
          <w:u w:val="single" w:color="auto"/>
          <w:color w:val="auto"/>
        </w:rPr>
        <w:t>1.Defined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All capitalized terms used herein shall have the meaning ascribed to each of them as defined herein and, if not</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herein, shall have the meaning ascribed to each of them in the Master Agreement.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2.Amendment to the Master Agreement.</w:t>
      </w:r>
    </w:p>
    <w:p>
      <w:pPr>
        <w:spacing w:after="0" w:line="222" w:lineRule="exact"/>
        <w:rPr>
          <w:sz w:val="20"/>
          <w:szCs w:val="20"/>
          <w:color w:val="auto"/>
        </w:rPr>
      </w:pPr>
    </w:p>
    <w:p>
      <w:pPr>
        <w:ind w:right="20" w:firstLine="1505"/>
        <w:spacing w:after="0" w:line="260" w:lineRule="auto"/>
        <w:tabs>
          <w:tab w:leader="none" w:pos="1893" w:val="left"/>
        </w:tabs>
        <w:numPr>
          <w:ilvl w:val="0"/>
          <w:numId w:val="47"/>
        </w:numPr>
        <w:rPr>
          <w:rFonts w:ascii="Arial" w:cs="Arial" w:eastAsia="Arial" w:hAnsi="Arial"/>
          <w:sz w:val="20"/>
          <w:szCs w:val="20"/>
          <w:color w:val="auto"/>
        </w:rPr>
      </w:pPr>
      <w:r>
        <w:rPr>
          <w:rFonts w:ascii="Arial" w:cs="Arial" w:eastAsia="Arial" w:hAnsi="Arial"/>
          <w:sz w:val="20"/>
          <w:szCs w:val="20"/>
          <w:color w:val="auto"/>
        </w:rPr>
        <w:t>Effective as of the First Amendment Effective Date, the defin</w:t>
      </w:r>
      <w:r>
        <w:rPr>
          <w:rFonts w:ascii="Arial" w:cs="Arial" w:eastAsia="Arial" w:hAnsi="Arial"/>
          <w:sz w:val="18"/>
          <w:szCs w:val="18"/>
          <w:b w:val="1"/>
          <w:bCs w:val="1"/>
          <w:color w:val="auto"/>
        </w:rPr>
        <w:t>ition of “</w:t>
      </w:r>
      <w:r>
        <w:rPr>
          <w:rFonts w:ascii="Arial" w:cs="Arial" w:eastAsia="Arial" w:hAnsi="Arial"/>
          <w:sz w:val="20"/>
          <w:szCs w:val="20"/>
          <w:color w:val="auto"/>
        </w:rPr>
        <w:t>Himalaya Therapeutics SECZ Territory</w:t>
      </w:r>
      <w:r>
        <w:rPr>
          <w:rFonts w:ascii="Arial" w:cs="Arial" w:eastAsia="Arial" w:hAnsi="Arial"/>
          <w:sz w:val="18"/>
          <w:szCs w:val="18"/>
          <w:b w:val="1"/>
          <w:bCs w:val="1"/>
          <w:color w:val="auto"/>
        </w:rPr>
        <w:t>”</w:t>
      </w:r>
      <w:r>
        <w:rPr>
          <w:rFonts w:ascii="Arial" w:cs="Arial" w:eastAsia="Arial" w:hAnsi="Arial"/>
          <w:sz w:val="20"/>
          <w:szCs w:val="20"/>
          <w:color w:val="auto"/>
        </w:rPr>
        <w:t xml:space="preserve"> in Article 1 (</w:t>
      </w:r>
      <w:r>
        <w:rPr>
          <w:rFonts w:ascii="Arial" w:cs="Arial" w:eastAsia="Arial" w:hAnsi="Arial"/>
          <w:sz w:val="20"/>
          <w:szCs w:val="20"/>
          <w:i w:val="1"/>
          <w:iCs w:val="1"/>
          <w:color w:val="auto"/>
        </w:rPr>
        <w:t>Definitions</w:t>
      </w:r>
      <w:r>
        <w:rPr>
          <w:rFonts w:ascii="Arial" w:cs="Arial" w:eastAsia="Arial" w:hAnsi="Arial"/>
          <w:sz w:val="20"/>
          <w:szCs w:val="20"/>
          <w:color w:val="auto"/>
        </w:rPr>
        <w:t>) of the Master Agreement shall be deleted in its entirety and replaced with the following:</w:t>
      </w:r>
    </w:p>
    <w:p>
      <w:pPr>
        <w:spacing w:after="0" w:line="177" w:lineRule="exact"/>
        <w:rPr>
          <w:sz w:val="20"/>
          <w:szCs w:val="20"/>
          <w:color w:val="auto"/>
        </w:rPr>
      </w:pPr>
    </w:p>
    <w:p>
      <w:pPr>
        <w:jc w:val="both"/>
        <w:ind w:left="760" w:right="760"/>
        <w:spacing w:after="0" w:line="26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Himalaya Therapeutics SECZ Territory</w:t>
      </w:r>
      <w:r>
        <w:rPr>
          <w:rFonts w:ascii="Arial" w:cs="Arial" w:eastAsia="Arial" w:hAnsi="Arial"/>
          <w:sz w:val="19"/>
          <w:szCs w:val="19"/>
          <w:b w:val="1"/>
          <w:bCs w:val="1"/>
          <w:color w:val="auto"/>
        </w:rPr>
        <w:t xml:space="preserve">” means </w:t>
      </w:r>
      <w:r>
        <w:rPr>
          <w:rFonts w:ascii="Arial" w:cs="Arial" w:eastAsia="Arial" w:hAnsi="Arial"/>
          <w:sz w:val="19"/>
          <w:szCs w:val="19"/>
          <w:color w:val="auto"/>
        </w:rPr>
        <w:t>[***]; it being understood and agreed that Company shall be entitled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to notify BMS in writing that [***] may be proposed for BMS’ consideration as part of the Territory, and for elimination from the Himalaya Therapeutics SECZ Territory.</w:t>
      </w:r>
    </w:p>
    <w:p>
      <w:pPr>
        <w:spacing w:after="0" w:line="150" w:lineRule="exact"/>
        <w:rPr>
          <w:sz w:val="20"/>
          <w:szCs w:val="20"/>
          <w:color w:val="auto"/>
        </w:rPr>
      </w:pPr>
    </w:p>
    <w:p>
      <w:pPr>
        <w:jc w:val="both"/>
        <w:ind w:firstLine="823"/>
        <w:spacing w:after="0" w:line="272" w:lineRule="auto"/>
        <w:rPr>
          <w:sz w:val="20"/>
          <w:szCs w:val="20"/>
          <w:color w:val="auto"/>
        </w:rPr>
      </w:pPr>
      <w:r>
        <w:rPr>
          <w:rFonts w:ascii="Arial" w:cs="Arial" w:eastAsia="Arial" w:hAnsi="Arial"/>
          <w:sz w:val="19"/>
          <w:szCs w:val="19"/>
          <w:b w:val="1"/>
          <w:bCs w:val="1"/>
          <w:u w:val="single" w:color="auto"/>
          <w:color w:val="auto"/>
        </w:rPr>
        <w:t>3.Full force and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amended hereby, the Master Agreement shall remain unchanged and in full force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 in accordance with its original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any of the terms and conditions of this First Amendment are inconsistent with the terms and conditions of the Master Agreement, the terms of this First Amendment will govern.</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20"/>
          <w:szCs w:val="20"/>
          <w:b w:val="1"/>
          <w:bCs w:val="1"/>
          <w:u w:val="single" w:color="auto"/>
          <w:color w:val="auto"/>
        </w:rPr>
        <w:t>4.Incorporation of Recitals.</w:t>
      </w:r>
      <w:r>
        <w:rPr>
          <w:rFonts w:ascii="Arial" w:cs="Arial" w:eastAsia="Arial" w:hAnsi="Arial"/>
          <w:sz w:val="20"/>
          <w:szCs w:val="20"/>
          <w:b w:val="1"/>
          <w:bCs w:val="1"/>
          <w:color w:val="auto"/>
        </w:rPr>
        <w:t xml:space="preserve"> </w:t>
      </w:r>
      <w:r>
        <w:rPr>
          <w:rFonts w:ascii="Arial" w:cs="Arial" w:eastAsia="Arial" w:hAnsi="Arial"/>
          <w:sz w:val="20"/>
          <w:szCs w:val="20"/>
          <w:color w:val="auto"/>
        </w:rPr>
        <w:t>The Recitals are hereby incorporated into this First Amendment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ind w:firstLine="823"/>
        <w:spacing w:after="0" w:line="267" w:lineRule="auto"/>
        <w:rPr>
          <w:sz w:val="20"/>
          <w:szCs w:val="20"/>
          <w:color w:val="auto"/>
        </w:rPr>
      </w:pPr>
      <w:r>
        <w:rPr>
          <w:rFonts w:ascii="Arial" w:cs="Arial" w:eastAsia="Arial" w:hAnsi="Arial"/>
          <w:sz w:val="20"/>
          <w:szCs w:val="20"/>
          <w:b w:val="1"/>
          <w:bCs w:val="1"/>
          <w:u w:val="single" w:color="auto"/>
          <w:color w:val="auto"/>
        </w:rPr>
        <w:t>5.Governing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First Amendment shall be governed by, construed and interpreted in accordance with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New York, USA, without giving effect to principles of conflicts of laws.</w:t>
      </w:r>
    </w:p>
    <w:p>
      <w:pPr>
        <w:spacing w:after="0" w:line="200" w:lineRule="exact"/>
        <w:rPr>
          <w:sz w:val="20"/>
          <w:szCs w:val="20"/>
          <w:color w:val="auto"/>
        </w:rPr>
      </w:pPr>
    </w:p>
    <w:p>
      <w:pPr>
        <w:spacing w:after="0" w:line="382" w:lineRule="exact"/>
        <w:rPr>
          <w:sz w:val="20"/>
          <w:szCs w:val="20"/>
          <w:color w:val="auto"/>
        </w:rPr>
      </w:pPr>
    </w:p>
    <w:p>
      <w:pPr>
        <w:ind w:left="960" w:hanging="203"/>
        <w:spacing w:after="0"/>
        <w:tabs>
          <w:tab w:leader="none" w:pos="960" w:val="left"/>
        </w:tabs>
        <w:numPr>
          <w:ilvl w:val="0"/>
          <w:numId w:val="4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specifically amended by this First Amendment, the Agreement</w:t>
      </w:r>
    </w:p>
    <w:p>
      <w:pPr>
        <w:spacing w:after="0" w:line="2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shall continue in full force and effect pursuant to its terms. This First Amendment may be executed in two or more counterparts, each of which need not contain the signature of more than one Party and shall be deemed an original, but all such counterparts taken together shall constitute one and the same agreement, and may be executed and delivered through the use of email of scanned or pdf copies of the executed Amendment, each such scanned or pdf copy of this Amendment that includes a Party’s signature will be deemed an original. The Parties (a) are agreeing that each may use electronic signatures, and (b) by doing so agree to being subject to the provisions of the U.S. E-SIGN Act (i.e., the Electronic Signatures in Global and National Commerce Act (enacted June 30, 2000, and codified at 15 U.S.C. § 7001 et seq.)).</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1321435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ind w:right="20"/>
        <w:spacing w:after="0" w:line="260" w:lineRule="auto"/>
        <w:rPr>
          <w:sz w:val="20"/>
          <w:szCs w:val="20"/>
          <w:color w:val="auto"/>
        </w:rPr>
      </w:pPr>
      <w:r>
        <w:rPr>
          <w:rFonts w:ascii="Arial" w:cs="Arial" w:eastAsia="Arial" w:hAnsi="Arial"/>
          <w:sz w:val="20"/>
          <w:szCs w:val="20"/>
          <w:color w:val="auto"/>
        </w:rPr>
        <w:t>IN WITNESS WHEREOF, the Parties have executed this First Amendment to the Master Clinical Trial Collaboration Agreement is effective as of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BIOATLA, INC.</w:t>
      </w: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By: /s/ Monica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17589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Monica Sullivan</w:t>
      </w:r>
    </w:p>
    <w:p>
      <w:pPr>
        <w:spacing w:after="0" w:line="200" w:lineRule="exact"/>
        <w:rPr>
          <w:sz w:val="20"/>
          <w:szCs w:val="20"/>
          <w:color w:val="auto"/>
        </w:rPr>
      </w:pPr>
    </w:p>
    <w:p>
      <w:pPr>
        <w:sectPr>
          <w:pgSz w:w="11900" w:h="16838" w:orient="portrait"/>
          <w:cols w:equalWidth="0" w:num="2">
            <w:col w:w="900" w:space="280"/>
            <w:col w:w="10060"/>
          </w:cols>
          <w:pgMar w:left="320" w:top="514" w:right="339" w:bottom="1440" w:gutter="0" w:footer="0" w:header="0"/>
          <w:type w:val="continuous"/>
        </w:sectPr>
      </w:pPr>
    </w:p>
    <w:p>
      <w:pPr>
        <w:spacing w:after="0" w:line="93" w:lineRule="exact"/>
        <w:rPr>
          <w:sz w:val="20"/>
          <w:szCs w:val="20"/>
          <w:color w:val="auto"/>
        </w:rPr>
      </w:pPr>
    </w:p>
    <w:p>
      <w:pPr>
        <w:jc w:val="center"/>
        <w:ind w:left="38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SVP, IP and Contracts</w:t>
      </w:r>
    </w:p>
    <w:p>
      <w:pPr>
        <w:spacing w:after="0" w:line="234" w:lineRule="exact"/>
        <w:rPr>
          <w:sz w:val="20"/>
          <w:szCs w:val="20"/>
          <w:color w:val="auto"/>
        </w:rPr>
      </w:pPr>
    </w:p>
    <w:p>
      <w:pPr>
        <w:sectPr>
          <w:pgSz w:w="11900" w:h="16838" w:orient="portrait"/>
          <w:cols w:equalWidth="0" w:num="2">
            <w:col w:w="800" w:space="380"/>
            <w:col w:w="10060"/>
          </w:cols>
          <w:pgMar w:left="320" w:top="514" w:right="339" w:bottom="1440" w:gutter="0" w:footer="0" w:header="0"/>
          <w:type w:val="continuous"/>
        </w:sectPr>
      </w:pPr>
    </w:p>
    <w:p>
      <w:pPr>
        <w:spacing w:after="0" w:line="6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2022</w:t>
      </w:r>
    </w:p>
    <w:p>
      <w:pPr>
        <w:spacing w:after="0" w:line="222" w:lineRule="exact"/>
        <w:rPr>
          <w:sz w:val="20"/>
          <w:szCs w:val="20"/>
          <w:color w:val="auto"/>
        </w:rPr>
      </w:pPr>
    </w:p>
    <w:p>
      <w:pPr>
        <w:sectPr>
          <w:pgSz w:w="11900" w:h="16838" w:orient="portrait"/>
          <w:cols w:equalWidth="0" w:num="2">
            <w:col w:w="820" w:space="360"/>
            <w:col w:w="10060"/>
          </w:cols>
          <w:pgMar w:left="320" w:top="514"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BRISTOL-MYERS SQUIBB COMPANY</w:t>
      </w: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By: /s/ Jonathan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15074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0" w:type="dxa"/>
            <w:vAlign w:val="bottom"/>
          </w:tcPr>
          <w:p>
            <w:pPr>
              <w:ind w:left="380"/>
              <w:spacing w:after="0"/>
              <w:rPr>
                <w:sz w:val="20"/>
                <w:szCs w:val="20"/>
                <w:color w:val="auto"/>
              </w:rPr>
            </w:pPr>
            <w:r>
              <w:rPr>
                <w:rFonts w:ascii="Arial" w:cs="Arial" w:eastAsia="Arial" w:hAnsi="Arial"/>
                <w:sz w:val="20"/>
                <w:szCs w:val="20"/>
                <w:color w:val="auto"/>
              </w:rPr>
              <w:t>Name:</w:t>
            </w:r>
          </w:p>
        </w:tc>
        <w:tc>
          <w:tcPr>
            <w:tcW w:w="10200" w:type="dxa"/>
            <w:vAlign w:val="bottom"/>
          </w:tcPr>
          <w:p>
            <w:pPr>
              <w:ind w:left="140"/>
              <w:spacing w:after="0"/>
              <w:rPr>
                <w:sz w:val="20"/>
                <w:szCs w:val="20"/>
                <w:color w:val="auto"/>
              </w:rPr>
            </w:pPr>
            <w:r>
              <w:rPr>
                <w:rFonts w:ascii="Arial" w:cs="Arial" w:eastAsia="Arial" w:hAnsi="Arial"/>
                <w:sz w:val="20"/>
                <w:szCs w:val="20"/>
                <w:color w:val="auto"/>
              </w:rPr>
              <w:t>Jonathan Cheng</w:t>
            </w:r>
          </w:p>
        </w:tc>
      </w:tr>
      <w:tr>
        <w:trPr>
          <w:trHeight w:val="486"/>
        </w:trPr>
        <w:tc>
          <w:tcPr>
            <w:tcW w:w="1040" w:type="dxa"/>
            <w:vAlign w:val="bottom"/>
          </w:tcPr>
          <w:p>
            <w:pPr>
              <w:ind w:left="380"/>
              <w:spacing w:after="0"/>
              <w:rPr>
                <w:sz w:val="20"/>
                <w:szCs w:val="20"/>
                <w:color w:val="auto"/>
              </w:rPr>
            </w:pPr>
            <w:r>
              <w:rPr>
                <w:rFonts w:ascii="Arial" w:cs="Arial" w:eastAsia="Arial" w:hAnsi="Arial"/>
                <w:sz w:val="20"/>
                <w:szCs w:val="20"/>
                <w:color w:val="auto"/>
              </w:rPr>
              <w:t>Title:</w:t>
            </w:r>
          </w:p>
        </w:tc>
        <w:tc>
          <w:tcPr>
            <w:tcW w:w="10200" w:type="dxa"/>
            <w:vAlign w:val="bottom"/>
          </w:tcPr>
          <w:p>
            <w:pPr>
              <w:ind w:left="140"/>
              <w:spacing w:after="0"/>
              <w:rPr>
                <w:sz w:val="20"/>
                <w:szCs w:val="20"/>
                <w:color w:val="auto"/>
              </w:rPr>
            </w:pPr>
            <w:r>
              <w:rPr>
                <w:rFonts w:ascii="Arial" w:cs="Arial" w:eastAsia="Arial" w:hAnsi="Arial"/>
                <w:sz w:val="20"/>
                <w:szCs w:val="20"/>
                <w:color w:val="auto"/>
              </w:rPr>
              <w:t>Therapeutic Area Head Oncology</w:t>
            </w:r>
          </w:p>
        </w:tc>
      </w:tr>
      <w:tr>
        <w:trPr>
          <w:trHeight w:val="499"/>
        </w:trPr>
        <w:tc>
          <w:tcPr>
            <w:tcW w:w="1040" w:type="dxa"/>
            <w:vAlign w:val="bottom"/>
          </w:tcPr>
          <w:p>
            <w:pPr>
              <w:ind w:left="380"/>
              <w:spacing w:after="0"/>
              <w:rPr>
                <w:sz w:val="20"/>
                <w:szCs w:val="20"/>
                <w:color w:val="auto"/>
              </w:rPr>
            </w:pPr>
            <w:r>
              <w:rPr>
                <w:rFonts w:ascii="Arial" w:cs="Arial" w:eastAsia="Arial" w:hAnsi="Arial"/>
                <w:sz w:val="20"/>
                <w:szCs w:val="20"/>
                <w:color w:val="auto"/>
              </w:rPr>
              <w:t>Date:</w:t>
            </w:r>
          </w:p>
        </w:tc>
        <w:tc>
          <w:tcPr>
            <w:tcW w:w="10200" w:type="dxa"/>
            <w:vAlign w:val="bottom"/>
          </w:tcPr>
          <w:p>
            <w:pPr>
              <w:ind w:left="140"/>
              <w:spacing w:after="0"/>
              <w:rPr>
                <w:sz w:val="20"/>
                <w:szCs w:val="20"/>
                <w:color w:val="auto"/>
              </w:rPr>
            </w:pPr>
            <w:r>
              <w:rPr>
                <w:rFonts w:ascii="Arial" w:cs="Arial" w:eastAsia="Arial" w:hAnsi="Arial"/>
                <w:sz w:val="20"/>
                <w:szCs w:val="20"/>
                <w:color w:val="auto"/>
              </w:rPr>
              <w:t>November 17, 2022</w:t>
            </w:r>
          </w:p>
        </w:tc>
      </w:tr>
      <w:tr>
        <w:trPr>
          <w:trHeight w:val="1934"/>
        </w:trPr>
        <w:tc>
          <w:tcPr>
            <w:tcW w:w="104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BIOATLA,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 POLICY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on December 16, 2022)</w:t>
      </w:r>
    </w:p>
    <w:p>
      <w:pPr>
        <w:spacing w:after="0" w:line="233"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Each member of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of BioAtla,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who is not an employee of the Company (each such member, a “</w:t>
      </w:r>
      <w:r>
        <w:rPr>
          <w:rFonts w:ascii="Arial" w:cs="Arial" w:eastAsia="Arial" w:hAnsi="Arial"/>
          <w:sz w:val="22"/>
          <w:szCs w:val="22"/>
          <w:b w:val="1"/>
          <w:bCs w:val="1"/>
          <w:i w:val="1"/>
          <w:iCs w:val="1"/>
          <w:color w:val="auto"/>
        </w:rPr>
        <w:t>Non-Employee Director</w:t>
      </w:r>
      <w:r>
        <w:rPr>
          <w:rFonts w:ascii="Arial" w:cs="Arial" w:eastAsia="Arial" w:hAnsi="Arial"/>
          <w:sz w:val="22"/>
          <w:szCs w:val="22"/>
          <w:color w:val="auto"/>
        </w:rPr>
        <w:t>”), will receive the compensation described in this Director Compensation Policy (the “</w:t>
      </w:r>
      <w:r>
        <w:rPr>
          <w:rFonts w:ascii="Arial" w:cs="Arial" w:eastAsia="Arial" w:hAnsi="Arial"/>
          <w:sz w:val="22"/>
          <w:szCs w:val="22"/>
          <w:b w:val="1"/>
          <w:bCs w:val="1"/>
          <w:i w:val="1"/>
          <w:iCs w:val="1"/>
          <w:color w:val="auto"/>
        </w:rPr>
        <w:t>Director Compensation Policy</w:t>
      </w:r>
      <w:r>
        <w:rPr>
          <w:rFonts w:ascii="Arial" w:cs="Arial" w:eastAsia="Arial" w:hAnsi="Arial"/>
          <w:sz w:val="22"/>
          <w:szCs w:val="22"/>
          <w:color w:val="auto"/>
        </w:rPr>
        <w:t>”) for his or her Board service following the date set forth above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Director Compensation Policy will become effective upon the Effective Date and supersedes all prior arrangements with respect to the subject matter hereof. The Director Compensation Policy may be amended at any time in the sole discretion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39"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Each Non-Employee Director will receive the cash compensation set forth below for service on the Board or a committee of the Board. The annual cash compensation amounts will be payable in arrears, in equal quarterly installments following the end of each fiscal quarter of the Company in which the service occurred. Any amount payable for a partial quarter of service in an applicable role will be pro-rated by multiplying such amount by a fraction, the numerator of which will be the number of days of service in such role that the Non-Employee Director provided in such quarter and the denominator of which will be the number of days in such quarter. All annual cash fees are vested upon payment. For purposes of clarity, the first quarterly installment of the annual retainers set forth below shall be paid for the first quarter of calendar year 2022, with the amount of such payment equal to the full quarterly installment, pro-rated, if applicable, based on the days of service that the Non-Employee Director provided in such quarter.</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Notwithstanding the foregoing, a Non-Employee Director may elect to receive all of the cash compensation set forth below for a given calendar year in the form of fully vested Company common stock. Such election must generally be made in December of the prior calendar year in an open trading window, in accordance with the administrative practices established by the Company; provided, however, if necessary for administrative reasons or because the trading window is closed (or only open for a short time) in December, the Company may provide a later election during an open trading window. Any election made shall apply to all of the Non-Employee Director’s cash compensation for the calendar year and will be converted into common stock of the Company based on the per share closing sales price of such stock on the most recent trading day preceding the date the cash is otherwise payable, as determined by the Company in its sole discretion.</w:t>
      </w:r>
    </w:p>
    <w:p>
      <w:pPr>
        <w:spacing w:after="0" w:line="178"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Annual Board Member Service Retainer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ind w:left="1180" w:hanging="423"/>
        <w:spacing w:after="0"/>
        <w:tabs>
          <w:tab w:leader="none" w:pos="118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All Non-Employee Directors</w:t>
      </w:r>
      <w:r>
        <w:rPr>
          <w:rFonts w:ascii="Arial" w:cs="Arial" w:eastAsia="Arial" w:hAnsi="Arial"/>
          <w:sz w:val="22"/>
          <w:szCs w:val="22"/>
          <w:color w:val="auto"/>
        </w:rPr>
        <w:t xml:space="preserve">: </w:t>
      </w:r>
      <w:r>
        <w:rPr>
          <w:rFonts w:ascii="Arial" w:cs="Arial" w:eastAsia="Arial" w:hAnsi="Arial"/>
          <w:sz w:val="22"/>
          <w:szCs w:val="22"/>
          <w:b w:val="1"/>
          <w:bCs w:val="1"/>
          <w:color w:val="auto"/>
        </w:rPr>
        <w:t>$40,000</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Non-Employee Director serving as Board Chair</w:t>
      </w:r>
      <w:r>
        <w:rPr>
          <w:rFonts w:ascii="Arial" w:cs="Arial" w:eastAsia="Arial" w:hAnsi="Arial"/>
          <w:sz w:val="22"/>
          <w:szCs w:val="22"/>
          <w:color w:val="auto"/>
        </w:rPr>
        <w:t xml:space="preserve">: </w:t>
      </w:r>
      <w:r>
        <w:rPr>
          <w:rFonts w:ascii="Arial" w:cs="Arial" w:eastAsia="Arial" w:hAnsi="Arial"/>
          <w:sz w:val="22"/>
          <w:szCs w:val="22"/>
          <w:b w:val="1"/>
          <w:bCs w:val="1"/>
          <w:color w:val="auto"/>
        </w:rPr>
        <w:t>N/A</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Annual Committee Member Service Retainer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Member of the Audit Committee</w:t>
      </w:r>
      <w:r>
        <w:rPr>
          <w:rFonts w:ascii="Arial" w:cs="Arial" w:eastAsia="Arial" w:hAnsi="Arial"/>
          <w:sz w:val="22"/>
          <w:szCs w:val="22"/>
          <w:color w:val="auto"/>
        </w:rPr>
        <w:t xml:space="preserve">: </w:t>
      </w:r>
      <w:r>
        <w:rPr>
          <w:rFonts w:ascii="Arial" w:cs="Arial" w:eastAsia="Arial" w:hAnsi="Arial"/>
          <w:sz w:val="22"/>
          <w:szCs w:val="22"/>
          <w:b w:val="1"/>
          <w:bCs w:val="1"/>
          <w:color w:val="auto"/>
        </w:rPr>
        <w:t>$7,500</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Member of the Compensation Committee</w:t>
      </w:r>
      <w:r>
        <w:rPr>
          <w:rFonts w:ascii="Arial" w:cs="Arial" w:eastAsia="Arial" w:hAnsi="Arial"/>
          <w:sz w:val="22"/>
          <w:szCs w:val="22"/>
          <w:color w:val="auto"/>
        </w:rPr>
        <w:t xml:space="preserve">: </w:t>
      </w:r>
      <w:r>
        <w:rPr>
          <w:rFonts w:ascii="Arial" w:cs="Arial" w:eastAsia="Arial" w:hAnsi="Arial"/>
          <w:sz w:val="22"/>
          <w:szCs w:val="22"/>
          <w:b w:val="1"/>
          <w:bCs w:val="1"/>
          <w:color w:val="auto"/>
        </w:rPr>
        <w:t>$5,000</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Member of the Nominating and Corporate Governance Committee</w:t>
      </w:r>
      <w:r>
        <w:rPr>
          <w:rFonts w:ascii="Arial" w:cs="Arial" w:eastAsia="Arial" w:hAnsi="Arial"/>
          <w:sz w:val="22"/>
          <w:szCs w:val="22"/>
          <w:color w:val="auto"/>
        </w:rPr>
        <w:t xml:space="preserve">: </w:t>
      </w:r>
      <w:r>
        <w:rPr>
          <w:rFonts w:ascii="Arial" w:cs="Arial" w:eastAsia="Arial" w:hAnsi="Arial"/>
          <w:sz w:val="22"/>
          <w:szCs w:val="22"/>
          <w:b w:val="1"/>
          <w:bCs w:val="1"/>
          <w:color w:val="auto"/>
        </w:rPr>
        <w:t>$4,000</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Annual Committee Chair Service Retainer (in lieu of Annual Committee Member Service Retainer)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Chair of the Audit Committee</w:t>
      </w:r>
      <w:r>
        <w:rPr>
          <w:rFonts w:ascii="Arial" w:cs="Arial" w:eastAsia="Arial" w:hAnsi="Arial"/>
          <w:sz w:val="22"/>
          <w:szCs w:val="22"/>
          <w:color w:val="auto"/>
        </w:rPr>
        <w:t xml:space="preserve">: </w:t>
      </w:r>
      <w:r>
        <w:rPr>
          <w:rFonts w:ascii="Arial" w:cs="Arial" w:eastAsia="Arial" w:hAnsi="Arial"/>
          <w:sz w:val="22"/>
          <w:szCs w:val="22"/>
          <w:b w:val="1"/>
          <w:bCs w:val="1"/>
          <w:color w:val="auto"/>
        </w:rPr>
        <w:t>$15,000</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Chair of the Compensation Committee</w:t>
      </w:r>
      <w:r>
        <w:rPr>
          <w:rFonts w:ascii="Arial" w:cs="Arial" w:eastAsia="Arial" w:hAnsi="Arial"/>
          <w:sz w:val="22"/>
          <w:szCs w:val="22"/>
          <w:color w:val="auto"/>
        </w:rPr>
        <w:t xml:space="preserve">: </w:t>
      </w:r>
      <w:r>
        <w:rPr>
          <w:rFonts w:ascii="Arial" w:cs="Arial" w:eastAsia="Arial" w:hAnsi="Arial"/>
          <w:sz w:val="22"/>
          <w:szCs w:val="22"/>
          <w:b w:val="1"/>
          <w:bCs w:val="1"/>
          <w:color w:val="auto"/>
        </w:rPr>
        <w:t>$10,000</w:t>
      </w:r>
    </w:p>
    <w:p>
      <w:pPr>
        <w:spacing w:after="0" w:line="233" w:lineRule="exact"/>
        <w:rPr>
          <w:rFonts w:ascii="Arial" w:cs="Arial" w:eastAsia="Arial" w:hAnsi="Arial"/>
          <w:sz w:val="22"/>
          <w:szCs w:val="22"/>
          <w:color w:val="auto"/>
        </w:rPr>
      </w:pPr>
    </w:p>
    <w:p>
      <w:pPr>
        <w:ind w:left="1180" w:hanging="423"/>
        <w:spacing w:after="0"/>
        <w:tabs>
          <w:tab w:leader="none" w:pos="118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Chair of the Nominating and Corporate Governance Committee</w:t>
      </w:r>
      <w:r>
        <w:rPr>
          <w:rFonts w:ascii="Arial" w:cs="Arial" w:eastAsia="Arial" w:hAnsi="Arial"/>
          <w:sz w:val="22"/>
          <w:szCs w:val="22"/>
          <w:color w:val="auto"/>
        </w:rPr>
        <w:t xml:space="preserve">: </w:t>
      </w:r>
      <w:r>
        <w:rPr>
          <w:rFonts w:ascii="Arial" w:cs="Arial" w:eastAsia="Arial" w:hAnsi="Arial"/>
          <w:sz w:val="22"/>
          <w:szCs w:val="22"/>
          <w:b w:val="1"/>
          <w:bCs w:val="1"/>
          <w:color w:val="auto"/>
        </w:rPr>
        <w:t>$8,000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Non-Employee Directors will be eligible to receive such equity awards under the Company’s 2020 Equity Incentive Plan, as amended (or any successor equity incentive plan adopted by the Board and the stockholders of the Company) as may be approved from time to time by the Board subject to the recommendations of the Compensation Committee as such committee deems advisable.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 Other</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This Director Compensation Policy was adopted by the Board and may only be amended or terminated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1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27"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  Registration Statement (Form S-3 Nos. 333-262528 and 333-269148) of BioAtla, Inc., and</w:t>
      </w:r>
    </w:p>
    <w:p>
      <w:pPr>
        <w:spacing w:after="0" w:line="126" w:lineRule="exact"/>
        <w:rPr>
          <w:rFonts w:ascii="Arial" w:cs="Arial" w:eastAsia="Arial" w:hAnsi="Arial"/>
          <w:sz w:val="16"/>
          <w:szCs w:val="16"/>
          <w:color w:val="auto"/>
        </w:rPr>
      </w:pPr>
    </w:p>
    <w:p>
      <w:pPr>
        <w:ind w:left="1020" w:right="220" w:hanging="503"/>
        <w:spacing w:after="0" w:line="293"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 Registration Statement (Form S-8 Nos. 333-263120, 333-254673 and 333-251520) pertaining to the 2020 Equity Incentive Plan and Employee Stock Purchase Plan of BioAtla, Inc.;</w:t>
      </w:r>
    </w:p>
    <w:p>
      <w:pPr>
        <w:spacing w:after="0" w:line="1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of our reports dated March 23, 2023, with respect to the consolidated financial statements of BioAtla, Inc. included in this Annual Report (Form 10-K) of BioAtla, Inc. for the year ended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104" w:lineRule="exact"/>
        <w:rPr>
          <w:sz w:val="20"/>
          <w:szCs w:val="20"/>
          <w:color w:val="auto"/>
        </w:rPr>
      </w:pPr>
    </w:p>
    <w:p>
      <w:pPr>
        <w:ind w:left="580" w:hanging="577"/>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8"/>
          <w:szCs w:val="18"/>
          <w:color w:val="auto"/>
        </w:rPr>
        <w:t>I have reviewed this Annual Report on Form 10-K for the fiscal year ended December 31, 2022 of BioAtla, Inc.;</w:t>
      </w:r>
    </w:p>
    <w:p>
      <w:pPr>
        <w:spacing w:after="0" w:line="198" w:lineRule="exact"/>
        <w:rPr>
          <w:rFonts w:ascii="Arial" w:cs="Arial" w:eastAsia="Arial" w:hAnsi="Arial"/>
          <w:sz w:val="16"/>
          <w:szCs w:val="16"/>
          <w:color w:val="auto"/>
        </w:rPr>
      </w:pPr>
    </w:p>
    <w:p>
      <w:pPr>
        <w:ind w:right="360" w:firstLine="3"/>
        <w:spacing w:after="0" w:line="263" w:lineRule="auto"/>
        <w:tabs>
          <w:tab w:leader="none" w:pos="579" w:val="left"/>
        </w:tabs>
        <w:numPr>
          <w:ilvl w:val="0"/>
          <w:numId w:val="53"/>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right="460" w:firstLine="3"/>
        <w:spacing w:after="0" w:line="342" w:lineRule="auto"/>
        <w:tabs>
          <w:tab w:leader="none" w:pos="579" w:val="left"/>
        </w:tabs>
        <w:numPr>
          <w:ilvl w:val="0"/>
          <w:numId w:val="53"/>
        </w:numPr>
        <w:rPr>
          <w:rFonts w:ascii="Arial" w:cs="Arial" w:eastAsia="Arial" w:hAnsi="Arial"/>
          <w:sz w:val="14"/>
          <w:szCs w:val="14"/>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4"/>
          <w:szCs w:val="14"/>
          <w:color w:val="auto"/>
        </w:rPr>
      </w:pPr>
    </w:p>
    <w:p>
      <w:pPr>
        <w:ind w:right="420" w:firstLine="3"/>
        <w:spacing w:after="0" w:line="263" w:lineRule="auto"/>
        <w:tabs>
          <w:tab w:leader="none" w:pos="579" w:val="left"/>
        </w:tabs>
        <w:numPr>
          <w:ilvl w:val="0"/>
          <w:numId w:val="53"/>
        </w:numPr>
        <w:rPr>
          <w:rFonts w:ascii="Arial" w:cs="Arial" w:eastAsia="Arial" w:hAnsi="Arial"/>
          <w:sz w:val="16"/>
          <w:szCs w:val="16"/>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6"/>
          <w:szCs w:val="16"/>
          <w:color w:val="auto"/>
        </w:rPr>
      </w:pPr>
    </w:p>
    <w:p>
      <w:pPr>
        <w:ind w:right="680" w:firstLine="456"/>
        <w:spacing w:after="0" w:line="286" w:lineRule="auto"/>
        <w:tabs>
          <w:tab w:leader="none" w:pos="1033" w:val="left"/>
        </w:tabs>
        <w:numPr>
          <w:ilvl w:val="1"/>
          <w:numId w:val="53"/>
        </w:numPr>
        <w:rPr>
          <w:rFonts w:ascii="Arial" w:cs="Arial" w:eastAsia="Arial" w:hAnsi="Arial"/>
          <w:sz w:val="15"/>
          <w:szCs w:val="15"/>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5"/>
          <w:szCs w:val="15"/>
          <w:color w:val="auto"/>
        </w:rPr>
      </w:pPr>
    </w:p>
    <w:p>
      <w:pPr>
        <w:ind w:right="460" w:firstLine="456"/>
        <w:spacing w:after="0" w:line="263" w:lineRule="auto"/>
        <w:tabs>
          <w:tab w:leader="none" w:pos="988" w:val="left"/>
        </w:tabs>
        <w:numPr>
          <w:ilvl w:val="1"/>
          <w:numId w:val="53"/>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right="500" w:firstLine="456"/>
        <w:spacing w:after="0" w:line="342" w:lineRule="auto"/>
        <w:tabs>
          <w:tab w:leader="none" w:pos="1033" w:val="left"/>
        </w:tabs>
        <w:numPr>
          <w:ilvl w:val="1"/>
          <w:numId w:val="53"/>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right="380" w:firstLine="456"/>
        <w:spacing w:after="0" w:line="263" w:lineRule="auto"/>
        <w:tabs>
          <w:tab w:leader="none" w:pos="1033" w:val="left"/>
        </w:tabs>
        <w:numPr>
          <w:ilvl w:val="1"/>
          <w:numId w:val="53"/>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0" w:lineRule="exact"/>
        <w:rPr>
          <w:rFonts w:ascii="Arial" w:cs="Arial" w:eastAsia="Arial" w:hAnsi="Arial"/>
          <w:sz w:val="16"/>
          <w:szCs w:val="16"/>
          <w:color w:val="auto"/>
        </w:rPr>
      </w:pPr>
    </w:p>
    <w:p>
      <w:pPr>
        <w:ind w:right="360" w:firstLine="3"/>
        <w:spacing w:after="0" w:line="342" w:lineRule="auto"/>
        <w:tabs>
          <w:tab w:leader="none" w:pos="579" w:val="left"/>
        </w:tabs>
        <w:numPr>
          <w:ilvl w:val="0"/>
          <w:numId w:val="53"/>
        </w:numPr>
        <w:rPr>
          <w:rFonts w:ascii="Arial" w:cs="Arial" w:eastAsia="Arial" w:hAnsi="Arial"/>
          <w:sz w:val="14"/>
          <w:szCs w:val="14"/>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4"/>
          <w:szCs w:val="14"/>
          <w:color w:val="auto"/>
        </w:rPr>
      </w:pPr>
    </w:p>
    <w:p>
      <w:pPr>
        <w:ind w:right="460" w:firstLine="456"/>
        <w:spacing w:after="0" w:line="308" w:lineRule="auto"/>
        <w:tabs>
          <w:tab w:leader="none" w:pos="1033" w:val="left"/>
        </w:tabs>
        <w:numPr>
          <w:ilvl w:val="1"/>
          <w:numId w:val="53"/>
        </w:numPr>
        <w:rPr>
          <w:rFonts w:ascii="Arial" w:cs="Arial" w:eastAsia="Arial" w:hAnsi="Arial"/>
          <w:sz w:val="15"/>
          <w:szCs w:val="15"/>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5"/>
          <w:szCs w:val="15"/>
          <w:color w:val="auto"/>
        </w:rPr>
      </w:pPr>
    </w:p>
    <w:p>
      <w:pPr>
        <w:ind w:right="740" w:firstLine="456"/>
        <w:spacing w:after="0" w:line="277" w:lineRule="auto"/>
        <w:tabs>
          <w:tab w:leader="none" w:pos="1033" w:val="left"/>
        </w:tabs>
        <w:numPr>
          <w:ilvl w:val="1"/>
          <w:numId w:val="53"/>
        </w:numPr>
        <w:rPr>
          <w:rFonts w:ascii="Arial" w:cs="Arial" w:eastAsia="Arial" w:hAnsi="Arial"/>
          <w:sz w:val="16"/>
          <w:szCs w:val="16"/>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14605</wp:posOffset>
            </wp:positionV>
            <wp:extent cx="26828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Jay M. Short, Ph.D.</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69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207645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104" w:lineRule="exact"/>
        <w:rPr>
          <w:sz w:val="20"/>
          <w:szCs w:val="20"/>
          <w:color w:val="auto"/>
        </w:rPr>
      </w:pPr>
    </w:p>
    <w:p>
      <w:pPr>
        <w:ind w:left="580" w:hanging="577"/>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8"/>
          <w:szCs w:val="18"/>
          <w:color w:val="auto"/>
        </w:rPr>
        <w:t>I have reviewed this Annual Report on Form 10-K for the fiscal year ended December 31, 2022 of BioAtla, Inc.;</w:t>
      </w:r>
    </w:p>
    <w:p>
      <w:pPr>
        <w:spacing w:after="0" w:line="198" w:lineRule="exact"/>
        <w:rPr>
          <w:rFonts w:ascii="Arial" w:cs="Arial" w:eastAsia="Arial" w:hAnsi="Arial"/>
          <w:sz w:val="16"/>
          <w:szCs w:val="16"/>
          <w:color w:val="auto"/>
        </w:rPr>
      </w:pPr>
    </w:p>
    <w:p>
      <w:pPr>
        <w:ind w:right="360" w:firstLine="3"/>
        <w:spacing w:after="0" w:line="263" w:lineRule="auto"/>
        <w:tabs>
          <w:tab w:leader="none" w:pos="579" w:val="left"/>
        </w:tabs>
        <w:numPr>
          <w:ilvl w:val="0"/>
          <w:numId w:val="54"/>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right="460" w:firstLine="3"/>
        <w:spacing w:after="0" w:line="342" w:lineRule="auto"/>
        <w:tabs>
          <w:tab w:leader="none" w:pos="579" w:val="left"/>
        </w:tabs>
        <w:numPr>
          <w:ilvl w:val="0"/>
          <w:numId w:val="54"/>
        </w:numPr>
        <w:rPr>
          <w:rFonts w:ascii="Arial" w:cs="Arial" w:eastAsia="Arial" w:hAnsi="Arial"/>
          <w:sz w:val="14"/>
          <w:szCs w:val="14"/>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4"/>
          <w:szCs w:val="14"/>
          <w:color w:val="auto"/>
        </w:rPr>
      </w:pPr>
    </w:p>
    <w:p>
      <w:pPr>
        <w:ind w:right="420" w:firstLine="3"/>
        <w:spacing w:after="0" w:line="263" w:lineRule="auto"/>
        <w:tabs>
          <w:tab w:leader="none" w:pos="579" w:val="left"/>
        </w:tabs>
        <w:numPr>
          <w:ilvl w:val="0"/>
          <w:numId w:val="54"/>
        </w:numPr>
        <w:rPr>
          <w:rFonts w:ascii="Arial" w:cs="Arial" w:eastAsia="Arial" w:hAnsi="Arial"/>
          <w:sz w:val="16"/>
          <w:szCs w:val="16"/>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6"/>
          <w:szCs w:val="16"/>
          <w:color w:val="auto"/>
        </w:rPr>
      </w:pPr>
    </w:p>
    <w:p>
      <w:pPr>
        <w:ind w:right="680" w:firstLine="456"/>
        <w:spacing w:after="0" w:line="286" w:lineRule="auto"/>
        <w:tabs>
          <w:tab w:leader="none" w:pos="1033" w:val="left"/>
        </w:tabs>
        <w:numPr>
          <w:ilvl w:val="1"/>
          <w:numId w:val="54"/>
        </w:numPr>
        <w:rPr>
          <w:rFonts w:ascii="Arial" w:cs="Arial" w:eastAsia="Arial" w:hAnsi="Arial"/>
          <w:sz w:val="15"/>
          <w:szCs w:val="15"/>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5"/>
          <w:szCs w:val="15"/>
          <w:color w:val="auto"/>
        </w:rPr>
      </w:pPr>
    </w:p>
    <w:p>
      <w:pPr>
        <w:ind w:right="460" w:firstLine="456"/>
        <w:spacing w:after="0" w:line="263" w:lineRule="auto"/>
        <w:tabs>
          <w:tab w:leader="none" w:pos="988" w:val="left"/>
        </w:tabs>
        <w:numPr>
          <w:ilvl w:val="1"/>
          <w:numId w:val="54"/>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right="500" w:firstLine="456"/>
        <w:spacing w:after="0" w:line="342" w:lineRule="auto"/>
        <w:tabs>
          <w:tab w:leader="none" w:pos="1033" w:val="left"/>
        </w:tabs>
        <w:numPr>
          <w:ilvl w:val="1"/>
          <w:numId w:val="54"/>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right="380" w:firstLine="456"/>
        <w:spacing w:after="0" w:line="263" w:lineRule="auto"/>
        <w:tabs>
          <w:tab w:leader="none" w:pos="1033" w:val="left"/>
        </w:tabs>
        <w:numPr>
          <w:ilvl w:val="1"/>
          <w:numId w:val="54"/>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0" w:lineRule="exact"/>
        <w:rPr>
          <w:rFonts w:ascii="Arial" w:cs="Arial" w:eastAsia="Arial" w:hAnsi="Arial"/>
          <w:sz w:val="16"/>
          <w:szCs w:val="16"/>
          <w:color w:val="auto"/>
        </w:rPr>
      </w:pPr>
    </w:p>
    <w:p>
      <w:pPr>
        <w:ind w:right="360" w:firstLine="3"/>
        <w:spacing w:after="0" w:line="342" w:lineRule="auto"/>
        <w:tabs>
          <w:tab w:leader="none" w:pos="579" w:val="left"/>
        </w:tabs>
        <w:numPr>
          <w:ilvl w:val="0"/>
          <w:numId w:val="54"/>
        </w:numPr>
        <w:rPr>
          <w:rFonts w:ascii="Arial" w:cs="Arial" w:eastAsia="Arial" w:hAnsi="Arial"/>
          <w:sz w:val="14"/>
          <w:szCs w:val="14"/>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4"/>
          <w:szCs w:val="14"/>
          <w:color w:val="auto"/>
        </w:rPr>
      </w:pPr>
    </w:p>
    <w:p>
      <w:pPr>
        <w:ind w:right="460" w:firstLine="456"/>
        <w:spacing w:after="0" w:line="308" w:lineRule="auto"/>
        <w:tabs>
          <w:tab w:leader="none" w:pos="1033" w:val="left"/>
        </w:tabs>
        <w:numPr>
          <w:ilvl w:val="1"/>
          <w:numId w:val="54"/>
        </w:numPr>
        <w:rPr>
          <w:rFonts w:ascii="Arial" w:cs="Arial" w:eastAsia="Arial" w:hAnsi="Arial"/>
          <w:sz w:val="15"/>
          <w:szCs w:val="15"/>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5"/>
          <w:szCs w:val="15"/>
          <w:color w:val="auto"/>
        </w:rPr>
      </w:pPr>
    </w:p>
    <w:p>
      <w:pPr>
        <w:ind w:right="740" w:firstLine="456"/>
        <w:spacing w:after="0" w:line="277" w:lineRule="auto"/>
        <w:tabs>
          <w:tab w:leader="none" w:pos="1033" w:val="left"/>
        </w:tabs>
        <w:numPr>
          <w:ilvl w:val="1"/>
          <w:numId w:val="54"/>
        </w:numPr>
        <w:rPr>
          <w:rFonts w:ascii="Arial" w:cs="Arial" w:eastAsia="Arial" w:hAnsi="Arial"/>
          <w:sz w:val="16"/>
          <w:szCs w:val="16"/>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14605</wp:posOffset>
            </wp:positionV>
            <wp:extent cx="26828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Richard A. Waldron</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207645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AS ADOPTED PURSURANT TO</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280" w:firstLine="458"/>
        <w:spacing w:after="0" w:line="259" w:lineRule="auto"/>
        <w:rPr>
          <w:sz w:val="20"/>
          <w:szCs w:val="20"/>
          <w:color w:val="auto"/>
        </w:rPr>
      </w:pPr>
      <w:r>
        <w:rPr>
          <w:rFonts w:ascii="Arial" w:cs="Arial" w:eastAsia="Arial" w:hAnsi="Arial"/>
          <w:sz w:val="18"/>
          <w:szCs w:val="18"/>
          <w:color w:val="auto"/>
        </w:rPr>
        <w:t>In connection with the Annual Report on Form 10-K of BioAtla, Inc. (the “Company”) for the period ended December 31, 2022,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respective knowledge:</w:t>
      </w:r>
    </w:p>
    <w:p>
      <w:pPr>
        <w:spacing w:after="0" w:line="65" w:lineRule="exact"/>
        <w:rPr>
          <w:sz w:val="20"/>
          <w:szCs w:val="20"/>
          <w:color w:val="auto"/>
        </w:rPr>
      </w:pPr>
    </w:p>
    <w:p>
      <w:pPr>
        <w:ind w:left="1040" w:hanging="584"/>
        <w:spacing w:after="0"/>
        <w:tabs>
          <w:tab w:leader="none" w:pos="1040" w:val="left"/>
        </w:tabs>
        <w:numPr>
          <w:ilvl w:val="0"/>
          <w:numId w:val="55"/>
        </w:numPr>
        <w:rPr>
          <w:rFonts w:ascii="Arial" w:cs="Arial" w:eastAsia="Arial" w:hAnsi="Arial"/>
          <w:sz w:val="16"/>
          <w:szCs w:val="16"/>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6"/>
          <w:szCs w:val="16"/>
          <w:color w:val="auto"/>
        </w:rPr>
      </w:pPr>
    </w:p>
    <w:p>
      <w:pPr>
        <w:ind w:left="1040" w:hanging="584"/>
        <w:spacing w:after="0"/>
        <w:tabs>
          <w:tab w:leader="none" w:pos="1040" w:val="left"/>
        </w:tabs>
        <w:numPr>
          <w:ilvl w:val="0"/>
          <w:numId w:val="55"/>
        </w:numPr>
        <w:rPr>
          <w:rFonts w:ascii="Arial" w:cs="Arial" w:eastAsia="Arial" w:hAnsi="Arial"/>
          <w:sz w:val="14"/>
          <w:szCs w:val="14"/>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Company.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have executed this Certification effective as of March 23, 2023</w:t>
      </w:r>
    </w:p>
    <w:p>
      <w:pPr>
        <w:spacing w:after="0" w:line="200" w:lineRule="exact"/>
        <w:rPr>
          <w:sz w:val="20"/>
          <w:szCs w:val="20"/>
          <w:color w:val="auto"/>
        </w:rPr>
      </w:pPr>
    </w:p>
    <w:p>
      <w:pPr>
        <w:spacing w:after="0" w:line="28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14605</wp:posOffset>
            </wp:positionV>
            <wp:extent cx="26828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Jay M. Short, Ph.D.</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694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14605</wp:posOffset>
            </wp:positionV>
            <wp:extent cx="26828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Richard A. Waldron</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97" w:lineRule="exact"/>
        <w:rPr>
          <w:sz w:val="20"/>
          <w:szCs w:val="20"/>
          <w:color w:val="auto"/>
        </w:rPr>
      </w:pPr>
    </w:p>
    <w:p>
      <w:pPr>
        <w:ind w:right="480" w:firstLine="45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184150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337" w:right="33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o"/>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a"/>
      <w:numFmt w:val="bullet"/>
      <w:start w:val="1"/>
    </w:lvl>
  </w:abstractNum>
  <w:abstractNum w:abstractNumId="11">
    <w:nsid w:val="3006C83E"/>
    <w:multiLevelType w:val="hybridMultilevel"/>
    <w:lvl w:ilvl="0">
      <w:lvlJc w:val="left"/>
      <w:lvlText w:val="a"/>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lvl w:ilvl="1">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lowerRoman"/>
      <w:start w:val="3"/>
    </w:lvl>
  </w:abstractNum>
  <w:abstractNum w:abstractNumId="41">
    <w:nsid w:val="32FFF902"/>
    <w:multiLevelType w:val="hybridMultilevel"/>
    <w:lvl w:ilvl="0">
      <w:lvlJc w:val="left"/>
      <w:lvlText w:val="(%1)"/>
      <w:numFmt w:val="lowerLetter"/>
      <w:start w:val="1"/>
    </w:lvl>
    <w:lvl w:ilvl="1">
      <w:lvlJc w:val="left"/>
      <w:lvlText w:val="(%2)"/>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lvl w:ilvl="1">
      <w:lvlJc w:val="left"/>
      <w:lvlText w:val="(%2)"/>
      <w:numFmt w:val="lowerLetter"/>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6"/>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2"/>
    </w:lvl>
    <w:lvl w:ilvl="1">
      <w:lvlJc w:val="left"/>
      <w:lvlText w:val="%2."/>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338" Type="http://schemas.openxmlformats.org/officeDocument/2006/relationships/hyperlink" Target="https://www.sec.gov/Archives/edgar/data/1826892/000119312520321571/d89083dex31.htm" TargetMode="External"/><Relationship Id="rId339" Type="http://schemas.openxmlformats.org/officeDocument/2006/relationships/hyperlink" Target="https://www.sec.gov/Archives/edgar/data/1826892/000119312520321571/d89083dex32.htm" TargetMode="External"/><Relationship Id="rId340" Type="http://schemas.openxmlformats.org/officeDocument/2006/relationships/hyperlink" Target="https://www.sec.gov/Archives/edgar/data/1826892/000119312520312311/d258427dex41.htm" TargetMode="External"/><Relationship Id="rId341" Type="http://schemas.openxmlformats.org/officeDocument/2006/relationships/hyperlink" Target="https://www.sec.gov/Archives/edgar/data/1826892/000119312520312311/d258427dex42.htm" TargetMode="External"/><Relationship Id="rId342" Type="http://schemas.openxmlformats.org/officeDocument/2006/relationships/hyperlink" Target="https://www.sec.gov/Archives/edgar/data/1826892/000119312520312311/d258427dex101.htm" TargetMode="External"/><Relationship Id="rId343" Type="http://schemas.openxmlformats.org/officeDocument/2006/relationships/hyperlink" Target="https://www.sec.gov/Archives/edgar/data/1826892/000119312520321696/d56161dex992.htm" TargetMode="External"/><Relationship Id="rId344" Type="http://schemas.openxmlformats.org/officeDocument/2006/relationships/hyperlink" Target="https://www.sec.gov/Archives/edgar/data/1826892/000119312520312311/d258427dex102.htm" TargetMode="External"/><Relationship Id="rId345" Type="http://schemas.openxmlformats.org/officeDocument/2006/relationships/hyperlink" Target="https://www.sec.gov/Archives/edgar/data/1826892/000119312520312311/d258427dex103.htm" TargetMode="External"/><Relationship Id="rId346" Type="http://schemas.openxmlformats.org/officeDocument/2006/relationships/hyperlink" Target="https://www.sec.gov/Archives/edgar/data/0001826892/000119312520293235/d258427dex104.htm" TargetMode="External"/><Relationship Id="rId347" Type="http://schemas.openxmlformats.org/officeDocument/2006/relationships/hyperlink" Target="https://www.sec.gov/Archives/edgar/data/0001826892/000119312520293235/d258427dex105.htm" TargetMode="External"/><Relationship Id="rId348" Type="http://schemas.openxmlformats.org/officeDocument/2006/relationships/hyperlink" Target="https://www.sec.gov/Archives/edgar/data/0001826892/000119312520293235/d258427dex106.htm" TargetMode="External"/><Relationship Id="rId349" Type="http://schemas.openxmlformats.org/officeDocument/2006/relationships/hyperlink" Target="https://www.sec.gov/Archives/edgar/data/0001826892/000119312520293235/d258427dex107.htm" TargetMode="External"/><Relationship Id="rId350" Type="http://schemas.openxmlformats.org/officeDocument/2006/relationships/hyperlink" Target="https://www.sec.gov/Archives/edgar/data/0001826892/000119312520293235/d258427dex108.htm" TargetMode="External"/><Relationship Id="rId351" Type="http://schemas.openxmlformats.org/officeDocument/2006/relationships/hyperlink" Target="https://www.sec.gov/Archives/edgar/data/0001826892/000119312520293235/d258427dex109.htm" TargetMode="External"/><Relationship Id="rId352" Type="http://schemas.openxmlformats.org/officeDocument/2006/relationships/hyperlink" Target="https://www.sec.gov/Archives/edgar/data/0001826892/000119312520293235/d258427dex1010.htm" TargetMode="External"/><Relationship Id="rId353" Type="http://schemas.openxmlformats.org/officeDocument/2006/relationships/hyperlink" Target="https://www.sec.gov/Archives/edgar/data/1826892/000119312520312311/d258427dex1011.htm" TargetMode="External"/><Relationship Id="rId354" Type="http://schemas.openxmlformats.org/officeDocument/2006/relationships/hyperlink" Target="https://www.sec.gov/Archives/edgar/data/1826892/000119312520312311/d258427dex1013.htm" TargetMode="External"/><Relationship Id="rId355" Type="http://schemas.openxmlformats.org/officeDocument/2006/relationships/hyperlink" Target="https://www.sec.gov/Archives/edgar/data/1826892/000119312520312311/d258427dex1014.htm" TargetMode="External"/><Relationship Id="rId356" Type="http://schemas.openxmlformats.org/officeDocument/2006/relationships/hyperlink" Target="https://www.sec.gov/Archives/edgar/data/1826892/000119312520312311/d258427dex1015.htm" TargetMode="External"/><Relationship Id="rId357" Type="http://schemas.openxmlformats.org/officeDocument/2006/relationships/hyperlink" Target="https://www.sec.gov/Archives/edgar/data/1826892/000119312520312311/d258427dex1016.htm" TargetMode="External"/><Relationship Id="rId358" Type="http://schemas.openxmlformats.org/officeDocument/2006/relationships/hyperlink" Target="https://www.sec.gov/Archives/edgar/data/1826892/000095017022002303/bcab-ex10_19.htm" TargetMode="External"/><Relationship Id="rId362" Type="http://schemas.openxmlformats.org/officeDocument/2006/relationships/hyperlink" Target="https://www.sec.gov/Archives/edgar/data/1826892/000095017022002303/bcab-ex10_20.htm" TargetMode="External"/><Relationship Id="rId363" Type="http://schemas.openxmlformats.org/officeDocument/2006/relationships/hyperlink" Target="https://www.sec.gov/Archives/edgar/data/1826892/000095017022002303/bcab-ex10_21.htm" TargetMode="External"/><Relationship Id="rId364" Type="http://schemas.openxmlformats.org/officeDocument/2006/relationships/hyperlink" Target="https://www.sec.gov/Archives/edgar/data/1826892/000095017022002303/bcab-ex10_22.htm" TargetMode="External"/><Relationship Id="rId365" Type="http://schemas.openxmlformats.org/officeDocument/2006/relationships/hyperlink" Target="https://www.sec.gov/Archives/edgar/data/1826892/000119312520312311/d258427dex1018.htm" TargetMode="External"/><Relationship Id="rId366" Type="http://schemas.openxmlformats.org/officeDocument/2006/relationships/hyperlink" Target="https://www.sec.gov/Archives/edgar/data/1826892/000119312520312311/d258427dex1019.htm" TargetMode="External"/><Relationship Id="rId367" Type="http://schemas.openxmlformats.org/officeDocument/2006/relationships/hyperlink" Target="https://www.sec.gov/Archives/edgar/data/1826892/000095017022022036/bcab-ex10_2.htm" TargetMode="External"/><Relationship Id="rId368" Type="http://schemas.openxmlformats.org/officeDocument/2006/relationships/hyperlink" Target="https://www.sec.gov/Archives/edgar/data/1826892/000095017022016149/bcab-ex10_1.htm" TargetMode="External"/><Relationship Id="rId369" Type="http://schemas.openxmlformats.org/officeDocument/2006/relationships/hyperlink" Target="https://www.sec.gov/Archives/edgar/data/1826892/000095017022002303/bcab-ex10_26.htm" TargetMode="External"/><Relationship Id="rId370" Type="http://schemas.openxmlformats.org/officeDocument/2006/relationships/hyperlink" Target="https://www.sec.gov/Archives/edgar/data/1826892/000095017022002303/bcab-ex10_27.htm" TargetMode="External"/><Relationship Id="rId371" Type="http://schemas.openxmlformats.org/officeDocument/2006/relationships/hyperlink" Target="https://www.sec.gov/Archives/edgar/data/1826892/000095017022002303/bcab-ex10_28.htm" TargetMode="External"/><Relationship Id="rId372" Type="http://schemas.openxmlformats.org/officeDocument/2006/relationships/hyperlink" Target="https://www.sec.gov/Archives/edgar/data/1826892/000095017021004617/bcab-ex10_1.htm" TargetMode="External"/><Relationship Id="rId373" Type="http://schemas.openxmlformats.org/officeDocument/2006/relationships/hyperlink" Target="https://www.sec.gov/Archives/edgar/data/1826892/000095017021004617/bcab-ex10_2.htm" TargetMode="External"/><Relationship Id="rId374" Type="http://schemas.openxmlformats.org/officeDocument/2006/relationships/hyperlink" Target="https://www.sec.gov/Archives/edgar/data/1826892/000095017022018700/bcab-202209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2023-03-23T19:26:41Z</dcterms:created>
  <dcterms:modified xsi:type="dcterms:W3CDTF">2023-03-23T19:26:41Z</dcterms:modified>
</cp:coreProperties>
</file>