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580" w:hanging="3639"/>
        <w:spacing w:after="0" w:line="365"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BIOATLA, INC.</w:t>
      </w:r>
    </w:p>
    <w:p>
      <w:pPr>
        <w:sectPr>
          <w:pgSz w:w="11900" w:h="16838" w:orient="portrait"/>
          <w:cols w:equalWidth="0" w:num="1">
            <w:col w:w="11240"/>
          </w:cols>
          <w:pgMar w:left="320" w:top="1132"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11085 Torreyana Road, San Diego,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85-1922320</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92121</w:t>
      </w:r>
    </w:p>
    <w:p>
      <w:pPr>
        <w:spacing w:after="0" w:line="3" w:lineRule="exact"/>
        <w:rPr>
          <w:sz w:val="24"/>
          <w:szCs w:val="24"/>
          <w:color w:val="auto"/>
        </w:rPr>
      </w:pPr>
    </w:p>
    <w:p>
      <w:pPr>
        <w:sectPr>
          <w:pgSz w:w="11900" w:h="16838" w:orient="portrait"/>
          <w:cols w:equalWidth="0" w:num="2">
            <w:col w:w="7700" w:space="240"/>
            <w:col w:w="3300"/>
          </w:cols>
          <w:pgMar w:left="320" w:top="1132"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558-0708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BCAB</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Capital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128"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spacing w:after="0" w:line="184" w:lineRule="exact"/>
        <w:tabs>
          <w:tab w:leader="none" w:pos="8140" w:val="left"/>
          <w:tab w:leader="none" w:pos="88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20" w:lineRule="exact"/>
        <w:rPr>
          <w:sz w:val="24"/>
          <w:szCs w:val="24"/>
          <w:color w:val="auto"/>
        </w:rPr>
      </w:pPr>
    </w:p>
    <w:p>
      <w:pPr>
        <w:ind w:right="120" w:firstLine="599"/>
        <w:spacing w:after="0" w:line="298" w:lineRule="auto"/>
        <w:rPr>
          <w:sz w:val="20"/>
          <w:szCs w:val="20"/>
          <w:color w:val="auto"/>
        </w:rPr>
      </w:pPr>
      <w:r>
        <w:rPr>
          <w:rFonts w:ascii="Times New Roman" w:cs="Times New Roman" w:eastAsia="Times New Roman" w:hAnsi="Times New Roman"/>
          <w:sz w:val="16"/>
          <w:szCs w:val="16"/>
          <w:color w:val="auto"/>
        </w:rPr>
        <w:t>As of November 10, 2025 the number of shares of the registrant’s common stock outstanding was 58,792,088 and the number of shares of the registrant’s Class B common stock outstanding was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2"/>
        </w:trPr>
        <w:tc>
          <w:tcPr>
            <w:tcW w:w="80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PART I.</w:t>
            </w:r>
          </w:p>
        </w:tc>
        <w:tc>
          <w:tcPr>
            <w:tcW w:w="9780" w:type="dxa"/>
            <w:vAlign w:val="bottom"/>
            <w:gridSpan w:val="20"/>
          </w:tcPr>
          <w:p>
            <w:pPr>
              <w:spacing w:after="0" w:line="162" w:lineRule="exact"/>
              <w:rPr>
                <w:sz w:val="20"/>
                <w:szCs w:val="20"/>
                <w:color w:val="auto"/>
              </w:rPr>
            </w:pPr>
            <w:r>
              <w:rPr>
                <w:rFonts w:ascii="Times New Roman" w:cs="Times New Roman" w:eastAsia="Times New Roman" w:hAnsi="Times New Roman"/>
                <w:sz w:val="16"/>
                <w:szCs w:val="16"/>
                <w:color w:val="0000FF"/>
              </w:rPr>
              <w:t>FINANCIAL INFORMATION</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1.</w:t>
            </w:r>
          </w:p>
        </w:tc>
        <w:tc>
          <w:tcPr>
            <w:tcW w:w="97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Financial Statements: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tcBorders>
              <w:bottom w:val="single" w:sz="8" w:color="0000FF"/>
            </w:tcBorders>
            <w:gridSpan w:val="12"/>
          </w:tcPr>
          <w:p>
            <w:pPr>
              <w:spacing w:after="0" w:line="183" w:lineRule="exact"/>
              <w:rPr>
                <w:sz w:val="20"/>
                <w:szCs w:val="20"/>
                <w:color w:val="auto"/>
              </w:rPr>
            </w:pPr>
            <w:r>
              <w:rPr>
                <w:rFonts w:ascii="Times New Roman" w:cs="Times New Roman" w:eastAsia="Times New Roman" w:hAnsi="Times New Roman"/>
                <w:sz w:val="16"/>
                <w:szCs w:val="16"/>
                <w:color w:val="0000FF"/>
              </w:rPr>
              <w:t>Condensed Balance Sheets as of September 30, 2025 (unaudited) and December 31, 2024</w:t>
            </w:r>
          </w:p>
        </w:tc>
        <w:tc>
          <w:tcPr>
            <w:tcW w:w="20" w:type="dxa"/>
            <w:vAlign w:val="bottom"/>
            <w:tcBorders>
              <w:bottom w:val="single" w:sz="8" w:color="0000EE"/>
            </w:tcBorders>
          </w:tcPr>
          <w:p>
            <w:pPr>
              <w:spacing w:after="0"/>
              <w:rPr>
                <w:sz w:val="17"/>
                <w:szCs w:val="17"/>
                <w:color w:val="auto"/>
              </w:rPr>
            </w:pPr>
          </w:p>
        </w:tc>
        <w:tc>
          <w:tcPr>
            <w:tcW w:w="3700" w:type="dxa"/>
            <w:vAlign w:val="bottom"/>
            <w:gridSpan w:val="4"/>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9220" w:type="dxa"/>
            <w:vAlign w:val="bottom"/>
            <w:tcBorders>
              <w:bottom w:val="single" w:sz="8" w:color="0000FF"/>
            </w:tcBorders>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Condensed Statements of Operations and Comprehensive Loss (unaudited) for the three and nine months ended September 30, 2025 and 2024</w:t>
            </w:r>
          </w:p>
        </w:tc>
        <w:tc>
          <w:tcPr>
            <w:tcW w:w="320" w:type="dxa"/>
            <w:vAlign w:val="bottom"/>
          </w:tcPr>
          <w:p>
            <w:pPr>
              <w:spacing w:after="0"/>
              <w:rPr>
                <w:sz w:val="17"/>
                <w:szCs w:val="17"/>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60" w:type="dxa"/>
            <w:vAlign w:val="bottom"/>
            <w:tcBorders>
              <w:bottom w:val="single" w:sz="8" w:color="0000EE"/>
            </w:tcBorders>
            <w:gridSpan w:val="16"/>
          </w:tcPr>
          <w:p>
            <w:pPr>
              <w:ind w:left="20"/>
              <w:spacing w:after="0" w:line="183" w:lineRule="exact"/>
              <w:rPr>
                <w:sz w:val="20"/>
                <w:szCs w:val="20"/>
                <w:color w:val="auto"/>
              </w:rPr>
            </w:pPr>
            <w:r>
              <w:rPr>
                <w:rFonts w:ascii="Times New Roman" w:cs="Times New Roman" w:eastAsia="Times New Roman" w:hAnsi="Times New Roman"/>
                <w:sz w:val="16"/>
                <w:szCs w:val="16"/>
                <w:color w:val="0000FF"/>
              </w:rPr>
              <w:t>Condensed Statements of Stockholders’ Equity (Deficit) (unaudited) for the three and nine months ended September 30, 2025 and 2024</w:t>
            </w:r>
          </w:p>
        </w:tc>
        <w:tc>
          <w:tcPr>
            <w:tcW w:w="700" w:type="dxa"/>
            <w:vAlign w:val="bottom"/>
            <w:gridSpan w:val="2"/>
          </w:tcPr>
          <w:p>
            <w:pPr>
              <w:spacing w:after="0"/>
              <w:rPr>
                <w:sz w:val="17"/>
                <w:szCs w:val="17"/>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17"/>
          </w:tcPr>
          <w:p>
            <w:pPr>
              <w:spacing w:after="0" w:line="183" w:lineRule="exact"/>
              <w:rPr>
                <w:sz w:val="20"/>
                <w:szCs w:val="20"/>
                <w:color w:val="auto"/>
              </w:rPr>
            </w:pPr>
            <w:r>
              <w:rPr>
                <w:rFonts w:ascii="Times New Roman" w:cs="Times New Roman" w:eastAsia="Times New Roman" w:hAnsi="Times New Roman"/>
                <w:sz w:val="16"/>
                <w:szCs w:val="16"/>
                <w:color w:val="0000FF"/>
              </w:rPr>
              <w:t>Condensed Statements of Cash Flows (unaudited) for the nine months ended September 30, 2025 and 2024</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top w:val="single" w:sz="8" w:color="0000FF"/>
            </w:tcBorders>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Notes to Condensed Financial Statements (unaudited)</w:t>
            </w:r>
          </w:p>
        </w:tc>
        <w:tc>
          <w:tcPr>
            <w:tcW w:w="2600" w:type="dxa"/>
            <w:vAlign w:val="bottom"/>
            <w:gridSpan w:val="3"/>
          </w:tcPr>
          <w:p>
            <w:pPr>
              <w:spacing w:after="0"/>
              <w:rPr>
                <w:sz w:val="17"/>
                <w:szCs w:val="17"/>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97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97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60" w:type="dxa"/>
            <w:vAlign w:val="bottom"/>
            <w:tcBorders>
              <w:left w:val="single" w:sz="8" w:color="0000FF"/>
            </w:tcBorders>
            <w:gridSpan w:val="7"/>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97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Controls and Procedures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line="20" w:lineRule="exact"/>
              <w:rPr>
                <w:sz w:val="1"/>
                <w:szCs w:val="1"/>
                <w:color w:val="auto"/>
              </w:rPr>
            </w:pPr>
          </w:p>
        </w:tc>
      </w:tr>
      <w:tr>
        <w:trPr>
          <w:trHeight w:val="196"/>
        </w:trPr>
        <w:tc>
          <w:tcPr>
            <w:tcW w:w="800" w:type="dxa"/>
            <w:vAlign w:val="bottom"/>
            <w:vMerge w:val="continue"/>
          </w:tcPr>
          <w:p>
            <w:pPr>
              <w:spacing w:after="0"/>
              <w:rPr>
                <w:sz w:val="17"/>
                <w:szCs w:val="17"/>
                <w:color w:val="auto"/>
              </w:rPr>
            </w:pPr>
          </w:p>
        </w:tc>
        <w:tc>
          <w:tcPr>
            <w:tcW w:w="97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OTHER INFORMATION</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1.</w:t>
            </w:r>
          </w:p>
        </w:tc>
        <w:tc>
          <w:tcPr>
            <w:tcW w:w="97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Legal Proceedings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5"/>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1A.</w:t>
            </w:r>
          </w:p>
        </w:tc>
        <w:tc>
          <w:tcPr>
            <w:tcW w:w="97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Risk Factors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97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97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7680" w:type="dxa"/>
            <w:vAlign w:val="bottom"/>
            <w:gridSpan w:val="9"/>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97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Mine Safety Disclosures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180" w:type="dxa"/>
            <w:vAlign w:val="bottom"/>
            <w:gridSpan w:val="12"/>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5.</w:t>
            </w:r>
          </w:p>
        </w:tc>
        <w:tc>
          <w:tcPr>
            <w:tcW w:w="97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Other Information</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600" w:type="dxa"/>
            <w:vAlign w:val="bottom"/>
            <w:gridSpan w:val="14"/>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6.</w:t>
            </w:r>
          </w:p>
        </w:tc>
        <w:tc>
          <w:tcPr>
            <w:tcW w:w="97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Exhibits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9240" w:type="dxa"/>
            <w:vAlign w:val="bottom"/>
            <w:gridSpan w:val="16"/>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line="20" w:lineRule="exact"/>
              <w:rPr>
                <w:sz w:val="1"/>
                <w:szCs w:val="1"/>
                <w:color w:val="auto"/>
              </w:rPr>
            </w:pPr>
          </w:p>
        </w:tc>
      </w:tr>
      <w:tr>
        <w:trPr>
          <w:trHeight w:val="196"/>
        </w:trPr>
        <w:tc>
          <w:tcPr>
            <w:tcW w:w="1058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SIGNATURES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9"/>
        </w:trPr>
        <w:tc>
          <w:tcPr>
            <w:tcW w:w="8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8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18"/>
                <w:szCs w:val="18"/>
                <w:color w:val="auto"/>
              </w:rPr>
            </w:pPr>
          </w:p>
        </w:tc>
      </w:tr>
      <w:tr>
        <w:trPr>
          <w:trHeight w:val="21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51,232</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1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52,422</w:t>
            </w:r>
          </w:p>
        </w:tc>
        <w:tc>
          <w:tcPr>
            <w:tcW w:w="100" w:type="dxa"/>
            <w:vAlign w:val="bottom"/>
            <w:shd w:val="clear" w:color="auto" w:fill="CFF0FC"/>
          </w:tcPr>
          <w:p>
            <w:pPr>
              <w:spacing w:after="0"/>
              <w:rPr>
                <w:sz w:val="21"/>
                <w:szCs w:val="21"/>
                <w:color w:val="auto"/>
              </w:rPr>
            </w:pPr>
          </w:p>
        </w:tc>
      </w:tr>
      <w:tr>
        <w:trPr>
          <w:trHeight w:val="196"/>
        </w:trPr>
        <w:tc>
          <w:tcPr>
            <w:tcW w:w="81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 (includes related party amounts of $0 and $1,775, respectively)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16,811</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00" w:type="dxa"/>
            <w:vAlign w:val="bottom"/>
          </w:tcPr>
          <w:p>
            <w:pPr>
              <w:spacing w:after="0"/>
              <w:rPr>
                <w:sz w:val="18"/>
                <w:szCs w:val="18"/>
                <w:color w:val="auto"/>
              </w:rPr>
            </w:pPr>
          </w:p>
        </w:tc>
      </w:tr>
      <w:tr>
        <w:trPr>
          <w:trHeight w:val="216"/>
        </w:trPr>
        <w:tc>
          <w:tcPr>
            <w:tcW w:w="81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Liability to licensor</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00" w:type="dxa"/>
            <w:vAlign w:val="bottom"/>
          </w:tcPr>
          <w:p>
            <w:pPr>
              <w:spacing w:after="0"/>
              <w:rPr>
                <w:sz w:val="18"/>
                <w:szCs w:val="18"/>
                <w:color w:val="auto"/>
              </w:rPr>
            </w:pPr>
          </w:p>
        </w:tc>
      </w:tr>
      <w:tr>
        <w:trPr>
          <w:trHeight w:val="216"/>
        </w:trPr>
        <w:tc>
          <w:tcPr>
            <w:tcW w:w="8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38,157</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1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200,000,000 shares authorized at September 30, 2025</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December 31, 2024; 0 shares issued and outstanding at September 30, 2025</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8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December 31, 2024</w:t>
            </w: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1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350,000,000 shares authorized at</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September 30, 2025 and December 31, 2024; 58,792,088 and 58,099,164</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issued and outstanding at September 30, 2025 and December 31, 2024</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198"/>
        </w:trPr>
        <w:tc>
          <w:tcPr>
            <w:tcW w:w="81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15,368,569 shares authorized at</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September 30, 2025 and December 31, 2024; 0 shares issued and outstanding at</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8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September 30, 2025 and December 31, 2024</w:t>
            </w: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500,298</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(535,862)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(486,039)</w:t>
            </w:r>
          </w:p>
        </w:tc>
      </w:tr>
      <w:tr>
        <w:trPr>
          <w:trHeight w:val="20"/>
        </w:trPr>
        <w:tc>
          <w:tcPr>
            <w:tcW w:w="8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100" w:type="dxa"/>
            <w:vAlign w:val="bottom"/>
          </w:tcPr>
          <w:p>
            <w:pPr>
              <w:spacing w:after="0"/>
              <w:rPr>
                <w:sz w:val="18"/>
                <w:szCs w:val="18"/>
                <w:color w:val="auto"/>
              </w:rPr>
            </w:pPr>
          </w:p>
        </w:tc>
      </w:tr>
      <w:tr>
        <w:trPr>
          <w:trHeight w:val="250"/>
        </w:trPr>
        <w:tc>
          <w:tcPr>
            <w:tcW w:w="8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-3376930</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-3359785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-3376930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-3359785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-2802255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-2245360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-316865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76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246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2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9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Collaboration and other revenue</w:t>
            </w: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2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Research and development expense (includes related party amounts of $0 for the three and</w:t>
            </w: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9,539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16,395</w:t>
            </w:r>
          </w:p>
        </w:tc>
        <w:tc>
          <w:tcPr>
            <w:tcW w:w="14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35,578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51,445</w:t>
            </w:r>
          </w:p>
        </w:tc>
        <w:tc>
          <w:tcPr>
            <w:tcW w:w="120" w:type="dxa"/>
            <w:vAlign w:val="bottom"/>
            <w:shd w:val="clear" w:color="auto" w:fill="CFF0FC"/>
          </w:tcPr>
          <w:p>
            <w:pPr>
              <w:spacing w:after="0"/>
              <w:rPr>
                <w:sz w:val="16"/>
                <w:szCs w:val="16"/>
                <w:color w:val="auto"/>
              </w:rPr>
            </w:pPr>
          </w:p>
        </w:tc>
      </w:tr>
      <w:tr>
        <w:trPr>
          <w:trHeight w:val="203"/>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nine months ended September 30, 2025 and $1,775 and $2,025 for the three and nine months</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ended September 30, 2024, respectively)</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2"/>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17,254</w:t>
            </w:r>
          </w:p>
        </w:tc>
        <w:tc>
          <w:tcPr>
            <w:tcW w:w="120" w:type="dxa"/>
            <w:vAlign w:val="bottom"/>
          </w:tcPr>
          <w:p>
            <w:pPr>
              <w:spacing w:after="0"/>
              <w:rPr>
                <w:sz w:val="17"/>
                <w:szCs w:val="17"/>
                <w:color w:val="auto"/>
              </w:rPr>
            </w:pPr>
          </w:p>
        </w:tc>
      </w:tr>
      <w:tr>
        <w:trPr>
          <w:trHeight w:val="196"/>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13,789</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22,270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50,050</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68,699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(13,789)</w:t>
            </w:r>
          </w:p>
        </w:tc>
        <w:tc>
          <w:tcPr>
            <w:tcW w:w="2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(50,050)</w:t>
            </w:r>
          </w:p>
        </w:tc>
        <w:tc>
          <w:tcPr>
            <w:tcW w:w="2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(57,699)</w:t>
            </w:r>
          </w:p>
        </w:tc>
      </w:tr>
      <w:tr>
        <w:trPr>
          <w:trHeight w:val="20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(loss):</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120" w:type="dxa"/>
            <w:vAlign w:val="bottom"/>
          </w:tcPr>
          <w:p>
            <w:pPr>
              <w:spacing w:after="0"/>
              <w:rPr>
                <w:sz w:val="17"/>
                <w:szCs w:val="17"/>
                <w:color w:val="auto"/>
              </w:rPr>
            </w:pPr>
          </w:p>
        </w:tc>
      </w:tr>
      <w:tr>
        <w:trPr>
          <w:trHeight w:val="203"/>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Loss on warrant liability</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(2,119)</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(536)</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expense</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6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income (loss)</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(1,989)</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120" w:type="dxa"/>
            <w:vAlign w:val="bottom"/>
            <w:shd w:val="clear" w:color="auto" w:fill="CFF0FC"/>
          </w:tcPr>
          <w:p>
            <w:pPr>
              <w:spacing w:after="0"/>
              <w:rPr>
                <w:sz w:val="17"/>
                <w:szCs w:val="17"/>
                <w:color w:val="auto"/>
              </w:rPr>
            </w:pPr>
          </w:p>
        </w:tc>
      </w:tr>
      <w:tr>
        <w:trPr>
          <w:trHeight w:val="20"/>
        </w:trPr>
        <w:tc>
          <w:tcPr>
            <w:tcW w:w="6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(15,778)</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(49,823)</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(54,892)</w:t>
            </w:r>
          </w:p>
        </w:tc>
      </w:tr>
      <w:tr>
        <w:trPr>
          <w:trHeight w:val="20"/>
        </w:trPr>
        <w:tc>
          <w:tcPr>
            <w:tcW w:w="6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(0.27)</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(0.22)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(0.85)</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(1.14)</w:t>
            </w:r>
          </w:p>
        </w:tc>
      </w:tr>
      <w:tr>
        <w:trPr>
          <w:trHeight w:val="183"/>
        </w:trPr>
        <w:tc>
          <w:tcPr>
            <w:tcW w:w="6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Weighted-average shares of common stock outstanding, basic and diluted</w:t>
            </w: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58,745,343</w:t>
            </w:r>
          </w:p>
        </w:tc>
        <w:tc>
          <w:tcPr>
            <w:tcW w:w="10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48,335,847</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58,501,472</w:t>
            </w: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48,213,183</w:t>
            </w:r>
          </w:p>
        </w:tc>
        <w:tc>
          <w:tcPr>
            <w:tcW w:w="120" w:type="dxa"/>
            <w:vAlign w:val="bottom"/>
            <w:tcBorders>
              <w:top w:val="single" w:sz="8" w:color="CFF0FC"/>
            </w:tcBorders>
          </w:tcPr>
          <w:p>
            <w:pPr>
              <w:spacing w:after="0"/>
              <w:rPr>
                <w:sz w:val="15"/>
                <w:szCs w:val="15"/>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-1259205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-1259205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-1259205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-1259205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-471170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-471170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-471170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-179070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-162560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-179070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-162560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-179070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-162560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8"/>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5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00" w:type="dxa"/>
            <w:vAlign w:val="bottom"/>
          </w:tcPr>
          <w:p>
            <w:pPr>
              <w:spacing w:after="0"/>
              <w:rPr>
                <w:sz w:val="10"/>
                <w:szCs w:val="10"/>
                <w:color w:val="auto"/>
              </w:rPr>
            </w:pPr>
          </w:p>
        </w:tc>
        <w:tc>
          <w:tcPr>
            <w:tcW w:w="700" w:type="dxa"/>
            <w:vAlign w:val="bottom"/>
          </w:tcPr>
          <w:p>
            <w:pPr>
              <w:jc w:val="center"/>
              <w:ind w:right="43"/>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380" w:type="dxa"/>
            <w:vAlign w:val="bottom"/>
            <w:gridSpan w:val="3"/>
            <w:vMerge w:val="restart"/>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0"/>
        </w:trPr>
        <w:tc>
          <w:tcPr>
            <w:tcW w:w="5380" w:type="dxa"/>
            <w:vAlign w:val="bottom"/>
          </w:tcPr>
          <w:p>
            <w:pPr>
              <w:spacing w:after="0"/>
              <w:rPr>
                <w:sz w:val="13"/>
                <w:szCs w:val="13"/>
                <w:color w:val="auto"/>
              </w:rPr>
            </w:pPr>
          </w:p>
        </w:tc>
        <w:tc>
          <w:tcPr>
            <w:tcW w:w="238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00" w:type="dxa"/>
            <w:vAlign w:val="bottom"/>
          </w:tcPr>
          <w:p>
            <w:pPr>
              <w:spacing w:after="0"/>
              <w:rPr>
                <w:sz w:val="13"/>
                <w:szCs w:val="13"/>
                <w:color w:val="auto"/>
              </w:rPr>
            </w:pPr>
          </w:p>
        </w:tc>
        <w:tc>
          <w:tcPr>
            <w:tcW w:w="8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30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980" w:type="dxa"/>
            <w:vAlign w:val="bottom"/>
            <w:vMerge w:val="restart"/>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vMerge w:val="restart"/>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58,721,588</w:t>
            </w:r>
          </w:p>
        </w:tc>
        <w:tc>
          <w:tcPr>
            <w:tcW w:w="1080" w:type="dxa"/>
            <w:vAlign w:val="bottom"/>
            <w:gridSpan w:val="2"/>
            <w:shd w:val="clear" w:color="auto" w:fill="CFF0FC"/>
          </w:tcPr>
          <w:p>
            <w:pPr>
              <w:jc w:val="right"/>
              <w:ind w:right="825"/>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503,333</w:t>
            </w:r>
          </w:p>
        </w:tc>
        <w:tc>
          <w:tcPr>
            <w:tcW w:w="12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9"/>
              </w:rPr>
              <w:t>$ (520,084)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(16,745)</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equity incentive plans, net of shares withheld for</w:t>
            </w: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70,500</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(15,778)</w:t>
            </w: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(15,778)</w:t>
            </w:r>
          </w:p>
        </w:tc>
        <w:tc>
          <w:tcPr>
            <w:tcW w:w="0" w:type="dxa"/>
            <w:vAlign w:val="bottom"/>
          </w:tcPr>
          <w:p>
            <w:pPr>
              <w:spacing w:after="0"/>
              <w:rPr>
                <w:sz w:val="1"/>
                <w:szCs w:val="1"/>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58,792,088</w:t>
            </w:r>
          </w:p>
        </w:tc>
        <w:tc>
          <w:tcPr>
            <w:tcW w:w="100" w:type="dxa"/>
            <w:vAlign w:val="bottom"/>
          </w:tcPr>
          <w:p>
            <w:pPr>
              <w:spacing w:after="0"/>
              <w:rPr>
                <w:sz w:val="17"/>
                <w:szCs w:val="17"/>
                <w:color w:val="auto"/>
              </w:rPr>
            </w:pPr>
          </w:p>
        </w:tc>
        <w:tc>
          <w:tcPr>
            <w:tcW w:w="980" w:type="dxa"/>
            <w:vAlign w:val="bottom"/>
          </w:tcPr>
          <w:p>
            <w:pPr>
              <w:jc w:val="right"/>
              <w:ind w:right="825"/>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504,619</w:t>
            </w:r>
          </w:p>
        </w:tc>
        <w:tc>
          <w:tcPr>
            <w:tcW w:w="1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(535,862) $</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(31,237)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3"/>
        </w:trPr>
        <w:tc>
          <w:tcPr>
            <w:tcW w:w="53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00" w:type="dxa"/>
            <w:vAlign w:val="bottom"/>
          </w:tcPr>
          <w:p>
            <w:pPr>
              <w:spacing w:after="0"/>
              <w:rPr>
                <w:sz w:val="10"/>
                <w:szCs w:val="10"/>
                <w:color w:val="auto"/>
              </w:rPr>
            </w:pPr>
          </w:p>
        </w:tc>
        <w:tc>
          <w:tcPr>
            <w:tcW w:w="700" w:type="dxa"/>
            <w:vAlign w:val="bottom"/>
          </w:tcPr>
          <w:p>
            <w:pPr>
              <w:jc w:val="center"/>
              <w:ind w:right="43"/>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380" w:type="dxa"/>
            <w:vAlign w:val="bottom"/>
            <w:gridSpan w:val="3"/>
            <w:vMerge w:val="restart"/>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0"/>
        </w:trPr>
        <w:tc>
          <w:tcPr>
            <w:tcW w:w="5380" w:type="dxa"/>
            <w:vAlign w:val="bottom"/>
          </w:tcPr>
          <w:p>
            <w:pPr>
              <w:spacing w:after="0"/>
              <w:rPr>
                <w:sz w:val="13"/>
                <w:szCs w:val="13"/>
                <w:color w:val="auto"/>
              </w:rPr>
            </w:pPr>
          </w:p>
        </w:tc>
        <w:tc>
          <w:tcPr>
            <w:tcW w:w="238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00" w:type="dxa"/>
            <w:vAlign w:val="bottom"/>
          </w:tcPr>
          <w:p>
            <w:pPr>
              <w:spacing w:after="0"/>
              <w:rPr>
                <w:sz w:val="13"/>
                <w:szCs w:val="13"/>
                <w:color w:val="auto"/>
              </w:rPr>
            </w:pPr>
          </w:p>
        </w:tc>
        <w:tc>
          <w:tcPr>
            <w:tcW w:w="8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30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980" w:type="dxa"/>
            <w:vAlign w:val="bottom"/>
            <w:vMerge w:val="restart"/>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vMerge w:val="restart"/>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48,326,138</w:t>
            </w:r>
          </w:p>
        </w:tc>
        <w:tc>
          <w:tcPr>
            <w:tcW w:w="1080" w:type="dxa"/>
            <w:vAlign w:val="bottom"/>
            <w:gridSpan w:val="2"/>
            <w:shd w:val="clear" w:color="auto" w:fill="CFF0FC"/>
          </w:tcPr>
          <w:p>
            <w:pPr>
              <w:jc w:val="right"/>
              <w:ind w:right="825"/>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491,934</w:t>
            </w:r>
          </w:p>
        </w:tc>
        <w:tc>
          <w:tcPr>
            <w:tcW w:w="12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9"/>
              </w:rPr>
              <w:t>$ (460,569)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equity incentive plans, net of shares withheld for</w:t>
            </w: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19,395</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(10,586)</w:t>
            </w: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(10,586)</w:t>
            </w:r>
          </w:p>
        </w:tc>
        <w:tc>
          <w:tcPr>
            <w:tcW w:w="0" w:type="dxa"/>
            <w:vAlign w:val="bottom"/>
          </w:tcPr>
          <w:p>
            <w:pPr>
              <w:spacing w:after="0"/>
              <w:rPr>
                <w:sz w:val="1"/>
                <w:szCs w:val="1"/>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48,345,533</w:t>
            </w:r>
          </w:p>
        </w:tc>
        <w:tc>
          <w:tcPr>
            <w:tcW w:w="100" w:type="dxa"/>
            <w:vAlign w:val="bottom"/>
          </w:tcPr>
          <w:p>
            <w:pPr>
              <w:spacing w:after="0"/>
              <w:rPr>
                <w:sz w:val="17"/>
                <w:szCs w:val="17"/>
                <w:color w:val="auto"/>
              </w:rPr>
            </w:pPr>
          </w:p>
        </w:tc>
        <w:tc>
          <w:tcPr>
            <w:tcW w:w="980" w:type="dxa"/>
            <w:vAlign w:val="bottom"/>
          </w:tcPr>
          <w:p>
            <w:pPr>
              <w:jc w:val="right"/>
              <w:ind w:right="825"/>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494,118</w:t>
            </w:r>
          </w:p>
        </w:tc>
        <w:tc>
          <w:tcPr>
            <w:tcW w:w="1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(471,155)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-2193925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-2193925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-2193925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-2193925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-162560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-162560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-162560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5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00" w:type="dxa"/>
            <w:vAlign w:val="bottom"/>
          </w:tcPr>
          <w:p>
            <w:pPr>
              <w:spacing w:after="0"/>
              <w:rPr>
                <w:sz w:val="10"/>
                <w:szCs w:val="10"/>
                <w:color w:val="auto"/>
              </w:rPr>
            </w:pPr>
          </w:p>
        </w:tc>
        <w:tc>
          <w:tcPr>
            <w:tcW w:w="700" w:type="dxa"/>
            <w:vAlign w:val="bottom"/>
          </w:tcPr>
          <w:p>
            <w:pPr>
              <w:jc w:val="center"/>
              <w:ind w:right="43"/>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380" w:type="dxa"/>
            <w:vAlign w:val="bottom"/>
            <w:gridSpan w:val="3"/>
            <w:vMerge w:val="restart"/>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0"/>
        </w:trPr>
        <w:tc>
          <w:tcPr>
            <w:tcW w:w="5380" w:type="dxa"/>
            <w:vAlign w:val="bottom"/>
          </w:tcPr>
          <w:p>
            <w:pPr>
              <w:spacing w:after="0"/>
              <w:rPr>
                <w:sz w:val="13"/>
                <w:szCs w:val="13"/>
                <w:color w:val="auto"/>
              </w:rPr>
            </w:pPr>
          </w:p>
        </w:tc>
        <w:tc>
          <w:tcPr>
            <w:tcW w:w="238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00" w:type="dxa"/>
            <w:vAlign w:val="bottom"/>
          </w:tcPr>
          <w:p>
            <w:pPr>
              <w:spacing w:after="0"/>
              <w:rPr>
                <w:sz w:val="13"/>
                <w:szCs w:val="13"/>
                <w:color w:val="auto"/>
              </w:rPr>
            </w:pPr>
          </w:p>
        </w:tc>
        <w:tc>
          <w:tcPr>
            <w:tcW w:w="8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30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980" w:type="dxa"/>
            <w:vAlign w:val="bottom"/>
            <w:vMerge w:val="restart"/>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vMerge w:val="restart"/>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58,099,164</w:t>
            </w:r>
          </w:p>
        </w:tc>
        <w:tc>
          <w:tcPr>
            <w:tcW w:w="1080" w:type="dxa"/>
            <w:vAlign w:val="bottom"/>
            <w:gridSpan w:val="2"/>
            <w:shd w:val="clear" w:color="auto" w:fill="CFF0FC"/>
          </w:tcPr>
          <w:p>
            <w:pPr>
              <w:jc w:val="right"/>
              <w:ind w:right="825"/>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500,298</w:t>
            </w:r>
          </w:p>
        </w:tc>
        <w:tc>
          <w:tcPr>
            <w:tcW w:w="12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9"/>
              </w:rPr>
              <w:t>$ (486,039)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equity incentive plans, net of shares withheld for</w:t>
            </w: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557,452</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for Employee Stock Purchase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135,472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(49,823)</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(49,823)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58,792,088</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25"/>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504,619</w:t>
            </w:r>
          </w:p>
        </w:tc>
        <w:tc>
          <w:tcPr>
            <w:tcW w:w="1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(535,862) $</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(31,237)</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3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00" w:type="dxa"/>
            <w:vAlign w:val="bottom"/>
          </w:tcPr>
          <w:p>
            <w:pPr>
              <w:spacing w:after="0"/>
              <w:rPr>
                <w:sz w:val="10"/>
                <w:szCs w:val="10"/>
                <w:color w:val="auto"/>
              </w:rPr>
            </w:pPr>
          </w:p>
        </w:tc>
        <w:tc>
          <w:tcPr>
            <w:tcW w:w="700" w:type="dxa"/>
            <w:vAlign w:val="bottom"/>
          </w:tcPr>
          <w:p>
            <w:pPr>
              <w:jc w:val="center"/>
              <w:ind w:right="43"/>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380" w:type="dxa"/>
            <w:vAlign w:val="bottom"/>
            <w:gridSpan w:val="3"/>
            <w:vMerge w:val="restart"/>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0"/>
        </w:trPr>
        <w:tc>
          <w:tcPr>
            <w:tcW w:w="5380" w:type="dxa"/>
            <w:vAlign w:val="bottom"/>
          </w:tcPr>
          <w:p>
            <w:pPr>
              <w:spacing w:after="0"/>
              <w:rPr>
                <w:sz w:val="13"/>
                <w:szCs w:val="13"/>
                <w:color w:val="auto"/>
              </w:rPr>
            </w:pPr>
          </w:p>
        </w:tc>
        <w:tc>
          <w:tcPr>
            <w:tcW w:w="238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00" w:type="dxa"/>
            <w:vAlign w:val="bottom"/>
          </w:tcPr>
          <w:p>
            <w:pPr>
              <w:spacing w:after="0"/>
              <w:rPr>
                <w:sz w:val="13"/>
                <w:szCs w:val="13"/>
                <w:color w:val="auto"/>
              </w:rPr>
            </w:pPr>
          </w:p>
        </w:tc>
        <w:tc>
          <w:tcPr>
            <w:tcW w:w="8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30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980" w:type="dxa"/>
            <w:vAlign w:val="bottom"/>
            <w:vMerge w:val="restart"/>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vMerge w:val="restart"/>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48,077,599</w:t>
            </w:r>
          </w:p>
        </w:tc>
        <w:tc>
          <w:tcPr>
            <w:tcW w:w="1080" w:type="dxa"/>
            <w:vAlign w:val="bottom"/>
            <w:gridSpan w:val="2"/>
            <w:shd w:val="clear" w:color="auto" w:fill="CFF0FC"/>
          </w:tcPr>
          <w:p>
            <w:pPr>
              <w:jc w:val="right"/>
              <w:ind w:right="825"/>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486,930</w:t>
            </w:r>
          </w:p>
        </w:tc>
        <w:tc>
          <w:tcPr>
            <w:tcW w:w="12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9"/>
              </w:rPr>
              <w:t>$ (416,263)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equity incentive plans, net of shares withheld for</w:t>
            </w: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76,914</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for Employee Stock Purchase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191,020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w:t>
            </w: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(54,892)</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(54,892)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48,345,533</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25"/>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494,118</w:t>
            </w:r>
          </w:p>
        </w:tc>
        <w:tc>
          <w:tcPr>
            <w:tcW w:w="1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(471,155)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-1945005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-1928495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-1945005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-1928495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-1945005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-1928495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-1945005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-1928495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(49,823)</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(54,892)</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(10,284)</w:t>
            </w: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expenses - related parties</w:t>
            </w: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(477)</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(40,289)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(55,153)</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7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FF0FC"/>
          </w:tcPr>
          <w:p>
            <w:pPr>
              <w:spacing w:after="0"/>
              <w:rPr>
                <w:sz w:val="18"/>
                <w:szCs w:val="18"/>
                <w:color w:val="auto"/>
              </w:rPr>
            </w:pP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(40,726)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(54,955)</w:t>
            </w:r>
          </w:p>
        </w:tc>
      </w:tr>
      <w:tr>
        <w:trPr>
          <w:trHeight w:val="216"/>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111,471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16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56,516</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6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right-of-use assets and operating lease liabilities resulting from contract modification</w:t>
            </w:r>
          </w:p>
        </w:tc>
        <w:tc>
          <w:tcPr>
            <w:tcW w:w="940" w:type="dxa"/>
            <w:vAlign w:val="bottom"/>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6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-753745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-471170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BioAtla, LLC was formed in Delaware in March 2007 and was converted to a Delaware corporation in July 2020 and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several CAB drug candidates including: its two lead CAB antibody drug conjugates (“CAB ADC”), mecbotamab vedotin (BA3011), a CAB ADC targeting AXL, and ozuriftamab vedotin (BA3021), a CAB ADC targeting ROR2; evalstotug (BA3071), a CAB anti-CTLA-4 antibody; and BA3182 (CAB-EpCAM x CAB-CD3), a CAB bispecific antibody targeting EpCAM.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unaudited condensed financial statements as of September 30, 2025, and for the three and nine months ended September 30, 2025 and 2024, have been prepared in accordance with the rules and regulations of the Securities and Exchange Commission (“SEC”), and with accounting principles generally accepted in the United States (“GAAP”) applicable to interim financial statements. These unaudited condensed financial statements have been prepared on the same basis as the audited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financial statements should be read in conjunction with the Company’s audited financial statements for the year ended December 31, 2024, included in its Annual Report on Form 10-K filed with the SEC on March 28,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has incurred cumulative operating losses and negative cash flows from operations since its inception and expects to continue to incur significant expenses and operating losses for the foreseeable future as it continues development of its product candidates. As of September 30, 2025, the Company had an accumulated deficit of $535.9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spacing w:after="0" w:line="160"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concluded that there is substantial doubt about the Company’s ability to continue as a going concern for a period of at least one year from the issuance date of these financial statements.</w:t>
      </w:r>
    </w:p>
    <w:p>
      <w:pPr>
        <w:spacing w:after="0" w:line="17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prepared its financial statements on a going concern basis, which assumes that the Company will realize its assets and satisfy its liabilities in the normal course of business. The accompanying financial statements do not include any adjustments to reflect the possible future effects on the recoverability and classification of assets or the amounts and classifications of liabilities that may result from the outcome of the uncertainty concerning the Company’s ability to continue as a going concern.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the Company’s financial statements requires it to make estimates and assumptions that impact the reported amounts of assets, liabilities, revenues and expenses and the disclosure of contingent assets and liabilities in the Company’s condensed financial statements and accompanying notes. The most significant estimates in the Company’s financial statements relate to revenue recognition, accruals for research and development costs, and equity-based compensation.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w:t>
      </w:r>
    </w:p>
    <w:p>
      <w:pPr>
        <w:spacing w:after="0" w:line="14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The fair value of RSUs is based on the closing sales price of the Company’s common stock on the date of grant. Equity award forfeitures are recognized as they occur.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recognized as incurred and are not included in the calculation of the ROU asset or the related lease liability.</w:t>
      </w:r>
    </w:p>
    <w:p>
      <w:pPr>
        <w:spacing w:after="0" w:line="175"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spacing w:after="0" w:line="149" w:lineRule="exact"/>
        <w:rPr>
          <w:sz w:val="20"/>
          <w:szCs w:val="20"/>
          <w:color w:val="auto"/>
        </w:rPr>
      </w:pPr>
    </w:p>
    <w:p>
      <w:pPr>
        <w:jc w:val="both"/>
        <w:ind w:right="180" w:firstLine="509"/>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assets, and operating lease liabilities on the Company’s balance sheets. The Company does not have any finance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revenue in a manner that depicts the transfer of control of a product or service to a customer and reflects the amount of the consideration the Company is entitled to receive in exchange for such product or service. In doing so, the 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The Company considers the terms of a contract and all relevant facts and circumstances when applying the revenue recognition standard.</w:t>
      </w:r>
    </w:p>
    <w:p>
      <w:pPr>
        <w:spacing w:after="0" w:line="75"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A customer is a party that has entered into a contract with the Company, where the purpose of the contract is to obtain a product or a service that is an output of the Company’s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the Company will collect substantially all of the consideration to which it is entitled to receive in exchange for the transfer of the product or the service.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ind w:firstLine="509"/>
        <w:spacing w:after="0" w:line="255" w:lineRule="auto"/>
        <w:rPr>
          <w:sz w:val="20"/>
          <w:szCs w:val="20"/>
          <w:color w:val="auto"/>
        </w:rPr>
      </w:pPr>
      <w:r>
        <w:rPr>
          <w:rFonts w:ascii="Times New Roman" w:cs="Times New Roman" w:eastAsia="Times New Roman" w:hAnsi="Times New Roman"/>
          <w:sz w:val="18"/>
          <w:szCs w:val="18"/>
          <w:color w:val="auto"/>
        </w:rPr>
        <w:t>A performance obligation is defined as a promise to transfer a product or a service to a customer. The Company identifies each promise to transfer a product or a service (or a bundle of products or services, or a series of products and services that are substantially the same and have the same pattern of transfer) that is distinct. A product or service is distinct if both (i) the customer can benefit from the product or the service either on its own or together with other resources that are readily available to the customer and (ii) 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spacing w:after="0" w:line="8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transaction price is the amount of consideration the Company is entitled to receive in exchange for the transfer of control of a product or a service to a customer. To determine the transaction price, the Company considers the existence of any significant financing component, the effects of any variable elements, non-cash consideration and consideration payable to the customer. If a significant financing component exists, the transaction price is adjusted for the time value of money. If an element of variability exists, the Company must estimate the consideration it expects to receive and use that amount as the basis for recognizing revenue as the product or service is transferred to the customer. There are two methods for determining the amount of variable consideration: (i) the expected value method, which is the sum of probability-weighted amounts in a range of possible consideration amounts, and (ii) the most likely amount method, which identifies the single most likely amount in a range of possible consideration amounts.</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a contract has multiple performance obligations, the Company allocates the transaction price to each distinct performance obligation in an amount that reflects the consideration the Company is entitled to receive in exchange for satisfying each distinct performance obligation. For each distinct performance obligation, revenue is recognized when the Company transfers control of the product or the service applicable to such performance obligation.</w:t>
      </w:r>
    </w:p>
    <w:p>
      <w:pPr>
        <w:spacing w:after="0" w:line="68"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those instances where the Company first receives consideration in advance of satisfying its performance obligation, the Company classifies such consideration as deferred revenue until (or as) the Company satisfies such performance obligation. In those instances where the Company first satisfies its performance obligation prior to its receipt of consideration, the consideration is recorded as accounts receivable.</w:t>
      </w:r>
    </w:p>
    <w:p>
      <w:pPr>
        <w:spacing w:after="0" w:line="68"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Company expenses incremental costs of obtaining and fulfilling a contract as incurred if the expected amortization period for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non-owner sources, and consists of net loss and other comprehensive gain (loss). There have been no items qualifying as other comprehensive loss and, therefore, for all periods presented, the Company’s comprehensive loss was the same as its reported net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common stock warrants, RSUs, common stock options outstanding under the Company’s stock option plan, and contingently issuable shares under the BioAtla, Inc. Employee Stock Purchase Plan (the “ESPP”).</w:t>
      </w:r>
    </w:p>
    <w:p>
      <w:pPr>
        <w:spacing w:after="0" w:line="183"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Potentially dilutive securities not included in the calculation of diluted net loss per common share because to do so would be anti-dilutive are as follows (in common stock equivalents):</w:t>
      </w:r>
    </w:p>
    <w:p>
      <w:pPr>
        <w:spacing w:after="0" w:line="20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940" w:type="dxa"/>
            <w:vAlign w:val="bottom"/>
            <w:gridSpan w:val="2"/>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0" w:type="dxa"/>
            <w:vAlign w:val="bottom"/>
            <w:tcBorders>
              <w:top w:val="single" w:sz="8" w:color="auto"/>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10"/>
        </w:trPr>
        <w:tc>
          <w:tcPr>
            <w:tcW w:w="1080" w:type="dxa"/>
            <w:vAlign w:val="bottom"/>
          </w:tcPr>
          <w:p>
            <w:pPr>
              <w:spacing w:after="0"/>
              <w:rPr>
                <w:sz w:val="18"/>
                <w:szCs w:val="18"/>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9,679,158</w:t>
            </w:r>
          </w:p>
        </w:tc>
        <w:tc>
          <w:tcPr>
            <w:tcW w:w="24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5,871,489</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6,217,492</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2,523,000</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1,567,081</w:t>
            </w:r>
          </w:p>
        </w:tc>
        <w:tc>
          <w:tcPr>
            <w:tcW w:w="80" w:type="dxa"/>
            <w:vAlign w:val="bottom"/>
            <w:shd w:val="clear" w:color="auto" w:fill="CFF0FC"/>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ESPP shares</w:t>
            </w: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112,459</w:t>
            </w:r>
          </w:p>
        </w:tc>
        <w:tc>
          <w:tcPr>
            <w:tcW w:w="240" w:type="dxa"/>
            <w:vAlign w:val="bottom"/>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100,395</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9"/>
        </w:trPr>
        <w:tc>
          <w:tcPr>
            <w:tcW w:w="1080" w:type="dxa"/>
            <w:vAlign w:val="bottom"/>
          </w:tcPr>
          <w:p>
            <w:pPr>
              <w:spacing w:after="0"/>
              <w:rPr>
                <w:sz w:val="21"/>
                <w:szCs w:val="21"/>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18,186,106</w:t>
            </w:r>
          </w:p>
        </w:tc>
        <w:tc>
          <w:tcPr>
            <w:tcW w:w="24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7,884,968</w:t>
            </w:r>
          </w:p>
        </w:tc>
        <w:tc>
          <w:tcPr>
            <w:tcW w:w="80" w:type="dxa"/>
            <w:vAlign w:val="bottom"/>
            <w:tcBorders>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r>
      <w:tr>
        <w:trPr>
          <w:trHeight w:val="413"/>
        </w:trPr>
        <w:tc>
          <w:tcPr>
            <w:tcW w:w="59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-796290</wp:posOffset>
            </wp:positionV>
            <wp:extent cx="59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-779145</wp:posOffset>
            </wp:positionV>
            <wp:extent cx="596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-796290</wp:posOffset>
            </wp:positionV>
            <wp:extent cx="51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-779145</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new accounting standards that had a material impact on the Company’s financial statements during the nine months ended September 30, 2025.</w:t>
      </w:r>
    </w:p>
    <w:p>
      <w:pPr>
        <w:spacing w:after="0" w:line="13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this guidance on its financial statements.</w:t>
      </w:r>
    </w:p>
    <w:p>
      <w:pPr>
        <w:spacing w:after="0" w:line="15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which requires public entities, at annual and interim reporting periods, to disclose in a tabular format additional information about specific expense categories in the notes to the financial statements. ASU 2024-03 is effective for annual reporting periods beginning after December 15, 2026, and interim reporting periods beginning after December 15, 2027, with early adoption permitted. The Company is currently evaluating the impact of this guidance on its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Balance Sheet Details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8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right w:val="single" w:sz="8" w:color="CFF0FC"/>
            </w:tcBorders>
            <w:shd w:val="clear" w:color="auto" w:fill="CFF0FC"/>
          </w:tcPr>
          <w:p>
            <w:pPr>
              <w:spacing w:after="0"/>
              <w:rPr>
                <w:sz w:val="18"/>
                <w:szCs w:val="18"/>
                <w:color w:val="auto"/>
              </w:rPr>
            </w:pPr>
          </w:p>
        </w:tc>
        <w:tc>
          <w:tcPr>
            <w:tcW w:w="280" w:type="dxa"/>
            <w:vAlign w:val="bottom"/>
            <w:tcBorders>
              <w:left w:val="single" w:sz="8" w:color="CFF0FC"/>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40" w:type="dxa"/>
            <w:vAlign w:val="bottom"/>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9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880" w:type="dxa"/>
            <w:vAlign w:val="bottom"/>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6"/>
              </w:rPr>
              <w:t>3 - 7</w:t>
            </w: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1,721</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88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80" w:type="dxa"/>
            <w:vAlign w:val="bottom"/>
            <w:tcBorders>
              <w:bottom w:val="single" w:sz="8" w:color="CFF0FC"/>
            </w:tcBorders>
            <w:shd w:val="clear" w:color="auto" w:fill="CFF0FC"/>
          </w:tcPr>
          <w:p>
            <w:pPr>
              <w:jc w:val="center"/>
              <w:ind w:left="155"/>
              <w:spacing w:after="0"/>
              <w:rPr>
                <w:sz w:val="20"/>
                <w:szCs w:val="20"/>
                <w:color w:val="auto"/>
              </w:rPr>
            </w:pPr>
            <w:r>
              <w:rPr>
                <w:rFonts w:ascii="Times New Roman" w:cs="Times New Roman" w:eastAsia="Times New Roman" w:hAnsi="Times New Roman"/>
                <w:sz w:val="18"/>
                <w:szCs w:val="18"/>
                <w:color w:val="auto"/>
                <w:w w:val="96"/>
              </w:rPr>
              <w:t>2 - 3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left w:val="single" w:sz="8" w:color="CFF0FC"/>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3,680</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1060" w:type="dxa"/>
            <w:vAlign w:val="bottom"/>
            <w:tcBorders>
              <w:right w:val="single" w:sz="8" w:color="CFF0FC"/>
            </w:tcBorders>
            <w:gridSpan w:val="3"/>
            <w:shd w:val="clear" w:color="auto" w:fill="CFF0FC"/>
          </w:tcPr>
          <w:p>
            <w:pPr>
              <w:jc w:val="right"/>
              <w:ind w:right="104"/>
              <w:spacing w:after="0"/>
              <w:rPr>
                <w:sz w:val="20"/>
                <w:szCs w:val="20"/>
                <w:color w:val="auto"/>
              </w:rPr>
            </w:pPr>
            <w:r>
              <w:rPr>
                <w:rFonts w:ascii="Times New Roman" w:cs="Times New Roman" w:eastAsia="Times New Roman" w:hAnsi="Times New Roman"/>
                <w:sz w:val="18"/>
                <w:szCs w:val="18"/>
                <w:color w:val="auto"/>
              </w:rPr>
              <w:t>(7,357)</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0"/>
        </w:trPr>
        <w:tc>
          <w:tcPr>
            <w:tcW w:w="620" w:type="dxa"/>
            <w:vAlign w:val="bottom"/>
            <w:vMerge w:val="restart"/>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tcBorders>
              <w:left w:val="single" w:sz="8" w:color="CFF0FC"/>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 (in thousands):</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9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5,851</w:t>
            </w:r>
          </w:p>
        </w:tc>
        <w:tc>
          <w:tcPr>
            <w:tcW w:w="1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Accrued compensation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2,422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Accrued research and development</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left w:val="single" w:sz="8" w:color="CFF0FC"/>
            </w:tcBorders>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8,029</w:t>
            </w:r>
          </w:p>
        </w:tc>
        <w:tc>
          <w:tcPr>
            <w:tcW w:w="1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8,033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Other accrued expenses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509</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16,811</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-2982595</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-2982595</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-1765300</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-1765300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-1482090</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-1482090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514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Restructuring</w:t>
      </w:r>
    </w:p>
    <w:p>
      <w:pPr>
        <w:spacing w:after="0" w:line="121" w:lineRule="exact"/>
        <w:rPr>
          <w:sz w:val="20"/>
          <w:szCs w:val="20"/>
          <w:color w:val="auto"/>
        </w:rPr>
      </w:pPr>
    </w:p>
    <w:p>
      <w:pPr>
        <w:ind w:right="480" w:firstLine="464"/>
        <w:spacing w:after="0" w:line="282" w:lineRule="auto"/>
        <w:rPr>
          <w:sz w:val="20"/>
          <w:szCs w:val="20"/>
          <w:color w:val="auto"/>
        </w:rPr>
      </w:pPr>
      <w:r>
        <w:rPr>
          <w:rFonts w:ascii="Times New Roman" w:cs="Times New Roman" w:eastAsia="Times New Roman" w:hAnsi="Times New Roman"/>
          <w:sz w:val="18"/>
          <w:szCs w:val="18"/>
          <w:color w:val="auto"/>
        </w:rPr>
        <w:t>In March 2025, the Company implemented a corporate restructuring, which included a reduction in force, designed to improve the Company’s operating model and cost structure.</w:t>
      </w:r>
    </w:p>
    <w:p>
      <w:pPr>
        <w:spacing w:after="0" w:line="54" w:lineRule="exact"/>
        <w:rPr>
          <w:sz w:val="20"/>
          <w:szCs w:val="20"/>
          <w:color w:val="auto"/>
        </w:rPr>
      </w:pPr>
    </w:p>
    <w:p>
      <w:pPr>
        <w:ind w:right="100" w:firstLine="464"/>
        <w:spacing w:after="0" w:line="255" w:lineRule="auto"/>
        <w:rPr>
          <w:sz w:val="20"/>
          <w:szCs w:val="20"/>
          <w:color w:val="auto"/>
        </w:rPr>
      </w:pPr>
      <w:r>
        <w:rPr>
          <w:rFonts w:ascii="Times New Roman" w:cs="Times New Roman" w:eastAsia="Times New Roman" w:hAnsi="Times New Roman"/>
          <w:sz w:val="18"/>
          <w:szCs w:val="18"/>
          <w:color w:val="auto"/>
        </w:rPr>
        <w:t>In connection with the restructuring, the Company implemented a reduction in workforce of approximately 30%, which was initiated in the first quarter of 2025. The Company recorded restructuring costs of $0 and $0.6 million, during the three and nine months ended September 30, 2025, respectively, of which $0.5 million is included in research and development expense and $0.1 million is included in general administrative expense for the nine months ended September 30, 2025 in the condensed statements of</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1" w:name="page12"/>
    <w:bookmarkEnd w:id="11"/>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operations and comprehensive loss. Restructuring costs primarily consisted of employee severance, continuing healthcare benefits and other employee-related costs. These benefits were fully paid out during the second quarter of 2025, and there is no remaining restructuring liability as of September 30, 2025.</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08" w:lineRule="exact"/>
        <w:rPr>
          <w:sz w:val="20"/>
          <w:szCs w:val="20"/>
          <w:color w:val="auto"/>
        </w:rPr>
      </w:pPr>
    </w:p>
    <w:p>
      <w:pPr>
        <w:jc w:val="both"/>
        <w:ind w:right="580" w:firstLine="46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payable and accrued expenses, and warrants to purchase common stock. The carrying amounts of the Company’s cash and cash equivalents and accounts payable and accrued expenses are considered to be representative of their respective fair values due to their short-term nature.</w:t>
      </w:r>
    </w:p>
    <w:p>
      <w:pPr>
        <w:spacing w:after="0" w:line="149" w:lineRule="exact"/>
        <w:rPr>
          <w:sz w:val="20"/>
          <w:szCs w:val="20"/>
          <w:color w:val="auto"/>
        </w:rPr>
      </w:pPr>
    </w:p>
    <w:p>
      <w:pPr>
        <w:jc w:val="both"/>
        <w:ind w:right="40" w:firstLine="464"/>
        <w:spacing w:after="0" w:line="277" w:lineRule="auto"/>
        <w:rPr>
          <w:sz w:val="20"/>
          <w:szCs w:val="20"/>
          <w:color w:val="auto"/>
        </w:rPr>
      </w:pPr>
      <w:r>
        <w:rPr>
          <w:rFonts w:ascii="Times New Roman" w:cs="Times New Roman" w:eastAsia="Times New Roman" w:hAnsi="Times New Roman"/>
          <w:sz w:val="17"/>
          <w:szCs w:val="17"/>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198" w:lineRule="exact"/>
        <w:rPr>
          <w:sz w:val="20"/>
          <w:szCs w:val="20"/>
          <w:color w:val="auto"/>
        </w:rPr>
      </w:pPr>
    </w:p>
    <w:p>
      <w:pPr>
        <w:ind w:right="460" w:firstLine="464"/>
        <w:spacing w:after="0" w:line="261" w:lineRule="auto"/>
        <w:rPr>
          <w:sz w:val="20"/>
          <w:szCs w:val="20"/>
          <w:color w:val="auto"/>
        </w:rPr>
      </w:pPr>
      <w:r>
        <w:rPr>
          <w:rFonts w:ascii="Times New Roman" w:cs="Times New Roman" w:eastAsia="Times New Roman" w:hAnsi="Times New Roman"/>
          <w:sz w:val="18"/>
          <w:szCs w:val="18"/>
          <w:color w:val="auto"/>
        </w:rPr>
        <w:t>When quoted market prices are available in active markets, the fair value of assets and liabilities is estimated within Level 1 of the valuation hierarchy. If quoted prices are not available, then fair values are estimated by using pricing models, quoted prices of assets and liabilities with similar characteristics, or discounted cash flows within Level 2 of the valuation hierarchy. In cases where Level 1 or Level 2 inputs are not available, the fair values are estimated by using inputs within Level 3 of the hierarchy.</w:t>
      </w:r>
    </w:p>
    <w:p>
      <w:pPr>
        <w:spacing w:after="0" w:line="166" w:lineRule="exact"/>
        <w:rPr>
          <w:sz w:val="20"/>
          <w:szCs w:val="20"/>
          <w:color w:val="auto"/>
        </w:rPr>
      </w:pPr>
    </w:p>
    <w:p>
      <w:pPr>
        <w:ind w:firstLine="554"/>
        <w:spacing w:after="0" w:line="281" w:lineRule="auto"/>
        <w:rPr>
          <w:sz w:val="20"/>
          <w:szCs w:val="20"/>
          <w:color w:val="auto"/>
        </w:rPr>
      </w:pPr>
      <w:r>
        <w:rPr>
          <w:rFonts w:ascii="Times New Roman" w:cs="Times New Roman" w:eastAsia="Times New Roman" w:hAnsi="Times New Roman"/>
          <w:sz w:val="17"/>
          <w:szCs w:val="17"/>
          <w:color w:val="auto"/>
        </w:rPr>
        <w:t>The Company has determined the estimated fair value of its financial instruments based on appropriate valuation methodologies; however, considerable judgment is required to develop these estimates. Accordingly, these estimated fair values are not necessarily indicative of the amounts the Company could realize in a current market exchange. The estimated fair values can be materially affected by using different assumptions or methodologies. The methods and assumptions used in estimating the fair values of financial instruments are based on carrying values and future cash flows.</w:t>
      </w:r>
    </w:p>
    <w:p>
      <w:pPr>
        <w:spacing w:after="0" w:line="137" w:lineRule="exact"/>
        <w:rPr>
          <w:sz w:val="20"/>
          <w:szCs w:val="20"/>
          <w:color w:val="auto"/>
        </w:rPr>
      </w:pPr>
    </w:p>
    <w:p>
      <w:pPr>
        <w:ind w:right="4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0"/>
        </w:trPr>
        <w:tc>
          <w:tcPr>
            <w:tcW w:w="4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2020" w:type="dxa"/>
            <w:vAlign w:val="bottom"/>
            <w:tcBorders>
              <w:bottom w:val="single" w:sz="8" w:color="CFF0FC"/>
            </w:tcBorders>
            <w:gridSpan w:val="2"/>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2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00" w:type="dxa"/>
            <w:vAlign w:val="bottom"/>
          </w:tcPr>
          <w:p>
            <w:pPr>
              <w:spacing w:after="0"/>
              <w:rPr>
                <w:sz w:val="18"/>
                <w:szCs w:val="18"/>
                <w:color w:val="auto"/>
              </w:rPr>
            </w:pPr>
          </w:p>
        </w:tc>
      </w:tr>
      <w:tr>
        <w:trPr>
          <w:trHeight w:val="196"/>
        </w:trPr>
        <w:tc>
          <w:tcPr>
            <w:tcW w:w="250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Warrants</w:t>
            </w:r>
          </w:p>
        </w:tc>
        <w:tc>
          <w:tcPr>
            <w:tcW w:w="1740" w:type="dxa"/>
            <w:vAlign w:val="bottom"/>
            <w:tcBorders>
              <w:top w:val="single" w:sz="8" w:color="CFF0FC"/>
            </w:tcBorders>
          </w:tcPr>
          <w:p>
            <w:pPr>
              <w:spacing w:after="0"/>
              <w:rPr>
                <w:sz w:val="20"/>
                <w:szCs w:val="20"/>
                <w:color w:val="auto"/>
              </w:rPr>
            </w:pPr>
          </w:p>
        </w:tc>
        <w:tc>
          <w:tcPr>
            <w:tcW w:w="142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540" w:type="dxa"/>
            <w:vAlign w:val="bottom"/>
            <w:tcBorders>
              <w:top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Borders>
              <w:top w:val="single" w:sz="8" w:color="CFF0FC"/>
            </w:tcBorders>
          </w:tcPr>
          <w:p>
            <w:pPr>
              <w:spacing w:after="0"/>
              <w:rPr>
                <w:sz w:val="20"/>
                <w:szCs w:val="20"/>
                <w:color w:val="auto"/>
              </w:rPr>
            </w:pPr>
          </w:p>
        </w:tc>
      </w:tr>
      <w:tr>
        <w:trPr>
          <w:trHeight w:val="475"/>
        </w:trPr>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0"/>
        </w:trPr>
        <w:tc>
          <w:tcPr>
            <w:tcW w:w="4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2020" w:type="dxa"/>
            <w:vAlign w:val="bottom"/>
            <w:tcBorders>
              <w:bottom w:val="single" w:sz="8" w:color="CFF0FC"/>
            </w:tcBorders>
            <w:gridSpan w:val="2"/>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2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38,822</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38,822</w:t>
            </w:r>
          </w:p>
        </w:tc>
        <w:tc>
          <w:tcPr>
            <w:tcW w:w="100" w:type="dxa"/>
            <w:vAlign w:val="bottom"/>
          </w:tcPr>
          <w:p>
            <w:pPr>
              <w:spacing w:after="0"/>
              <w:rPr>
                <w:sz w:val="18"/>
                <w:szCs w:val="18"/>
                <w:color w:val="auto"/>
              </w:rPr>
            </w:pPr>
          </w:p>
        </w:tc>
      </w:tr>
      <w:tr>
        <w:trPr>
          <w:trHeight w:val="196"/>
        </w:trPr>
        <w:tc>
          <w:tcPr>
            <w:tcW w:w="250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Warrants</w:t>
            </w:r>
          </w:p>
        </w:tc>
        <w:tc>
          <w:tcPr>
            <w:tcW w:w="1740" w:type="dxa"/>
            <w:vAlign w:val="bottom"/>
            <w:tcBorders>
              <w:top w:val="single" w:sz="8" w:color="CFF0FC"/>
            </w:tcBorders>
          </w:tcPr>
          <w:p>
            <w:pPr>
              <w:spacing w:after="0"/>
              <w:rPr>
                <w:sz w:val="20"/>
                <w:szCs w:val="20"/>
                <w:color w:val="auto"/>
              </w:rPr>
            </w:pPr>
          </w:p>
        </w:tc>
        <w:tc>
          <w:tcPr>
            <w:tcW w:w="142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540" w:type="dxa"/>
            <w:vAlign w:val="bottom"/>
            <w:tcBorders>
              <w:top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Borders>
              <w:top w:val="single" w:sz="8" w:color="CFF0FC"/>
            </w:tcBorders>
          </w:tcPr>
          <w:p>
            <w:pPr>
              <w:spacing w:after="0"/>
              <w:rPr>
                <w:sz w:val="20"/>
                <w:szCs w:val="20"/>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Equivalents</w:t>
      </w:r>
    </w:p>
    <w:p>
      <w:pPr>
        <w:spacing w:after="0" w:line="113"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8"/>
          <w:szCs w:val="18"/>
          <w:color w:val="auto"/>
        </w:rPr>
        <w:t>Cash equivalents are comprised of money market funds, which are classified within Level 1 of the fair value hierarchy because they are valued using quoted market prices in active markets.</w:t>
      </w: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i w:val="1"/>
          <w:iCs w:val="1"/>
          <w:color w:val="auto"/>
        </w:rPr>
        <w:t>Warrant Liability</w:t>
      </w:r>
    </w:p>
    <w:p>
      <w:pPr>
        <w:spacing w:after="0" w:line="11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2025, Level 3 liabilities include the warrant liability which resulted from warrants being issued on December 20, 2024 (as further described in Note 7), which did not meet the criteria for equity classification in accordance with Accounting Standards Codification (“ASC”) Subtopic 815-40, Derivatives and Hedging - Contracts in Entity’s Own Equity (“ASC 815-40”), and are therefore accounted for as liabilities at fair value.</w:t>
      </w:r>
    </w:p>
    <w:p>
      <w:pPr>
        <w:spacing w:after="0" w:line="149" w:lineRule="exact"/>
        <w:rPr>
          <w:sz w:val="20"/>
          <w:szCs w:val="20"/>
          <w:color w:val="auto"/>
        </w:rPr>
      </w:pPr>
    </w:p>
    <w:p>
      <w:pPr>
        <w:ind w:right="180" w:firstLine="464"/>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its warrants using significant unobservable inputs, which represent Level 3 measurements within the fair value hierarchy. The Company estimated the fair value of the warrants using the Black-Scholes option pricing model.</w:t>
      </w:r>
    </w:p>
    <w:p>
      <w:pPr>
        <w:spacing w:after="0" w:line="1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significant inputs used in the valuation models to measure the fair value of the warrants are as follows:</w:t>
      </w:r>
    </w:p>
    <w:p>
      <w:pPr>
        <w:spacing w:after="0" w:line="106"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3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Valuation Date</w:t>
            </w:r>
          </w:p>
        </w:tc>
        <w:tc>
          <w:tcPr>
            <w:tcW w:w="1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3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20" w:type="dxa"/>
            <w:vAlign w:val="bottom"/>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r>
      <w:tr>
        <w:trPr>
          <w:trHeight w:val="215"/>
        </w:trPr>
        <w:tc>
          <w:tcPr>
            <w:tcW w:w="3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r>
      <w:tr>
        <w:trPr>
          <w:trHeight w:val="21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3080" w:type="dxa"/>
            <w:vAlign w:val="bottom"/>
            <w:gridSpan w:val="2"/>
            <w:shd w:val="clear" w:color="auto" w:fill="CFF0FC"/>
          </w:tcPr>
          <w:p>
            <w:pPr>
              <w:jc w:val="right"/>
              <w:ind w:right="16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80" w:type="dxa"/>
            <w:vAlign w:val="bottom"/>
            <w:shd w:val="clear" w:color="auto" w:fill="CFF0FC"/>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shd w:val="clear" w:color="auto" w:fill="CFF0FC"/>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97.3%</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94.6%</w:t>
            </w: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Level 3 liabilities for the year ended September 30, 2025 (in thousands):</w:t>
      </w:r>
    </w:p>
    <w:p>
      <w:pPr>
        <w:spacing w:after="0" w:line="106"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Warrant Liability</w:t>
            </w:r>
          </w:p>
        </w:tc>
        <w:tc>
          <w:tcPr>
            <w:tcW w:w="100" w:type="dxa"/>
            <w:vAlign w:val="bottom"/>
          </w:tcPr>
          <w:p>
            <w:pPr>
              <w:spacing w:after="0"/>
              <w:rPr>
                <w:sz w:val="18"/>
                <w:szCs w:val="18"/>
                <w:color w:val="auto"/>
              </w:rPr>
            </w:pPr>
          </w:p>
        </w:tc>
      </w:tr>
      <w:tr>
        <w:trPr>
          <w:trHeight w:val="212"/>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8"/>
                <w:szCs w:val="18"/>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shd w:val="clear" w:color="auto" w:fill="CFF0FC"/>
          </w:tcPr>
          <w:p>
            <w:pPr>
              <w:spacing w:after="0"/>
              <w:rPr>
                <w:sz w:val="19"/>
                <w:szCs w:val="19"/>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40" w:firstLine="464"/>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liability-classified warrants are recognized as a component of other income (loss) in the statement of operations. No transfers between levels have occurred during the periods presented.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 single operating lease for its corporate headquarters and laboratory space in San Diego, California. In June 2025, the Company entered into an amendment to the lease which reduced the leased space and extended the lease term for the remaining space through November 2030. Pursuant to the amended lease, the Company also has the option to re-lease the vacated space and also has a one-time option to extend the lease term by an additional three years. The amended lease includes certain rent abatement, rent escalations, tenant improvement allowances and additional charges for common area maintenance and other costs.</w:t>
      </w:r>
    </w:p>
    <w:p>
      <w:pPr>
        <w:spacing w:after="0" w:line="62"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Under the relevant guidance, the Company reassessed the lease classification and remeasured the lease liability as of the effective date of modification and recognized a lease liability and ROU asset of approximately $6.0 million on the Company’s condensed balance sheets.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included in the Company’s condensed statements of operations and comprehensive loss include (in thousands):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520" w:type="dxa"/>
            <w:vAlign w:val="bottom"/>
            <w:gridSpan w:val="2"/>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20" w:type="dxa"/>
            <w:vAlign w:val="bottom"/>
            <w:gridSpan w:val="2"/>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40" w:type="dxa"/>
            <w:vAlign w:val="bottom"/>
            <w:gridSpan w:val="2"/>
            <w:shd w:val="clear" w:color="auto" w:fill="CFF0FC"/>
          </w:tcPr>
          <w:p>
            <w:pPr>
              <w:jc w:val="right"/>
              <w:ind w:right="82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3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FF0FC"/>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4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r>
      <w:tr>
        <w:trPr>
          <w:trHeight w:val="229"/>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expense, net</w:t>
            </w:r>
          </w:p>
        </w:tc>
        <w:tc>
          <w:tcPr>
            <w:tcW w:w="1520" w:type="dxa"/>
            <w:vAlign w:val="bottom"/>
            <w:gridSpan w:val="2"/>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420" w:type="dxa"/>
            <w:vAlign w:val="bottom"/>
            <w:gridSpan w:val="2"/>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40" w:type="dxa"/>
            <w:vAlign w:val="bottom"/>
            <w:gridSpan w:val="2"/>
            <w:shd w:val="clear" w:color="auto" w:fill="CFF0FC"/>
          </w:tcPr>
          <w:p>
            <w:pPr>
              <w:jc w:val="right"/>
              <w:ind w:right="82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3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1,312</w:t>
            </w:r>
          </w:p>
        </w:tc>
        <w:tc>
          <w:tcPr>
            <w:tcW w:w="100" w:type="dxa"/>
            <w:vAlign w:val="bottom"/>
            <w:shd w:val="clear" w:color="auto" w:fill="CFF0FC"/>
          </w:tcPr>
          <w:p>
            <w:pPr>
              <w:spacing w:after="0"/>
              <w:rPr>
                <w:sz w:val="19"/>
                <w:szCs w:val="19"/>
                <w:color w:val="auto"/>
              </w:rPr>
            </w:pPr>
          </w:p>
        </w:tc>
      </w:tr>
      <w:tr>
        <w:trPr>
          <w:trHeight w:val="20"/>
        </w:trPr>
        <w:tc>
          <w:tcPr>
            <w:tcW w:w="2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-25400</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-8255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Variable lease costs are primarily related to payments made to lessors for common area maintenance, property taxes, insurance, and other operating expenses. The Company did not have any short-term leases or finance leases for the three and nine months ended September 30, 2025 and 2024.</w:t>
      </w: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83" w:right="41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for operating leases were as follows: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47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09"/>
        </w:trPr>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0.75</w:t>
            </w:r>
          </w:p>
        </w:tc>
        <w:tc>
          <w:tcPr>
            <w:tcW w:w="180" w:type="dxa"/>
            <w:vAlign w:val="bottom"/>
            <w:shd w:val="clear" w:color="auto" w:fill="CFF0FC"/>
          </w:tcPr>
          <w:p>
            <w:pPr>
              <w:spacing w:after="0"/>
              <w:rPr>
                <w:sz w:val="18"/>
                <w:szCs w:val="18"/>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 percentage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500" w:type="dxa"/>
            <w:vAlign w:val="bottom"/>
          </w:tcPr>
          <w:p>
            <w:pPr>
              <w:spacing w:after="0"/>
              <w:rPr>
                <w:sz w:val="20"/>
                <w:szCs w:val="20"/>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leases under which the Company is the lessee was as follows (amounts in thousands):</w:t>
      </w:r>
    </w:p>
    <w:p>
      <w:pPr>
        <w:spacing w:after="0" w:line="273" w:lineRule="exact"/>
        <w:rPr>
          <w:sz w:val="20"/>
          <w:szCs w:val="20"/>
          <w:color w:val="auto"/>
        </w:rPr>
      </w:pPr>
    </w:p>
    <w:tbl>
      <w:tblPr>
        <w:tblLayout w:type="fixed"/>
        <w:tblInd w:w="5280" w:type="dxa"/>
        <w:tblCellMar>
          <w:top w:w="0" w:type="dxa"/>
          <w:left w:w="0" w:type="dxa"/>
          <w:bottom w:w="0" w:type="dxa"/>
          <w:right w:w="0" w:type="dxa"/>
        </w:tblCellMar>
      </w:tblPr>
      <w:tr>
        <w:trPr>
          <w:trHeight w:val="173"/>
        </w:trPr>
        <w:tc>
          <w:tcPr>
            <w:tcW w:w="23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36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1"/>
        </w:trPr>
        <w:tc>
          <w:tcPr>
            <w:tcW w:w="11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5700395" cy="283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00395" cy="2832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p>
      <w:pPr>
        <w:ind w:left="1140" w:right="160"/>
        <w:spacing w:after="0" w:line="258" w:lineRule="auto"/>
        <w:rPr>
          <w:sz w:val="20"/>
          <w:szCs w:val="20"/>
          <w:color w:val="auto"/>
        </w:rPr>
      </w:pPr>
      <w:r>
        <w:rPr>
          <w:rFonts w:ascii="Times New Roman" w:cs="Times New Roman" w:eastAsia="Times New Roman" w:hAnsi="Times New Roman"/>
          <w:sz w:val="18"/>
          <w:szCs w:val="18"/>
          <w:color w:val="auto"/>
        </w:rPr>
        <w:t>Cash paid for amounts included in the measurement of $ operating leases</w:t>
      </w:r>
    </w:p>
    <w:p>
      <w:pPr>
        <w:spacing w:after="0" w:line="20" w:lineRule="exact"/>
        <w:rPr>
          <w:sz w:val="20"/>
          <w:szCs w:val="20"/>
          <w:color w:val="auto"/>
        </w:rPr>
      </w:pPr>
      <w:r>
        <w:rPr>
          <w:sz w:val="20"/>
          <w:szCs w:val="20"/>
          <w:color w:val="auto"/>
        </w:rPr>
        <w:br w:type="column"/>
      </w:r>
    </w:p>
    <w:p>
      <w:pPr>
        <w:spacing w:after="0"/>
        <w:tabs>
          <w:tab w:leader="none" w:pos="240" w:val="left"/>
          <w:tab w:leader="none" w:pos="1000" w:val="left"/>
          <w:tab w:leader="none" w:pos="1500" w:val="left"/>
          <w:tab w:leader="none" w:pos="2240" w:val="left"/>
          <w:tab w:leader="none" w:pos="2740" w:val="left"/>
          <w:tab w:leader="none" w:pos="336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425</w:t>
        <w:tab/>
        <w:t>$</w:t>
      </w:r>
      <w:r>
        <w:rPr>
          <w:sz w:val="20"/>
          <w:szCs w:val="20"/>
          <w:color w:val="auto"/>
        </w:rPr>
        <w:tab/>
      </w:r>
      <w:r>
        <w:rPr>
          <w:rFonts w:ascii="Times New Roman" w:cs="Times New Roman" w:eastAsia="Times New Roman" w:hAnsi="Times New Roman"/>
          <w:sz w:val="18"/>
          <w:szCs w:val="18"/>
          <w:color w:val="auto"/>
        </w:rPr>
        <w:t>845</w:t>
        <w:tab/>
        <w:t>$</w:t>
      </w:r>
      <w:r>
        <w:rPr>
          <w:sz w:val="20"/>
          <w:szCs w:val="20"/>
          <w:color w:val="auto"/>
        </w:rPr>
        <w:tab/>
      </w:r>
      <w:r>
        <w:rPr>
          <w:rFonts w:ascii="Times New Roman" w:cs="Times New Roman" w:eastAsia="Times New Roman" w:hAnsi="Times New Roman"/>
          <w:sz w:val="17"/>
          <w:szCs w:val="17"/>
          <w:color w:val="auto"/>
        </w:rPr>
        <w:t>1,260</w:t>
      </w:r>
    </w:p>
    <w:p>
      <w:pPr>
        <w:spacing w:after="0" w:line="394" w:lineRule="exact"/>
        <w:rPr>
          <w:sz w:val="20"/>
          <w:szCs w:val="20"/>
          <w:color w:val="auto"/>
        </w:rPr>
      </w:pPr>
    </w:p>
    <w:p>
      <w:pPr>
        <w:sectPr>
          <w:pgSz w:w="11900" w:h="16838" w:orient="portrait"/>
          <w:cols w:equalWidth="0" w:num="2">
            <w:col w:w="5520" w:space="720"/>
            <w:col w:w="5000"/>
          </w:cols>
          <w:pgMar w:left="320" w:top="1174" w:right="33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2025 were as follows (in thousands):</w:t>
      </w:r>
    </w:p>
    <w:p>
      <w:pPr>
        <w:spacing w:after="0" w:line="17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lease</w:t>
            </w:r>
          </w:p>
        </w:tc>
      </w:tr>
      <w:tr>
        <w:trPr>
          <w:trHeight w:val="209"/>
        </w:trPr>
        <w:tc>
          <w:tcPr>
            <w:tcW w:w="2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Three months ending December 31, 2025</w:t>
            </w:r>
          </w:p>
        </w:tc>
        <w:tc>
          <w:tcPr>
            <w:tcW w:w="17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7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(1,677)</w:t>
            </w: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7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-316865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2024 Offering and Warrant Issuance</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December 2024, the Company closed on an offering (the “December 2024 Offering”) of 9,679,158 shares of common stock at a price of $0.9520 per share with accompanying warrants to purchase up to 9,679,158 shares of common stock, which have an exercise price of $1.19 per share (the “Warrants”). The gross proceeds from the December 2024 Offering were approximately $9.2 million, before deducting $0.7 million of placement agent fees and other offering expenses payable by the Company. As discussed in Note 4, the Company recorded a liability at fair value related to the issuance of the Warrants, with changes in fair value each reporting period recognized as a component of other income (loss) in the Company’s unaudited condensed statements of operations and comprehensive loss. The accompanying Warrants became exercisable on June 20, 2025 and will expire five years from the date of initial exercisability. There were 9,679,158 Warrants outstanding and exercisable at September 30,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may grant awards of common stock under the 2020 Equity Incentive Plan (the “2020 Plan”) to the Company’s employees, consultants and non-employee directors pursuant to option awards, stock appreciation rights awards, restricted stock awards, restricted stock unit awards, performance stock awards, performance stock unit awards and other stock-based awards. As of September 30, 2025 and December 31, 2024, the total number of common shares authorized for issuance under the 2020 Plan was 12,273,892 and 10,735,431,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 and such lesser number of shares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4" w:name="page15"/>
    <w:bookmarkEnd w:id="14"/>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spacing w:after="0" w:line="149"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the three and nine months ended September 30, 2025 and 2024 has been reported in the condensed statements of operations and comprehensive loss as follows (in thousands):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4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shd w:val="clear" w:color="auto" w:fill="CFF0FC"/>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8"/>
                <w:szCs w:val="18"/>
                <w:color w:val="auto"/>
              </w:rPr>
            </w:pPr>
          </w:p>
        </w:tc>
      </w:tr>
      <w:tr>
        <w:trPr>
          <w:trHeight w:val="229"/>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00" w:type="dxa"/>
            <w:vAlign w:val="bottom"/>
            <w:shd w:val="clear" w:color="auto" w:fill="CFF0FC"/>
          </w:tcPr>
          <w:p>
            <w:pPr>
              <w:spacing w:after="0"/>
              <w:rPr>
                <w:sz w:val="19"/>
                <w:szCs w:val="19"/>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-25400</wp:posOffset>
            </wp:positionV>
            <wp:extent cx="51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514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RSU activity under the 2020 Plan for the nine months ended September 30, 2025:</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4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 Average</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140" w:type="dxa"/>
            <w:vAlign w:val="bottom"/>
          </w:tcPr>
          <w:p>
            <w:pPr>
              <w:spacing w:after="0"/>
              <w:rPr>
                <w:sz w:val="15"/>
                <w:szCs w:val="15"/>
                <w:color w:val="auto"/>
              </w:rPr>
            </w:pPr>
          </w:p>
        </w:tc>
        <w:tc>
          <w:tcPr>
            <w:tcW w:w="12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1,553,000</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1,863,000</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(644,995)</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(248,005)</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2,523,000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total unrecognized stock-based compensation expense for RSUs was $2.5 million, which is expected to be recognized over a remaining weighted-average period of approximately 2.9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2020 Plan for the nine months ended September 30, 2025:</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6,096,046</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(149,159)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Expired</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(75,398)</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5,871,489</w:t>
            </w: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32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tcBorders>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September 30, 2025</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5,871,489</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7.69</w:t>
            </w:r>
          </w:p>
        </w:tc>
        <w:tc>
          <w:tcPr>
            <w:tcW w:w="12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6.68</w:t>
            </w:r>
          </w:p>
        </w:tc>
        <w:tc>
          <w:tcPr>
            <w:tcW w:w="32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gridSpan w:val="2"/>
            <w:shd w:val="clear" w:color="auto" w:fill="CFF0FC"/>
          </w:tcPr>
          <w:p>
            <w:pPr>
              <w:ind w:left="6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September 30, 2025</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4,618,743</w:t>
            </w:r>
          </w:p>
        </w:tc>
        <w:tc>
          <w:tcPr>
            <w:tcW w:w="120" w:type="dxa"/>
            <w:vAlign w:val="bottom"/>
          </w:tcPr>
          <w:p>
            <w:pPr>
              <w:spacing w:after="0"/>
              <w:rPr>
                <w:sz w:val="17"/>
                <w:szCs w:val="17"/>
                <w:color w:val="auto"/>
              </w:rPr>
            </w:pPr>
          </w:p>
        </w:tc>
        <w:tc>
          <w:tcPr>
            <w:tcW w:w="1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8.65</w:t>
            </w:r>
          </w:p>
        </w:tc>
        <w:tc>
          <w:tcPr>
            <w:tcW w:w="1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6.52</w:t>
            </w:r>
          </w:p>
        </w:tc>
        <w:tc>
          <w:tcPr>
            <w:tcW w:w="3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-496570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-187960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total unrecognized stock-based compensation cost for unvested common stock options was $3.6 million, which is expected to be recognized over a remaining weighted-average period of approximately 1.31 years. There were no stock options granted during the nine months ended September 30, 2025. The total fair value of options vested during the nine months ended September 30, 2025 was $3.4 million. Upon option exercise, the Company issues new shares of its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ESPP permits participants to purchase common stock through payroll deductions of up to 15% of their eligible compensation. As of September 30, 2025 and December 31, 2024, a total of 3,035,873 shares and 2,281,600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80"/>
        <w:spacing w:after="0" w:line="261" w:lineRule="auto"/>
        <w:rPr>
          <w:sz w:val="20"/>
          <w:szCs w:val="20"/>
          <w:color w:val="auto"/>
        </w:rPr>
      </w:pPr>
      <w:r>
        <w:rPr>
          <w:rFonts w:ascii="Times New Roman" w:cs="Times New Roman" w:eastAsia="Times New Roman" w:hAnsi="Times New Roman"/>
          <w:sz w:val="18"/>
          <w:szCs w:val="18"/>
          <w:color w:val="auto"/>
        </w:rPr>
        <w:t>fully diluted basis), (ii) 929,658 common shares or (iii) a number determined by the Company’s board of directors that is less than (i) and (ii). The Company issued 135,472 and 191,020 shares of common stock under the ESPP during the nine months ended September 30, 2025 and 2024, respectively. As of September 30, 2025, 2,310,693 shares of common stock remained available for issuance under the ESPP. Stock-based compensation expense related to the ESPP for the three and nine months ended September 30, 2025 and 2024 was immaterial.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are as follows in common equivalent shares: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40" w:type="dxa"/>
            <w:vAlign w:val="bottom"/>
          </w:tcPr>
          <w:p>
            <w:pPr>
              <w:spacing w:after="0"/>
              <w:rPr>
                <w:sz w:val="15"/>
                <w:szCs w:val="15"/>
                <w:color w:val="auto"/>
              </w:rPr>
            </w:pPr>
          </w:p>
        </w:tc>
        <w:tc>
          <w:tcPr>
            <w:tcW w:w="12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for the purchase of common stock</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9,679,158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9,679,158</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and restricted stock units issued and outstanding</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8,394,489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7,649,046</w:t>
            </w:r>
          </w:p>
        </w:tc>
        <w:tc>
          <w:tcPr>
            <w:tcW w:w="8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available for future issuance under the 2020 Plan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1,302,358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1,154,335</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Awards available for future issuance under the ESPP</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2,310,693</w:t>
            </w:r>
          </w:p>
        </w:tc>
        <w:tc>
          <w:tcPr>
            <w:tcW w:w="2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1,691,892</w:t>
            </w:r>
          </w:p>
        </w:tc>
        <w:tc>
          <w:tcPr>
            <w:tcW w:w="80" w:type="dxa"/>
            <w:vAlign w:val="bottom"/>
          </w:tcPr>
          <w:p>
            <w:pPr>
              <w:spacing w:after="0"/>
              <w:rPr>
                <w:sz w:val="18"/>
                <w:szCs w:val="18"/>
                <w:color w:val="auto"/>
              </w:rPr>
            </w:pPr>
          </w:p>
        </w:tc>
      </w:tr>
      <w:tr>
        <w:trPr>
          <w:trHeight w:val="249"/>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21,686,698</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20,174,431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Collaboration, License and Option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Co-Development and Collaboration Agreement with BeOne Medicines</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In April 2019, the Company entered into a Global Co-Development and Collaboration agreement (the “BeOne Collaboration”) with BeOne Medicines Ltd., formerly BeiGene Ltd. (“BeOne”), for the development, manufacturing and commercialization of evalstotug (BA3071). The BeOne Collaboration was amended several times between 2019 and 2021 and the Company received a total of $25.0 million in non-refundable payments from BeOne during that time.</w:t>
      </w:r>
    </w:p>
    <w:p>
      <w:pPr>
        <w:spacing w:after="0" w:line="15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2021, the BeOne Collaboration was terminated, subject to survival of certain provisions, and BeOne handed back rights to know-how and materials received under the amended BeOne Collaboration. As a result, the Company is responsible for the global development and commercialization of evalstotug. As consideration for this amendment, the Company agreed to pay BeOne mid-single digit royalties on sales worldwide and on a limited basis will share in any upfront and milestone payments received through a sublicense of evalstotug. The Company reclassified its then remaining $19.8 million of deferred revenue as a long-term liability which is expected to settle as licensing payments are made to BeOne in accordance with the resulting amendment. In the event the license is terminated, the liability will be extinguished with no further payment to BeOne.</w:t>
      </w:r>
    </w:p>
    <w:p>
      <w:pPr>
        <w:spacing w:after="0" w:line="16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revenue related to the collaboration agreement with BeOne during the three and nine months ended September 30, 2025 and 2024. The Company had a $19.8 million liability to licensor as of September 30, 2025 and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Context Therapeutics Inc.</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2024, the Company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the Company’s Nectin-4 x CD3 T cell engaging (“TCE”) bispecific antibody (the “License”). The Company also transferred know-how, including any necessary materials Context would need to perform research and development. In exchange for the License, the Company is eligible to receive up to $133.5 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SECZ, a related party (See Note 9).</w:t>
      </w:r>
    </w:p>
    <w:p>
      <w:pPr>
        <w:spacing w:after="0" w:line="178"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A single performance obligation was identified under the Context License Agreement comprised of BioAtla’s promise to transfer the License. Context is responsible for developing BA3362 and for global regulatory filings and commercialization. Context will bear all costs associated with the research, development, and commercialization of any products.</w:t>
      </w:r>
    </w:p>
    <w:p>
      <w:pPr>
        <w:spacing w:after="0" w:line="14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accordance with Topic 606, the Company determined the transaction price of the agreement is limited to the up-front payment received, and excluded the variable consideration of development and sale milestone payments and royalties as they are fully constrained.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will be recognized when the related sales occur.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220"/>
        <w:spacing w:after="0" w:line="282" w:lineRule="auto"/>
        <w:rPr>
          <w:sz w:val="20"/>
          <w:szCs w:val="20"/>
          <w:color w:val="auto"/>
        </w:rPr>
      </w:pPr>
      <w:r>
        <w:rPr>
          <w:rFonts w:ascii="Times New Roman" w:cs="Times New Roman" w:eastAsia="Times New Roman" w:hAnsi="Times New Roman"/>
          <w:sz w:val="18"/>
          <w:szCs w:val="18"/>
          <w:color w:val="auto"/>
        </w:rPr>
        <w:t>All variable consideration remains fully constrained as of September 30, 2025. Further, the Company determined that there were no significant financing components, noncash consideration, or amounts that may be refunded to the customer.</w:t>
      </w:r>
    </w:p>
    <w:p>
      <w:pPr>
        <w:spacing w:after="0" w:line="14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Management determined that the transfer of the License did not meet any of the criteria for recognizing revenue over time, and therefore revenue was recognized at the point in time that the Context License Agreement was executed and the License was transferred to Context. Additional revenue will be recognized for development milestone payments, the sales milestone payments, and the royalty payments if and when the constraints are resolved.</w:t>
      </w:r>
    </w:p>
    <w:p>
      <w:pPr>
        <w:spacing w:after="0" w:line="149"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did not recognize any revenue related to the Context License Agreement for the three and nine months ended September 30, 2025. The Company recognized $11.0 million of revenue related to the Context License Agreement for the three and nine months ended September 30, 2024, included in Collaboration and Other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Himalaya Therapeutics SEZC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Services Agreement</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January 2024, the Company entered into an amended Clinical Trial Services Agreement (as so amended, the “Clinical Trial Services Agreement”) with Himalaya Therapeutics SEZC (“Himalaya”). Under the Clinical Trial Services Agreement, BioAtla paid Himalaya for the services related to the initiation of clinical trials for evalstotug in China for a period of 12 months. All payments have been made under the Clinical Trial Services Agreement as of December 31,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Transaction Agreement</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September 2024, the Company entered into a Global Transaction Agreement (the “Himalaya Agreement”) with Himalaya. BioAtla and Himalaya had previously entered into an Amended and Restated Exclusive Rights Agreement (the “Amended Rights Agreement”) in January of 2020. Pursuant to the Amended Rights Agreement, Himalaya controls rights to develop, manufacture and commercialize certain assets, including BA3362 which was licensed to Context (see Note 8), in certain territories as further specified in the Amended Rights Agreement. Pursuant to the Himalaya Agreement, Himalaya consented to BioAtla’s execution and performance of the Agreement, and granted to BioAtla an exclusive, worldwide, sublicensable license for those impacted products and intellectual property. Further, as set forth in the Amended Rights Agreement and further clarified in the Himalaya Agreement, BioAtla agreed to pay, subject to any applicable tax withholdings, to Himalaya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spacing w:after="0" w:line="16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is the principal in the Context License Agreement and in the Himalaya Agreement, and will record revenues and expenses on a gross basis given that the Company had full discretion in setting consideration pricing in the Context License Agreement, the Company will be primarily responsible for providing the License, and Himalaya has no obligation to be a part of any of the fulfillment activities.</w:t>
      </w:r>
    </w:p>
    <w:p>
      <w:pPr>
        <w:spacing w:after="0" w:line="14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did not recognize any expense related to the transactions with Himalaya, compared to $1.8 million and $2.0 million for the three and nine months ended September 30, 2024. The Company did not have any amounts due to Himalaya as of September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401(k) Plan</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is a clinical-stage biopharmaceutical company and has not generated any product revenue from its CAB antibody-based products. The Company’s operations are organized and reported as a single reportable segment, which includes all activities related to the discovery, development, and commercialization of its CAB products. The Company’s CODM, its chief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executive officer, reviews operating results on an aggregate basis and manages the operations as a single operating segment. The measure of segment assets is reported on the balance sheets as total assets. The CODM evaluates performance and allocates resources based on net income or loss that also is reported on the condensed statements of operations and comprehensive loss as net loss, and cash used in operations.</w:t>
      </w:r>
    </w:p>
    <w:p>
      <w:pPr>
        <w:spacing w:after="0" w:line="149" w:lineRule="exact"/>
        <w:rPr>
          <w:sz w:val="20"/>
          <w:szCs w:val="20"/>
          <w:color w:val="auto"/>
        </w:rPr>
      </w:pPr>
    </w:p>
    <w:p>
      <w:pPr>
        <w:ind w:right="14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provides R&amp;D expenses by program with a reconciliation to net loss for the periods indicated, which are regularly reviewed by the CODM:</w:t>
      </w:r>
    </w:p>
    <w:p>
      <w:pPr>
        <w:spacing w:after="0" w:line="56"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5"/>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w:t>
            </w:r>
          </w:p>
        </w:tc>
        <w:tc>
          <w:tcPr>
            <w:tcW w:w="1260" w:type="dxa"/>
            <w:vAlign w:val="bottom"/>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72"/>
              </w:rPr>
              <w:t>thousands)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Collaboration and other revenue</w:t>
            </w:r>
          </w:p>
        </w:tc>
        <w:tc>
          <w:tcPr>
            <w:tcW w:w="8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CFF0FC"/>
            </w:tcBorders>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Program expenses:</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Mecbotamab vedotin, BA3011 (CAB AXL-ADC)</w:t>
            </w:r>
          </w:p>
        </w:tc>
        <w:tc>
          <w:tcPr>
            <w:tcW w:w="8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7,307</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Ozuriftamab vedotin, BA3021 (CAB ROR2-ADC)</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Evalstotug, BA3071 (CAB CTLA-4)</w:t>
            </w: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BA3182 (CAB EpCAM x CAB CD3)</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CAB Programs</w:t>
            </w:r>
          </w:p>
        </w:tc>
        <w:tc>
          <w:tcPr>
            <w:tcW w:w="5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Total program expenses</w:t>
            </w:r>
          </w:p>
        </w:tc>
        <w:tc>
          <w:tcPr>
            <w:tcW w:w="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6,231</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23,607</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Personnel and related</w:t>
            </w: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7,712</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Equity-based compensation</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Facilities and other</w:t>
            </w:r>
          </w:p>
        </w:tc>
        <w:tc>
          <w:tcPr>
            <w:tcW w:w="5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9,539</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35,578</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Personnel and related</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Equity-based compensation</w:t>
            </w: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Facilities and other</w:t>
            </w:r>
          </w:p>
        </w:tc>
        <w:tc>
          <w:tcPr>
            <w:tcW w:w="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6,734</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5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5,875</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14,472</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income (loss)</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(1,989)</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CFF0FC"/>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(15,778)</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(10,586)</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(49,823)</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-1636395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-1636395</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-1636395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-1636395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-1104900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-1104900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-1104900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-1104900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-299720</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-299720</wp:posOffset>
            </wp:positionV>
            <wp:extent cx="596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-299720</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-299720</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33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 November 2025, the Company received the first $2 million milestone payment under the Context License Agreement for progress with their CAB-Nectin-4 x CD3 TCE.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our unaudited condensed financial statements and notes thereto included in “Item 1. Financial Statements” of this Quarterly Report on Form 10-Q and the audited financial statements and notes thereto as of and for the year ended December 31, 2024 included in the Annual Report on Form 10-K, filed with the Securities and Exchange Commission, or the SEC, on March 28, 2025.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on form 10-K,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r>
    </w:p>
    <w:p>
      <w:pPr>
        <w:spacing w:after="0" w:line="16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are a United States-based company with facilities in San Diego, California.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our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w:t>
      </w:r>
    </w:p>
    <w:p>
      <w:pPr>
        <w:spacing w:after="0" w:line="1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 was $15.8 million and $49.8 million for the three and nine months ended September 30, 2025, respectively, compared to $10.6 million and $54.9 million for the three and nine months ended September 30, 2024, respectively. As of September 30, 2025, we had an accumulated deficit of $535.9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conducting clinical trials and the regulatory approval process for our product candidates, as well as identifying and designing product candidates and conducting preclinical studies. We expect our expenses, and the potential for losses, to be variable as we focus development efforts on selected assets and indications. We expect research and development expenses to decrease in the near term as we complete our Phase 2 trials for certain indications. We have recently implemented certain initiatives to lower cost and extend our cash runway, including a restructuring in March 2025 that included a 30% workforce reduction, and a reduction in our lease footprint by almost half in June 2025.</w:t>
      </w:r>
    </w:p>
    <w:p>
      <w:pPr>
        <w:spacing w:after="0" w:line="16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Over the long-term, we expect our expenses to increase substantially in connection with the development of our clinical programs beyond our existing Phase 1 and Phase 2 clinical trials and through the commercialization of our product candidates. As a result, we will require substantial additional capital to develop and commercialize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7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2025, our cash and cash equivalents totaled approximately $8.3 million. Accordingly, based on our current operating plan, and along with our history of operating losses, our current cash and cash equivalents may not to be sufficient to fund our ongoing operations for a period of at least twelve months from the date the financial statements included in this report are issued, and these circumstances raise substantial doubt about our ability to continue as a going concern.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date, we have not generated any revenue from the sale of products and do not expect to generate meaningful revenue in the near future.</w:t>
      </w:r>
    </w:p>
    <w:p>
      <w:pPr>
        <w:spacing w:after="0" w:line="19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entered into collaborations and licensing agreements with various third parties that, in some cases, may provide for potential future milestone and royalty payments to us (see Note 8 to our financial statements). In September 2024, the Company licensed BA3362, a Nectin-4 x CD3 T cell engaging bispecific antibody, to Context Therapeutics (“Context”). We did not recognize any revenue during the three and nine months ended September 30, 2025, related to the licensing agreement with Context. We recognized revenue of $11.0 million during the three and nine months ended September 30, 2024, related to the licensing agreement with Context. In November 2025, the Company received the first $2 million milestone payment under the License Agreement (the “Context License Agreement”) with Context. In addition, Context is funding supplementary preclinical research by BioAtla to support their pre-IND process, where Context has publicly indicated that the IND filing will be completed in Q2 of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the discovery and development of our product candidates.</w:t>
      </w:r>
    </w:p>
    <w:p>
      <w:pPr>
        <w:spacing w:after="0" w:line="117" w:lineRule="exact"/>
        <w:rPr>
          <w:sz w:val="20"/>
          <w:szCs w:val="20"/>
          <w:color w:val="auto"/>
        </w:rPr>
      </w:pPr>
    </w:p>
    <w:p>
      <w:pPr>
        <w:ind w:left="1020" w:hanging="38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consist of:</w:t>
      </w:r>
    </w:p>
    <w:p>
      <w:pPr>
        <w:spacing w:after="0" w:line="117" w:lineRule="exact"/>
        <w:rPr>
          <w:rFonts w:ascii="Times New Roman" w:cs="Times New Roman" w:eastAsia="Times New Roman" w:hAnsi="Times New Roman"/>
          <w:sz w:val="18"/>
          <w:szCs w:val="18"/>
          <w:color w:val="auto"/>
        </w:rPr>
      </w:pPr>
    </w:p>
    <w:p>
      <w:pPr>
        <w:ind w:left="1380" w:right="540" w:hanging="374"/>
        <w:spacing w:after="0" w:line="282" w:lineRule="auto"/>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contractors, clinical research organizations (“CROs”) and consultants, and other costs related to preclinical and clinical trials;</w:t>
      </w:r>
    </w:p>
    <w:p>
      <w:pPr>
        <w:spacing w:after="0" w:line="53" w:lineRule="exact"/>
        <w:rPr>
          <w:rFonts w:ascii="Times New Roman" w:cs="Times New Roman" w:eastAsia="Times New Roman" w:hAnsi="Times New Roman"/>
          <w:sz w:val="18"/>
          <w:szCs w:val="18"/>
          <w:color w:val="auto"/>
        </w:rPr>
      </w:pPr>
    </w:p>
    <w:p>
      <w:pPr>
        <w:ind w:left="1380" w:right="300" w:hanging="374"/>
        <w:spacing w:after="0" w:line="282" w:lineRule="auto"/>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contract manufacturing organizations (“CMOs”) and other vendors for manufacturing research and clinical trial materials; and</w:t>
      </w:r>
    </w:p>
    <w:p>
      <w:pPr>
        <w:spacing w:after="0" w:line="53" w:lineRule="exact"/>
        <w:rPr>
          <w:rFonts w:ascii="Times New Roman" w:cs="Times New Roman" w:eastAsia="Times New Roman" w:hAnsi="Times New Roman"/>
          <w:sz w:val="18"/>
          <w:szCs w:val="18"/>
          <w:color w:val="auto"/>
        </w:rPr>
      </w:pPr>
    </w:p>
    <w:p>
      <w:pPr>
        <w:ind w:left="1380" w:hanging="374"/>
        <w:spacing w:after="0"/>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laboratory supplies and services.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expenses consist of:</w:t>
      </w:r>
    </w:p>
    <w:p>
      <w:pPr>
        <w:spacing w:after="0" w:line="117" w:lineRule="exact"/>
        <w:rPr>
          <w:rFonts w:ascii="Times New Roman" w:cs="Times New Roman" w:eastAsia="Times New Roman" w:hAnsi="Times New Roman"/>
          <w:sz w:val="18"/>
          <w:szCs w:val="18"/>
          <w:color w:val="auto"/>
        </w:rPr>
      </w:pPr>
    </w:p>
    <w:p>
      <w:pPr>
        <w:ind w:left="1380" w:right="380" w:hanging="374"/>
        <w:spacing w:after="0" w:line="282" w:lineRule="auto"/>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benefits and equity-based compensation expenses, for personnel in our research and development functions; and</w:t>
      </w:r>
    </w:p>
    <w:p>
      <w:pPr>
        <w:spacing w:after="0" w:line="53" w:lineRule="exact"/>
        <w:rPr>
          <w:rFonts w:ascii="Times New Roman" w:cs="Times New Roman" w:eastAsia="Times New Roman" w:hAnsi="Times New Roman"/>
          <w:sz w:val="18"/>
          <w:szCs w:val="18"/>
          <w:color w:val="auto"/>
        </w:rPr>
      </w:pPr>
    </w:p>
    <w:p>
      <w:pPr>
        <w:ind w:left="1380" w:hanging="374"/>
        <w:spacing w:after="0"/>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equipment and facilities depreciation expense.</w:t>
      </w:r>
    </w:p>
    <w:p>
      <w:pPr>
        <w:spacing w:after="0" w:line="19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spacing w:after="0" w:line="16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expect our research and development expenses to decrease in the near term as we complete certain of our Phase 2 clinical trials and focus development on selected high potential indications. However, research and development could increase upon initiation of new clinical trials, including registrational trials for our lead product candidates.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320" w:firstLine="509"/>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cash and cash equivalent balances.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warrant liability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Loss on warrant liability relates to the changes in the fair value of our liability-classified warrants to purchase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31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2"/>
                <w:szCs w:val="12"/>
                <w:color w:val="auto"/>
              </w:rPr>
            </w:pPr>
          </w:p>
        </w:tc>
        <w:tc>
          <w:tcPr>
            <w:tcW w:w="1000" w:type="dxa"/>
            <w:vAlign w:val="bottom"/>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gridSpan w:val="2"/>
            <w:vMerge w:val="continue"/>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(13,789)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on warrant liability</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(2,119)</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(loss)</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(1,989)</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(15,778)</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(10,586)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-1010920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-1010920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-1010920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-170815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Other Revenue</w:t>
      </w:r>
    </w:p>
    <w:p>
      <w:pPr>
        <w:spacing w:after="0" w:line="11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There was no revenue recognized during the three months ended September 30, 2025. Collaboration and other revenue for the three months ended September 30, 2024 was $11.0 million and consisted of revenue recognized under the Context License Agreement. See Note 8 to our financial statements for further details regarding collaboration and licensing agreements.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allocated by CAB program for the periods indicated: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780" w:type="dxa"/>
            <w:vAlign w:val="bottom"/>
            <w:vMerge w:val="continue"/>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Mecbotamab vedotin, BA3011 (CAB AXL-ADC)</w:t>
            </w:r>
          </w:p>
        </w:tc>
        <w:tc>
          <w:tcPr>
            <w:tcW w:w="98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Ozuriftamab vedotin, BA3021 (CAB ROR2-ADC)</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(1,769)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Evalstotug, BA3071 (CAB CTLA-4)</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BA3182 (CAB EpCAM x CAB CD3)</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CAB Programs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external expenses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(5,194)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Personnel and related</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Facilities and other</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8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84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16,395</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(6,856)</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478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jc w:val="right"/>
              <w:ind w:right="537"/>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-796290</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-779145</wp:posOffset>
            </wp:positionV>
            <wp:extent cx="596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-796290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-779145</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-796290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-779145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1" w:name="page22"/>
    <w:bookmarkEnd w:id="21"/>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$9.5 million and $16.4 million for the three months ended September 30, 2025 and 2024, respectively. The decrease of approximately $6.9 million was primarily driven by a $4.7 million decrease in program development costs for our clinical programs due to lower enrollment and lower overall expense as we complete Phase 2 trials for mecbotamab vedotin, ozuriftamab vedotin, and evalstotug, a $1.8 million decrease in related party expense incurred in connection with our licensing agreement with Context Therapeutics in September 2024, a $0.9 million decrease in headcount related expenses due to the reduction in force announced in March 2025, and a $0.6 million decrease in stock-based compensation related to awards issued under our 2020 Equity Incentive Plan. This was partially offset by a $1.1 million increase in development costs for our ongoing Phase 1 trial for our EpCAM program.</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$4.3 million and $5.9 million for the three months ended September 30, 2025 and 2024, respectively. The decrease of $1.6 million was primarily driven by a $0.8 million decrease in consulting and professional fees related to the closing of our Context License agreement in September 2024, a $0.4 million decrease in headcount related costs due to the reduction in force announced in March 2025, a $0.3 million decrease in stock-based compensation related to awards issued under our 2020 Equity Incentive Plan, and a $0.1 million decrease in depreciation expense.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$0.1 million and $0.7 million for the three months ended September 30, 2025 and 2024, respectively. The decrease of $0.6 million was due to lower cash and cash equivalents and lower interest rates during same period in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warrant liability</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Loss on warrant liability was $2.1 million and $0 for the three months ended September 30, 2025 and 2024, respectively. The $2.1 million loss was due to the change in fair value of the warrants we issued in December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2"/>
                <w:szCs w:val="12"/>
                <w:color w:val="auto"/>
              </w:rPr>
            </w:pPr>
          </w:p>
        </w:tc>
        <w:tc>
          <w:tcPr>
            <w:tcW w:w="1000" w:type="dxa"/>
            <w:vAlign w:val="bottom"/>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gridSpan w:val="2"/>
            <w:vMerge w:val="continue"/>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68,699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(57,699)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on warrant liability</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(loss)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(49,823)</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(54,892)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-1010920</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-1010920</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-1010920</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-170815</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Other Revenue</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There was no revenue recognized during the nine months ended September 30, 2025. Collaboration and other revenue for the nine months ended September 30, 2024 was $11.0 million and consisted of revenue recognized under the Context License Agreement. See Note 8 to our financial statements for further details regarding collaboration and licensing agreements.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allocated by CAB program for the periods indicated: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2" w:name="page23"/>
    <w:bookmarkEnd w:id="22"/>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54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Mecbotamab vedotin, BA3011 (CAB AXL-ADC)</w:t>
            </w:r>
          </w:p>
        </w:tc>
        <w:tc>
          <w:tcPr>
            <w:tcW w:w="152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(4,296)</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Ozuriftamab vedotin, BA3021 (CAB ROR2-ADC)</w:t>
            </w: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Evalstotug, BA3071 (CAB CTLA-4)</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(3,192)</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BA3182 (CAB EpCAM x CAB CD3)</w:t>
            </w: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CAB Programs</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external expenses</w:t>
            </w: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(11,904)</w:t>
            </w: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Personnel and related</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Facilities and other</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52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35,578</w:t>
            </w:r>
          </w:p>
        </w:tc>
        <w:tc>
          <w:tcPr>
            <w:tcW w:w="8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51,445</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(15,867)</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3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$35.6 million and $51.4 million for the nine months ended September 30, 2025 and 2024, respectively. The decrease of approximately $15.9 million was primarily driven by a $11.9 million decrease in program development costs primarily due to a $10.5 million decrease for our clinical programs due to lower enrollment and lower overall expense as we complete Phase 2 trials for mecbotamab vedotin, ozuriftamab vedotin, and evalstotug, a $3.1 million decrease in costs for our Other CAB Programs due to a $2.0 million decrease in related party expense incurred in connection with our licensing agreement with Context Therapeutics in September 2024, and a $1.1 million decrease in development costs for our pre-clinical programs, partially offset by a $1.7 million increase in development costs for our ongoing Phase 1 trial for our EpCAM program. The remaining decrease in research and development expenses was due to a $2.0 million decrease in personnel-related expense due to lower headcount including the impact of the reduction in force announced in March 2025, a $1.5 million decrease in stock-based compensation related to awards issued under our 2020 Equity Incentive Plan, and a $0.4 million decrease in facility related costs.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$14.5 million and $17.3 million for the nine months ended September 30, 2025 and 2024, respectively. The decrease of approximately $2.8 million was primarily driven by a $1.2 million decrease in stock-based compensation related to awards issued under our 2020 Equity Incentive Plan, a $0.7 million decrease in consulting and professional fees related to closing of our Context License agreement in September 2024, a $0.6 million decrease in headcount related to the reduction in force announced in March 2025, and a $0.2 million decrease in insurance primarily due to lower D&amp;O insurance premiums.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$0.8 million and $2.8 million for the nine months ended September 30, 2025 and 2024, respectively. The decrease of $2.0 million was due to lower cash and cash equivalents and lower interest rates during same period in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warrant liability</w:t>
      </w:r>
    </w:p>
    <w:p>
      <w:pPr>
        <w:spacing w:after="0" w:line="11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Loss on warrant liability was $0.5 million and $0 million for the nine months ended September 30, 2025 and 2024, respectively. The $0.5 million loss was due to the change in fair value of the warrants we issued in December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have incurred aggregate net losses and negative cash flows from operations since our inception and anticipate we will continue to incur net losses for the foreseeable future. Since July 2020, we have funded our operations primarily through the issuance of equity. As of September 30, 2025, we had cash and cash equivalents of $8.3 million.</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2024, the Company closed on an offering (the “December 2024 Offering”) of 9,679,158 shares of common stock at a price of $0.9520 per share with accompanying warrants to purchase up to 9,679,158 shares of common stock, which have an exercise price of $1.19 per share (the “Warrants”). The gross proceeds from the December 2024 Offering were approximately $9.2 million, before deducting $0.7 million of placement agent fees and other offering expenses payable by the Company. The accompanying Warrants became exercisable on June 20, 2025 and will expire five years from the date of initial exercisability. There were 9,679,158 Warrants outstanding and exercisable at September 30, 2025.</w:t>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66"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54" w:lineRule="exact"/>
        <w:rPr>
          <w:sz w:val="20"/>
          <w:szCs w:val="20"/>
          <w:color w:val="auto"/>
        </w:rPr>
      </w:pPr>
    </w:p>
    <w:p>
      <w:pPr>
        <w:ind w:left="1000" w:right="280" w:hanging="36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advancement, scope, rate of progress, completion of enrollment, results and costs of our preclinical studies, clinical trials and other related activities for our product candidates;</w:t>
      </w:r>
    </w:p>
    <w:p>
      <w:pPr>
        <w:spacing w:after="0" w:line="53" w:lineRule="exact"/>
        <w:rPr>
          <w:rFonts w:ascii="Times New Roman" w:cs="Times New Roman" w:eastAsia="Times New Roman" w:hAnsi="Times New Roman"/>
          <w:sz w:val="18"/>
          <w:szCs w:val="18"/>
          <w:color w:val="auto"/>
        </w:rPr>
      </w:pPr>
    </w:p>
    <w:p>
      <w:pPr>
        <w:ind w:left="1000" w:right="240" w:hanging="36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product candidates and establishing commercial supplies and sales, marketing and distribution capabilities;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capital expenditures to support our research and development efforts;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other product candidates that we pursue;</w:t>
      </w:r>
    </w:p>
    <w:p>
      <w:pPr>
        <w:spacing w:after="0" w:line="117" w:lineRule="exact"/>
        <w:rPr>
          <w:rFonts w:ascii="Times New Roman" w:cs="Times New Roman" w:eastAsia="Times New Roman" w:hAnsi="Times New Roman"/>
          <w:sz w:val="18"/>
          <w:szCs w:val="18"/>
          <w:color w:val="auto"/>
        </w:rPr>
      </w:pPr>
    </w:p>
    <w:p>
      <w:pPr>
        <w:ind w:left="1000" w:right="140" w:hanging="36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our potential products;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hire additional management, scientific and medical personnel;</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that may limit market penetration of our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1000" w:right="480" w:hanging="36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and administrative costs associated with being a public company; and</w:t>
      </w:r>
    </w:p>
    <w:p>
      <w:pPr>
        <w:spacing w:after="0" w:line="117" w:lineRule="exact"/>
        <w:rPr>
          <w:rFonts w:ascii="Times New Roman" w:cs="Times New Roman" w:eastAsia="Times New Roman" w:hAnsi="Times New Roman"/>
          <w:sz w:val="18"/>
          <w:szCs w:val="18"/>
          <w:color w:val="auto"/>
        </w:rPr>
      </w:pPr>
    </w:p>
    <w:p>
      <w:pPr>
        <w:ind w:left="1000" w:right="60" w:hanging="36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 although we have no commitments or agreements relating to any of these types of transactions.</w:t>
      </w:r>
    </w:p>
    <w:p>
      <w:pPr>
        <w:spacing w:after="0" w:line="13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Based on our current operating plan, our current cash and cash equivalents may not be sufficient to fund our ongoing operations for a period of at least twelve months from the date the financial statements included in this report are issued. We have based this estimate on assumptions that may prove to be wrong, and we could utilize our available capital resources sooner than we currently expect. These circumstances raise substantial doubt about our ability to continue as a going concern. While management believes additional funds can be raised through equity or debt financings, strategic collaborations transactions, or a combination of these approaches, which will alleviate the conditions that raise substantial doubt, these plans are not entirely within our control and cannot be assessed as being probable of occurring. We may not be able to secure additional financing in a timely manner or on favorable terms, if at all.</w:t>
      </w:r>
    </w:p>
    <w:p>
      <w:pPr>
        <w:spacing w:after="0" w:line="175"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the government shutdown that began October 1, 2025, tariffs and trade disputes with other countries, inflation, high interest rates, growing recession risks, supply chain disruptions, and geopolitical tensions and disruptions, including US and EU sanctions on Russian oil and gas, the ongoing conflict between Russia and Ukraine, the wars between Israel and the terrorist groups Hamas and Hezbollah and escalating conflict and tensions with Iran,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significantly reduce our rate of spending through additional reductions in staff and delay, scale back or stop certain research and development programs.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summarizes our cash flows for the periods indicated: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(40,289)</w:t>
            </w:r>
          </w:p>
        </w:tc>
        <w:tc>
          <w:tcPr>
            <w:tcW w:w="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(40,726)</w:t>
            </w:r>
          </w:p>
        </w:tc>
        <w:tc>
          <w:tcPr>
            <w:tcW w:w="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-170815</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2025 was $40.3 million, which consisted of a net loss of $49.8 million, a net change of $4.3 million in our operating assets and liabilities and $5.2 million of non-cash transactions. The net change in our operating assets and liabilities was primarily due to an increase in accounts payable and accrued expenses of $3.6 million, a decrease in prepaid expenses and other assets of $0.7 million, and a net decrease in operating lease right-of-use assets and lease liabilities of $0.1 million. The non-cash transactions primarily consisted of $4.3 million of stock-based compensation, $0.5 million related to the change in fair value of the warrant liability, and $0.4 million related to depreciation and amortization.</w:t>
      </w:r>
    </w:p>
    <w:p>
      <w:pPr>
        <w:spacing w:after="0" w:line="160"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Net cash used in operating activities for the nine months ended September 30, 2024 was $55.2 million, which consisted of a net loss of $54.9 million, a net change of $7.9 million in our operating assets and liabilities and $7.7 million of non-cash transactions. The net change in our operating assets and liabilities was primarily due to a decrease in accounts payable and accrued expenses of $8.5 million and a net decrease in operating lease right-of-use assets and lease liabilities of $0.5 million, partially offset by a decrease in prepaid expenses and other assets of $1.0 million. The non-cash transactions primarily consisted of $7.0 million of stock-based compensation and non-cash charges of $0.7 million related to depreciation and amortization.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Financing Activities</w:t>
      </w:r>
    </w:p>
    <w:p>
      <w:pPr>
        <w:spacing w:after="0" w:line="11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$0.4 million for the nine months ended September 30, 2025, consisting primarily of the payment of financing costs in connection with the December 2024 offering and the payment of taxes related to the net settlement of restricted stock units, partially offset by the proceeds from the issuance of common stock under the ESPP and the 2020 Plan.</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$0.2 million for the nine months ended September 30, 2024, consisting primarily of the proceeds from the issuance of common stock under the ESPP and the 2020 Plan, partially offset by the payment of taxes related to the net settlement of restricted stock units.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6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on Form 10-K for the year ended December 31, 2024. There have not been any material changes to the critical accounting policies discussed therein during the nine months ended September 30, 2025.</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as defined in the rules and regulations of the SEC.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 to a smaller reporting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required by Rules 13a-15(b) and 15d-15(b) of the Exchange Act, our management, with the participation of our Chief Executive Officer and our Chief Financial Officer, evaluated the effectiveness of our disclosure controls and procedures as of September 30,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2025, our Chief Executive Officer and our Chief Financial Officer concluded that, as of such date,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2025 that have materially affected, or are reasonably likely to materially affect, our internal control over financial reporting.</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08" w:lineRule="exact"/>
        <w:rPr>
          <w:sz w:val="20"/>
          <w:szCs w:val="20"/>
          <w:color w:val="auto"/>
        </w:rPr>
      </w:pPr>
    </w:p>
    <w:p>
      <w:pPr>
        <w:ind w:left="260" w:firstLine="458"/>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all information in this Quarterly Report on Form 10-Q, including our condensed financial statements and related notes appearing elsewhere in this report and “Management’s Discussion and Analysis of Financial Condition and Results of Operations,” before purchasing our common stock. These risks and uncertainties include, but are not limited to, the following:</w:t>
      </w:r>
    </w:p>
    <w:p>
      <w:pPr>
        <w:spacing w:after="0" w:line="180" w:lineRule="exact"/>
        <w:rPr>
          <w:sz w:val="20"/>
          <w:szCs w:val="20"/>
          <w:color w:val="auto"/>
        </w:rPr>
      </w:pPr>
    </w:p>
    <w:p>
      <w:pPr>
        <w:ind w:left="1280" w:right="200" w:hanging="509"/>
        <w:spacing w:after="0" w:line="282"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53" w:lineRule="exact"/>
        <w:rPr>
          <w:rFonts w:ascii="Times New Roman" w:cs="Times New Roman" w:eastAsia="Times New Roman" w:hAnsi="Times New Roman"/>
          <w:sz w:val="18"/>
          <w:szCs w:val="18"/>
          <w:color w:val="auto"/>
        </w:rPr>
      </w:pPr>
    </w:p>
    <w:p>
      <w:pPr>
        <w:ind w:left="1280" w:right="120" w:hanging="509"/>
        <w:spacing w:after="0" w:line="266"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67" w:lineRule="exact"/>
        <w:rPr>
          <w:rFonts w:ascii="Times New Roman" w:cs="Times New Roman" w:eastAsia="Times New Roman" w:hAnsi="Times New Roman"/>
          <w:sz w:val="18"/>
          <w:szCs w:val="18"/>
          <w:color w:val="auto"/>
        </w:rPr>
      </w:pPr>
    </w:p>
    <w:p>
      <w:pPr>
        <w:jc w:val="both"/>
        <w:ind w:left="1280" w:right="440" w:hanging="509"/>
        <w:spacing w:after="0" w:line="272" w:lineRule="auto"/>
        <w:tabs>
          <w:tab w:leader="none" w:pos="12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and we will need additional funding to continue development of our CAB technology platform and our CAB product</w:t>
      </w:r>
    </w:p>
    <w:p>
      <w:pPr>
        <w:spacing w:after="0" w:line="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candidates.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ind w:left="509" w:hanging="509"/>
        <w:spacing w:after="0"/>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fail in development or suffer delays that adversely affect their commercial viability.</w:t>
      </w:r>
    </w:p>
    <w:p>
      <w:pPr>
        <w:spacing w:after="0" w:line="117" w:lineRule="exact"/>
        <w:rPr>
          <w:rFonts w:ascii="Times New Roman" w:cs="Times New Roman" w:eastAsia="Times New Roman" w:hAnsi="Times New Roman"/>
          <w:sz w:val="18"/>
          <w:szCs w:val="18"/>
          <w:color w:val="auto"/>
        </w:rPr>
      </w:pPr>
    </w:p>
    <w:p>
      <w:pPr>
        <w:ind w:left="509" w:right="180" w:hanging="509"/>
        <w:spacing w:after="0" w:line="282" w:lineRule="auto"/>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patented CAB technology platform, and our future success depends heavily on the successful development of this platform.</w:t>
      </w:r>
    </w:p>
    <w:p>
      <w:pPr>
        <w:spacing w:after="0" w:line="53" w:lineRule="exact"/>
        <w:rPr>
          <w:rFonts w:ascii="Times New Roman" w:cs="Times New Roman" w:eastAsia="Times New Roman" w:hAnsi="Times New Roman"/>
          <w:sz w:val="18"/>
          <w:szCs w:val="18"/>
          <w:color w:val="auto"/>
        </w:rPr>
      </w:pPr>
    </w:p>
    <w:p>
      <w:pPr>
        <w:ind w:left="509" w:hanging="509"/>
        <w:spacing w:after="0" w:line="266" w:lineRule="auto"/>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early-stage clinical trials may not be predictive of results from late-stage or other clinical trials, and the results of our clinical trials may not satisfy the requirements of the U.S. Food and Drug Administration (“FDA”), the European Medicine Agency (“EMA”) or other comparable foreign regulatory authorities.</w:t>
      </w:r>
    </w:p>
    <w:p>
      <w:pPr>
        <w:spacing w:after="0" w:line="67" w:lineRule="exact"/>
        <w:rPr>
          <w:rFonts w:ascii="Times New Roman" w:cs="Times New Roman" w:eastAsia="Times New Roman" w:hAnsi="Times New Roman"/>
          <w:sz w:val="18"/>
          <w:szCs w:val="18"/>
          <w:color w:val="auto"/>
        </w:rPr>
      </w:pPr>
    </w:p>
    <w:p>
      <w:pPr>
        <w:ind w:left="509" w:right="500" w:hanging="509"/>
        <w:spacing w:after="0" w:line="282" w:lineRule="auto"/>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resources to pursue particular product candidates and fail to capitalize on product candidates that may be more profitable or for which there is a greater likelihood of success.</w:t>
      </w:r>
    </w:p>
    <w:p>
      <w:pPr>
        <w:spacing w:after="0" w:line="53" w:lineRule="exact"/>
        <w:rPr>
          <w:rFonts w:ascii="Times New Roman" w:cs="Times New Roman" w:eastAsia="Times New Roman" w:hAnsi="Times New Roman"/>
          <w:sz w:val="18"/>
          <w:szCs w:val="18"/>
          <w:color w:val="auto"/>
        </w:rPr>
      </w:pPr>
    </w:p>
    <w:p>
      <w:pPr>
        <w:ind w:left="509" w:right="320" w:hanging="509"/>
        <w:spacing w:after="0" w:line="282" w:lineRule="auto"/>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may not be receptive to our product candidates because they are based on our novel therapeutic modality, and we may not generate any future revenue from the sale or licensing of product candidates.</w:t>
      </w:r>
    </w:p>
    <w:p>
      <w:pPr>
        <w:spacing w:after="0" w:line="53" w:lineRule="exact"/>
        <w:rPr>
          <w:rFonts w:ascii="Times New Roman" w:cs="Times New Roman" w:eastAsia="Times New Roman" w:hAnsi="Times New Roman"/>
          <w:sz w:val="18"/>
          <w:szCs w:val="18"/>
          <w:color w:val="auto"/>
        </w:rPr>
      </w:pPr>
    </w:p>
    <w:p>
      <w:pPr>
        <w:ind w:left="509" w:right="220" w:hanging="509"/>
        <w:spacing w:after="0" w:line="266" w:lineRule="auto"/>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preplanned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67" w:lineRule="exact"/>
        <w:rPr>
          <w:rFonts w:ascii="Times New Roman" w:cs="Times New Roman" w:eastAsia="Times New Roman" w:hAnsi="Times New Roman"/>
          <w:sz w:val="18"/>
          <w:szCs w:val="18"/>
          <w:color w:val="auto"/>
        </w:rPr>
      </w:pPr>
    </w:p>
    <w:p>
      <w:pPr>
        <w:ind w:left="509" w:right="720" w:hanging="509"/>
        <w:spacing w:after="0" w:line="282" w:lineRule="auto"/>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and completion of clinical trials could increase costs and delay or prevent regulatory approval and commercialization of our product candidates.</w:t>
      </w:r>
    </w:p>
    <w:p>
      <w:pPr>
        <w:spacing w:after="0" w:line="53" w:lineRule="exact"/>
        <w:rPr>
          <w:rFonts w:ascii="Times New Roman" w:cs="Times New Roman" w:eastAsia="Times New Roman" w:hAnsi="Times New Roman"/>
          <w:sz w:val="18"/>
          <w:szCs w:val="18"/>
          <w:color w:val="auto"/>
        </w:rPr>
      </w:pPr>
    </w:p>
    <w:p>
      <w:pPr>
        <w:ind w:left="509" w:right="260" w:hanging="509"/>
        <w:spacing w:after="0" w:line="282" w:lineRule="auto"/>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product candidates for cancer, including companies developing novel treatments and technology platforms.</w:t>
      </w:r>
    </w:p>
    <w:p>
      <w:pPr>
        <w:spacing w:after="0" w:line="53" w:lineRule="exact"/>
        <w:rPr>
          <w:rFonts w:ascii="Times New Roman" w:cs="Times New Roman" w:eastAsia="Times New Roman" w:hAnsi="Times New Roman"/>
          <w:sz w:val="18"/>
          <w:szCs w:val="18"/>
          <w:color w:val="auto"/>
        </w:rPr>
      </w:pPr>
    </w:p>
    <w:p>
      <w:pPr>
        <w:ind w:left="509" w:right="200" w:hanging="509"/>
        <w:spacing w:after="0" w:line="282" w:lineRule="auto"/>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not in compliance with Nasdaq’s continued listing requirements. If we are unable to comply with Nasdaq’s continued listing requirements, our common stock could be delisted.</w:t>
      </w:r>
    </w:p>
    <w:p>
      <w:pPr>
        <w:spacing w:after="0" w:line="53" w:lineRule="exact"/>
        <w:rPr>
          <w:rFonts w:ascii="Times New Roman" w:cs="Times New Roman" w:eastAsia="Times New Roman" w:hAnsi="Times New Roman"/>
          <w:sz w:val="18"/>
          <w:szCs w:val="18"/>
          <w:color w:val="auto"/>
        </w:rPr>
      </w:pPr>
    </w:p>
    <w:p>
      <w:pPr>
        <w:ind w:left="509" w:hanging="509"/>
        <w:spacing w:after="0"/>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U.S. or foreign regulatory approval and, as a result, unable to commercialize our product candidates.</w:t>
      </w:r>
    </w:p>
    <w:p>
      <w:pPr>
        <w:spacing w:after="0" w:line="117" w:lineRule="exact"/>
        <w:rPr>
          <w:rFonts w:ascii="Times New Roman" w:cs="Times New Roman" w:eastAsia="Times New Roman" w:hAnsi="Times New Roman"/>
          <w:sz w:val="18"/>
          <w:szCs w:val="18"/>
          <w:color w:val="auto"/>
        </w:rPr>
      </w:pPr>
    </w:p>
    <w:p>
      <w:pPr>
        <w:ind w:left="509" w:right="40" w:hanging="509"/>
        <w:spacing w:after="0" w:line="261" w:lineRule="auto"/>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71" w:lineRule="exact"/>
        <w:rPr>
          <w:rFonts w:ascii="Times New Roman" w:cs="Times New Roman" w:eastAsia="Times New Roman" w:hAnsi="Times New Roman"/>
          <w:sz w:val="18"/>
          <w:szCs w:val="18"/>
          <w:color w:val="auto"/>
        </w:rPr>
      </w:pPr>
    </w:p>
    <w:p>
      <w:pPr>
        <w:ind w:left="509" w:right="280" w:hanging="509"/>
        <w:spacing w:after="0" w:line="266" w:lineRule="auto"/>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Fast Track designation for one or more of our product candidates but we might not receive such designation and, even if granted, such designation may not lead to a faster development or regulatory review or approval process and does not increase the likelihood that our product candidates will receive regulatory approval.</w:t>
      </w:r>
    </w:p>
    <w:p>
      <w:pPr>
        <w:spacing w:after="0" w:line="67" w:lineRule="exact"/>
        <w:rPr>
          <w:rFonts w:ascii="Times New Roman" w:cs="Times New Roman" w:eastAsia="Times New Roman" w:hAnsi="Times New Roman"/>
          <w:sz w:val="18"/>
          <w:szCs w:val="18"/>
          <w:color w:val="auto"/>
        </w:rPr>
      </w:pPr>
    </w:p>
    <w:p>
      <w:pPr>
        <w:ind w:left="509" w:right="580" w:hanging="509"/>
        <w:spacing w:after="0" w:line="282" w:lineRule="auto"/>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product candidates, we will be subject to ongoing regulatory obligations and continued regulatory review, which may result in significant additional expense.</w:t>
      </w:r>
    </w:p>
    <w:p>
      <w:pPr>
        <w:spacing w:after="0" w:line="53" w:lineRule="exact"/>
        <w:rPr>
          <w:rFonts w:ascii="Times New Roman" w:cs="Times New Roman" w:eastAsia="Times New Roman" w:hAnsi="Times New Roman"/>
          <w:sz w:val="18"/>
          <w:szCs w:val="18"/>
          <w:color w:val="auto"/>
        </w:rPr>
      </w:pPr>
    </w:p>
    <w:p>
      <w:pPr>
        <w:ind w:left="509" w:right="380" w:hanging="509"/>
        <w:spacing w:after="0" w:line="261" w:lineRule="auto"/>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uncertainty regarding the new Administration’s initiatives and how these might impact the FDA, including its implementation of laws, regulations, policies and guidance and its personnel. Similar initiatives may also be directed toward other government agencies. These initiatives could prevent, limit or delay development and regulatory review and approval of our product candidates, which would negatively impact our business.</w:t>
      </w:r>
    </w:p>
    <w:p>
      <w:pPr>
        <w:spacing w:after="0" w:line="71" w:lineRule="exact"/>
        <w:rPr>
          <w:rFonts w:ascii="Times New Roman" w:cs="Times New Roman" w:eastAsia="Times New Roman" w:hAnsi="Times New Roman"/>
          <w:sz w:val="18"/>
          <w:szCs w:val="18"/>
          <w:color w:val="auto"/>
        </w:rPr>
      </w:pPr>
    </w:p>
    <w:p>
      <w:pPr>
        <w:ind w:left="509" w:right="300" w:hanging="509"/>
        <w:spacing w:after="0" w:line="282" w:lineRule="auto"/>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qualified senior management and key scientific personnel, our business may be materially and adversely affected.</w:t>
      </w:r>
    </w:p>
    <w:p>
      <w:pPr>
        <w:spacing w:after="0" w:line="53" w:lineRule="exact"/>
        <w:rPr>
          <w:rFonts w:ascii="Times New Roman" w:cs="Times New Roman" w:eastAsia="Times New Roman" w:hAnsi="Times New Roman"/>
          <w:sz w:val="18"/>
          <w:szCs w:val="18"/>
          <w:color w:val="auto"/>
        </w:rPr>
      </w:pPr>
    </w:p>
    <w:p>
      <w:pPr>
        <w:ind w:left="509" w:right="40" w:hanging="509"/>
        <w:spacing w:after="0" w:line="312" w:lineRule="auto"/>
        <w:tabs>
          <w:tab w:leader="none" w:pos="50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31" w:lineRule="exact"/>
        <w:rPr>
          <w:rFonts w:ascii="Times New Roman" w:cs="Times New Roman" w:eastAsia="Times New Roman" w:hAnsi="Times New Roman"/>
          <w:sz w:val="17"/>
          <w:szCs w:val="17"/>
          <w:color w:val="auto"/>
        </w:rPr>
      </w:pPr>
    </w:p>
    <w:p>
      <w:pPr>
        <w:ind w:left="509" w:right="160" w:hanging="509"/>
        <w:spacing w:after="0" w:line="266" w:lineRule="auto"/>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9" w:right="120" w:hanging="509"/>
        <w:spacing w:after="0" w:line="266" w:lineRule="auto"/>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health epidemics and outbreaks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67" w:lineRule="exact"/>
        <w:rPr>
          <w:rFonts w:ascii="Times New Roman" w:cs="Times New Roman" w:eastAsia="Times New Roman" w:hAnsi="Times New Roman"/>
          <w:sz w:val="18"/>
          <w:szCs w:val="18"/>
          <w:color w:val="auto"/>
        </w:rPr>
      </w:pPr>
    </w:p>
    <w:p>
      <w:pPr>
        <w:ind w:left="509" w:hanging="509"/>
        <w:spacing w:after="0"/>
        <w:tabs>
          <w:tab w:leader="none" w:pos="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collaborations with third parties for the development and commercialization of certain of our product candidates, or</w:t>
      </w:r>
    </w:p>
    <w:p>
      <w:pPr>
        <w:spacing w:after="0" w:line="27" w:lineRule="exact"/>
        <w:rPr>
          <w:sz w:val="20"/>
          <w:szCs w:val="20"/>
          <w:color w:val="auto"/>
        </w:rPr>
      </w:pPr>
    </w:p>
    <w:p>
      <w:pPr>
        <w:ind w:left="509" w:right="600"/>
        <w:spacing w:after="0" w:line="250" w:lineRule="auto"/>
        <w:rPr>
          <w:sz w:val="20"/>
          <w:szCs w:val="20"/>
          <w:color w:val="auto"/>
        </w:rPr>
      </w:pPr>
      <w:r>
        <w:rPr>
          <w:rFonts w:ascii="Times New Roman" w:cs="Times New Roman" w:eastAsia="Times New Roman" w:hAnsi="Times New Roman"/>
          <w:sz w:val="18"/>
          <w:szCs w:val="18"/>
          <w:color w:val="auto"/>
        </w:rPr>
        <w:t>if our current and future collaborations are not successful, we may not be able to capitalize on the market potential of our patented technology platform and resulting product candidates.</w:t>
      </w:r>
    </w:p>
    <w:p>
      <w:pPr>
        <w:spacing w:after="0" w:line="1" w:lineRule="exact"/>
        <w:rPr>
          <w:sz w:val="20"/>
          <w:szCs w:val="20"/>
          <w:color w:val="auto"/>
        </w:rPr>
      </w:pPr>
    </w:p>
    <w:p>
      <w:pPr>
        <w:ind w:left="476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9"/>
          </w:cols>
          <w:pgMar w:left="1091" w:top="1093" w:right="339" w:bottom="1440" w:gutter="0" w:footer="0" w:header="0"/>
        </w:sectPr>
      </w:pPr>
    </w:p>
    <w:bookmarkStart w:id="27" w:name="page28"/>
    <w:bookmarkEnd w:id="27"/>
    <w:p>
      <w:pPr>
        <w:ind w:left="1280" w:right="40" w:hanging="509"/>
        <w:spacing w:after="0" w:line="266"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67" w:lineRule="exact"/>
        <w:rPr>
          <w:rFonts w:ascii="Times New Roman" w:cs="Times New Roman" w:eastAsia="Times New Roman" w:hAnsi="Times New Roman"/>
          <w:sz w:val="18"/>
          <w:szCs w:val="18"/>
          <w:color w:val="auto"/>
        </w:rPr>
      </w:pPr>
    </w:p>
    <w:p>
      <w:pPr>
        <w:jc w:val="both"/>
        <w:ind w:left="1280" w:right="120" w:hanging="509"/>
        <w:spacing w:after="0" w:line="266"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6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issuance of equity or of debt securities that are convertible into equity will dilute our share capital.</w:t>
      </w:r>
    </w:p>
    <w:p>
      <w:pPr>
        <w:spacing w:after="0" w:line="117" w:lineRule="exact"/>
        <w:rPr>
          <w:rFonts w:ascii="Times New Roman" w:cs="Times New Roman" w:eastAsia="Times New Roman" w:hAnsi="Times New Roman"/>
          <w:sz w:val="18"/>
          <w:szCs w:val="18"/>
          <w:color w:val="auto"/>
        </w:rPr>
      </w:pPr>
    </w:p>
    <w:p>
      <w:pPr>
        <w:ind w:left="1280" w:right="240" w:hanging="509"/>
        <w:spacing w:after="0" w:line="282"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6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the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spacing w:after="0" w:line="1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$69.8 million and $123.5 million for the years ended December 31, 2024 and 2023, respectively. For the nine months ended September 30, 2025 and 2024, our net losses were $49.8 million and $54.9 million, respectively. As of September 30, 2025, we had an accumulated deficit of $535.9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In the near term, we expect that these expenses will begin to decrease as we complete enrollment for certain clinical trials, however, these expenses, and the potential for losses, may generally increase as we progress our lead product candidates through the regulatory approval process. We also expect that our expenses will vary as a result of macroeconomic factors, including inflation. For example, recently, several of our vendors have passed along price increases they have experienced in their own business as a result of inflation.</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will continue to incur significant expenses in connection with our ongoing activities, particularly as we conduct clinical trials of, and seek marketing approval for mecbotamab vedotin, ozuriftamab vedotin, evalstotug, and BA3182.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authorities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plan to use our existing cash and cash equivalents to fund the research and development of our product candidates and development programs and to fund working capital and other general corporate purposes. 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79" w:lineRule="exact"/>
        <w:rPr>
          <w:sz w:val="20"/>
          <w:szCs w:val="20"/>
          <w:color w:val="auto"/>
        </w:rPr>
      </w:pPr>
    </w:p>
    <w:p>
      <w:pPr>
        <w:ind w:left="1000" w:hanging="36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ongoing and planned clinical trials for mecbotamab vedotin, ozuriftamab vedotin, evalstotug, and BA3182;</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00" w:right="420" w:hanging="36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collaborators with whom we have entered, or may in the future enter, into collaboration agreements and research and development agreements;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our collaboration agreements;</w:t>
      </w:r>
    </w:p>
    <w:p>
      <w:pPr>
        <w:spacing w:after="0" w:line="117" w:lineRule="exact"/>
        <w:rPr>
          <w:rFonts w:ascii="Times New Roman" w:cs="Times New Roman" w:eastAsia="Times New Roman" w:hAnsi="Times New Roman"/>
          <w:sz w:val="18"/>
          <w:szCs w:val="18"/>
          <w:color w:val="auto"/>
        </w:rPr>
      </w:pPr>
    </w:p>
    <w:p>
      <w:pPr>
        <w:ind w:left="1000" w:right="340" w:hanging="36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collaboration and research and development programs or possibly establish new collaboration arrangements;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1000" w:right="560" w:hanging="36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attract and retain personnel, including personnel to support development of our product candidates and satisfy our obligations as a public company.</w:t>
      </w:r>
    </w:p>
    <w:p>
      <w:pPr>
        <w:spacing w:after="0" w:line="148" w:lineRule="exact"/>
        <w:rPr>
          <w:sz w:val="20"/>
          <w:szCs w:val="20"/>
          <w:color w:val="auto"/>
        </w:rPr>
      </w:pPr>
    </w:p>
    <w:p>
      <w:pPr>
        <w:ind w:right="60" w:firstLine="509"/>
        <w:spacing w:after="0" w:line="251" w:lineRule="auto"/>
        <w:rPr>
          <w:sz w:val="20"/>
          <w:szCs w:val="20"/>
          <w:color w:val="auto"/>
        </w:rPr>
      </w:pPr>
      <w:r>
        <w:rPr>
          <w:rFonts w:ascii="Times New Roman" w:cs="Times New Roman" w:eastAsia="Times New Roman" w:hAnsi="Times New Roman"/>
          <w:sz w:val="18"/>
          <w:szCs w:val="18"/>
          <w:color w:val="auto"/>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If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ind w:right="40"/>
        <w:spacing w:after="0" w:line="258" w:lineRule="auto"/>
        <w:rPr>
          <w:sz w:val="20"/>
          <w:szCs w:val="20"/>
          <w:color w:val="auto"/>
        </w:rPr>
      </w:pPr>
      <w:r>
        <w:rPr>
          <w:rFonts w:ascii="Times New Roman" w:cs="Times New Roman" w:eastAsia="Times New Roman" w:hAnsi="Times New Roman"/>
          <w:sz w:val="18"/>
          <w:szCs w:val="18"/>
          <w:color w:val="auto"/>
        </w:rPr>
        <w:t>diluted, and the terms of these securities may include liquidation or other preferences that adversely affect our stockholders’ rights. If we raise additional capital through debt financings,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87" w:lineRule="exact"/>
        <w:rPr>
          <w:sz w:val="20"/>
          <w:szCs w:val="20"/>
          <w:color w:val="auto"/>
        </w:rPr>
      </w:pPr>
    </w:p>
    <w:p>
      <w:pPr>
        <w:jc w:val="both"/>
        <w:ind w:right="100" w:firstLine="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and negative cash flows from operations since our inception. We may incur losses over the next several years and may never achieve or maintain profitability. Without taking other actions, these factors raise substantial doubt about our ability to continue as a going concern and we will need additional funding to continue development of our CAB technology platform and our CAB product candidates.</w:t>
      </w:r>
    </w:p>
    <w:p>
      <w:pPr>
        <w:spacing w:after="0" w:line="6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to date and expect to continue to incur significant expenses and operating losses for the foreseeable future as we continue the development of our CAB technology platform and our CAB product candidates. Our recurring losses from operations raise substantial doubt about our ability to continue as a going concern for the 12 months from the date that our financial statements included elsewhere in this Annual Report are issued. As a result, our independent public accounting firm included an explanatory paragraph regarding the same in its report on our Annual Report. Our financial statements as of September 30, 2025 do not include any adjustments that might result from the outcome of this uncertainty.</w:t>
      </w:r>
    </w:p>
    <w:p>
      <w:pPr>
        <w:spacing w:after="0" w:line="183" w:lineRule="exact"/>
        <w:rPr>
          <w:sz w:val="20"/>
          <w:szCs w:val="20"/>
          <w:color w:val="auto"/>
        </w:rPr>
      </w:pPr>
    </w:p>
    <w:p>
      <w:pPr>
        <w:ind w:right="60" w:firstLine="554"/>
        <w:spacing w:after="0" w:line="258" w:lineRule="auto"/>
        <w:rPr>
          <w:sz w:val="20"/>
          <w:szCs w:val="20"/>
          <w:color w:val="auto"/>
        </w:rPr>
      </w:pPr>
      <w:r>
        <w:rPr>
          <w:rFonts w:ascii="Times New Roman" w:cs="Times New Roman" w:eastAsia="Times New Roman" w:hAnsi="Times New Roman"/>
          <w:sz w:val="18"/>
          <w:szCs w:val="18"/>
          <w:color w:val="auto"/>
        </w:rPr>
        <w:t>As of September 30, 2025, we had approximately $8.3 million in cash and cash equivalents. Based upon our current operating plan and assumptions, we estimate that our cash and cash equivalents will enable us to fund our operations into the first half of 2026.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7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expect to finance our future cash needs through equity or debt financings, strategic collaborations transactions, or a combination of these approaches. We believe that data from our ongoing clinical trials will enable us to raise additional capital which will address this doubt and enable us to continue as a going concern. However, there can be no assurance that we will be successful in acquiring additional funding at levels sufficient to fund our operations or on terms favorable or acceptable to us, if at all. In addition, our ability to raise additional funds may be adversely impacted by negative global economic conditions and any disruptions to and volatility in the credit and financial markets in the United States and worldwide or other factors. If we are unable to obtain adequate financing when needed or on terms favorable or acceptable to us, we may be forced to delay, reduce the scope of or eliminate one or more of our research and development programs. Moreover, the terms of any financing may adversely affect the holdings or the rights of our stockholders and the issuance of additional securities by us, whether equity or debt, or the market perception that such issuances are likely to occur, could cause the market price of our common stock to decline. If we are unable to raise sufficient capital when needed, our business, financial condition and results of operations will be harmed, and we will need to significantly modify our operational plans to continue as a going concern. If we are unable to continue as a going concern, we might have to liquidate our assets and the values we receive for our assets in liquidation or dissolution could be significantly lower than the values reflected in our financial statements.</w:t>
      </w:r>
    </w:p>
    <w:p>
      <w:pPr>
        <w:spacing w:after="0" w:line="16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Any additional capital raising efforts may divert our management from their day-to-day activities, which may adversely affect our ability to develop and commercialize our current and future product candidates, if approved. The perception that we might be unable to continue as a going concern may also make it more difficult to obtain financing for the continuation of our operations on terms that are favorable to us, or at all, and could result in the loss of confidence by investors and employees.</w:t>
      </w:r>
    </w:p>
    <w:p>
      <w:pPr>
        <w:spacing w:after="0" w:line="2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invest a portion of our cash in a money market fund, which is vulnerable to market-specific risks that could adversely affect our business and financial condition.</w:t>
      </w:r>
    </w:p>
    <w:p>
      <w:pPr>
        <w:spacing w:after="0" w:line="37"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We invest a portion of our cash in a money market fund backed by U.S. government securities. All securities are subject to risk, including fluctuations in interest rates, credit risk, market risk and systemic economic risk. Changes or movements in any of these investment-related risk items may result in a loss or impairment to our invested cash and may have a material adverse effect on our business and financial condition.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no products on the market and our product candidates are in various stages of development. We are currently conducting Phase 2 clinical trials of mecbotamab vedotin, ozuriftamab vedotin, and evalstotug, and a Phase 1 trial of BA3182.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spacing w:after="0" w:line="80" w:lineRule="exact"/>
        <w:rPr>
          <w:sz w:val="20"/>
          <w:szCs w:val="20"/>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clinical trials resulting from external factors including global conflicts and health epidemics;</w:t>
      </w:r>
    </w:p>
    <w:p>
      <w:pPr>
        <w:spacing w:after="0" w:line="117" w:lineRule="exact"/>
        <w:rPr>
          <w:rFonts w:ascii="Times New Roman" w:cs="Times New Roman" w:eastAsia="Times New Roman" w:hAnsi="Times New Roman"/>
          <w:sz w:val="18"/>
          <w:szCs w:val="18"/>
          <w:color w:val="auto"/>
        </w:rPr>
      </w:pPr>
    </w:p>
    <w:p>
      <w:pPr>
        <w:ind w:left="1000" w:right="40" w:hanging="36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preclinical testing or clinical trials leading to a decision or requirement to conduct additional preclinical testing or clinical trials or abandon a program;</w:t>
      </w:r>
    </w:p>
    <w:p>
      <w:pPr>
        <w:spacing w:after="0" w:line="53" w:lineRule="exact"/>
        <w:rPr>
          <w:rFonts w:ascii="Times New Roman" w:cs="Times New Roman" w:eastAsia="Times New Roman" w:hAnsi="Times New Roman"/>
          <w:sz w:val="18"/>
          <w:szCs w:val="18"/>
          <w:color w:val="auto"/>
        </w:rPr>
      </w:pPr>
    </w:p>
    <w:p>
      <w:pPr>
        <w:ind w:left="1000" w:hanging="36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clinical trials or by individuals using therapeutic biologics that share characteristics with our product candidates;</w:t>
      </w:r>
    </w:p>
    <w:p>
      <w:pPr>
        <w:spacing w:after="0" w:line="53" w:lineRule="exact"/>
        <w:rPr>
          <w:rFonts w:ascii="Times New Roman" w:cs="Times New Roman" w:eastAsia="Times New Roman" w:hAnsi="Times New Roman"/>
          <w:sz w:val="18"/>
          <w:szCs w:val="18"/>
          <w:color w:val="auto"/>
        </w:rPr>
      </w:pPr>
    </w:p>
    <w:p>
      <w:pPr>
        <w:jc w:val="both"/>
        <w:ind w:left="1000" w:right="80" w:hanging="36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Investigational New Drug applications (“INDs”) or comparable foreign applications or delays or failure in obtaining the necessary approvals from regulators or institutional review boards (“IRBs”), to commence a clinical trial, or a suspension or termination of a clinical trial once commenced;</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including the EMA, regarding the scope or design of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in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patients;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drug materials or other supplies necessary for the conduct of our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during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authority inspection and review of a clinical trial site;</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our third-party manufacturers’ manufacturing processes or facilities;</w:t>
      </w:r>
    </w:p>
    <w:p>
      <w:pPr>
        <w:spacing w:after="0" w:line="117" w:lineRule="exact"/>
        <w:rPr>
          <w:rFonts w:ascii="Times New Roman" w:cs="Times New Roman" w:eastAsia="Times New Roman" w:hAnsi="Times New Roman"/>
          <w:sz w:val="18"/>
          <w:szCs w:val="18"/>
          <w:color w:val="auto"/>
        </w:rPr>
      </w:pPr>
    </w:p>
    <w:p>
      <w:pPr>
        <w:ind w:left="1000" w:right="280" w:hanging="368"/>
        <w:spacing w:after="0" w:line="312" w:lineRule="auto"/>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31" w:lineRule="exact"/>
        <w:rPr>
          <w:rFonts w:ascii="Times New Roman" w:cs="Times New Roman" w:eastAsia="Times New Roman" w:hAnsi="Times New Roman"/>
          <w:sz w:val="17"/>
          <w:szCs w:val="17"/>
          <w:color w:val="auto"/>
        </w:rPr>
      </w:pPr>
    </w:p>
    <w:p>
      <w:pPr>
        <w:ind w:left="1000" w:right="400" w:hanging="36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third-party contractors, investigators or CROs,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1000" w:right="380" w:hanging="36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or product candidates in particular; or</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comparable foreign regulatory authorities, including the EMA.</w:t>
      </w:r>
    </w:p>
    <w:p>
      <w:pPr>
        <w:spacing w:after="0" w:line="22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Because CABs represent a new generation of antibodies, a delay or failure in development of any CAB product candidate could represent a major set-back for our patented technology platform and for our company generally.</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w:t>
      </w: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1" w:name="page32"/>
    <w:bookmarkEnd w:id="31"/>
    <w:p>
      <w:pPr>
        <w:spacing w:after="0" w:line="256" w:lineRule="auto"/>
        <w:rPr>
          <w:sz w:val="20"/>
          <w:szCs w:val="20"/>
          <w:color w:val="auto"/>
        </w:rPr>
      </w:pPr>
      <w:r>
        <w:rPr>
          <w:rFonts w:ascii="Times New Roman" w:cs="Times New Roman" w:eastAsia="Times New Roman" w:hAnsi="Times New Roman"/>
          <w:sz w:val="18"/>
          <w:szCs w:val="18"/>
          <w:color w:val="auto"/>
        </w:rPr>
        <w:t>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or in any subsequent or post-marketing confirmatory clinical trials.</w:t>
      </w:r>
    </w:p>
    <w:p>
      <w:pPr>
        <w:spacing w:after="0" w:line="160"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and we cannot assure you that the FDA will agree that the results from our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Recently, the FDA has increasingly scrutinized oncology clinical trial results where a substantial portion of the enrollment took place outside the U.S. on the basis that the results from these sites are not applicable to the U.S. population due at least in part to choice of comparator. While we intend to enroll sufficient numbers of U.S. patients to address these concerns, the FDA may disagree and question the applicability of the clinical trial results to the U.S. population. To the extent that the results of the trials are not satisfactory to the FDA, EMA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18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Furthermore, there have been in the past, and may be in the future, investigator-initiated clinical trials using our investigational products.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EMA or comparable foreign regulatory authorities. To the extent the results of these or other investigator-initiated trials are inconsistent with, or different from, the results of our ongoing or planned company-sponsored trials or raise concerns regarding our product candidates, the FDA or a comparable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patented CAB technology platform, and our future success depends heavily on the successful development of this platform.</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use our CAB technology platform to develop product candidates for cancer.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have used our patented technology platform to develop CABs in oncology indications with our lead product candidates mecbotamab vedotin, ozuriftamab vedotin, evalstotug, BA3182, and other preclinical product candidates. We may also in the future continue to build our pipeline of CAB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right="60"/>
        <w:spacing w:after="0" w:line="261" w:lineRule="auto"/>
        <w:rPr>
          <w:sz w:val="20"/>
          <w:szCs w:val="20"/>
          <w:color w:val="auto"/>
        </w:rPr>
      </w:pPr>
      <w:r>
        <w:rPr>
          <w:rFonts w:ascii="Times New Roman" w:cs="Times New Roman" w:eastAsia="Times New Roman" w:hAnsi="Times New Roman"/>
          <w:sz w:val="18"/>
          <w:szCs w:val="18"/>
          <w:color w:val="auto"/>
        </w:rPr>
        <w:t>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For example, we are exploring potential strategic collaboration with third parties to accelerate development of certain assets. In addition, we may decide to further prioritize development of certain programs and certain indications.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develop are smaller than we believe they are, our revenue may be adversely affected and our business may suffer.</w:t>
      </w:r>
    </w:p>
    <w:p>
      <w:pPr>
        <w:spacing w:after="0" w:line="5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We focus our product candidate development on therapeutic CAB antibodies for the treatment of various oncology indications, such as sarcoma, non-small cell lung cancer (“NSCLC”), melanoma, colorectal carcinoma,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9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spacing w:after="0" w:line="75" w:lineRule="exact"/>
        <w:rPr>
          <w:sz w:val="20"/>
          <w:szCs w:val="20"/>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approvals;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any labeling approved by the FDA, EMA or comparable foreign regulatory authorities;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obtain new biopsies or consent to provide existing tumor tissue specimens;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any new methods of administration;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physician education programs;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government and third-party payor reimbursement;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17" w:lineRule="exact"/>
        <w:rPr>
          <w:rFonts w:ascii="Times New Roman" w:cs="Times New Roman" w:eastAsia="Times New Roman" w:hAnsi="Times New Roman"/>
          <w:sz w:val="18"/>
          <w:szCs w:val="18"/>
          <w:color w:val="auto"/>
        </w:rPr>
      </w:pPr>
    </w:p>
    <w:p>
      <w:pPr>
        <w:ind w:left="1000" w:right="300" w:hanging="36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effective treatments for the disease indications our product candidates are intended to treat and the relative risks, benefits and costs of those treatments.</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preplanned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6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5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68" w:lineRule="exact"/>
        <w:rPr>
          <w:sz w:val="20"/>
          <w:szCs w:val="20"/>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preclinical data;</w:t>
      </w:r>
    </w:p>
    <w:p>
      <w:pPr>
        <w:spacing w:after="0" w:line="117" w:lineRule="exact"/>
        <w:rPr>
          <w:rFonts w:ascii="Times New Roman" w:cs="Times New Roman" w:eastAsia="Times New Roman" w:hAnsi="Times New Roman"/>
          <w:sz w:val="18"/>
          <w:szCs w:val="18"/>
          <w:color w:val="auto"/>
        </w:rPr>
      </w:pPr>
    </w:p>
    <w:p>
      <w:pPr>
        <w:ind w:left="1000" w:right="60" w:hanging="36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a failure to reach, a consensus with regulatory authorities on study design;</w:t>
      </w:r>
    </w:p>
    <w:p>
      <w:pPr>
        <w:spacing w:after="0" w:line="117" w:lineRule="exact"/>
        <w:rPr>
          <w:rFonts w:ascii="Times New Roman" w:cs="Times New Roman" w:eastAsia="Times New Roman" w:hAnsi="Times New Roman"/>
          <w:sz w:val="18"/>
          <w:szCs w:val="18"/>
          <w:color w:val="auto"/>
        </w:rPr>
      </w:pPr>
    </w:p>
    <w:p>
      <w:pPr>
        <w:ind w:left="1000" w:right="200" w:hanging="36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IRB approval at each site;</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suitable patients to participate in a trial;</w:t>
      </w:r>
    </w:p>
    <w:p>
      <w:pPr>
        <w:spacing w:after="0" w:line="117" w:lineRule="exact"/>
        <w:rPr>
          <w:rFonts w:ascii="Times New Roman" w:cs="Times New Roman" w:eastAsia="Times New Roman" w:hAnsi="Times New Roman"/>
          <w:sz w:val="18"/>
          <w:szCs w:val="18"/>
          <w:color w:val="auto"/>
        </w:rPr>
      </w:pPr>
    </w:p>
    <w:p>
      <w:pPr>
        <w:ind w:left="1000" w:right="380" w:hanging="36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clinical trials to ensure adequate statistical power to detect statistically significant treatment effects;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having patients complete a trial or return for post-treatment follow-up;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left="1000" w:right="120" w:hanging="36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53" w:lineRule="exact"/>
        <w:rPr>
          <w:rFonts w:ascii="Times New Roman" w:cs="Times New Roman" w:eastAsia="Times New Roman" w:hAnsi="Times New Roman"/>
          <w:sz w:val="18"/>
          <w:szCs w:val="18"/>
          <w:color w:val="auto"/>
        </w:rPr>
      </w:pPr>
    </w:p>
    <w:p>
      <w:pPr>
        <w:ind w:left="1000" w:right="220" w:hanging="36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occurrence of treatment emergent adverse events (“TEAEs”) associated with the product candidate that are viewed to outweigh the product candidate’s potential benefits;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adding new clinical trial sites;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ambiguous or negative interim results;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sufficient quantities of product candidate acceptable for use in clinical trials in a timely manner, or at all; or</w:t>
      </w:r>
    </w:p>
    <w:p>
      <w:pPr>
        <w:spacing w:after="0" w:line="117" w:lineRule="exact"/>
        <w:rPr>
          <w:rFonts w:ascii="Times New Roman" w:cs="Times New Roman" w:eastAsia="Times New Roman" w:hAnsi="Times New Roman"/>
          <w:sz w:val="18"/>
          <w:szCs w:val="18"/>
          <w:color w:val="auto"/>
        </w:rPr>
      </w:pPr>
    </w:p>
    <w:p>
      <w:pPr>
        <w:ind w:left="1000" w:right="560" w:hanging="36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and outbreaks, which in the past has resulted in, and in the future may result in, delays to patient enrollment, patients discontinuing their treatment or follow up visits or changes to trial protocols.</w:t>
      </w:r>
    </w:p>
    <w:p>
      <w:pPr>
        <w:spacing w:after="0" w:line="13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a Data Safety Monitoring Board (“DSMB”), for such trial or by the FDA or comparable foreign regulatory authorities. Such authorities may impose such a suspension or termination due to several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or lost.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28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5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w:t>
      </w:r>
    </w:p>
    <w:p>
      <w:pPr>
        <w:spacing w:after="0" w:line="14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health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5" w:name="page36"/>
    <w:bookmarkEnd w:id="35"/>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EMA or comparable foreign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16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our clinical trials for our antibody-drug conjugates mecbotamab vedotin and ozuriftamab vedotin, we have observed adverse events such as reversible myelosuppression, transient liver enzyme elevations, pyrexia, or fever, metabolic disturbances and peripheral neuropathy. In our clinical trial for evalstotug, we have observed infusion-related reactions, cytokine release syndrome, and immune-related adverse events. In our clinical trial for BA3182, we have observed reversible non-febrile neutropenia, diarrhea, cytokine release syndrome, and transient liver enzyme and bilirubin elevations. We may also observe undesirable side effects in clinical trials for our other product candidates.</w:t>
      </w:r>
    </w:p>
    <w:p>
      <w:pPr>
        <w:spacing w:after="0" w:line="17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EMA or comparable foreign regulatory authorities delaying, suspending or terminating one or more of our clinical trials and which could jeopardize regulatory approval.</w:t>
      </w:r>
    </w:p>
    <w:p>
      <w:pPr>
        <w:spacing w:after="0" w:line="15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ozuriftamab vedotin, evalstotug, and BA3182 have demonstrated manageable tolerability profiles thus far, we cannot assure you that these and our other product candidates will not cause more severe side effects in a greater proportion of patients.</w:t>
      </w:r>
    </w:p>
    <w:p>
      <w:pPr>
        <w:spacing w:after="0" w:line="17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mecbotamab vedotin, ozuriftamab vedotin, and evalstotug have been studied in combination with other therapies, which may exacerbate adverse events associated with the therapy. Patients treated with these or our other product candidates may have recently received surgical, radiation or chemotherapy treatments, which can cause side effects or adverse events that are unrelated to our product candidate but may still impact the success of our clinical trials.</w:t>
      </w:r>
    </w:p>
    <w:p>
      <w:pPr>
        <w:spacing w:after="0" w:line="15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the clinical trials may die or experience major clinical events either during the course of our clinical trials or after participating in such trials due mainly to the gravity of their illness, which has occurred in the past.</w:t>
      </w:r>
    </w:p>
    <w:p>
      <w:pPr>
        <w:spacing w:after="0" w:line="15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any of our product candidates receive regulatory approval, and we or others later identify undesirable and unforeseen side effects caused by such product, negative consequences, including any of the following, could occur:</w:t>
      </w:r>
    </w:p>
    <w:p>
      <w:pPr>
        <w:spacing w:after="0" w:line="54" w:lineRule="exact"/>
        <w:rPr>
          <w:sz w:val="20"/>
          <w:szCs w:val="20"/>
          <w:color w:val="auto"/>
        </w:rPr>
      </w:pPr>
    </w:p>
    <w:p>
      <w:pPr>
        <w:ind w:left="1000" w:right="600" w:hanging="36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limit or withdraw their approval of such product, or seek an injunction against its manufacture or distribution;</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 or post-approval studies;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requested or required to recall a product or change the way such product is administered to patients;</w:t>
      </w:r>
    </w:p>
    <w:p>
      <w:pPr>
        <w:spacing w:after="0" w:line="117" w:lineRule="exact"/>
        <w:rPr>
          <w:rFonts w:ascii="Times New Roman" w:cs="Times New Roman" w:eastAsia="Times New Roman" w:hAnsi="Times New Roman"/>
          <w:sz w:val="18"/>
          <w:szCs w:val="18"/>
          <w:color w:val="auto"/>
        </w:rPr>
      </w:pPr>
    </w:p>
    <w:p>
      <w:pPr>
        <w:ind w:left="1000" w:right="460" w:hanging="36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1000" w:right="120" w:hanging="368"/>
        <w:spacing w:after="0" w:line="312" w:lineRule="auto"/>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spacing w:after="0" w:line="31" w:lineRule="exact"/>
        <w:rPr>
          <w:rFonts w:ascii="Times New Roman" w:cs="Times New Roman" w:eastAsia="Times New Roman" w:hAnsi="Times New Roman"/>
          <w:sz w:val="17"/>
          <w:szCs w:val="17"/>
          <w:color w:val="auto"/>
        </w:rPr>
      </w:pPr>
    </w:p>
    <w:p>
      <w:pPr>
        <w:ind w:left="1000" w:right="80" w:hanging="36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and/or create a Medication Guide outlining the risks of such side effects for distribution to patients, a communication plan for healthcare providers and/or other elements to assure safe use;</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6" w:name="page37"/>
    <w:bookmarkEnd w:id="36"/>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9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developing certain of our product candidates in combination with other therapies, and regulatory approval, safety or supply issues with these other therapies may delay or prevent the development and approval of our product candidates.</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have investigated the use of each of mecbotamab vedotin, ozuriftamab vedotin, and evalstotug in combination with an anti-PD-1 antibody.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17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6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8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78"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If use of a companion diagnostic test is determined to be essential for the safe and effective use of any of our product candidates, such as mecbotamab vedotin and ozuriftamab vedotin, then the FDA generally will require approval or clearance of that companion diagnostic before or at the same time that the FDA approves our product candidates, if at all. The FDA has generally required in vitro companion diagnostics intended to select the patients who will respond to cancer treatment to obtain a premarket approval (“PMA”) for that diagnostic simultaneously with approval of the therapeutic. The process of obtaining or creating such diagnostic and obtaining a PMA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have in the past explored predictive biomarkers, such as the Tumor Membrane Percent Score (“TmPS”), which measures AXL and ROR2 expression levels on the tumor membrane, to help inform which patients may be most suitable for treatment with mecbotamab vedotin and ozuriftamab vedotin. Currently, patients with negative or only 1% TmPS scores appear to have experienced clinical benefit in our ongoing clinical trials. However, if the AXL and/or ROR2 TmPS scores predict those most likely to experience clinical benefit, we may be required to pursue the further use of a companion diagnostic in our mecbotamab vedotin or ozuriftamab vedotin clinical trials, and the available market for mecbotamab vedotin or ozuriftamab vedotin, both in patient numbers and patient acceptance of the protocol, could be limited. In addition, we expect to rely on third parties for the design, development and manufacture of companion diagnostic tests for any of our product candidates that require such tests.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spacing w:after="0" w:line="17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spacing w:after="0" w:line="2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spacing w:after="0" w:line="16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Although we do not believe competing companies have selective CAB technology, there is a wide array of activity in several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18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8" w:name="page39"/>
    <w:bookmarkEnd w:id="38"/>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of our programs.</w:t>
      </w:r>
    </w:p>
    <w:p>
      <w:pPr>
        <w:spacing w:after="0" w:line="17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biologic product candidates for which we intend to seek approval may face competition through an abbreviated pathway.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(the “BPCIA”), enacted as part of the Affordable Care Act (the “ACA”), created an abbreviated approval pathway for biological products that are biosimilar to or interchangeable with an FDA-licensed reference biological product. Under the BPCIA, an application for a biosimilar product referencing an exclusivity-protected product may not be submitted to the FDA until four years following the date that the reference product was first licensed by the FDA. In addition, the approval of a biosimilar product referencing an exclusivity-protected biological product may not be made effective by the FDA until 12 years from the date on which the reference product was first licensed. During this 12-year period of exclusivity, another company may still market a competing version of the reference product if the FDA approves a full Biologics License Application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16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There is a risk that any product candidates we may develop that are approved by FDA as a biological product under a BLA would not qualify for the 12-year period of exclusivity or that this exclusivity could be shortened due to congressional action or otherwise, potentially creating the opportunity for generic competition sooner than anticipated.</w:t>
      </w:r>
    </w:p>
    <w:p>
      <w:pPr>
        <w:spacing w:after="0" w:line="2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other legal compliance matters and taxation</w:t>
      </w:r>
    </w:p>
    <w:p>
      <w:pPr>
        <w:spacing w:after="0" w:line="117"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not in compliance with Nasdaq’s continued listing requirements. If we are unable to comply with Nasdaq’s continued listing requirements, our common stock could be delisted, which could affect the price of our common stock and liquidity and reduce our ability to raise capital.</w:t>
      </w:r>
    </w:p>
    <w:p>
      <w:pPr>
        <w:spacing w:after="0" w:line="6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The Nasdaq Capital Market has established certain quantitative criteria and qualitative standards that companies must meet to remain listed for trading on this market.</w:t>
      </w:r>
    </w:p>
    <w:p>
      <w:pPr>
        <w:spacing w:after="0" w:line="135"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On February 6, 2025, the Company received written notice (the “Minimum Bid Price Deficiency Notice”) from the Listing Qualifications Department of The Nasdaq Stock Market LLC (“Nasdaq”) stating that the Company is not in compliance with Nasdaq Listing Rule 5550(a)(2) (the “Minimum Bid Price Requirement”) because the Company has not maintained a minimum closing bid price of the Company’s common stock of at least $1.00 per share for the last 30 consecutive business days and that it had 180 calendar days from the date of the Minimum Bid Price Deficiency Notice, or until August 5, 2025 (the “Compliance Date”), to regain compliance. Because the Company does not meet the applicable market value of publicly held shares requirement for continued listing and all other applicable standards for initial listing on The Nasdaq Capital Market (other than the Minimum Bid Price Requirement), the Company was unable to transfer to The Nasdaq Capital Market and was not afforded an additional 180-day compliance period.</w:t>
      </w:r>
    </w:p>
    <w:p>
      <w:pPr>
        <w:spacing w:after="0" w:line="175"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addition, on May 12, 2025, the Company received a written notice (the “Minimum Stockholders’ Equity Deficiency Notice”) from the Listing Qualifications Staff of Nasdaq (the “Staff”) notifying the Company that because the Company’s stockholders’ equity was $547,000 as of March 31, 2025, as reported in the Company’s Quarterly Report on Form 10-Q for the quarter ended March 31, 2025, it was no longer in compliance with the $10,000,000 minimum stockholders’ equity requirement for continued listing on The Nasdaq Global Market under Nasdaq Listing Rule 5450(b)(1)(A) (the “Minimum Stockholders’ Equity Requirement”), and the Company, as of the date of the Minimum Stockholders’ Equity Deficiency Notice, also did not meet the alternative compliance standards relating to the market value of the listed securities or the Company’s total assets and revenue. The Company timely submitted a plan to regain compliance of the Minimum Stockholders’ Equity Requirement on June 26, 2025.</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August 6, 2025, the Staff issued a delist determination to the Company, indicating that the Company did not satisfy the Minimum Bid Price Requirement by the Compliance Date. Although on June 26, 2025, the Company submitted its plan to regain compliance with the Minimum Stockholders’ Equity Requirement, pursuant to Listing Rule 5810(d)(2), this deficiency became an additional basis for delisting, and as a result, the Company was not eligible for a second 180-day extension.</w:t>
      </w:r>
    </w:p>
    <w:p>
      <w:pPr>
        <w:spacing w:after="0" w:line="16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September 9, 2025, the Company presented to the Nasdaq Listing Qualifications Panel (the “Panel”) its plan to regain and sustain compliance (the “Compliance Plan”) that is aligned with the Company’s business objectives and current operating plan and requested an extension to regain compliance with the Minimum Bid Price Requirement and the Minimum Stockholders’ Equity Requirement. The Compliance Plan that was presented to Nasdaq included a discussion of expected near term corporate events, including expected clinical developments and planned data readouts, as well as potential transactions, including the status of potential strategic partnerships.</w:t>
      </w:r>
    </w:p>
    <w:p>
      <w:pPr>
        <w:spacing w:after="0" w:line="15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On September 16, 2025, the Company received a written notification from the Panel confirming that the Panel has granted the Company’s request for continued listing on Nasdaq, provided that the Company, (i) on or before September 26, 2025, files an application with the Listing Qualifications department to transfer to The Nasdaq Capital Market; (ii) on or before December 31, 2025, demonstrates compliance with the Minimum Stockholders’ Equity Requirement; and (iii) on or before February 2, 2026, demonstrates compliance with the Minimum Bid Price Requirement.</w:t>
      </w:r>
    </w:p>
    <w:p>
      <w:pPr>
        <w:spacing w:after="0" w:line="153"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On September 18, 2025, the Company submitted its application to transfer to The Nasdaq Capital Market. No assurance can be given that the Company will meet the Minimum Bid Price Requirement prior to the February 2, 2026 deadline. Failure to meet applicable Nasdaq continued listing standards could result in a delisting of the Company’s common stock.</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Any delisting of our common stock could adversely affect the market liquidity of our common stock, and the market price of our common stock could decrease. In addition, delisting of our common stock could result in the loss of confidence by investors and adversely affect our ability to raise capital on terms acceptable to us, or at all, and would also make it more difficult for our stockholders to sell or purchase our common stock when they wish to do so. If delisted, we will likely trade on the OTC Markets system, which could make it more difficult to dispose of, or obtain accurate quotations for the price of, our common stock, and may lead to a reduction in coverage by securities analysts and the news media, which could cause the price of our common stock to decline further.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 and, as a result, unable to commercialize our product candidates.</w:t>
      </w:r>
    </w:p>
    <w:p>
      <w:pPr>
        <w:spacing w:after="0" w:line="121" w:lineRule="exact"/>
        <w:rPr>
          <w:sz w:val="20"/>
          <w:szCs w:val="20"/>
          <w:color w:val="auto"/>
        </w:rPr>
      </w:pPr>
    </w:p>
    <w:p>
      <w:pPr>
        <w:jc w:val="both"/>
        <w:ind w:right="580" w:firstLine="509"/>
        <w:spacing w:after="0" w:line="257" w:lineRule="auto"/>
        <w:rPr>
          <w:sz w:val="20"/>
          <w:szCs w:val="20"/>
          <w:color w:val="auto"/>
        </w:rPr>
      </w:pPr>
      <w:r>
        <w:rPr>
          <w:rFonts w:ascii="Times New Roman" w:cs="Times New Roman" w:eastAsia="Times New Roman" w:hAnsi="Times New Roman"/>
          <w:sz w:val="18"/>
          <w:szCs w:val="18"/>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ind w:right="60"/>
        <w:spacing w:after="0" w:line="258" w:lineRule="auto"/>
        <w:rPr>
          <w:sz w:val="20"/>
          <w:szCs w:val="20"/>
          <w:color w:val="auto"/>
        </w:rPr>
      </w:pPr>
      <w:r>
        <w:rPr>
          <w:rFonts w:ascii="Times New Roman" w:cs="Times New Roman" w:eastAsia="Times New Roman" w:hAnsi="Times New Roman"/>
          <w:sz w:val="18"/>
          <w:szCs w:val="18"/>
          <w:color w:val="auto"/>
        </w:rPr>
        <w:t>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56"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have not completed any large-scale or pivotal clinical trials nor managed the regulatory approval process with the FDA or any other comparable foreign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Oncology Center of Excellence initiatives have included Project FrontRunner, an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Equity, which was an initiative to ensure that the data submitted to the FDA for approval of oncology medical products adequately reflects the demographic representation of patients for whom the medical products are intended. More recently, as part of the Food and Drug Omnibus Reform Act (“FDORA”), sponsors will be required to submit Diversity Action Plans (“DAPs”) for Phase 3 studies or other pivotal studies of new drugs. DAPs must include the sponsor’s goals for enrollment for such studies, disaggregated by age group, sex, and racial and ethnic demographic characteristics of clinically relevant study populations; the sponsor’s rationale for such goals; and an explanation of how the sponsor intends to meet such goals. Actions taken in the early days of the new presidential administration have created significant uncertainty as to whether Project Equity will continue and whether the statutory requirements related to DAPs will be implemented by FDA in the near future or at all. We are considering these and other policy changes as they relate to our programs.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our product candidates could fail to receive regulatory approval for many reasons including the following:</w:t>
      </w:r>
    </w:p>
    <w:p>
      <w:pPr>
        <w:spacing w:after="0" w:line="117" w:lineRule="exact"/>
        <w:rPr>
          <w:sz w:val="20"/>
          <w:szCs w:val="20"/>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00" w:right="100" w:hanging="36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53" w:lineRule="exact"/>
        <w:rPr>
          <w:rFonts w:ascii="Times New Roman" w:cs="Times New Roman" w:eastAsia="Times New Roman" w:hAnsi="Times New Roman"/>
          <w:sz w:val="18"/>
          <w:szCs w:val="18"/>
          <w:color w:val="auto"/>
        </w:rPr>
      </w:pPr>
    </w:p>
    <w:p>
      <w:pPr>
        <w:ind w:left="1000" w:right="440" w:hanging="36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fail to achieve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the dose for the product candidate has been optimized;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a sufficient response rate or duration of response for a product candidate;</w:t>
      </w:r>
    </w:p>
    <w:p>
      <w:pPr>
        <w:spacing w:after="0" w:line="117" w:lineRule="exact"/>
        <w:rPr>
          <w:rFonts w:ascii="Times New Roman" w:cs="Times New Roman" w:eastAsia="Times New Roman" w:hAnsi="Times New Roman"/>
          <w:sz w:val="18"/>
          <w:szCs w:val="18"/>
          <w:color w:val="auto"/>
        </w:rPr>
      </w:pPr>
    </w:p>
    <w:p>
      <w:pPr>
        <w:ind w:left="1000" w:right="680" w:hanging="36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submitted in support of regulatory approval;</w:t>
      </w:r>
    </w:p>
    <w:p>
      <w:pPr>
        <w:spacing w:after="0" w:line="53" w:lineRule="exact"/>
        <w:rPr>
          <w:rFonts w:ascii="Times New Roman" w:cs="Times New Roman" w:eastAsia="Times New Roman" w:hAnsi="Times New Roman"/>
          <w:sz w:val="18"/>
          <w:szCs w:val="18"/>
          <w:color w:val="auto"/>
        </w:rPr>
      </w:pPr>
    </w:p>
    <w:p>
      <w:pPr>
        <w:ind w:left="1000" w:right="300" w:hanging="36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contractors may not meet the current Good Manufacturing Practices (“cGMPs”) and other applicable requirements for</w:t>
      </w:r>
    </w:p>
    <w:p>
      <w:pPr>
        <w:spacing w:after="0" w:line="27" w:lineRule="exact"/>
        <w:rPr>
          <w:sz w:val="20"/>
          <w:szCs w:val="20"/>
          <w:color w:val="auto"/>
        </w:rPr>
      </w:pPr>
    </w:p>
    <w:p>
      <w:pPr>
        <w:ind w:left="1000" w:right="440"/>
        <w:spacing w:after="0" w:line="250" w:lineRule="auto"/>
        <w:rPr>
          <w:sz w:val="20"/>
          <w:szCs w:val="20"/>
          <w:color w:val="auto"/>
        </w:rPr>
      </w:pPr>
      <w:r>
        <w:rPr>
          <w:rFonts w:ascii="Times New Roman" w:cs="Times New Roman" w:eastAsia="Times New Roman" w:hAnsi="Times New Roman"/>
          <w:sz w:val="18"/>
          <w:szCs w:val="18"/>
          <w:color w:val="auto"/>
        </w:rPr>
        <w:t>manufacturing processes, procedures, documentation and facilities necessary for approval by the FDA or comparable foreign regulatory authorities.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28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intend to seek accelerated approval for one or more of our product candidates. Under the accelerated approval program, the FDA may grant accelerated approval to a product candidate designed to treat a serious or life-threatening condition that provides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a meaningful advantage over the approved product.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6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For example, we received feedback from the FDA in September 2025 on the design of our planned Phase 3 trial of ozuriftamab vedotin for the treatment of oropharyngelal squamous cell carcinoma to support potential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2" w:name="page43"/>
    <w:bookmarkEnd w:id="42"/>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Recently, the accelerated approval pathway has come under scrutiny within the FDA and by Congress. The FDA has put increased focus on ensuring that confirmatory studies are conducted with diligence and, ultimately, that such studies confirm the anticipated clinical benefit. For example, the FDA has convened its Oncologic Drugs Advisory Committee to review what the FDA has called dangling or delinquent accelerated approvals where confirmatory studies have not been completed or where results did not confirm benefit.</w:t>
      </w:r>
    </w:p>
    <w:p>
      <w:pPr>
        <w:spacing w:after="0" w:line="16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enactment of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w:t>
      </w:r>
    </w:p>
    <w:p>
      <w:pPr>
        <w:spacing w:after="0" w:line="29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 for one or more of our product candidates but we might not receive such designation and, even if granted, such designation may not lead to a faster development or regulatory review or approval process and does not increase the likelihood that our product candidates will receive regulatory approval.</w:t>
      </w:r>
    </w:p>
    <w:p>
      <w:pPr>
        <w:spacing w:after="0" w:line="6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July 2024, the FDA granted Fast Track designation for ozuriftamab vedotin in recurrent or metastatic squamous cell carcinoma of the head and neck (“SCCHN”), and we may seek Fast Track designation in the future for other product candidates. If a drug is intended for the treatment of a serious or life-threatening disease and the drug demonstrates the potential to address unmet medical needs for this disease, the drug may qualify for Fast Track designation. The FDA has broad discretion whether or not to grant this designation. Even if we believe a particular product candidate is eligible for this designation, we cannot assure you that the FDA would decide to grant it. Even if product candidates do receive Fast Track designation, as ozuriftamab vedotin has in recurrent or metastatic SCCHN, we may not experience a faster development process, review or approval compared to conventional FDA procedures. The FDA may withdraw Fast Track designation if it believes that the designation is no longer supported by data from its clinical development programs. Many drugs that have received Fast Track designation have failed to obtain approval, and there can be no assurance that such Fast Track designation would lead to a faster development or regulatory review or approval process, or increase the likelihood of receiving regulatory approval.</w:t>
      </w:r>
    </w:p>
    <w:p>
      <w:pPr>
        <w:spacing w:after="0" w:line="2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6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comparable foreign regulatory authorities,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0" w:lineRule="exact"/>
        <w:rPr>
          <w:sz w:val="20"/>
          <w:szCs w:val="20"/>
          <w:color w:val="auto"/>
        </w:rPr>
      </w:pPr>
    </w:p>
    <w:p>
      <w:pPr>
        <w:ind w:left="1000" w:hanging="36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w:t>
      </w:r>
    </w:p>
    <w:p>
      <w:pPr>
        <w:spacing w:after="0" w:line="117" w:lineRule="exact"/>
        <w:rPr>
          <w:rFonts w:ascii="Times New Roman" w:cs="Times New Roman" w:eastAsia="Times New Roman" w:hAnsi="Times New Roman"/>
          <w:sz w:val="18"/>
          <w:szCs w:val="18"/>
          <w:color w:val="auto"/>
        </w:rPr>
      </w:pPr>
    </w:p>
    <w:p>
      <w:pPr>
        <w:ind w:left="5540" w:right="4040" w:hanging="4908"/>
        <w:spacing w:after="0" w:line="282" w:lineRule="auto"/>
        <w:tabs>
          <w:tab w:leader="none" w:pos="10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 or voluntary or mandatory product recalls;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3" w:name="page44"/>
    <w:bookmarkEnd w:id="43"/>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clinical trials;</w:t>
      </w:r>
    </w:p>
    <w:p>
      <w:pPr>
        <w:spacing w:after="0" w:line="117" w:lineRule="exact"/>
        <w:rPr>
          <w:rFonts w:ascii="Times New Roman" w:cs="Times New Roman" w:eastAsia="Times New Roman" w:hAnsi="Times New Roman"/>
          <w:sz w:val="18"/>
          <w:szCs w:val="18"/>
          <w:color w:val="auto"/>
        </w:rPr>
      </w:pPr>
    </w:p>
    <w:p>
      <w:pPr>
        <w:ind w:left="1000" w:right="40" w:hanging="36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of approval or refusal by the FDA or comparable foreign regulatory authorities in other jurisdictions to approve pending applications or supplements to approved applications filed by us, our current collaborator or any future strategic partners;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license approvals;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9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2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At our programs’ current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6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State Medicaid agencies and Medicaid managed care plans make coverage and payment decisions under Medicaid within federal guidelines.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May 12, 2025, President Trump issued an Executive Order that, among other things, required HHS, within 30 days, to establish and communicate to drug manufacturers most-favored-nation (“MFN”) price targets designed to bring drug prices for American patients in line with those in comparably developed nations. If significant progress towards MFN pricing is not achieved, the Executive Order requires HHS to propose a rulemaking to implement MFN pricing. HHS is currently developing a proposed rule to establish a demonstration model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right="60"/>
        <w:spacing w:after="0" w:line="255" w:lineRule="auto"/>
        <w:rPr>
          <w:sz w:val="20"/>
          <w:szCs w:val="20"/>
          <w:color w:val="auto"/>
        </w:rPr>
      </w:pPr>
      <w:r>
        <w:rPr>
          <w:rFonts w:ascii="Times New Roman" w:cs="Times New Roman" w:eastAsia="Times New Roman" w:hAnsi="Times New Roman"/>
          <w:sz w:val="18"/>
          <w:szCs w:val="18"/>
          <w:color w:val="auto"/>
        </w:rPr>
        <w:t>under the auspices of CMS’s Center for Medicare and Medicaid Innovation that will require MFN pricing, but the proposed rule has not yet been published, so it is not yet known which drugs will be covered, how long the model will be in effect, or how pricing will be determined. If that rule or other MFN pricing rules are finalized, they are likely to mandate reduced prices of at least some drugs in the United States, if they are also sold in comparator countries. Even if we do not market drugs in such countries, we will be indirectly affected if our drugs competed with drugs that were reduced by MFN pricing.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(EU),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6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or therapeutic biologics, and coverage may be more limited than the purposes for which the drug or therapeutic biologic is approved by the FDA or similar regulatory authorities outside of the United States. Moreover, eligibility for reimbursement does not guarantee that any drug or therapeutic biologic will be reimbursed in all cases or at a rate that permits us to cover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comparable foreign regulatory authorities actively enforce the laws and regulations prohibiting the promotion of off-label uses.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comparable foreign regulatory authorities strictly regulate the promotional claims that may be made about prescription products, such as our product candidates, if approved. In particular, a product may not be promoted for uses that are not approved by the FDA or such other comparable foreign regulatory authorities as reflected in the product’s approved labeling. For example, if we receive marketing approval for mecbotamab vedotin as a treatment for mKRAS NSCLC, and we are found to have promoted off-label uses, we may become subject to significant liability. Physicians may nevertheless use our product for their patients in a manner that is inconsistent with the approved labeling.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294"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among other factors, funding shortages or global health concerns could hinder their ability to hire and retain key leadership and other personnel, otherwise prevent new or modified products from being developed, approved or commercialized in a timely manner or at all, or otherwise prevent those agencies from</w:t>
      </w: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performing normal business functions on which the operation of our business may rely, which could negatively impact our business.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15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or approved by necessary government agencies, which would adversely affect our business. Furthermore, the application of newly developed artificial intelligence (“AI”) and other technologies may have the impact of reducing the development time to bring new products to market, which may materially increase the volume of applications for product approval to the FDA compared to historical application levels. If this increased application volume materializes and funding for additional staff and resources are not allocated to the FDA, the FDA may not be able to continue its current pace of application reviews and review timelines could be extended. Regulatory authorities outside the U.S. facing similar increases in application volume may also experience delays in their regulatory activities.</w:t>
      </w:r>
    </w:p>
    <w:p>
      <w:pPr>
        <w:spacing w:after="0" w:line="17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Similar consequences would also result in the event of a significant shutdown of the federal government. For example, over the last several years, including for 35 days beginning on December 22, 2018, and most recently beginning on October 1, 2025, the U.S. government has shut down several times and certain regulatory authorities, such as the FDA, have had to furlough critical employees and stop critical activities to the extent they are not funded by existing available user fees. Additionally, starting in January 2025, the new Trump administration has reduced the number of federal employees by establishing voluntary termination programs, by position eliminations or by involuntary terminations.</w:t>
      </w:r>
    </w:p>
    <w:p>
      <w:pPr>
        <w:spacing w:after="0" w:line="15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a prolonged government shutdown occurs, including if the current government shutdown does not end soon, if funding for the FDA, including for user-fee funded activities or other federal agencies (including their workforce) is reduced or exhausted, if global health concerns prevent the FDA or comparable foreign regulatory authorities from conducting their regular inspections, reviews, or other regulatory activities, or if the volume of applications to the FDA or comparable foreign regulatory authorities for new product candidates increases materially, it could significantly impact the ability of the FDA or comparable foreign regulatory authorities to timely review and process our regulatory submissions, and could even result in a complete cessation of such activities until appropriations legislation or a continuing resolution is passed,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9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uncertainty regarding the new Administration’s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impact our business.</w:t>
      </w:r>
    </w:p>
    <w:p>
      <w:pPr>
        <w:spacing w:after="0" w:line="53" w:lineRule="exact"/>
        <w:rPr>
          <w:sz w:val="20"/>
          <w:szCs w:val="20"/>
          <w:color w:val="auto"/>
        </w:rPr>
      </w:pPr>
    </w:p>
    <w:p>
      <w:pPr>
        <w:ind w:right="200" w:firstLine="509"/>
        <w:spacing w:after="0" w:line="253" w:lineRule="auto"/>
        <w:rPr>
          <w:sz w:val="20"/>
          <w:szCs w:val="20"/>
          <w:color w:val="auto"/>
        </w:rPr>
      </w:pPr>
      <w:r>
        <w:rPr>
          <w:rFonts w:ascii="Times New Roman" w:cs="Times New Roman" w:eastAsia="Times New Roman" w:hAnsi="Times New Roman"/>
          <w:sz w:val="18"/>
          <w:szCs w:val="18"/>
          <w:color w:val="auto"/>
        </w:rPr>
        <w:t>FDA-regulated industries, such as ours, face substantial uncertainty in regard to the regulatory environment we will face as we proceed with research and development, and possibly in the future commercialization, efforts following the inauguration of President Trump in January 2025. Some of these efforts have manifested to date as efforts to reduce the size of the federal government, including large-scale reductions in force at FDA. The loss of key personnel at the FDA, including those in leadership positions, is likely to impact operations at the FDA, which could result in, among other things, delays or limitations on our ability to obtain guidance from the FDA on our product candidates in development, longer review times, and delays in obtaining regulatory approvals for our product candidates. Moreover, the new Administration has paused payments by, reduced the budget of, and terminated grants provided by the National Institutes of Health (“NIH”) as related to its funding for medical research, which has decreased, and may continue to decrease, the ability of facilities that rely on NIH funding to enroll and conduct clinical trials. Some of these actions have been challenged in court and there remains general uncertainty regarding future activities. The new Administration could issue or promulgate executive orders, regulations, policies or guidance that adversely affects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or our collaborators become negatively impacted by future governmental orders, regulations, policies or guidance as a result of the new Administration, there could be a material adverse effect on us and our business.</w:t>
      </w:r>
    </w:p>
    <w:p>
      <w:pPr>
        <w:spacing w:after="0" w:line="291"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EMA and other comparable foreign regulatory authorities may not accept data from trials conducted in locations outside of their jurisdiction.</w:t>
      </w:r>
    </w:p>
    <w:p>
      <w:pPr>
        <w:spacing w:after="0" w:line="51" w:lineRule="exact"/>
        <w:rPr>
          <w:sz w:val="20"/>
          <w:szCs w:val="20"/>
          <w:color w:val="auto"/>
        </w:rPr>
      </w:pPr>
    </w:p>
    <w:p>
      <w:pPr>
        <w:jc w:val="both"/>
        <w:ind w:right="260" w:firstLine="509"/>
        <w:spacing w:after="0" w:line="257" w:lineRule="auto"/>
        <w:rPr>
          <w:sz w:val="20"/>
          <w:szCs w:val="20"/>
          <w:color w:val="auto"/>
        </w:rPr>
      </w:pPr>
      <w:r>
        <w:rPr>
          <w:rFonts w:ascii="Times New Roman" w:cs="Times New Roman" w:eastAsia="Times New Roman" w:hAnsi="Times New Roman"/>
          <w:sz w:val="18"/>
          <w:szCs w:val="18"/>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6" w:name="page47"/>
    <w:bookmarkEnd w:id="46"/>
    <w:p>
      <w:pPr>
        <w:ind w:right="60"/>
        <w:spacing w:after="0" w:line="254" w:lineRule="auto"/>
        <w:rPr>
          <w:sz w:val="20"/>
          <w:szCs w:val="20"/>
          <w:color w:val="auto"/>
        </w:rPr>
      </w:pPr>
      <w:r>
        <w:rPr>
          <w:rFonts w:ascii="Times New Roman" w:cs="Times New Roman" w:eastAsia="Times New Roman" w:hAnsi="Times New Roman"/>
          <w:sz w:val="18"/>
          <w:szCs w:val="18"/>
          <w:color w:val="auto"/>
        </w:rPr>
        <w:t>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6"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addition, in the United States, there have been and continue to be several legislative initiatives to contain healthcare costs. Previously, in March 2010, the ACA was enacted, which was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w:t>
      </w:r>
    </w:p>
    <w:p>
      <w:pPr>
        <w:spacing w:after="0" w:line="153"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Later healthcare reform initiatives culminated in the enactment of the Inflation Reduction Act (“IRA”) in August 2022, which, among other things, allows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drugs) are eligible to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Currently, a drug or biological product that has an orphan drug designation for only one rare disease or condition is excluded from the IRA’s price negotiation requirements, as long as it is approved only for an indication within that disease or condition. However, as a result of a statutory amendment enacted in July 2025, beginning with the 2028 negotiated price applicability year, a drug may be designated for more than one rare disease or condition and still be excluded from price negotiation, as long as the only approved indications are for such rare diseases or conditions. The negotiated prices have represented, and will continue to represent, a significant discount from average prices to wholesalers and direct purchasers. The law also imposes rebates on Medicare Part D and Part B drugs whose prices have increased at a rate greater than the rate of inflation. The IRA also extends enhanced premium subsidies for lower income individuals purchasing health insurance coverage in ACA marketplaces through plan year 2025, but those subsidies are set to expire at the end of 2025 unless they are extended by Congress. Manufacturers that fail to comply with the IRA may be subject to various penalties, including civil monetary penalties. The IRA permits the Secretary of HHS to implement many of these provisions through guidance, as opposed to regulation, for the initial years. These provisions may be subject to legal challenges. For example, the provisions related to the negotiation of selling prices of high-expenditure single-source drugs and biologics have been challenged in several lawsuits. Thus, while it is unclear how certain provisions of the IRA will be implemented, the IRA will likely have a significant impact on the pharmaceutical industry. It is unclear to what extent other statutory, regulatory, and administrative initiatives will be enacted and implemented, and to what extent these or any future legislation or regulations by the current administration or subsequent administrations will have on our business, including market acceptance, and sales, of our products and product candidates.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7" w:name="page48"/>
    <w:bookmarkEnd w:id="47"/>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17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July 4, 2025, President Trump signed into law the One Beautiful Bill Act (“OBBBA”), which, among other things, contains a number of provisions designed to reduce the number of Americans insured under Medicaid and health exchange plans established under the 2010 Affordable Care Act. The provisions intended to reduce Medicaid enrollment include a work requirement, under which applicants and current beneficiaries will be required to demonstrate that they are engaged for at least 80 hours per month in work, community service, an educational program, or some combination of these. Parents and caregivers of dependent children 13 years old or less and certain other beneficiaries are exempted. In addition, the OBBBA establishes more frequent eligibility verification requirements, restrictions on how states can finance their share of Medicaid, elimination of coverage for undocumented immigrants, and elimination of coverage for gender affirming care and certain family planning clinics. A Congressional Budget Office (“CBO”) analysis of the Act estimates that 7.8 million adults will lose Medicaid coverage by 2034, of which 5.2 million will be due to the work requirement. In addition, the OBBBA makes changes to the ACA insurance marketplaces, including, among other measures, greater limitations on enrollment periods, which will result in an additional 3.6 million Americans being uninsured by 2034 according to CBO’s estimate. These significant decreases in the numbers of insured Americans will reduce the ability of patients, especially those of modest means, to afford medications, which could reduce the demand for our products.</w:t>
      </w:r>
    </w:p>
    <w:p>
      <w:pPr>
        <w:spacing w:after="0" w:line="16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the FDA authorized the first such plan in Florida in January 2024, which has been extended until November 2025. It is unclear whether this program will be extended, how it will be implemented, including which drugs will be chosen, and whether it will be subject to legal challenges in the United States or Canada. Other states have also submitted proposals that are pending review by the FDA.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that we successfully commercialize or put pressure on our product pricing.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spacing w:after="0" w:line="2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75" w:lineRule="exact"/>
        <w:rPr>
          <w:sz w:val="20"/>
          <w:szCs w:val="20"/>
          <w:color w:val="auto"/>
        </w:rPr>
      </w:pPr>
    </w:p>
    <w:p>
      <w:pPr>
        <w:ind w:left="1000" w:hanging="36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and entities from knowingly and willfully soliciting,</w:t>
      </w:r>
    </w:p>
    <w:p>
      <w:pPr>
        <w:spacing w:after="0" w:line="27" w:lineRule="exact"/>
        <w:rPr>
          <w:sz w:val="20"/>
          <w:szCs w:val="20"/>
          <w:color w:val="auto"/>
        </w:rPr>
      </w:pPr>
    </w:p>
    <w:p>
      <w:pPr>
        <w:ind w:left="1000" w:right="40"/>
        <w:spacing w:after="0" w:line="250" w:lineRule="auto"/>
        <w:rPr>
          <w:sz w:val="20"/>
          <w:szCs w:val="20"/>
          <w:color w:val="auto"/>
        </w:rPr>
      </w:pPr>
      <w:r>
        <w:rPr>
          <w:rFonts w:ascii="Times New Roman" w:cs="Times New Roman" w:eastAsia="Times New Roman" w:hAnsi="Times New Roman"/>
          <w:sz w:val="18"/>
          <w:szCs w:val="18"/>
          <w:color w:val="auto"/>
        </w:rPr>
        <w:t>receiving, offering, or providing remuneration, directly or indirectly, in cash or in kind to induce or reward, or in return for, either the referral of an individual,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8" w:name="page49"/>
    <w:bookmarkEnd w:id="48"/>
    <w:p>
      <w:pPr>
        <w:ind w:left="1000" w:right="20" w:hanging="368"/>
        <w:spacing w:after="0" w:line="258"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a claim including items and services resulting from a violation of the federal Anti-Kickback Statute constitutes a false or fraudulent claim for purposes of the False Claims Act;</w:t>
      </w:r>
    </w:p>
    <w:p>
      <w:pPr>
        <w:spacing w:after="0" w:line="75" w:lineRule="exact"/>
        <w:rPr>
          <w:rFonts w:ascii="Times New Roman" w:cs="Times New Roman" w:eastAsia="Times New Roman" w:hAnsi="Times New Roman"/>
          <w:sz w:val="18"/>
          <w:szCs w:val="18"/>
          <w:color w:val="auto"/>
        </w:rPr>
      </w:pPr>
    </w:p>
    <w:p>
      <w:pPr>
        <w:ind w:left="1000" w:right="80" w:hanging="368"/>
        <w:spacing w:after="0" w:line="258"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160" w:hanging="383"/>
        <w:spacing w:after="0" w:line="277"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59" w:lineRule="exact"/>
        <w:rPr>
          <w:rFonts w:ascii="Times New Roman" w:cs="Times New Roman" w:eastAsia="Times New Roman" w:hAnsi="Times New Roman"/>
          <w:sz w:val="17"/>
          <w:szCs w:val="17"/>
          <w:color w:val="auto"/>
        </w:rPr>
      </w:pPr>
    </w:p>
    <w:p>
      <w:pPr>
        <w:ind w:left="1000" w:right="800" w:hanging="36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and unfair competition laws, which broadly regulate marketplace activities and activities that potentially harm customers;</w:t>
      </w:r>
    </w:p>
    <w:p>
      <w:pPr>
        <w:spacing w:after="0" w:line="53" w:lineRule="exact"/>
        <w:rPr>
          <w:rFonts w:ascii="Times New Roman" w:cs="Times New Roman" w:eastAsia="Times New Roman" w:hAnsi="Times New Roman"/>
          <w:sz w:val="18"/>
          <w:szCs w:val="18"/>
          <w:color w:val="auto"/>
        </w:rPr>
      </w:pPr>
    </w:p>
    <w:p>
      <w:pPr>
        <w:ind w:left="1000" w:right="120" w:hanging="368"/>
        <w:spacing w:after="0" w:line="258"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Practitioner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spacing w:after="0" w:line="75" w:lineRule="exact"/>
        <w:rPr>
          <w:rFonts w:ascii="Times New Roman" w:cs="Times New Roman" w:eastAsia="Times New Roman" w:hAnsi="Times New Roman"/>
          <w:sz w:val="18"/>
          <w:szCs w:val="18"/>
          <w:color w:val="auto"/>
        </w:rPr>
      </w:pPr>
    </w:p>
    <w:p>
      <w:pPr>
        <w:ind w:left="1000" w:right="40" w:hanging="368"/>
        <w:spacing w:after="0" w:line="25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information related to drug pricing, including price increases. Certain state and local laws also require the registration of pharmaceutical sales representatives.</w:t>
      </w:r>
    </w:p>
    <w:p>
      <w:pPr>
        <w:spacing w:after="0" w:line="160"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Foreign and state laws also govern the privacy and security of health information in some circumstances, many of which differ from each other in significant ways and often are not preempted by HIPAA, thus complicating compliance efforts. For instance, the collection and use of health data in the EU is governed by the General Data Protection Regulation (“GDPR”) which extends the geographical scope of EU data protection law to non-EU entities under certain conditions, tightens existing EU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California Consumer Privacy Act (“CCPA”), as modified by the California Privacy Rights Act of 2020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 which could further complicate compliance efforts, increase our potential liability and adversely affect our business.</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29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comparable foreign regulatory authorities,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possible restrictions on animal testing.</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Certain laws and regulations may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50" w:name="page51"/>
    <w:bookmarkEnd w:id="50"/>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April 2025, the FDA announced a plan to phase out animal testing requirements for monoclonal antibodies and other drugs. This plan involves replacing animal testing with scientifically validated new approach methodologies (“NAMs”), including computational modeling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human-based systems. A roadmap published at the time of the announcement lays out an implementation plan over the next three years, which includes encouraging sponsors to submit NAM data in parallel with animal data, efforts to encourage the reduction and duration of animal testing, and exploration of the feasibility of replacing animal testing with NAMs. This roadmap also identified a long-term goal (3-5 years) to make animal studies the exception, rather than the norm. There is substantial uncertainty regarding the steps the FDA may ultimately take to encourage or require companies to reduce the use of animal testing for any type of investigational product, when such steps might be taken, and what consequences these might have for development programs such as ours. Furthermore, animal testing may still be required for drug approval outside of the U.S. which could impact our development timelines and cost.</w:t>
      </w:r>
    </w:p>
    <w:p>
      <w:pPr>
        <w:spacing w:after="0" w:line="29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16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16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us or our investors.</w:t>
      </w:r>
    </w:p>
    <w:p>
      <w:pPr>
        <w:spacing w:after="0" w:line="20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rules dealing with the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common stock. In recent years, many changes have been made and changes are likely to continue to occur in the future. For example, the OBBBA was signed into law on July 4, 2025, and extends many of the tax law provisions that were set to expire in 2025, allows for the immediate expensing of domestic U.S. research and development expenses, and makes changes to the U.S. taxation of profits derived from foreign operations. The impact of this newly enacted law on our tax position is currently under review and will depend on how the provision is implemented and</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spacing w:after="0" w:line="261" w:lineRule="auto"/>
        <w:rPr>
          <w:sz w:val="20"/>
          <w:szCs w:val="20"/>
          <w:color w:val="auto"/>
        </w:rPr>
      </w:pPr>
      <w:r>
        <w:rPr>
          <w:rFonts w:ascii="Times New Roman" w:cs="Times New Roman" w:eastAsia="Times New Roman" w:hAnsi="Times New Roman"/>
          <w:sz w:val="18"/>
          <w:szCs w:val="18"/>
          <w:color w:val="auto"/>
        </w:rPr>
        <w:t>interpreted by the IRS and other regulatory authorities.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qualified senior management and key clinical and scientific personnel, our business may be materially and adversely affected.</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spacing w:after="0" w:line="17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There is competition for qualified personnel in the pharmaceutical, biopharmaceutical and biotechnology field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spacing w:after="0" w:line="68" w:lineRule="exact"/>
        <w:rPr>
          <w:sz w:val="20"/>
          <w:szCs w:val="20"/>
          <w:color w:val="auto"/>
        </w:rPr>
      </w:pPr>
    </w:p>
    <w:p>
      <w:pPr>
        <w:ind w:left="1000" w:hanging="36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right="140" w:hanging="38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regulatory review process for mecbotamab vedotin, ozuriftamab vedotin, evalstotug, BA3182 and any other product candidates, while complying with our contractual obligations to contractors and other third parties; and</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mecbotamab vedotin, ozuriftamab vedotin, evalstotug, BA3182, and any future product candidates will depend, in part, on our ability to effectively manage any future growth, and our management may also have to divert a disproportionate amount of its attention away from day-to-day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52" w:name="page53"/>
    <w:bookmarkEnd w:id="52"/>
    <w:p>
      <w:pPr>
        <w:ind w:right="80"/>
        <w:spacing w:after="0" w:line="258" w:lineRule="auto"/>
        <w:rPr>
          <w:sz w:val="20"/>
          <w:szCs w:val="20"/>
          <w:color w:val="auto"/>
        </w:rPr>
      </w:pPr>
      <w:r>
        <w:rPr>
          <w:rFonts w:ascii="Times New Roman" w:cs="Times New Roman" w:eastAsia="Times New Roman" w:hAnsi="Times New Roman"/>
          <w:sz w:val="18"/>
          <w:szCs w:val="18"/>
          <w:color w:val="auto"/>
        </w:rPr>
        <w:t>activities in order to devote a substantial amount of time to managing these growth activities. In addition, as a smaller organization, we may face limitations in our ability to successfully implement and manage our plans and strategies due to resource constraints and limited personnel. These limitations may hinder our ability to execute multiple initiatives simultaneously, respond quickly to market or regulatory changes, and effectively compete with larger organizations that have greater resources and infrastructure. If we are unable to overcome the challenges associated with operating as a smaller organization, our business, financial condition, and results of operations could be materially and adversely affected.</w:t>
      </w:r>
    </w:p>
    <w:p>
      <w:pPr>
        <w:spacing w:after="0" w:line="156"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evalstotug, BA3182,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evalstotug, BA3182, and any future product candidates and, accordingly, may not achieve our research, development and commercialization goals.</w:t>
      </w:r>
    </w:p>
    <w:p>
      <w:pPr>
        <w:spacing w:after="0" w:line="29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data privacy, security, fraud and abuse and other healthcare laws and regulations in the United States and abroad or (4) laws that require the true, complete and accurate reporting of financial information or data or (5) company policies on the use of social media and disclosure of confidential information.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9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those of our CROs, manufacturers, contractors and consultants. Our internal computer systems, such as our enterprise resource planning (“ERP”) system,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spacing w:after="0" w:line="75"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spacing w:after="0" w:line="252" w:lineRule="auto"/>
        <w:rPr>
          <w:sz w:val="20"/>
          <w:szCs w:val="20"/>
          <w:color w:val="auto"/>
        </w:rPr>
      </w:pPr>
      <w:r>
        <w:rPr>
          <w:rFonts w:ascii="Times New Roman" w:cs="Times New Roman" w:eastAsia="Times New Roman" w:hAnsi="Times New Roman"/>
          <w:sz w:val="18"/>
          <w:szCs w:val="18"/>
          <w:color w:val="auto"/>
        </w:rPr>
        <w:t>product or service vulnerabilities, unauthorized access attempts (including third parties gaining access to systems using stolen or inferred credentials), denial-of-service attacks, phishing attempts, service disruptions, natural disasters, fire, terrorism, war, telecommunication and electrical failures, and attacks enhanced or facilitated by AI.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170"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We operate our ERP system and other key business systems on SaaS platforms. Accordingly, we depend on these systems, and the third-party providers of these services, for several aspects of our operations. If these service providers or these systems fail, or if we are unable to continue to have access to these systems on commercially reasonable terms, or at all, operations could be severely disrupted until an equivalent system(s) could be identified, licensed or developed, and integrated into our operations. This disruption could have a material adverse effect on our business.</w:t>
      </w:r>
    </w:p>
    <w:p>
      <w:pPr>
        <w:spacing w:after="0" w:line="15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6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 Additionally, sensitive data of the Company could be leaked, disclosed, or revealed as a result of or in connection with our employees’, personnel’s, or vendors’ use of generative AI technologies. The increasing adoption of AI tools and platforms introduces additional risks, including the potential for unauthorized access to proprietary information, generation of inaccurate or misleading content, and exposure to new cybersecurity threats. AI-generated outputs may also inadvertently violate regulatory requirements or intellectual property rights, which could result in legal liability or reputational harm. As AI technologies evolve rapidly, it may be challenging to anticipate and mitigate all associated risks, and our existing controls may not be sufficient to address emerging threats. Any failure to effectively manage AI-related risks could have a material adverse effect on our business, financial condition, and results of operations.</w:t>
      </w:r>
    </w:p>
    <w:p>
      <w:pPr>
        <w:spacing w:after="0" w:line="29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67"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We conduct preclinical research and development activities in China through BioDuro-Sundia, which is U.S. owned, but governed by Chinese laws, rules and regulations. Additionally, our agreement with Himalaya Therapeutics Limited Company is for the initiation of clinical trials of evalstotug in the People’s Republic of China. The Chinese legal system is a civil law system based 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ind w:right="40"/>
        <w:spacing w:after="0" w:line="255" w:lineRule="auto"/>
        <w:rPr>
          <w:sz w:val="20"/>
          <w:szCs w:val="20"/>
          <w:color w:val="auto"/>
        </w:rPr>
      </w:pPr>
      <w:r>
        <w:rPr>
          <w:rFonts w:ascii="Times New Roman" w:cs="Times New Roman" w:eastAsia="Times New Roman" w:hAnsi="Times New Roman"/>
          <w:sz w:val="18"/>
          <w:szCs w:val="18"/>
          <w:color w:val="auto"/>
        </w:rPr>
        <w:t>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spacing w:after="0" w:line="162"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do some business with companies in China and it is possible some of our contractual counterparties could be impacted by the legislation targeting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Moreover, there have been Congressional legislative proposals, such as the bill titled the BIOSECURE Act, a version of which was introduced in Congress in 2024 and passed by the House of Representatives but was not passed by the Senate. A revised version of the bill was recently passed by the Senate but will be subject to the reconciliation process. A substantially similar bill could be reintroduced in Congress in the future, which could, among other things, prohibit U.S. federal procurement of biotechnology equipment or services produced or provided by Chinese “biotechnology companies of concern” and loans and grants to, and federal contracts with any entity that uses biotechnology equipment or services from one of these entities in performance of the government contract, grant, or loan. There is significant uncertainty regarding the ultimate form and impact of such initiatives.</w:t>
      </w:r>
    </w:p>
    <w:p>
      <w:pPr>
        <w:spacing w:after="0" w:line="18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292" w:lineRule="exact"/>
        <w:rPr>
          <w:sz w:val="20"/>
          <w:szCs w:val="20"/>
          <w:color w:val="auto"/>
        </w:rPr>
      </w:pPr>
    </w:p>
    <w:p>
      <w:pPr>
        <w:ind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spacing w:after="0" w:line="28"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from a master cell bank which are stored in multiple locations to reduce the risk of loss. While we believe we will have adequate backup should any cell bank be lost in a catastrophic event, and we take precautions when transporting our cell banks, it is possible that we could lose several cell banks and have our manufacturing severely impacted by the need to replace the cell banks.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conducting business internationally.</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our collaborators or licensees may seek regulatory approval of our product candidates outside of the United States including in China, the EU,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spacing w:after="0" w:line="72" w:lineRule="exact"/>
        <w:rPr>
          <w:sz w:val="20"/>
          <w:szCs w:val="20"/>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and reimbursement regimes in foreign countries;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00" w:right="420" w:hanging="36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117" w:lineRule="exact"/>
        <w:rPr>
          <w:rFonts w:ascii="Times New Roman" w:cs="Times New Roman" w:eastAsia="Times New Roman" w:hAnsi="Times New Roman"/>
          <w:sz w:val="18"/>
          <w:szCs w:val="18"/>
          <w:color w:val="auto"/>
        </w:rPr>
      </w:pPr>
    </w:p>
    <w:p>
      <w:pPr>
        <w:ind w:left="1000" w:right="420" w:hanging="36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9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Furthermore, changes in laws or policies governing the terms of trade, and in particular increased trade restrictions, tariffs or taxes on imports from countries where we manufacture products, such as China, could have a material adverse effect on our business and financial results. The impact of these tariffs is subject to several factors, including the effective date and duration of such tariffs, changes in the amount, scope and nature of the tariffs in the future, any retaliatory responses to such actions that the target countries may take and any mitigating actions that may become available. Under the current U.S. administration, there is significant and increasing uncertainty about the future relationship between the United States, China, and other exporting countries, including with respect to trade policies, treaties, government regulations, and tariffs. On April 9, 2025, President Trump announced a pause to previously announced tariffs on most countries for 90 days while the United States works with its trade partners to negotiate new trade agreements. On May 12, 2025, a new executive order was issued by President Trump to (i) suspend the previously imposed 34% reciprocal tariff on imports from China for a period of 90 days, through approximately August 12, 2025; (ii) eliminate the retaliatory tariff increases imposed on April 8 and April 9, which had raised the reciprocal tariff rate from 34% to 125%; and (iii) reinstate the 10% baseline tariff on imports originating from China, Hong Kong, and Macau for the duration of the 90-day period. On July 7, 2025, President Trump delayed imposition of new tariff rates until August 1, 2025, and sent letters to leaders of 14 countries with warnings that new higher tariff rates will come into effect unless they reach a trade agreement with the United States by August 1, 2025. Effective as of August 7, 2025, the United States implemented additional “reciprocal” duties on most imports, generally ranging from 15% to 40%. Notably with respect to China, the temporary 10% reciprocal rate was extended for an additional 90 days on August 12, 2025 through November 10, 2025, so Chinese-origin goods remain subject to the 10% reciprocal tariff (in addition to other applicable duties).</w:t>
      </w:r>
    </w:p>
    <w:p>
      <w:pPr>
        <w:spacing w:after="0" w:line="18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Despite recent trade negotiations between the U.S. and the Mexican, Canadian and Chinese governments, given the uncertainty regarding the scope and duration of any new tariffs, as well as the potential for additional tariffs or trade barriers by the U.S., Mexico, Canada, China or other countries, we can provide no assurance that any strategies we implement to mitigate the impact of such tariffs or other trade actions will be successful.</w:t>
      </w:r>
    </w:p>
    <w:p>
      <w:pPr>
        <w:spacing w:after="0" w:line="14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Additionally, geopolitical tensions and disruptions, such as the ongoing conflict between Russia and Ukraine, the wars between Israel and the terrorist groups Hamas and Hezbollah and escalating conflict and tensions with Iran, could impact our current and future international operations or our ability to seek approval of our product candidates outside of the United States. It is not possible to predict the broader consequences of these conflicts, which could include further sanctions, embargoes, greater regional instability, geopolitical shifts and other adverse effects on macroeconomic conditions, such as tariffs and trade disputes with other countries, inflation, rising interest rates, currency exchange rates, supply chain challenges and financial market conditions. These and other risks associated with our international operations may materially adversely affect our ability to attain or maintain profitable operations.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6" w:name="page57"/>
    <w:bookmarkEnd w:id="56"/>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 outbreaks, which could significantly disrupt our preclinical studies, affect enrollment of patients in our clinical trials or delay or prevent our receipt of necessary regulatory approvals.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Health pandemics in the past have resulted in, and in the future may result in, governments implementing numerous containment measures, such as travel bans and restrictions, particularly quarantines, shelter-in-place or total lock-down orders and business limitations and shutdowns.</w:t>
      </w:r>
    </w:p>
    <w:p>
      <w:pPr>
        <w:spacing w:after="0" w:line="153"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are following, and plan to continue to follow, recommendations from federal, state and local governments regarding workplace policies, practices and procedures. We are complying with all applicable guidelines for our clinical trials, including remote clinical monitoring.</w:t>
      </w:r>
    </w:p>
    <w:p>
      <w:pPr>
        <w:spacing w:after="0" w:line="14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health epidemics in the past have had, and in the future may have, a severe effect on the clinical trials of many drug candidates of several sponsors. The extent to which any future health epidemics may impact our preclinical and clinical trial operations is uncertain and will depend on future developments.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an outbreak may affect their ability to devote sufficient time and resources to our programs or to travel to sites to perform work for us. Similarly,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spacing w:after="0" w:line="6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entered, and may in the future seek to enter, into collaborations with third parties for the development and commercialization of certain of our product candidates. For example, in September 2024 we entered into an agreement to license BA3362, a Nectin-4 x CD3 T cell engaging (“TCE”) bispecific CAB antibody to Context Therapeutics. In addition, we are currently exploring potential third-party collaborators for development and commercialization of select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existing collaboration arrangements currently pose, and future collaborations involving our product candidates will pose, the following risks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99" w:lineRule="exact"/>
        <w:rPr>
          <w:sz w:val="20"/>
          <w:szCs w:val="20"/>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00" w:right="140" w:hanging="368"/>
        <w:spacing w:after="0" w:line="26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00" w:right="460" w:hanging="36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and other alliances could independently develop, or develop with third parties, products that compete directly or indirectly with</w:t>
      </w:r>
    </w:p>
    <w:p>
      <w:pPr>
        <w:spacing w:after="0" w:line="27" w:lineRule="exact"/>
        <w:rPr>
          <w:sz w:val="20"/>
          <w:szCs w:val="20"/>
          <w:color w:val="auto"/>
        </w:rPr>
      </w:pPr>
    </w:p>
    <w:p>
      <w:pPr>
        <w:ind w:left="1000" w:right="160"/>
        <w:spacing w:after="0" w:line="250" w:lineRule="auto"/>
        <w:rPr>
          <w:sz w:val="20"/>
          <w:szCs w:val="20"/>
          <w:color w:val="auto"/>
        </w:rPr>
      </w:pPr>
      <w:r>
        <w:rPr>
          <w:rFonts w:ascii="Times New Roman" w:cs="Times New Roman" w:eastAsia="Times New Roman" w:hAnsi="Times New Roman"/>
          <w:sz w:val="18"/>
          <w:szCs w:val="18"/>
          <w:color w:val="auto"/>
        </w:rPr>
        <w:t>our product candidate, particularly if the collaborators believe that competitive products are more likely to be successfully developed or can be commercialized under terms that are more economically attractive than ours;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7" w:name="page58"/>
    <w:bookmarkEnd w:id="57"/>
    <w:p>
      <w:pPr>
        <w:ind w:left="1000" w:right="560" w:hanging="36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000" w:right="20" w:hanging="36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1000" w:right="80" w:hanging="36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any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jc w:val="both"/>
        <w:ind w:left="1020" w:right="380" w:hanging="38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67" w:lineRule="exact"/>
        <w:rPr>
          <w:rFonts w:ascii="Times New Roman" w:cs="Times New Roman" w:eastAsia="Times New Roman" w:hAnsi="Times New Roman"/>
          <w:sz w:val="18"/>
          <w:szCs w:val="18"/>
          <w:color w:val="auto"/>
        </w:rPr>
      </w:pPr>
    </w:p>
    <w:p>
      <w:pPr>
        <w:ind w:left="1020" w:right="700" w:hanging="38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this may result in a need for additional capital to pursue further development or commercialization of the applicable current or future product candidates; and</w:t>
      </w:r>
    </w:p>
    <w:p>
      <w:pPr>
        <w:spacing w:after="0" w:line="53" w:lineRule="exact"/>
        <w:rPr>
          <w:rFonts w:ascii="Times New Roman" w:cs="Times New Roman" w:eastAsia="Times New Roman" w:hAnsi="Times New Roman"/>
          <w:sz w:val="18"/>
          <w:szCs w:val="18"/>
          <w:color w:val="auto"/>
        </w:rPr>
      </w:pPr>
    </w:p>
    <w:p>
      <w:pPr>
        <w:ind w:left="1000" w:right="180" w:hanging="36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sales and marketing activities or other operations may not be in compliance with applicable laws resulting in civil or criminal proceedings.</w:t>
      </w:r>
    </w:p>
    <w:p>
      <w:pPr>
        <w:spacing w:after="0" w:line="13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28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6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spacing w:after="0" w:line="16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spacing w:after="0" w:line="29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commercialization collaborations, which could adversely affect our ability to commercialize our product candidates, if approved.</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evaluate and, if strategically attractive, seek to enter into additional collaborations, including with major biotechnology or biopharmaceutical companies. The competition for collaborators is intense, and such arrangements are complex and time-consuming to negotiate, document, and implement and they may require substantial resources to maintain.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w:t>
      </w:r>
    </w:p>
    <w:p>
      <w:pPr>
        <w:spacing w:after="0" w:line="156" w:lineRule="exact"/>
        <w:rPr>
          <w:sz w:val="20"/>
          <w:szCs w:val="20"/>
          <w:color w:val="auto"/>
        </w:rPr>
      </w:pPr>
    </w:p>
    <w:p>
      <w:pPr>
        <w:ind w:right="320" w:firstLine="509"/>
        <w:spacing w:after="0" w:line="257" w:lineRule="auto"/>
        <w:rPr>
          <w:sz w:val="20"/>
          <w:szCs w:val="20"/>
          <w:color w:val="auto"/>
        </w:rPr>
      </w:pPr>
      <w:r>
        <w:rPr>
          <w:rFonts w:ascii="Times New Roman" w:cs="Times New Roman" w:eastAsia="Times New Roman" w:hAnsi="Times New Roman"/>
          <w:sz w:val="18"/>
          <w:szCs w:val="18"/>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ind w:right="560"/>
        <w:spacing w:after="0" w:line="282" w:lineRule="auto"/>
        <w:rPr>
          <w:sz w:val="20"/>
          <w:szCs w:val="20"/>
          <w:color w:val="auto"/>
        </w:rPr>
      </w:pPr>
      <w:r>
        <w:rPr>
          <w:rFonts w:ascii="Times New Roman" w:cs="Times New Roman" w:eastAsia="Times New Roman" w:hAnsi="Times New Roman"/>
          <w:sz w:val="18"/>
          <w:szCs w:val="18"/>
          <w:color w:val="auto"/>
        </w:rPr>
        <w:t>arrangement that we establish may not be favorable to us or may not be perceived as favorable, which may negatively impact our business, financial condition, results of operations and prospects.</w:t>
      </w:r>
    </w:p>
    <w:p>
      <w:pPr>
        <w:spacing w:after="0" w:line="26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rely, and expect we will continue to rely, on third-party investigators, CROs, data management organizations and consultants to conduct, supervise and monitor our ongoing clinical trials and preclinical studies.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spacing w:after="0" w:line="1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 availability of suitable animals can vary and impact our development timelines and cost.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29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19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6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If we are unable to obtain or maintain third-party manufacturing for product candidates, or to do so on commercially reasonable terms, we</w:t>
      </w: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9" w:name="page60"/>
    <w:bookmarkEnd w:id="59"/>
    <w:p>
      <w:pPr>
        <w:ind w:right="880"/>
        <w:spacing w:after="0" w:line="282" w:lineRule="auto"/>
        <w:rPr>
          <w:sz w:val="20"/>
          <w:szCs w:val="20"/>
          <w:color w:val="auto"/>
        </w:rPr>
      </w:pPr>
      <w:r>
        <w:rPr>
          <w:rFonts w:ascii="Times New Roman" w:cs="Times New Roman" w:eastAsia="Times New Roman" w:hAnsi="Times New Roman"/>
          <w:sz w:val="18"/>
          <w:szCs w:val="18"/>
          <w:color w:val="auto"/>
        </w:rPr>
        <w:t>may not be able to develop and commercialize our product candidates successfully. Even if we are able to establish agreements with third-party manufacturers, reliance on third-party manufacturers entails additional risks, including:</w:t>
      </w:r>
    </w:p>
    <w:p>
      <w:pPr>
        <w:spacing w:after="0" w:line="54" w:lineRule="exact"/>
        <w:rPr>
          <w:sz w:val="20"/>
          <w:szCs w:val="20"/>
          <w:color w:val="auto"/>
        </w:rPr>
      </w:pPr>
    </w:p>
    <w:p>
      <w:pPr>
        <w:ind w:left="1000" w:right="20" w:hanging="36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termination of production or deliveries by suppliers, or the raising of prices or renegotiation of terms;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arrangements or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the third-party contractors of our agreements with them;</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specifications;</w:t>
      </w:r>
    </w:p>
    <w:p>
      <w:pPr>
        <w:spacing w:after="0" w:line="117" w:lineRule="exact"/>
        <w:rPr>
          <w:rFonts w:ascii="Times New Roman" w:cs="Times New Roman" w:eastAsia="Times New Roman" w:hAnsi="Times New Roman"/>
          <w:sz w:val="18"/>
          <w:szCs w:val="18"/>
          <w:color w:val="auto"/>
        </w:rPr>
      </w:pPr>
    </w:p>
    <w:p>
      <w:pPr>
        <w:ind w:left="1000" w:right="680" w:hanging="36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active drug not being properly identified;</w:t>
      </w:r>
    </w:p>
    <w:p>
      <w:pPr>
        <w:spacing w:after="0" w:line="53" w:lineRule="exact"/>
        <w:rPr>
          <w:rFonts w:ascii="Times New Roman" w:cs="Times New Roman" w:eastAsia="Times New Roman" w:hAnsi="Times New Roman"/>
          <w:sz w:val="18"/>
          <w:szCs w:val="18"/>
          <w:color w:val="auto"/>
        </w:rPr>
      </w:pPr>
    </w:p>
    <w:p>
      <w:pPr>
        <w:ind w:left="1020" w:right="80" w:hanging="38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misappropriation of our proprietary information, including our trade secrets and know-how.</w:t>
      </w:r>
    </w:p>
    <w:p>
      <w:pPr>
        <w:spacing w:after="0" w:line="21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29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6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All of our therapeutic antibodies are manufactured by starting with cells from a cell bank. In accordance with cGMPs, we produce one master cell bank for each antibody manufactured, which is then stored in multiple locations to reduce the risk of loss. We have also created a working cell bank for certain manufactured antibodies.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17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0" w:name="page61"/>
    <w:bookmarkEnd w:id="60"/>
    <w:p>
      <w:pPr>
        <w:ind w:right="100"/>
        <w:spacing w:after="0" w:line="254" w:lineRule="auto"/>
        <w:rPr>
          <w:sz w:val="20"/>
          <w:szCs w:val="20"/>
          <w:color w:val="auto"/>
        </w:rPr>
      </w:pPr>
      <w:r>
        <w:rPr>
          <w:rFonts w:ascii="Times New Roman" w:cs="Times New Roman" w:eastAsia="Times New Roman" w:hAnsi="Times New Roman"/>
          <w:sz w:val="18"/>
          <w:szCs w:val="18"/>
          <w:color w:val="auto"/>
        </w:rPr>
        <w:t>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75"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6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In the past we have been party to a patent opposition proceeding at the European Patent Office, or EPO, and we may in the future become party to patent opposition proceedings in the EPO or similar proceedings in other foreign patent offices. In addition, we cannot assure you that:</w:t>
      </w:r>
    </w:p>
    <w:p>
      <w:pPr>
        <w:spacing w:after="0" w:line="79" w:lineRule="exact"/>
        <w:rPr>
          <w:sz w:val="20"/>
          <w:szCs w:val="20"/>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maintain, protect and enforce intellectual property protection for our technologies and product candidates.</w:t>
      </w:r>
    </w:p>
    <w:p>
      <w:pPr>
        <w:spacing w:after="0" w:line="117" w:lineRule="exact"/>
        <w:rPr>
          <w:rFonts w:ascii="Times New Roman" w:cs="Times New Roman" w:eastAsia="Times New Roman" w:hAnsi="Times New Roman"/>
          <w:sz w:val="18"/>
          <w:szCs w:val="18"/>
          <w:color w:val="auto"/>
        </w:rPr>
      </w:pPr>
    </w:p>
    <w:p>
      <w:pPr>
        <w:ind w:left="1000" w:right="260" w:hanging="36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1000" w:right="440" w:hanging="36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existing or future collaborators are the first to make the inventions covered by each of our issued patents and pending patent applications that we own or license.</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existing or future collaborators are the first to file patent applications covering certain aspects of our inventions.</w:t>
      </w:r>
    </w:p>
    <w:p>
      <w:pPr>
        <w:spacing w:after="0" w:line="117" w:lineRule="exact"/>
        <w:rPr>
          <w:rFonts w:ascii="Times New Roman" w:cs="Times New Roman" w:eastAsia="Times New Roman" w:hAnsi="Times New Roman"/>
          <w:sz w:val="18"/>
          <w:szCs w:val="18"/>
          <w:color w:val="auto"/>
        </w:rPr>
      </w:pPr>
    </w:p>
    <w:p>
      <w:pPr>
        <w:ind w:left="1000" w:right="700" w:hanging="36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not challenge our patents and, if challenged, that a court would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have licensed will provide us with any competitive advantage, or will not be challenged by third parties.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or in-license additional proprietary technologies that are patentable.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1" w:name="page62"/>
    <w:bookmarkEnd w:id="61"/>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may license will lead to issued patents.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 material or adverse effect on our business, financial condition, results of operations and prospects.</w:t>
      </w:r>
    </w:p>
    <w:p>
      <w:pPr>
        <w:spacing w:after="0" w:line="117" w:lineRule="exact"/>
        <w:rPr>
          <w:rFonts w:ascii="Times New Roman" w:cs="Times New Roman" w:eastAsia="Times New Roman" w:hAnsi="Times New Roman"/>
          <w:sz w:val="18"/>
          <w:szCs w:val="18"/>
          <w:color w:val="auto"/>
        </w:rPr>
      </w:pPr>
    </w:p>
    <w:p>
      <w:pPr>
        <w:ind w:left="1000" w:right="40" w:hanging="36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spacing w:after="0" w:line="13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7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spacing w:after="0" w:line="16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patents may not protect our competitive position on our product candidates for an adequate amount of time.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2040, subject to any additional patent extensions that may be available for such patents. If patents are issued on our pending patent applications, the resulting patents are projected to expire on dates ranging from 2030 to 2044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September 2011, the Leahy-Smith America Invents Act, or Leahy-Smith Act, was signed into law. The Leahy-Smith Act includes several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filed or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spacing w:after="0" w:line="16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Leahy-Smith Act also includes several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7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3" w:name="page64"/>
    <w:bookmarkEnd w:id="63"/>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For example, the U.S. Supreme Court has ruled on several patent cases in recent years, sometimes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2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17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6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8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67"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inter partes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4" w:name="page65"/>
    <w:bookmarkEnd w:id="64"/>
    <w:p>
      <w:pPr>
        <w:spacing w:after="0" w:line="253" w:lineRule="auto"/>
        <w:rPr>
          <w:sz w:val="20"/>
          <w:szCs w:val="20"/>
          <w:color w:val="auto"/>
        </w:rPr>
      </w:pPr>
      <w:r>
        <w:rPr>
          <w:rFonts w:ascii="Times New Roman" w:cs="Times New Roman" w:eastAsia="Times New Roman" w:hAnsi="Times New Roman"/>
          <w:sz w:val="18"/>
          <w:szCs w:val="18"/>
          <w:color w:val="auto"/>
        </w:rPr>
        <w:t>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spacing w:after="0" w:line="16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8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ind w:right="660"/>
        <w:spacing w:after="0" w:line="282" w:lineRule="auto"/>
        <w:rPr>
          <w:sz w:val="20"/>
          <w:szCs w:val="20"/>
          <w:color w:val="auto"/>
        </w:rPr>
      </w:pPr>
      <w:r>
        <w:rPr>
          <w:rFonts w:ascii="Times New Roman" w:cs="Times New Roman" w:eastAsia="Times New Roman" w:hAnsi="Times New Roman"/>
          <w:sz w:val="18"/>
          <w:szCs w:val="18"/>
          <w:color w:val="auto"/>
        </w:rPr>
        <w:t>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7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15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6" w:name="page67"/>
    <w:bookmarkEnd w:id="66"/>
    <w:p>
      <w:pPr>
        <w:ind w:right="600"/>
        <w:spacing w:after="0" w:line="266" w:lineRule="auto"/>
        <w:rPr>
          <w:sz w:val="20"/>
          <w:szCs w:val="20"/>
          <w:color w:val="auto"/>
        </w:rPr>
      </w:pPr>
      <w:r>
        <w:rPr>
          <w:rFonts w:ascii="Times New Roman" w:cs="Times New Roman" w:eastAsia="Times New Roman" w:hAnsi="Times New Roman"/>
          <w:sz w:val="18"/>
          <w:szCs w:val="18"/>
          <w:color w:val="auto"/>
        </w:rPr>
        <w:t>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4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generally file a provisional patent application first (a priority filing) at the USPTO. An international application under the Patent Cooperation Treaty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7"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2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spacing w:after="0" w:line="258" w:lineRule="auto"/>
        <w:rPr>
          <w:sz w:val="20"/>
          <w:szCs w:val="20"/>
          <w:color w:val="auto"/>
        </w:rPr>
      </w:pPr>
      <w:r>
        <w:rPr>
          <w:rFonts w:ascii="Times New Roman" w:cs="Times New Roman" w:eastAsia="Times New Roman" w:hAnsi="Times New Roman"/>
          <w:sz w:val="18"/>
          <w:szCs w:val="18"/>
          <w:color w:val="auto"/>
        </w:rPr>
        <w:t>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spacing w:after="0" w:line="296"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several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301"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8" w:name="page69"/>
    <w:bookmarkEnd w:id="68"/>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annual and quarterly fluctuations. Our net loss and other operating results will be affected by numerous factors, including, among others:</w:t>
      </w:r>
    </w:p>
    <w:p>
      <w:pPr>
        <w:spacing w:after="0" w:line="54" w:lineRule="exact"/>
        <w:rPr>
          <w:sz w:val="20"/>
          <w:szCs w:val="20"/>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and any potential additional collaborations, licensing or similar arrangements;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00" w:right="240" w:hanging="36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1000" w:hanging="36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our operating results fall below the expectations of investors or securities analysts, the price of our common stock could decline substantially.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any fluctuations in our operating results may, in turn, cause the price of our stock to fluctuate substantially.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54" w:lineRule="exact"/>
        <w:rPr>
          <w:sz w:val="20"/>
          <w:szCs w:val="20"/>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our clinical trials or those of our competitors;</w:t>
      </w:r>
    </w:p>
    <w:p>
      <w:pPr>
        <w:spacing w:after="0" w:line="117" w:lineRule="exact"/>
        <w:rPr>
          <w:rFonts w:ascii="Times New Roman" w:cs="Times New Roman" w:eastAsia="Times New Roman" w:hAnsi="Times New Roman"/>
          <w:sz w:val="18"/>
          <w:szCs w:val="18"/>
          <w:color w:val="auto"/>
        </w:rPr>
      </w:pPr>
    </w:p>
    <w:p>
      <w:pPr>
        <w:ind w:left="1000" w:right="680" w:hanging="36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products;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00" w:right="500" w:hanging="36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current or future collaborators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collaboration agreements, or the restructuring or termination of current collaboration agreements;</w:t>
      </w:r>
    </w:p>
    <w:p>
      <w:pPr>
        <w:spacing w:after="0" w:line="117" w:lineRule="exact"/>
        <w:rPr>
          <w:rFonts w:ascii="Times New Roman" w:cs="Times New Roman" w:eastAsia="Times New Roman" w:hAnsi="Times New Roman"/>
          <w:sz w:val="18"/>
          <w:szCs w:val="18"/>
          <w:color w:val="auto"/>
        </w:rPr>
      </w:pPr>
    </w:p>
    <w:p>
      <w:pPr>
        <w:ind w:left="1000" w:right="360" w:hanging="36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authorities with respect to our products, preclinical studies, clinical trials,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9" w:name="page70"/>
    <w:bookmarkEnd w:id="69"/>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those regarding manufacturing, supply and commercialization of our products;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1000" w:right="200" w:hanging="36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00" w:right="40" w:hanging="36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analysts’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198"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will dilute our share capital.</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December 19, 2024, we completed a registered direct offering with certain institutional investors, where we issued an aggregate of (a) 9,679,158 shares of our common stock and (b) Warrants to purchase 9,679,158 shares of our common stock. The Warrants became exercisable on June 20, 2025 at an exercise price of $1.19 per share. Once the Warrants are exercised, the issuance of additional shares of our common stock would cause immediate and substantial dilution to our existing shareholders and could cause a significant reduction in the market price of our common stock.</w:t>
      </w:r>
    </w:p>
    <w:p>
      <w:pPr>
        <w:spacing w:after="0" w:line="15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right="500"/>
        <w:spacing w:after="0" w:line="282" w:lineRule="auto"/>
        <w:rPr>
          <w:sz w:val="20"/>
          <w:szCs w:val="20"/>
          <w:color w:val="auto"/>
        </w:rPr>
      </w:pPr>
      <w:r>
        <w:rPr>
          <w:rFonts w:ascii="Times New Roman" w:cs="Times New Roman" w:eastAsia="Times New Roman" w:hAnsi="Times New Roman"/>
          <w:sz w:val="18"/>
          <w:szCs w:val="18"/>
          <w:color w:val="auto"/>
        </w:rPr>
        <w:t>prediction can be made as to the effect, if any, that future sales of common stock or the availability of common stock for future sales will have on the trading price of our common stock.</w:t>
      </w:r>
    </w:p>
    <w:p>
      <w:pPr>
        <w:spacing w:after="0" w:line="26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5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2025, executive officers and directors, together with holders of 5% or more of our outstanding common stock and their respective affiliates, beneficially own approximately 36.4% of our outstanding common stock. More specifically, Jay M. Short, Ph.D, our Chairman and Chief Executive Officer, together with his spouse, beneficially own approximately 7.0%, of our outstanding common stock, as of September 30, 2025.</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62"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certain related party transactions with Himalaya Therapeutics SEZC, Inversagen, LLC and BioAtla Holdings, LLC, including various licensing arrangements with respect to certain CAB antibodies. Dr. Short and his spouse are each a manager of Inversagen, LLC and BioAtla Holdings, LLC and a director of Himalaya Therapeutics SEZC. In addition, Dr. Short’s spouse is also an officer of Himalaya Therapeutics SEZC. These related party transactions, and any future related party transactions, create the possibility of actual conflicts of interest with regard to Dr. Short.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spacing w:after="0" w:line="15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registered the offer and sale of all shares of common stock that we may issue under our equity compensation plans, which shares will be able to be sold in the public market upon issuance, subject to applicable securities laws.</w:t>
      </w:r>
    </w:p>
    <w:p>
      <w:pPr>
        <w:spacing w:after="0" w:line="26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provisions could in turn affect any attempt by our stockholders to replace current members of our management team. These provisions include:</w:t>
      </w:r>
    </w:p>
    <w:p>
      <w:pPr>
        <w:spacing w:after="0" w:line="117" w:lineRule="exact"/>
        <w:rPr>
          <w:sz w:val="20"/>
          <w:szCs w:val="20"/>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our stockholders by written consent;</w:t>
      </w:r>
    </w:p>
    <w:p>
      <w:pPr>
        <w:spacing w:after="0" w:line="117" w:lineRule="exact"/>
        <w:rPr>
          <w:rFonts w:ascii="Times New Roman" w:cs="Times New Roman" w:eastAsia="Times New Roman" w:hAnsi="Times New Roman"/>
          <w:sz w:val="18"/>
          <w:szCs w:val="18"/>
          <w:color w:val="auto"/>
        </w:rPr>
      </w:pPr>
    </w:p>
    <w:p>
      <w:pPr>
        <w:ind w:left="1000" w:right="240" w:hanging="36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election to our board of directors and for proposing matters that can be acted upon at stockholder meetings;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directors may only be removed “for cause” and only with 66 2/3% voting stock of our stockholders;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only the board of directors may change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serving staggered terms of three years each;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attract and retain qualified members of our board of directors may be impacted due to new laws, including recently enacted diversity quotas.</w:t>
      </w:r>
    </w:p>
    <w:p>
      <w:pPr>
        <w:spacing w:after="0" w:line="51"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7"/>
          <w:szCs w:val="17"/>
          <w:color w:val="auto"/>
        </w:rPr>
        <w:t>In September 2018, California enacted SB 826 (“SB 826”) requiring public companies headquartered in California with a board of directors having five members to have at least two female directors, and public company boards with six or more members to have at least three female directors. SB 826 has been challenged in legal proceedings and on May 13, 2022, the Superior Court of California for the County of Los Angeles entered an order striking down SB 826, holding that the statute violates the Equal Protection Clause of the California Constitution. The California Secretary of State has appealed the order and such appeal is currently pending. On September 16, 2022, the appellate court ruled to temporarily stay enforcement of the trial court’s order, which prevented the California Secretary of State from collecting diversity data on corporate disclosure forms pursuant to SB 826,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However, ultimate enforceability of SB 826 remains uncertain.</w:t>
      </w:r>
    </w:p>
    <w:p>
      <w:pPr>
        <w:spacing w:after="0" w:line="14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September 2020, California enacted AB 979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 On April 1, 2022, the Superior Court of California for the County of Los Angeles entered an order striking down AB 979, holding that the statute violates the Equal Protection Clause of the California Constitution. On June 6, 2022, a notice of appeal was filed. On September 16, 2022, the appellate court ruled to temporarily stay enforcement of the trial court’s order, which prevented the California Secretary of State from collecting diversity data on corporate disclosure forms pursuant to AB 979,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In June 2023, the federal district court for the Eastern District of California granted the plaintiffs a summary judgment and determined that AB 979 was unconstitutional on its face. The Eastern District of California’s decision is currently on appeal. Litigation regarding AB 979 will continue.</w:t>
      </w:r>
    </w:p>
    <w:p>
      <w:pPr>
        <w:spacing w:after="0" w:line="178"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evolving state laws or Nasdaq rules, which may expose us to penalties and/or reputational harm.</w:t>
      </w:r>
    </w:p>
    <w:p>
      <w:pPr>
        <w:spacing w:after="0" w:line="28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costs as a result of operating as a public company, and our management is required to devote substantial time to compliance initiatives and corporate governance practices. Additionally, if we fail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maintain proper and effective internal controls, our ability to produce accurate financial statements on a timely basis could be impaired.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including obtaining director and officer liability insurance and maintaining such coverage, more time-consuming and costly.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as a public company, we are required to incur costs and obligations in order to comply with SEC rules that implement Section 404 of the Sarbanes-Oxley Act. Currently, as a smaller reporting company and a non-accelerated filer, we can take advantage of exemptions from various reporting requirements, including not being required to comply with the auditor attestation requirements of Section 404 of the Sarbanes-Oxley Act, reduced disclosure obligations regarding executive compensation in our annual report, periodic reports and proxy statements and providing only two years of audited financial statements in our annual report and periodic reports. Under the SEC rules, we are required to make a formal assessment of the effectiveness of our internal control over financial reporting, and if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dedicated, and will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spacing w:after="0" w:line="15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Capital Market.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3" w:name="page74"/>
    <w:bookmarkEnd w:id="73"/>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our management’s attention.</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338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0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Filing Date</w:t>
            </w: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338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180" w:type="dxa"/>
            <w:vAlign w:val="bottom"/>
            <w:gridSpan w:val="2"/>
          </w:tcPr>
          <w:p>
            <w:pPr>
              <w:spacing w:after="0"/>
              <w:rPr>
                <w:sz w:val="17"/>
                <w:szCs w:val="17"/>
                <w:color w:val="auto"/>
              </w:rPr>
            </w:pPr>
          </w:p>
        </w:tc>
        <w:tc>
          <w:tcPr>
            <w:tcW w:w="5580" w:type="dxa"/>
            <w:vAlign w:val="bottom"/>
          </w:tcPr>
          <w:p>
            <w:pPr>
              <w:ind w:left="546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1080" w:type="dxa"/>
            <w:vAlign w:val="bottom"/>
          </w:tcPr>
          <w:p>
            <w:pPr>
              <w:spacing w:after="0"/>
              <w:rPr>
                <w:sz w:val="17"/>
                <w:szCs w:val="17"/>
                <w:color w:val="auto"/>
              </w:rPr>
            </w:pPr>
          </w:p>
        </w:tc>
        <w:tc>
          <w:tcPr>
            <w:tcW w:w="39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as Adopted Pursuant to</w:t>
            </w:r>
          </w:p>
        </w:tc>
        <w:tc>
          <w:tcPr>
            <w:tcW w:w="55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558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7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240" w:type="dxa"/>
            <w:vAlign w:val="bottom"/>
            <w:gridSpan w:val="3"/>
          </w:tcPr>
          <w:p>
            <w:pPr>
              <w:spacing w:after="0"/>
              <w:rPr>
                <w:sz w:val="17"/>
                <w:szCs w:val="17"/>
                <w:color w:val="auto"/>
              </w:rPr>
            </w:pPr>
          </w:p>
        </w:tc>
        <w:tc>
          <w:tcPr>
            <w:tcW w:w="5580" w:type="dxa"/>
            <w:vAlign w:val="bottom"/>
          </w:tcPr>
          <w:p>
            <w:pPr>
              <w:ind w:left="546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1080" w:type="dxa"/>
            <w:vAlign w:val="bottom"/>
          </w:tcPr>
          <w:p>
            <w:pPr>
              <w:spacing w:after="0"/>
              <w:rPr>
                <w:sz w:val="17"/>
                <w:szCs w:val="17"/>
                <w:color w:val="auto"/>
              </w:rPr>
            </w:pPr>
          </w:p>
        </w:tc>
        <w:tc>
          <w:tcPr>
            <w:tcW w:w="39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as Adopted Pursuant to</w:t>
            </w:r>
          </w:p>
        </w:tc>
        <w:tc>
          <w:tcPr>
            <w:tcW w:w="55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558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6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and Chief</w:t>
            </w:r>
          </w:p>
        </w:tc>
        <w:tc>
          <w:tcPr>
            <w:tcW w:w="300" w:type="dxa"/>
            <w:vAlign w:val="bottom"/>
            <w:gridSpan w:val="4"/>
          </w:tcPr>
          <w:p>
            <w:pPr>
              <w:spacing w:after="0"/>
              <w:rPr>
                <w:sz w:val="17"/>
                <w:szCs w:val="17"/>
                <w:color w:val="auto"/>
              </w:rPr>
            </w:pPr>
          </w:p>
        </w:tc>
        <w:tc>
          <w:tcPr>
            <w:tcW w:w="5580" w:type="dxa"/>
            <w:vAlign w:val="bottom"/>
          </w:tcPr>
          <w:p>
            <w:pPr>
              <w:ind w:left="546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1080" w:type="dxa"/>
            <w:vAlign w:val="bottom"/>
          </w:tcPr>
          <w:p>
            <w:pPr>
              <w:spacing w:after="0"/>
              <w:rPr>
                <w:sz w:val="17"/>
                <w:szCs w:val="17"/>
                <w:color w:val="auto"/>
              </w:rPr>
            </w:pPr>
          </w:p>
        </w:tc>
        <w:tc>
          <w:tcPr>
            <w:tcW w:w="39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w:t>
            </w:r>
          </w:p>
        </w:tc>
        <w:tc>
          <w:tcPr>
            <w:tcW w:w="4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8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as Adopted Pursuant to Section 906 of the Sarbanes-</w:t>
            </w:r>
          </w:p>
        </w:tc>
        <w:tc>
          <w:tcPr>
            <w:tcW w:w="180" w:type="dxa"/>
            <w:vAlign w:val="bottom"/>
            <w:gridSpan w:val="2"/>
          </w:tcPr>
          <w:p>
            <w:pPr>
              <w:spacing w:after="0"/>
              <w:rPr>
                <w:sz w:val="17"/>
                <w:szCs w:val="17"/>
                <w:color w:val="auto"/>
              </w:rPr>
            </w:pPr>
          </w:p>
        </w:tc>
        <w:tc>
          <w:tcPr>
            <w:tcW w:w="55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2560" w:type="dxa"/>
            <w:vAlign w:val="bottom"/>
            <w:gridSpan w:val="6"/>
          </w:tcPr>
          <w:p>
            <w:pPr>
              <w:spacing w:after="0"/>
              <w:rPr>
                <w:sz w:val="17"/>
                <w:szCs w:val="17"/>
                <w:color w:val="auto"/>
              </w:rPr>
            </w:pPr>
          </w:p>
        </w:tc>
        <w:tc>
          <w:tcPr>
            <w:tcW w:w="5580" w:type="dxa"/>
            <w:vAlign w:val="bottom"/>
          </w:tcPr>
          <w:p>
            <w:pPr>
              <w:spacing w:after="0"/>
              <w:rPr>
                <w:sz w:val="17"/>
                <w:szCs w:val="17"/>
                <w:color w:val="auto"/>
              </w:rPr>
            </w:pPr>
          </w:p>
        </w:tc>
      </w:tr>
      <w:tr>
        <w:trPr>
          <w:trHeight w:val="2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5580" w:type="dxa"/>
            <w:vAlign w:val="bottom"/>
          </w:tcPr>
          <w:p>
            <w:pPr>
              <w:ind w:left="5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108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55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w:t>
            </w:r>
          </w:p>
        </w:tc>
        <w:tc>
          <w:tcPr>
            <w:tcW w:w="55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558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materials from BioAtla’s Quarterly</w:t>
            </w:r>
          </w:p>
        </w:tc>
        <w:tc>
          <w:tcPr>
            <w:tcW w:w="5580" w:type="dxa"/>
            <w:vAlign w:val="bottom"/>
          </w:tcPr>
          <w:p>
            <w:pPr>
              <w:ind w:left="5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108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Report on Form 10-Q for the quarter ended September</w:t>
            </w:r>
          </w:p>
        </w:tc>
        <w:tc>
          <w:tcPr>
            <w:tcW w:w="55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30, 2025, formatted in iXBRL (inline eXtensible</w:t>
            </w:r>
          </w:p>
        </w:tc>
        <w:tc>
          <w:tcPr>
            <w:tcW w:w="55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Business Reporting Language): (i) the Condensed</w:t>
            </w:r>
          </w:p>
        </w:tc>
        <w:tc>
          <w:tcPr>
            <w:tcW w:w="55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Balance Sheets, (ii) the Condensed Statements of</w:t>
            </w:r>
          </w:p>
        </w:tc>
        <w:tc>
          <w:tcPr>
            <w:tcW w:w="55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Operations and Comprehensive Loss, (iii) the</w:t>
            </w:r>
          </w:p>
        </w:tc>
        <w:tc>
          <w:tcPr>
            <w:tcW w:w="55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Condensed Statements of Stockholders’ Equity (iv) the</w:t>
            </w:r>
          </w:p>
        </w:tc>
        <w:tc>
          <w:tcPr>
            <w:tcW w:w="55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Condensed Statements of Cash Flows, and (v) Notes to</w:t>
            </w:r>
          </w:p>
        </w:tc>
        <w:tc>
          <w:tcPr>
            <w:tcW w:w="55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Condensed Financial Statements, tagged as blocks of</w:t>
            </w:r>
          </w:p>
        </w:tc>
        <w:tc>
          <w:tcPr>
            <w:tcW w:w="55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text and including detailed tags.</w:t>
            </w:r>
          </w:p>
        </w:tc>
        <w:tc>
          <w:tcPr>
            <w:tcW w:w="558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5580" w:type="dxa"/>
            <w:vAlign w:val="bottom"/>
          </w:tcPr>
          <w:p>
            <w:pPr>
              <w:ind w:left="5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1080" w:type="dxa"/>
            <w:vAlign w:val="bottom"/>
          </w:tcPr>
          <w:p>
            <w:pPr>
              <w:spacing w:after="0"/>
              <w:rPr>
                <w:sz w:val="20"/>
                <w:szCs w:val="20"/>
                <w:color w:val="auto"/>
              </w:rPr>
            </w:pPr>
          </w:p>
        </w:tc>
        <w:tc>
          <w:tcPr>
            <w:tcW w:w="3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document and contained in exhibit 101).</w:t>
            </w:r>
          </w:p>
        </w:tc>
        <w:tc>
          <w:tcPr>
            <w:tcW w:w="5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and not filed.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310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BioAtla, Inc.</w:t>
            </w:r>
          </w:p>
        </w:tc>
        <w:tc>
          <w:tcPr>
            <w:tcW w:w="444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31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/s/ Jay M. Short, Ph.D.</w:t>
            </w:r>
          </w:p>
        </w:tc>
      </w:tr>
      <w:tr>
        <w:trPr>
          <w:trHeight w:val="191"/>
        </w:trPr>
        <w:tc>
          <w:tcPr>
            <w:tcW w:w="37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jc w:val="center"/>
              <w:ind w:right="690"/>
              <w:spacing w:after="0" w:line="191" w:lineRule="exact"/>
              <w:rPr>
                <w:sz w:val="20"/>
                <w:szCs w:val="20"/>
                <w:color w:val="auto"/>
              </w:rPr>
            </w:pPr>
            <w:r>
              <w:rPr>
                <w:rFonts w:ascii="Times New Roman" w:cs="Times New Roman" w:eastAsia="Times New Roman" w:hAnsi="Times New Roman"/>
                <w:sz w:val="18"/>
                <w:szCs w:val="18"/>
                <w:color w:val="auto"/>
                <w:w w:val="99"/>
              </w:rPr>
              <w:t>Jay M. Short, Ph.D.</w:t>
            </w:r>
          </w:p>
        </w:tc>
      </w:tr>
      <w:tr>
        <w:trPr>
          <w:trHeight w:val="216"/>
        </w:trPr>
        <w:tc>
          <w:tcPr>
            <w:tcW w:w="3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3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31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/s/ Richard A. Waldron</w:t>
            </w:r>
          </w:p>
        </w:tc>
      </w:tr>
      <w:tr>
        <w:trPr>
          <w:trHeight w:val="191"/>
        </w:trPr>
        <w:tc>
          <w:tcPr>
            <w:tcW w:w="37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jc w:val="center"/>
              <w:ind w:right="690"/>
              <w:spacing w:after="0" w:line="191" w:lineRule="exact"/>
              <w:rPr>
                <w:sz w:val="20"/>
                <w:szCs w:val="20"/>
                <w:color w:val="auto"/>
              </w:rPr>
            </w:pPr>
            <w:r>
              <w:rPr>
                <w:rFonts w:ascii="Times New Roman" w:cs="Times New Roman" w:eastAsia="Times New Roman" w:hAnsi="Times New Roman"/>
                <w:sz w:val="18"/>
                <w:szCs w:val="18"/>
                <w:color w:val="auto"/>
                <w:w w:val="99"/>
              </w:rPr>
              <w:t>Richard A. Waldron</w:t>
            </w:r>
          </w:p>
        </w:tc>
      </w:tr>
      <w:tr>
        <w:trPr>
          <w:trHeight w:val="216"/>
        </w:trPr>
        <w:tc>
          <w:tcPr>
            <w:tcW w:w="3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700" w:type="dxa"/>
            <w:vAlign w:val="bottom"/>
          </w:tcPr>
          <w:p>
            <w:pPr>
              <w:spacing w:after="0"/>
              <w:rPr>
                <w:sz w:val="24"/>
                <w:szCs w:val="24"/>
                <w:color w:val="auto"/>
              </w:rPr>
            </w:pPr>
          </w:p>
        </w:tc>
        <w:tc>
          <w:tcPr>
            <w:tcW w:w="2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74</w:t>
            </w:r>
          </w:p>
        </w:tc>
        <w:tc>
          <w:tcPr>
            <w:tcW w:w="7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M. Short, Ph.D., certify that:</w:t>
      </w:r>
    </w:p>
    <w:p>
      <w:pPr>
        <w:spacing w:after="0" w:line="225"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BioAtla,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80" w:hanging="512"/>
        <w:spacing w:after="0" w:line="276" w:lineRule="auto"/>
        <w:tabs>
          <w:tab w:leader="none" w:pos="5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jc w:val="both"/>
        <w:ind w:left="10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312" w:lineRule="auto"/>
        <w:tabs>
          <w:tab w:leader="none" w:pos="102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9" w:lineRule="exact"/>
        <w:rPr>
          <w:rFonts w:ascii="Times New Roman" w:cs="Times New Roman" w:eastAsia="Times New Roman" w:hAnsi="Times New Roman"/>
          <w:sz w:val="17"/>
          <w:szCs w:val="17"/>
          <w:color w:val="auto"/>
        </w:rPr>
      </w:pPr>
    </w:p>
    <w:p>
      <w:pPr>
        <w:ind w:left="520" w:right="24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22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Jay M. Short, Ph.D.</w:t>
            </w:r>
          </w:p>
        </w:tc>
      </w:tr>
      <w:tr>
        <w:trPr>
          <w:trHeight w:val="191"/>
        </w:trPr>
        <w:tc>
          <w:tcPr>
            <w:tcW w:w="37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Jay M. Short, Ph.D.</w:t>
            </w:r>
          </w:p>
        </w:tc>
      </w:tr>
      <w:tr>
        <w:trPr>
          <w:trHeight w:val="234"/>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1195"/>
        </w:trPr>
        <w:tc>
          <w:tcPr>
            <w:tcW w:w="37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A. Waldron, certify that:</w:t>
      </w:r>
    </w:p>
    <w:p>
      <w:pPr>
        <w:spacing w:after="0" w:line="225"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BioAtla,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80" w:hanging="512"/>
        <w:spacing w:after="0" w:line="276" w:lineRule="auto"/>
        <w:tabs>
          <w:tab w:leader="none" w:pos="5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jc w:val="both"/>
        <w:ind w:left="102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312" w:lineRule="auto"/>
        <w:tabs>
          <w:tab w:leader="none" w:pos="102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9" w:lineRule="exact"/>
        <w:rPr>
          <w:rFonts w:ascii="Times New Roman" w:cs="Times New Roman" w:eastAsia="Times New Roman" w:hAnsi="Times New Roman"/>
          <w:sz w:val="17"/>
          <w:szCs w:val="17"/>
          <w:color w:val="auto"/>
        </w:rPr>
      </w:pPr>
    </w:p>
    <w:p>
      <w:pPr>
        <w:ind w:left="520" w:right="24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22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A. Waldron</w:t>
            </w:r>
          </w:p>
        </w:tc>
      </w:tr>
      <w:tr>
        <w:trPr>
          <w:trHeight w:val="191"/>
        </w:trPr>
        <w:tc>
          <w:tcPr>
            <w:tcW w:w="37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Richard A. Waldron</w:t>
            </w:r>
          </w:p>
        </w:tc>
      </w:tr>
      <w:tr>
        <w:trPr>
          <w:trHeight w:val="216"/>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79"/>
        </w:trPr>
        <w:tc>
          <w:tcPr>
            <w:tcW w:w="37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BioAtla, Inc. (the “Company”) on Form 10-Q for the period ending September 30,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22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Jay M. Short, Ph.D.</w:t>
            </w:r>
          </w:p>
        </w:tc>
      </w:tr>
      <w:tr>
        <w:trPr>
          <w:trHeight w:val="191"/>
        </w:trPr>
        <w:tc>
          <w:tcPr>
            <w:tcW w:w="37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Jay M. Short, Ph.D.</w:t>
            </w:r>
          </w:p>
        </w:tc>
      </w:tr>
      <w:tr>
        <w:trPr>
          <w:trHeight w:val="216"/>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22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A. Waldron</w:t>
            </w:r>
          </w:p>
        </w:tc>
      </w:tr>
      <w:tr>
        <w:trPr>
          <w:trHeight w:val="191"/>
        </w:trPr>
        <w:tc>
          <w:tcPr>
            <w:tcW w:w="37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Richard A. Waldron</w:t>
            </w:r>
          </w:p>
        </w:tc>
      </w:tr>
      <w:tr>
        <w:trPr>
          <w:trHeight w:val="216"/>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lvl w:ilvl="1">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2025-11-13T16:18:08Z</dcterms:created>
  <dcterms:modified xsi:type="dcterms:W3CDTF">2025-11-13T16:18:08Z</dcterms:modified>
</cp:coreProperties>
</file>