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720" w:right="720" w:hanging="0"/>
        <w:jc w:val="center"/>
        <w:rPr>
          <w:rFonts w:ascii="Times New Roman;Times;Serif" w:hAnsi="Times New Roman;Times;Serif"/>
          <w:b/>
          <w:i w:val="false"/>
          <w:caps w:val="false"/>
          <w:smallCaps w:val="false"/>
          <w:color w:val="231F20"/>
          <w:sz w:val="20"/>
        </w:rPr>
      </w:pPr>
      <w:bookmarkStart w:id="0" w:name="n5620_x9-s1.htm"/>
      <w:bookmarkStart w:id="1" w:name="ksn5620_x9s1"/>
      <w:bookmarkEnd w:id="0"/>
      <w:bookmarkEnd w:id="1"/>
      <w:r>
        <w:rPr>
          <w:rFonts w:ascii="Times New Roman;Times;Serif" w:hAnsi="Times New Roman;Times;Serif"/>
          <w:b/>
          <w:i w:val="false"/>
          <w:caps w:val="false"/>
          <w:smallCaps w:val="false"/>
          <w:color w:val="231F20"/>
          <w:sz w:val="20"/>
        </w:rPr>
        <w:t>As filed with the Securities and Exchange Commission on October 19, 2026</w:t>
      </w:r>
    </w:p>
    <w:p>
      <w:pPr>
        <w:pStyle w:val="TextBody"/>
        <w:bidi w:val="0"/>
        <w:spacing w:before="0" w:after="0"/>
        <w:ind w:left="720" w:right="720" w:hanging="0"/>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Registration No. 333-   </w:t>
      </w:r>
    </w:p>
    <w:p>
      <w:pPr>
        <w:pStyle w:val="TextBody"/>
        <w:bidi w:val="0"/>
        <w:spacing w:before="720" w:after="720"/>
        <w:ind w:left="720" w:right="720" w:hanging="0"/>
        <w:jc w:val="left"/>
        <w:rPr>
          <w:bdr w:val="single" w:sz="16" w:space="1" w:color="000000"/>
        </w:rPr>
      </w:pPr>
      <w:r>
        <w:rPr>
          <w:bdr w:val="single" w:sz="16" w:space="1" w:color="000000"/>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36"/>
        </w:rPr>
      </w:pPr>
      <w:r>
        <w:rPr>
          <w:rFonts w:ascii="Times New Roman;Times;Serif" w:hAnsi="Times New Roman;Times;Serif"/>
          <w:b/>
          <w:i w:val="false"/>
          <w:caps w:val="false"/>
          <w:smallCaps w:val="false"/>
          <w:color w:val="231F20"/>
          <w:sz w:val="36"/>
        </w:rPr>
        <w:t>UNITED STATES</w:t>
      </w:r>
      <w:r>
        <w:rPr>
          <w:rFonts w:ascii="Times New Roman;Times;Serif" w:hAnsi="Times New Roman;Times;Serif"/>
          <w:b w:val="false"/>
          <w:i w:val="false"/>
          <w:caps w:val="false"/>
          <w:smallCaps w:val="false"/>
          <w:color w:val="231F20"/>
          <w:sz w:val="36"/>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36"/>
        </w:rPr>
      </w:pPr>
      <w:r>
        <w:rPr>
          <w:rFonts w:ascii="Times New Roman;Times;Serif" w:hAnsi="Times New Roman;Times;Serif"/>
          <w:b/>
          <w:i w:val="false"/>
          <w:caps w:val="false"/>
          <w:smallCaps w:val="false"/>
          <w:color w:val="231F20"/>
          <w:sz w:val="36"/>
        </w:rPr>
        <w:t>SECURITIES AND EXCHANGE COMMISSION</w:t>
      </w:r>
      <w:r>
        <w:rPr>
          <w:rFonts w:ascii="Times New Roman;Times;Serif" w:hAnsi="Times New Roman;Times;Serif"/>
          <w:b w:val="false"/>
          <w:i w:val="false"/>
          <w:caps w:val="false"/>
          <w:smallCaps w:val="false"/>
          <w:color w:val="231F20"/>
          <w:sz w:val="36"/>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31F20"/>
          <w:sz w:val="24"/>
        </w:rPr>
        <w:t>Washington, D.C. 20549</w:t>
      </w:r>
      <w:r>
        <w:rPr>
          <w:rFonts w:ascii="Times New Roman;Times;Serif" w:hAnsi="Times New Roman;Times;Serif"/>
          <w:b w:val="false"/>
          <w:i w:val="false"/>
          <w:caps w:val="false"/>
          <w:smallCaps w:val="false"/>
          <w:sz w:val="20"/>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36"/>
        </w:rPr>
      </w:pPr>
      <w:r>
        <w:rPr>
          <w:rFonts w:ascii="Times New Roman;Times;Serif" w:hAnsi="Times New Roman;Times;Serif"/>
          <w:b/>
          <w:i w:val="false"/>
          <w:caps w:val="false"/>
          <w:smallCaps w:val="false"/>
          <w:color w:val="231F20"/>
          <w:sz w:val="36"/>
        </w:rPr>
        <w:t xml:space="preserve">FORM </w:t>
      </w:r>
      <w:bookmarkStart w:id="2" w:name="xdx_902_edei--DocumentType_c20260101__20"/>
      <w:bookmarkEnd w:id="2"/>
      <w:r>
        <w:rPr>
          <w:rFonts w:ascii="Times New Roman;Times;Serif" w:hAnsi="Times New Roman;Times;Serif"/>
          <w:b/>
          <w:i w:val="false"/>
          <w:caps w:val="false"/>
          <w:smallCaps w:val="false"/>
          <w:color w:val="231F20"/>
          <w:sz w:val="36"/>
        </w:rPr>
        <w:t>S-1</w:t>
      </w:r>
      <w:r>
        <w:rPr>
          <w:rFonts w:ascii="Times New Roman;Times;Serif" w:hAnsi="Times New Roman;Times;Serif"/>
          <w:b w:val="false"/>
          <w:i w:val="false"/>
          <w:caps w:val="false"/>
          <w:smallCaps w:val="false"/>
          <w:color w:val="231F20"/>
          <w:sz w:val="36"/>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36"/>
        </w:rPr>
      </w:pPr>
      <w:r>
        <w:rPr>
          <w:rFonts w:ascii="Times New Roman;Times;Serif" w:hAnsi="Times New Roman;Times;Serif"/>
          <w:b/>
          <w:i w:val="false"/>
          <w:caps w:val="false"/>
          <w:smallCaps w:val="false"/>
          <w:color w:val="231F20"/>
          <w:sz w:val="36"/>
        </w:rPr>
        <w:t>REGISTRATION STATEMENT</w:t>
      </w:r>
      <w:r>
        <w:rPr>
          <w:rFonts w:ascii="Times New Roman;Times;Serif" w:hAnsi="Times New Roman;Times;Serif"/>
          <w:b w:val="false"/>
          <w:i w:val="false"/>
          <w:caps w:val="false"/>
          <w:smallCaps w:val="false"/>
          <w:color w:val="231F20"/>
          <w:sz w:val="36"/>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4"/>
        </w:rPr>
      </w:pPr>
      <w:r>
        <w:rPr>
          <w:rFonts w:ascii="Times New Roman;Times;Serif" w:hAnsi="Times New Roman;Times;Serif"/>
          <w:b/>
          <w:i/>
          <w:caps w:val="false"/>
          <w:smallCaps w:val="false"/>
          <w:color w:val="231F20"/>
          <w:sz w:val="24"/>
        </w:rPr>
        <w:t>UNDER</w:t>
      </w:r>
      <w:r>
        <w:rPr>
          <w:rFonts w:ascii="Times New Roman;Times;Serif" w:hAnsi="Times New Roman;Times;Serif"/>
          <w:b w:val="false"/>
          <w:i w:val="false"/>
          <w:caps w:val="false"/>
          <w:smallCaps w:val="false"/>
          <w:color w:val="231F20"/>
          <w:sz w:val="24"/>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4"/>
        </w:rPr>
      </w:pPr>
      <w:r>
        <w:rPr>
          <w:rFonts w:ascii="Times New Roman;Times;Serif" w:hAnsi="Times New Roman;Times;Serif"/>
          <w:b/>
          <w:i/>
          <w:caps w:val="false"/>
          <w:smallCaps w:val="false"/>
          <w:color w:val="231F20"/>
          <w:sz w:val="24"/>
        </w:rPr>
        <w:t>THE SECURITIES ACT OF 1933</w:t>
      </w:r>
      <w:r>
        <w:rPr>
          <w:rFonts w:ascii="Times New Roman;Times;Serif" w:hAnsi="Times New Roman;Times;Serif"/>
          <w:b w:val="false"/>
          <w:i w:val="false"/>
          <w:caps w:val="false"/>
          <w:smallCaps w:val="false"/>
          <w:color w:val="231F20"/>
          <w:sz w:val="24"/>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bookmarkStart w:id="3" w:name="xdx_905_edei--EntityRegistrantName_c2026"/>
      <w:bookmarkEnd w:id="3"/>
      <w:r>
        <w:rPr>
          <w:rFonts w:ascii="Times New Roman;Times;Serif" w:hAnsi="Times New Roman;Times;Serif"/>
          <w:b/>
          <w:i w:val="false"/>
          <w:caps w:val="false"/>
          <w:smallCaps w:val="false"/>
          <w:color w:val="231F20"/>
          <w:sz w:val="48"/>
        </w:rPr>
        <w:t>BIOATLA, INC.</w:t>
      </w:r>
      <w:r>
        <w:rPr>
          <w:rFonts w:ascii="Times New Roman;Times;Serif" w:hAnsi="Times New Roman;Times;Serif"/>
          <w:b w:val="false"/>
          <w:i w:val="false"/>
          <w:caps w:val="false"/>
          <w:smallCaps w:val="false"/>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(Exact Name of Registrant as Specified in Its Charter)</w:t>
      </w:r>
      <w:r>
        <w:rPr>
          <w:rFonts w:ascii="Times New Roman;Times;Serif" w:hAnsi="Times New Roman;Times;Serif"/>
          <w:b w:val="false"/>
          <w:i w:val="false"/>
          <w:caps w:val="false"/>
          <w:smallCaps w:val="false"/>
          <w:color w:val="231F20"/>
          <w:sz w:val="20"/>
        </w:rPr>
        <w:t> </w:t>
      </w:r>
    </w:p>
    <w:p>
      <w:pPr>
        <w:pStyle w:val="TextBody"/>
        <w:bidi w:val="0"/>
        <w:spacing w:before="60" w:after="60"/>
        <w:ind w:left="720" w:right="720" w:hanging="0"/>
        <w:jc w:val="center"/>
        <w:rPr>
          <w:bdr w:val="single" w:sz="8" w:space="1" w:color="000000"/>
        </w:rPr>
      </w:pPr>
      <w:r>
        <w:rPr>
          <w:bdr w:val="single" w:sz="8" w:space="1" w:color="000000"/>
        </w:rPr>
        <w:t> </w:t>
      </w:r>
    </w:p>
    <w:tbl>
      <w:tblPr>
        <w:tblW w:w="8765" w:type="dxa"/>
        <w:jc w:val="left"/>
        <w:tblInd w:w="720" w:type="dxa"/>
        <w:tblLayout w:type="fixed"/>
        <w:tblCellMar>
          <w:top w:w="0" w:type="dxa"/>
          <w:left w:w="0" w:type="dxa"/>
          <w:bottom w:w="0" w:type="dxa"/>
          <w:right w:w="0" w:type="dxa"/>
        </w:tblCellMar>
      </w:tblPr>
      <w:tblGrid>
        <w:gridCol w:w="3435"/>
        <w:gridCol w:w="3234"/>
        <w:gridCol w:w="2096"/>
      </w:tblGrid>
      <w:tr>
        <w:trPr/>
        <w:tc>
          <w:tcPr>
            <w:tcW w:w="3435" w:type="dxa"/>
            <w:tcBorders/>
            <w:vAlign w:val="center"/>
          </w:tcPr>
          <w:p>
            <w:pPr>
              <w:pStyle w:val="TableContents"/>
              <w:bidi w:val="0"/>
              <w:spacing w:before="0" w:after="283"/>
              <w:jc w:val="center"/>
              <w:rPr>
                <w:sz w:val="20"/>
              </w:rPr>
            </w:pPr>
            <w:r>
              <w:rPr>
                <w:rFonts w:ascii="Times New Roman;Times;Serif" w:hAnsi="Times New Roman;Times;Serif"/>
                <w:b/>
                <w:color w:val="231F20"/>
                <w:sz w:val="20"/>
              </w:rPr>
              <w:t>Delaware</w:t>
            </w:r>
            <w:r>
              <w:rPr>
                <w:sz w:val="20"/>
              </w:rPr>
              <w:br/>
            </w:r>
            <w:r>
              <w:rPr>
                <w:rFonts w:ascii="Times New Roman;Times;Serif" w:hAnsi="Times New Roman;Times;Serif"/>
                <w:b/>
                <w:color w:val="231F20"/>
                <w:sz w:val="16"/>
              </w:rPr>
              <w:t>(State or Other Jurisdiction of Incorporation or Organization)</w:t>
            </w:r>
          </w:p>
        </w:tc>
        <w:tc>
          <w:tcPr>
            <w:tcW w:w="3234" w:type="dxa"/>
            <w:tcBorders/>
            <w:vAlign w:val="center"/>
          </w:tcPr>
          <w:p>
            <w:pPr>
              <w:pStyle w:val="TableContents"/>
              <w:bidi w:val="0"/>
              <w:spacing w:before="0" w:after="0"/>
              <w:ind w:left="26"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2836</w:t>
            </w:r>
            <w:r>
              <w:rPr>
                <w:rFonts w:ascii="Times New Roman;Times;Serif" w:hAnsi="Times New Roman;Times;Serif"/>
                <w:b w:val="false"/>
                <w:i w:val="false"/>
                <w:caps w:val="false"/>
                <w:smallCaps w:val="false"/>
                <w:color w:val="231F20"/>
                <w:sz w:val="20"/>
              </w:rPr>
              <w:t> </w:t>
            </w:r>
          </w:p>
          <w:p>
            <w:pPr>
              <w:pStyle w:val="TableContents"/>
              <w:bidi w:val="0"/>
              <w:spacing w:before="0" w:after="0"/>
              <w:ind w:left="26" w:right="0" w:hanging="0"/>
              <w:jc w:val="center"/>
              <w:rPr>
                <w:rFonts w:ascii="Times New Roman;Times;Serif" w:hAnsi="Times New Roman;Times;Serif"/>
                <w:b w:val="false"/>
                <w:i w:val="false"/>
                <w:caps w:val="false"/>
                <w:smallCaps w:val="false"/>
                <w:color w:val="231F20"/>
                <w:sz w:val="16"/>
              </w:rPr>
            </w:pPr>
            <w:r>
              <w:rPr>
                <w:rFonts w:ascii="Times New Roman;Times;Serif" w:hAnsi="Times New Roman;Times;Serif"/>
                <w:b/>
                <w:i w:val="false"/>
                <w:caps w:val="false"/>
                <w:smallCaps w:val="false"/>
                <w:color w:val="231F20"/>
                <w:sz w:val="16"/>
              </w:rPr>
              <w:t>(Primary Standard Industrial</w:t>
            </w:r>
            <w:r>
              <w:rPr>
                <w:rFonts w:ascii="Times New Roman;Times;Serif" w:hAnsi="Times New Roman;Times;Serif"/>
                <w:b w:val="false"/>
                <w:i w:val="false"/>
                <w:caps w:val="false"/>
                <w:smallCaps w:val="false"/>
                <w:color w:val="231F20"/>
                <w:sz w:val="16"/>
              </w:rPr>
              <w:t xml:space="preserve">  </w:t>
            </w:r>
            <w:r>
              <w:rPr>
                <w:rFonts w:ascii="Times New Roman;Times;Serif" w:hAnsi="Times New Roman;Times;Serif"/>
                <w:b/>
                <w:i w:val="false"/>
                <w:caps w:val="false"/>
                <w:smallCaps w:val="false"/>
                <w:color w:val="231F20"/>
                <w:sz w:val="16"/>
              </w:rPr>
              <w:t>Classification Code Number)</w:t>
            </w:r>
          </w:p>
        </w:tc>
        <w:tc>
          <w:tcPr>
            <w:tcW w:w="2096" w:type="dxa"/>
            <w:tcBorders/>
            <w:vAlign w:val="center"/>
          </w:tcPr>
          <w:p>
            <w:pPr>
              <w:pStyle w:val="TableContents"/>
              <w:bidi w:val="0"/>
              <w:spacing w:before="0" w:after="283"/>
              <w:jc w:val="center"/>
              <w:rPr>
                <w:sz w:val="20"/>
              </w:rPr>
            </w:pPr>
            <w:r>
              <w:rPr>
                <w:rFonts w:ascii="Times New Roman;Times;Serif" w:hAnsi="Times New Roman;Times;Serif"/>
                <w:b/>
                <w:color w:val="231F20"/>
                <w:sz w:val="20"/>
              </w:rPr>
              <w:t>85-1922320</w:t>
            </w:r>
            <w:r>
              <w:rPr>
                <w:sz w:val="20"/>
              </w:rPr>
              <w:br/>
            </w:r>
            <w:r>
              <w:rPr>
                <w:rFonts w:ascii="Times New Roman;Times;Serif" w:hAnsi="Times New Roman;Times;Serif"/>
                <w:b/>
                <w:sz w:val="16"/>
              </w:rPr>
              <w:t>(I.R.S. Employer Identification No.)</w:t>
            </w:r>
          </w:p>
        </w:tc>
      </w:tr>
      <w:tr>
        <w:trPr/>
        <w:tc>
          <w:tcPr>
            <w:tcW w:w="3435" w:type="dxa"/>
            <w:tcBorders/>
            <w:vAlign w:val="center"/>
          </w:tcPr>
          <w:p>
            <w:pPr>
              <w:pStyle w:val="TableContents"/>
              <w:bidi w:val="0"/>
              <w:spacing w:before="0" w:after="283"/>
              <w:jc w:val="center"/>
              <w:rPr/>
            </w:pPr>
            <w:r>
              <w:rPr/>
              <w:t> </w:t>
            </w:r>
          </w:p>
        </w:tc>
        <w:tc>
          <w:tcPr>
            <w:tcW w:w="323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 </w:t>
            </w:r>
          </w:p>
        </w:tc>
      </w:tr>
      <w:tr>
        <w:trPr/>
        <w:tc>
          <w:tcPr>
            <w:tcW w:w="8765" w:type="dxa"/>
            <w:gridSpan w:val="3"/>
            <w:tcBorders/>
            <w:vAlign w:val="center"/>
          </w:tcPr>
          <w:p>
            <w:pPr>
              <w:pStyle w:val="TableContents"/>
              <w:bidi w:val="0"/>
              <w:spacing w:before="0" w:after="283"/>
              <w:jc w:val="center"/>
              <w:rPr>
                <w:sz w:val="20"/>
              </w:rPr>
            </w:pPr>
            <w:bookmarkStart w:id="4" w:name="xdx_901_edei--EntityAddressAddressLine1_"/>
            <w:bookmarkEnd w:id="4"/>
            <w:r>
              <w:rPr>
                <w:rFonts w:ascii="Times New Roman;Times;Serif" w:hAnsi="Times New Roman;Times;Serif"/>
                <w:b/>
                <w:color w:val="231F20"/>
                <w:sz w:val="20"/>
              </w:rPr>
              <w:t>11085 Torreyana Road</w:t>
            </w:r>
            <w:r>
              <w:rPr>
                <w:rFonts w:ascii="Times New Roman;Times;Serif" w:hAnsi="Times New Roman;Times;Serif"/>
                <w:sz w:val="20"/>
              </w:rPr>
              <w:br/>
            </w:r>
            <w:bookmarkStart w:id="5" w:name="xdx_904_edei--EntityAddressCityOrTown_c2"/>
            <w:bookmarkEnd w:id="5"/>
            <w:r>
              <w:rPr>
                <w:rFonts w:ascii="Times New Roman;Times;Serif" w:hAnsi="Times New Roman;Times;Serif"/>
                <w:b/>
                <w:color w:val="231F20"/>
                <w:sz w:val="20"/>
              </w:rPr>
              <w:t xml:space="preserve">San Diego, </w:t>
            </w:r>
            <w:bookmarkStart w:id="6" w:name="xdx_90F_edei--EntityAddressStateOrProvin"/>
            <w:bookmarkEnd w:id="6"/>
            <w:r>
              <w:rPr>
                <w:rFonts w:ascii="Times New Roman;Times;Serif" w:hAnsi="Times New Roman;Times;Serif"/>
                <w:b/>
                <w:color w:val="231F20"/>
                <w:sz w:val="20"/>
              </w:rPr>
              <w:t xml:space="preserve">California </w:t>
            </w:r>
            <w:bookmarkStart w:id="7" w:name="xdx_900_edei--EntityAddressPostalZipCode"/>
            <w:bookmarkEnd w:id="7"/>
            <w:r>
              <w:rPr>
                <w:rFonts w:ascii="Times New Roman;Times;Serif" w:hAnsi="Times New Roman;Times;Serif"/>
                <w:b/>
                <w:color w:val="231F20"/>
                <w:sz w:val="20"/>
              </w:rPr>
              <w:t>92121</w:t>
            </w:r>
            <w:r>
              <w:rPr>
                <w:rFonts w:ascii="Times New Roman;Times;Serif" w:hAnsi="Times New Roman;Times;Serif"/>
                <w:sz w:val="20"/>
              </w:rPr>
              <w:br/>
            </w:r>
            <w:r>
              <w:rPr>
                <w:rFonts w:ascii="Times New Roman;Times;Serif" w:hAnsi="Times New Roman;Times;Serif"/>
                <w:b/>
                <w:color w:val="231F20"/>
                <w:sz w:val="20"/>
              </w:rPr>
              <w:t>(</w:t>
            </w:r>
            <w:bookmarkStart w:id="8" w:name="xdx_901_edei--CityAreaCode_c20260101__20"/>
            <w:bookmarkEnd w:id="8"/>
            <w:r>
              <w:rPr>
                <w:rFonts w:ascii="Times New Roman;Times;Serif" w:hAnsi="Times New Roman;Times;Serif"/>
                <w:b/>
                <w:color w:val="231F20"/>
                <w:sz w:val="20"/>
              </w:rPr>
              <w:t xml:space="preserve">858) </w:t>
            </w:r>
            <w:bookmarkStart w:id="9" w:name="xdx_906_edei--LocalPhoneNumber_c20260101"/>
            <w:bookmarkEnd w:id="9"/>
            <w:r>
              <w:rPr>
                <w:rFonts w:ascii="Times New Roman;Times;Serif" w:hAnsi="Times New Roman;Times;Serif"/>
                <w:b/>
                <w:color w:val="231F20"/>
                <w:sz w:val="20"/>
              </w:rPr>
              <w:t>558-0708</w:t>
            </w:r>
          </w:p>
        </w:tc>
      </w:tr>
    </w:tbl>
    <w:p>
      <w:pPr>
        <w:pStyle w:val="TextBody"/>
        <w:bidi w:val="0"/>
        <w:spacing w:before="0" w:after="0"/>
        <w:ind w:left="2089" w:right="2088" w:hanging="0"/>
        <w:jc w:val="center"/>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16"/>
        </w:rPr>
      </w:pPr>
      <w:r>
        <w:rPr>
          <w:rFonts w:ascii="Times New Roman;Times;Serif" w:hAnsi="Times New Roman;Times;Serif"/>
          <w:b/>
          <w:i w:val="false"/>
          <w:caps w:val="false"/>
          <w:smallCaps w:val="false"/>
          <w:color w:val="231F20"/>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231F20"/>
          <w:sz w:val="16"/>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bookmarkStart w:id="10" w:name="xdx_901_edei--ContactPersonnelName_c2026"/>
      <w:bookmarkEnd w:id="10"/>
      <w:r>
        <w:rPr>
          <w:rFonts w:ascii="Times New Roman;Times;Serif" w:hAnsi="Times New Roman;Times;Serif"/>
          <w:b/>
          <w:i w:val="false"/>
          <w:caps w:val="false"/>
          <w:smallCaps w:val="false"/>
          <w:color w:val="231F20"/>
          <w:sz w:val="20"/>
        </w:rPr>
        <w:t>Jay M. Short, Ph.D.</w:t>
      </w:r>
      <w:r>
        <w:rPr>
          <w:rFonts w:ascii="Times New Roman;Times;Serif" w:hAnsi="Times New Roman;Times;Serif"/>
          <w:b w:val="false"/>
          <w:i w:val="false"/>
          <w:caps w:val="false"/>
          <w:smallCaps w:val="false"/>
          <w:sz w:val="20"/>
        </w:rPr>
        <w:t> </w:t>
      </w:r>
    </w:p>
    <w:p>
      <w:pPr>
        <w:pStyle w:val="TextBody"/>
        <w:bidi w:val="0"/>
        <w:spacing w:before="0" w:after="0"/>
        <w:ind w:left="720" w:right="72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Co-Founder, Chief Executive Officer and Chairman</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BioAtla, Inc.</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bookmarkStart w:id="11" w:name="xdx_902_edei--EntityAddressAddressLine1_"/>
      <w:bookmarkEnd w:id="11"/>
      <w:r>
        <w:rPr>
          <w:rFonts w:ascii="Times New Roman;Times;Serif" w:hAnsi="Times New Roman;Times;Serif"/>
          <w:b/>
          <w:i w:val="false"/>
          <w:caps w:val="false"/>
          <w:smallCaps w:val="false"/>
          <w:color w:val="231F20"/>
          <w:sz w:val="20"/>
        </w:rPr>
        <w:t xml:space="preserve">11085 Torreyana Road </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bookmarkStart w:id="12" w:name="xdx_907_edei--EntityAddressCityOrTown_c2"/>
      <w:bookmarkEnd w:id="12"/>
      <w:r>
        <w:rPr>
          <w:rFonts w:ascii="Times New Roman;Times;Serif" w:hAnsi="Times New Roman;Times;Serif"/>
          <w:b/>
          <w:i w:val="false"/>
          <w:caps w:val="false"/>
          <w:smallCaps w:val="false"/>
          <w:color w:val="231F20"/>
          <w:sz w:val="20"/>
        </w:rPr>
        <w:t xml:space="preserve">San Diego, </w:t>
      </w:r>
      <w:bookmarkStart w:id="13" w:name="xdx_909_edei--EntityAddressStateOrProvin"/>
      <w:bookmarkEnd w:id="13"/>
      <w:r>
        <w:rPr>
          <w:rFonts w:ascii="Times New Roman;Times;Serif" w:hAnsi="Times New Roman;Times;Serif"/>
          <w:b/>
          <w:i w:val="false"/>
          <w:caps w:val="false"/>
          <w:smallCaps w:val="false"/>
          <w:color w:val="231F20"/>
          <w:sz w:val="20"/>
        </w:rPr>
        <w:t xml:space="preserve">California </w:t>
      </w:r>
      <w:bookmarkStart w:id="14" w:name="xdx_90D_edei--EntityAddressPostalZipCode"/>
      <w:bookmarkEnd w:id="14"/>
      <w:r>
        <w:rPr>
          <w:rFonts w:ascii="Times New Roman;Times;Serif" w:hAnsi="Times New Roman;Times;Serif"/>
          <w:b/>
          <w:i w:val="false"/>
          <w:caps w:val="false"/>
          <w:smallCaps w:val="false"/>
          <w:color w:val="231F20"/>
          <w:sz w:val="20"/>
        </w:rPr>
        <w:t>92121</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w:t>
      </w:r>
      <w:bookmarkStart w:id="15" w:name="xdx_908_edei--CityAreaCode_c20260101__20"/>
      <w:bookmarkEnd w:id="15"/>
      <w:r>
        <w:rPr>
          <w:rFonts w:ascii="Times New Roman;Times;Serif" w:hAnsi="Times New Roman;Times;Serif"/>
          <w:b/>
          <w:i w:val="false"/>
          <w:caps w:val="false"/>
          <w:smallCaps w:val="false"/>
          <w:color w:val="231F20"/>
          <w:sz w:val="20"/>
        </w:rPr>
        <w:t xml:space="preserve">858) </w:t>
      </w:r>
      <w:bookmarkStart w:id="16" w:name="xdx_905_edei--LocalPhoneNumber_c20260101"/>
      <w:bookmarkEnd w:id="16"/>
      <w:r>
        <w:rPr>
          <w:rFonts w:ascii="Times New Roman;Times;Serif" w:hAnsi="Times New Roman;Times;Serif"/>
          <w:b/>
          <w:i w:val="false"/>
          <w:caps w:val="false"/>
          <w:smallCaps w:val="false"/>
          <w:color w:val="231F20"/>
          <w:sz w:val="20"/>
        </w:rPr>
        <w:t>558-0708</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Address, Including Zip Code, and Telephone Number, Including Area Code, of Agent for Service)</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Copies to: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David Schulman, Esq.</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Niki Fang, Esq.</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Orrick, Herrington &amp; Sutcliffe LLP </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405 Howard Street</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31F20"/>
          <w:sz w:val="20"/>
        </w:rPr>
        <w:t>San Francisco, California 94105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color w:val="231F20"/>
          <w:sz w:val="20"/>
        </w:rPr>
        <w:t>Telephone: (415) 773-5700</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Approximate date of commencement of proposed sale to the public</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rPr>
        <w:t>As soon as practicable after the effective date of this Registration Statement.</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ind w:left="720" w:right="72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720" w:type="dxa"/>
        <w:tblLayout w:type="fixed"/>
        <w:tblCellMar>
          <w:top w:w="0" w:type="dxa"/>
          <w:left w:w="0" w:type="dxa"/>
          <w:bottom w:w="0" w:type="dxa"/>
          <w:right w:w="0" w:type="dxa"/>
        </w:tblCellMar>
      </w:tblPr>
      <w:tblGrid>
        <w:gridCol w:w="2045"/>
        <w:gridCol w:w="1580"/>
      </w:tblGrid>
      <w:tr>
        <w:trPr/>
        <w:tc>
          <w:tcPr>
            <w:tcW w:w="2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r>
    </w:tbl>
    <w:tbl>
      <w:tblPr>
        <w:tblW w:w="4390" w:type="dxa"/>
        <w:jc w:val="left"/>
        <w:tblInd w:w="720" w:type="dxa"/>
        <w:tblLayout w:type="fixed"/>
        <w:tblCellMar>
          <w:top w:w="0" w:type="dxa"/>
          <w:left w:w="0" w:type="dxa"/>
          <w:bottom w:w="0" w:type="dxa"/>
          <w:right w:w="0" w:type="dxa"/>
        </w:tblCellMar>
      </w:tblPr>
      <w:tblGrid>
        <w:gridCol w:w="1940"/>
        <w:gridCol w:w="2450"/>
      </w:tblGrid>
      <w:tr>
        <w:trPr/>
        <w:tc>
          <w:tcPr>
            <w:tcW w:w="1940" w:type="dxa"/>
            <w:tcBorders/>
            <w:vAlign w:val="center"/>
          </w:tcPr>
          <w:p>
            <w:pPr>
              <w:pStyle w:val="TableContents"/>
              <w:bidi w:val="0"/>
              <w:spacing w:before="0" w:after="283"/>
              <w:jc w:val="both"/>
              <w:rPr>
                <w:rFonts w:ascii="Times New Roman;Times;Serif" w:hAnsi="Times New Roman;Times;Serif"/>
                <w:sz w:val="20"/>
              </w:rPr>
            </w:pPr>
            <w:bookmarkStart w:id="17" w:name="xdx_907_edei--EntityFilerCategory_c20260"/>
            <w:bookmarkEnd w:id="17"/>
            <w:r>
              <w:rPr>
                <w:rFonts w:ascii="Times New Roman;Times;Serif" w:hAnsi="Times New Roman;Times;Serif"/>
                <w:sz w:val="20"/>
              </w:rPr>
              <w:t>Non-accelerated filer ☒</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Smaller reporting company </w:t>
            </w:r>
            <w:bookmarkStart w:id="18" w:name="xdx_90B_edei--EntitySmallBusiness_dbT_c2"/>
            <w:bookmarkEnd w:id="18"/>
            <w:r>
              <w:rPr>
                <w:rFonts w:ascii="Times New Roman;Times;Serif" w:hAnsi="Times New Roman;Times;Serif"/>
                <w:sz w:val="20"/>
              </w:rPr>
              <w:t>☒</w:t>
            </w:r>
          </w:p>
        </w:tc>
      </w:tr>
    </w:tbl>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Emerging growth company </w:t>
      </w:r>
      <w:bookmarkStart w:id="19" w:name="xdx_90F_edei--EntityEmergingGrowthCompan"/>
      <w:bookmarkEnd w:id="19"/>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firstLine="18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720" w:right="720" w:firstLine="180"/>
        <w:jc w:val="both"/>
        <w:rPr>
          <w:caps w:val="false"/>
          <w:smallCaps w:val="false"/>
          <w:color w:val="231F20"/>
        </w:rPr>
      </w:pPr>
      <w:r>
        <w:rPr>
          <w:caps w:val="false"/>
          <w:smallCaps w:val="false"/>
          <w:color w:val="231F20"/>
        </w:rPr>
        <w:t> </w:t>
      </w:r>
    </w:p>
    <w:p>
      <w:pPr>
        <w:pStyle w:val="TextBody"/>
        <w:bidi w:val="0"/>
        <w:spacing w:before="0" w:after="0"/>
        <w:ind w:left="720" w:right="720" w:firstLine="1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r>
        <w:rPr>
          <w:rFonts w:ascii="Times New Roman;Times;Serif" w:hAnsi="Times New Roman;Times;Serif"/>
          <w:b w:val="false"/>
          <w:i w:val="false"/>
          <w:caps w:val="false"/>
          <w:smallCaps w:val="false"/>
          <w:sz w:val="20"/>
        </w:rPr>
        <w:t> </w:t>
      </w:r>
    </w:p>
    <w:p>
      <w:pPr>
        <w:pStyle w:val="TextBody"/>
        <w:bidi w:val="0"/>
        <w:spacing w:before="0" w:after="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p>
    <w:p>
      <w:pPr>
        <w:pStyle w:val="TextBody"/>
        <w:bidi w:val="0"/>
        <w:spacing w:before="0" w:after="0"/>
        <w:ind w:left="720" w:right="720" w:hanging="0"/>
        <w:jc w:val="left"/>
        <w:rPr>
          <w:caps w:val="false"/>
          <w:smallCaps w:val="false"/>
          <w:color w:val="FF0000"/>
        </w:rPr>
      </w:pPr>
      <w:r>
        <w:rPr>
          <w:caps w:val="false"/>
          <w:smallCaps w:val="false"/>
          <w:color w:val="FF0000"/>
        </w:rPr>
        <w:t> </w:t>
      </w:r>
    </w:p>
    <w:p>
      <w:pPr>
        <w:pStyle w:val="TextBody"/>
        <w:bidi w:val="0"/>
        <w:spacing w:before="0" w:after="0"/>
        <w:ind w:left="720" w:right="72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19, 2026</w:t>
      </w:r>
    </w:p>
    <w:p>
      <w:pPr>
        <w:pStyle w:val="TextBody"/>
        <w:bidi w:val="0"/>
        <w:spacing w:before="0" w:after="0"/>
        <w:ind w:left="720" w:right="720" w:hanging="0"/>
        <w:jc w:val="center"/>
        <w:rPr>
          <w:caps w:val="false"/>
          <w:smallCaps w:val="false"/>
          <w:color w:val="FF0000"/>
        </w:rPr>
      </w:pPr>
      <w:r>
        <w:rPr>
          <w:caps w:val="false"/>
          <w:smallCaps w:val="false"/>
          <w:color w:val="FF0000"/>
        </w:rPr>
        <w:t> </w:t>
      </w:r>
    </w:p>
    <w:p>
      <w:pPr>
        <w:pStyle w:val="TextBody"/>
        <w:bidi w:val="0"/>
        <w:spacing w:before="0" w:after="0"/>
        <w:ind w:left="720" w:right="72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ind w:left="720" w:right="720" w:hanging="0"/>
        <w:jc w:val="left"/>
        <w:rPr>
          <w:caps w:val="false"/>
          <w:smallCaps w:val="false"/>
          <w:color w:val="FF0000"/>
        </w:rPr>
      </w:pPr>
      <w:r>
        <w:rPr>
          <w:caps w:val="false"/>
          <w:smallCaps w:val="false"/>
          <w:color w:val="FF0000"/>
        </w:rPr>
        <w:t> </w:t>
      </w:r>
    </w:p>
    <w:p>
      <w:pPr>
        <w:pStyle w:val="TextBody"/>
        <w:bidi w:val="0"/>
        <w:spacing w:before="0" w:after="0"/>
        <w:ind w:left="720" w:right="720" w:hanging="0"/>
        <w:jc w:val="center"/>
        <w:rPr>
          <w:caps w:val="false"/>
          <w:smallCaps w:val="false"/>
          <w:color w:val="FF0000"/>
        </w:rPr>
      </w:pPr>
      <w:r>
        <w:rPr>
          <w:caps w:val="false"/>
          <w:smallCaps w:val="false"/>
          <w:color w:val="FF0000"/>
        </w:rPr>
        <w:drawing>
          <wp:inline distT="0" distB="0" distL="0" distR="0">
            <wp:extent cx="13335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676275"/>
                    </a:xfrm>
                    <a:prstGeom prst="rect">
                      <a:avLst/>
                    </a:prstGeom>
                  </pic:spPr>
                </pic:pic>
              </a:graphicData>
            </a:graphic>
          </wp:inline>
        </w:drawing>
      </w:r>
    </w:p>
    <w:p>
      <w:pPr>
        <w:pStyle w:val="TextBody"/>
        <w:bidi w:val="0"/>
        <w:spacing w:before="0" w:after="0"/>
        <w:ind w:left="720" w:right="720" w:hanging="0"/>
        <w:jc w:val="center"/>
        <w:rPr>
          <w:caps w:val="false"/>
          <w:smallCaps w:val="false"/>
          <w:color w:val="FF0000"/>
        </w:rPr>
      </w:pPr>
      <w:r>
        <w:rPr>
          <w:caps w:val="false"/>
          <w:smallCaps w:val="false"/>
          <w:color w:val="FF0000"/>
        </w:rPr>
        <w:t> </w:t>
      </w:r>
    </w:p>
    <w:p>
      <w:pPr>
        <w:pStyle w:val="TextBody"/>
        <w:bidi w:val="0"/>
        <w:spacing w:before="0" w:after="0"/>
        <w:ind w:left="720" w:right="72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Up to 8,182,110 Shares of Common Stock</w:t>
      </w:r>
    </w:p>
    <w:p>
      <w:pPr>
        <w:pStyle w:val="TextBody"/>
        <w:bidi w:val="0"/>
        <w:spacing w:before="0" w:after="0"/>
        <w:ind w:left="720" w:right="720" w:hanging="0"/>
        <w:jc w:val="center"/>
        <w:rPr>
          <w:caps w:val="false"/>
          <w:smallCaps w:val="false"/>
          <w:color w:val="231F20"/>
        </w:rPr>
      </w:pPr>
      <w:r>
        <w:rPr>
          <w:caps w:val="false"/>
          <w:smallCaps w:val="false"/>
          <w:color w:val="231F20"/>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caps w:val="false"/>
          <w:smallCaps w:val="false"/>
          <w:color w:val="FF0000"/>
        </w:rPr>
      </w:pPr>
      <w:r>
        <w:rPr>
          <w:caps w:val="false"/>
          <w:smallCaps w:val="false"/>
          <w:color w:val="FF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prospectus relates to the resale from time to time by YA II PN, Ltd., a Cayman Islands exempt limited company (“Yorkville” or the “Selling Stockholder”), of up to 8,182,110 shares of our common stock, par value $0.0001 per share (the “common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shares of common stock to which this prospectus relates consist of (i) up to 8,000,000 shares of common stock (the “Advance Shares”) that we may, in our sole discretion, elect to issue and sell to the Selling Stockholder from time to time pursuant to the Standby Equity Purchase Agreement that we entered into with the Selling Stockholder on October 15, 2026 (the “SEPA”) and (ii) up to 182,110 shares of common stock (the “Commitment Shares”) issuable upon exercise of warrants (the “Commitment Fee Warrants”) that we have issued to the Selling Stockholder in payment of a portion of the commitment fee payable under the SEPA.</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not selling any securities under this prospectus and will not receive any proceeds from the sale of common stock by the Selling Stockholder. However, we may receive up to $40,000,000 in aggregate gross proceeds from sales of Advance Shares that we may elect to make to the Selling Stockholder pursuant to the SEPA from time to time during the 36 months following the date of the SEPA. The Advance Shares will be purchased by the Selling Stockholder at a price equal to 97% of the lowest daily volume weighted average price (“VWAP”) of our common stock during the three consecutive trading days commencing on the date we deliver an advance notice, subject to certain limitations, including that the Selling Stockholder may not purchase any shares that would result in the Selling Stockholder and its affiliates beneficially owning more than 4.99% of the then-outstanding voting power or number of shares of our common stock. See “</w:t>
      </w:r>
      <w:r>
        <w:rPr>
          <w:rFonts w:ascii="Times New Roman;Times;Serif" w:hAnsi="Times New Roman;Times;Serif"/>
          <w:b w:val="false"/>
          <w:i/>
          <w:caps w:val="false"/>
          <w:smallCaps w:val="false"/>
          <w:color w:val="231F20"/>
          <w:sz w:val="20"/>
        </w:rPr>
        <w:t>The Standby Equity Purchase Agreement</w:t>
      </w:r>
      <w:r>
        <w:rPr>
          <w:rFonts w:ascii="Times New Roman;Times;Serif" w:hAnsi="Times New Roman;Times;Serif"/>
          <w:b w:val="false"/>
          <w:i w:val="false"/>
          <w:caps w:val="false"/>
          <w:smallCaps w:val="false"/>
          <w:color w:val="231F20"/>
          <w:sz w:val="20"/>
        </w:rPr>
        <w:t>” for a description of the SEPA and “</w:t>
      </w:r>
      <w:r>
        <w:rPr>
          <w:rFonts w:ascii="Times New Roman;Times;Serif" w:hAnsi="Times New Roman;Times;Serif"/>
          <w:b w:val="false"/>
          <w:i/>
          <w:caps w:val="false"/>
          <w:smallCaps w:val="false"/>
          <w:color w:val="231F20"/>
          <w:sz w:val="20"/>
        </w:rPr>
        <w:t>Selling Stockholder</w:t>
      </w:r>
      <w:r>
        <w:rPr>
          <w:rFonts w:ascii="Times New Roman;Times;Serif" w:hAnsi="Times New Roman;Times;Serif"/>
          <w:b w:val="false"/>
          <w:i w:val="false"/>
          <w:caps w:val="false"/>
          <w:smallCaps w:val="false"/>
          <w:color w:val="231F20"/>
          <w:sz w:val="20"/>
        </w:rPr>
        <w:t>” for additional information regarding Yorkville.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Selling Stockholder may sell or otherwise dispose of the shares of common stock described in this prospectus in a number of different ways and at varying prices. Information about how the Selling Stockholder may sell or otherwise dispose of the shares is described in this prospectus under the caption “</w:t>
      </w:r>
      <w:r>
        <w:rPr>
          <w:rFonts w:ascii="Times New Roman;Times;Serif" w:hAnsi="Times New Roman;Times;Serif"/>
          <w:b w:val="false"/>
          <w:i/>
          <w:caps w:val="false"/>
          <w:smallCaps w:val="false"/>
          <w:color w:val="231F20"/>
          <w:sz w:val="20"/>
        </w:rPr>
        <w:t>Plan of Distribution</w:t>
      </w:r>
      <w:r>
        <w:rPr>
          <w:rFonts w:ascii="Times New Roman;Times;Serif" w:hAnsi="Times New Roman;Times;Serif"/>
          <w:b w:val="false"/>
          <w:i w:val="false"/>
          <w:caps w:val="false"/>
          <w:smallCaps w:val="false"/>
          <w:color w:val="231F20"/>
          <w:sz w:val="20"/>
        </w:rPr>
        <w:t>.” The Selling Stockholder is an “underwriter” within the meaning of Section 2(a)(11) of the Securities Act of 1933, as amended (the “Securities Act”), and any profits on the sales of shares of our common stock by the Selling Stockholder and any discounts, commissions or concessions received by the Selling Stockholder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bear all of the registration expenses incurred in connection with the registration of these shares of common stock. The Selling Stockholder will pay discounts, commissions, fees of underwriters, selling brokers or dealer managers and similar expenses, if any, incurred for sales of these shares of common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Tungsten Partners LLC d/b/a Tungsten Advisors (through its broker-dealer, Finalis Securities LLC) (the “Placement Agent”) acted as the sole placement agent for the SEPA. We have agreed to pay the Placement Agent a placement fee equal to 3% of the aggregate purchase price of any Advance Shares when and if purchased by Yorkville pursuant to the SEPA. </w:t>
      </w:r>
    </w:p>
    <w:p>
      <w:pPr>
        <w:pStyle w:val="TextBody"/>
        <w:bidi w:val="0"/>
        <w:spacing w:before="0" w:after="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common stock is quoted on the OTCQB Venture Market operated by OTC Markets Group Inc. (the “OTCQB”) under the symbol “BCAB.” On October 16, 2026, the last reported sale price of our common stock on the OTCQB was $1.36 per share.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both"/>
        <w:rPr>
          <w:caps w:val="false"/>
          <w:smallCaps w:val="false"/>
          <w:color w:val="FF0000"/>
        </w:rPr>
      </w:pPr>
      <w:r>
        <w:rPr>
          <w:caps w:val="false"/>
          <w:smallCaps w:val="false"/>
          <w:color w:val="FF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Investing in our securities involves a high degree of risk. You should carefully consider the risks described under the heading “Risk Factors” beginning on page 15 of this prospectus.</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a “smaller reporting company” as defined under the federal securities laws and, as such, have elected to comply with certain reduced public company reporting requirements for this prospectus and may elect to comply with reduced public company reporting requirements in future filings. See “Prospectus Summary—Implications of Being a Smaller Reporting Company.”</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left"/>
        <w:rPr>
          <w:caps w:val="false"/>
          <w:smallCaps w:val="false"/>
          <w:color w:val="FF0000"/>
        </w:rPr>
      </w:pPr>
      <w:r>
        <w:rPr>
          <w:caps w:val="false"/>
          <w:smallCaps w:val="false"/>
          <w:color w:val="FF000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Prospectus dated          , 2026</w:t>
      </w:r>
      <w:r>
        <w:rPr>
          <w:rFonts w:ascii="Times New Roman;Times;Serif" w:hAnsi="Times New Roman;Times;Serif"/>
          <w:b w:val="false"/>
          <w:i w:val="false"/>
          <w:caps w:val="false"/>
          <w:smallCaps w:val="false"/>
          <w:color w:val="231F20"/>
          <w:sz w:val="20"/>
        </w:rPr>
        <w:t> </w:t>
      </w:r>
    </w:p>
    <w:p>
      <w:pPr>
        <w:pStyle w:val="TextBody"/>
        <w:bidi w:val="0"/>
        <w:spacing w:before="0" w:after="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TABLE OF CONTENTS </w:t>
      </w:r>
    </w:p>
    <w:p>
      <w:pPr>
        <w:pStyle w:val="TextBody"/>
        <w:bidi w:val="0"/>
        <w:spacing w:before="0" w:after="0"/>
        <w:ind w:left="720" w:right="720" w:hanging="0"/>
        <w:jc w:val="center"/>
        <w:rPr>
          <w:caps w:val="false"/>
          <w:smallCaps w:val="false"/>
          <w:color w:val="231F20"/>
        </w:rPr>
      </w:pPr>
      <w:r>
        <w:rPr>
          <w:caps w:val="false"/>
          <w:smallCaps w:val="false"/>
          <w:color w:val="231F20"/>
        </w:rPr>
        <w:t> </w:t>
      </w:r>
    </w:p>
    <w:tbl>
      <w:tblPr>
        <w:tblW w:w="8765" w:type="dxa"/>
        <w:jc w:val="left"/>
        <w:tblInd w:w="720" w:type="dxa"/>
        <w:tblLayout w:type="fixed"/>
        <w:tblCellMar>
          <w:top w:w="0" w:type="dxa"/>
          <w:left w:w="0" w:type="dxa"/>
          <w:bottom w:w="0" w:type="dxa"/>
          <w:right w:w="0" w:type="dxa"/>
        </w:tblCellMar>
      </w:tblPr>
      <w:tblGrid>
        <w:gridCol w:w="8402"/>
        <w:gridCol w:w="363"/>
      </w:tblGrid>
      <w:tr>
        <w:trPr/>
        <w:tc>
          <w:tcPr>
            <w:tcW w:w="8402" w:type="dxa"/>
            <w:tcBorders/>
            <w:shd w:fill="CCEEFF" w:val="clear"/>
            <w:vAlign w:val="center"/>
          </w:tcPr>
          <w:p>
            <w:pPr>
              <w:pStyle w:val="TableContents"/>
              <w:bidi w:val="0"/>
              <w:spacing w:before="0" w:after="283"/>
              <w:jc w:val="left"/>
              <w:rPr/>
            </w:pPr>
            <w:hyperlink w:anchor="b001">
              <w:r>
                <w:rPr>
                  <w:rStyle w:val="InternetLink"/>
                  <w:rFonts w:ascii="Times New Roman;Times;Serif" w:hAnsi="Times New Roman;Times;Serif"/>
                  <w:sz w:val="20"/>
                </w:rPr>
                <w:t>ABOUT THIS PROSPECTUS</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402" w:type="dxa"/>
            <w:tcBorders/>
            <w:shd w:fill="FFFFFF" w:val="clear"/>
            <w:vAlign w:val="center"/>
          </w:tcPr>
          <w:p>
            <w:pPr>
              <w:pStyle w:val="TableContents"/>
              <w:bidi w:val="0"/>
              <w:spacing w:before="0" w:after="283"/>
              <w:jc w:val="left"/>
              <w:rPr/>
            </w:pPr>
            <w:hyperlink w:anchor="b002">
              <w:r>
                <w:rPr>
                  <w:rStyle w:val="InternetLink"/>
                  <w:rFonts w:ascii="Times New Roman;Times;Serif" w:hAnsi="Times New Roman;Times;Serif"/>
                  <w:sz w:val="20"/>
                </w:rPr>
                <w:t>FORWARD-LOOKING STATEMENTS</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8402" w:type="dxa"/>
            <w:tcBorders/>
            <w:shd w:fill="CCEEFF" w:val="clear"/>
            <w:vAlign w:val="center"/>
          </w:tcPr>
          <w:p>
            <w:pPr>
              <w:pStyle w:val="TableContents"/>
              <w:bidi w:val="0"/>
              <w:spacing w:before="0" w:after="283"/>
              <w:jc w:val="left"/>
              <w:rPr/>
            </w:pPr>
            <w:hyperlink w:anchor="b003">
              <w:r>
                <w:rPr>
                  <w:rStyle w:val="InternetLink"/>
                  <w:rFonts w:ascii="Times New Roman;Times;Serif" w:hAnsi="Times New Roman;Times;Serif"/>
                  <w:sz w:val="20"/>
                </w:rPr>
                <w:t>PROSPECTUS SUMMARY</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8402" w:type="dxa"/>
            <w:tcBorders/>
            <w:shd w:fill="FFFFFF" w:val="clear"/>
            <w:vAlign w:val="center"/>
          </w:tcPr>
          <w:p>
            <w:pPr>
              <w:pStyle w:val="TableContents"/>
              <w:bidi w:val="0"/>
              <w:spacing w:before="0" w:after="283"/>
              <w:jc w:val="left"/>
              <w:rPr/>
            </w:pPr>
            <w:hyperlink w:anchor="b004">
              <w:r>
                <w:rPr>
                  <w:rStyle w:val="InternetLink"/>
                  <w:rFonts w:ascii="Times New Roman;Times;Serif" w:hAnsi="Times New Roman;Times;Serif"/>
                  <w:sz w:val="20"/>
                </w:rPr>
                <w:t>THE OFFERING</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8402" w:type="dxa"/>
            <w:tcBorders/>
            <w:shd w:fill="CCEEFF" w:val="clear"/>
            <w:vAlign w:val="center"/>
          </w:tcPr>
          <w:p>
            <w:pPr>
              <w:pStyle w:val="TableContents"/>
              <w:bidi w:val="0"/>
              <w:spacing w:before="0" w:after="283"/>
              <w:jc w:val="left"/>
              <w:rPr/>
            </w:pPr>
            <w:hyperlink w:anchor="b005">
              <w:r>
                <w:rPr>
                  <w:rStyle w:val="InternetLink"/>
                  <w:rFonts w:ascii="Times New Roman;Times;Serif" w:hAnsi="Times New Roman;Times;Serif"/>
                  <w:sz w:val="20"/>
                </w:rPr>
                <w:t>THE STANDBY EQUITY PURCHASE AGREEMENT</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8402" w:type="dxa"/>
            <w:tcBorders/>
            <w:shd w:fill="FFFFFF" w:val="clear"/>
            <w:vAlign w:val="center"/>
          </w:tcPr>
          <w:p>
            <w:pPr>
              <w:pStyle w:val="TableContents"/>
              <w:bidi w:val="0"/>
              <w:spacing w:before="0" w:after="283"/>
              <w:jc w:val="left"/>
              <w:rPr/>
            </w:pPr>
            <w:hyperlink w:anchor="b006">
              <w:r>
                <w:rPr>
                  <w:rStyle w:val="InternetLink"/>
                  <w:rFonts w:ascii="Times New Roman;Times;Serif" w:hAnsi="Times New Roman;Times;Serif"/>
                  <w:sz w:val="20"/>
                </w:rPr>
                <w:t>RISK FACTORS</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8402" w:type="dxa"/>
            <w:tcBorders/>
            <w:shd w:fill="CCEEFF" w:val="clear"/>
            <w:vAlign w:val="center"/>
          </w:tcPr>
          <w:p>
            <w:pPr>
              <w:pStyle w:val="TableContents"/>
              <w:bidi w:val="0"/>
              <w:spacing w:before="0" w:after="283"/>
              <w:jc w:val="left"/>
              <w:rPr/>
            </w:pPr>
            <w:hyperlink w:anchor="b007">
              <w:r>
                <w:rPr>
                  <w:rStyle w:val="InternetLink"/>
                  <w:rFonts w:ascii="Times New Roman;Times;Serif" w:hAnsi="Times New Roman;Times;Serif"/>
                  <w:sz w:val="20"/>
                </w:rPr>
                <w:t>USE OF PROCEEDS</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8402" w:type="dxa"/>
            <w:tcBorders/>
            <w:shd w:fill="FFFFFF" w:val="clear"/>
            <w:vAlign w:val="center"/>
          </w:tcPr>
          <w:p>
            <w:pPr>
              <w:pStyle w:val="TableContents"/>
              <w:bidi w:val="0"/>
              <w:spacing w:before="0" w:after="283"/>
              <w:jc w:val="left"/>
              <w:rPr/>
            </w:pPr>
            <w:hyperlink w:anchor="b008">
              <w:r>
                <w:rPr>
                  <w:rStyle w:val="InternetLink"/>
                  <w:rFonts w:ascii="Times New Roman;Times;Serif" w:hAnsi="Times New Roman;Times;Serif"/>
                  <w:sz w:val="20"/>
                </w:rPr>
                <w:t>DIVIDEND POLICY</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8402" w:type="dxa"/>
            <w:tcBorders/>
            <w:shd w:fill="CCEEFF" w:val="clear"/>
            <w:vAlign w:val="center"/>
          </w:tcPr>
          <w:p>
            <w:pPr>
              <w:pStyle w:val="TableContents"/>
              <w:bidi w:val="0"/>
              <w:spacing w:before="0" w:after="283"/>
              <w:jc w:val="left"/>
              <w:rPr/>
            </w:pPr>
            <w:hyperlink w:anchor="b009">
              <w:r>
                <w:rPr>
                  <w:rStyle w:val="InternetLink"/>
                  <w:rFonts w:ascii="Times New Roman;Times;Serif" w:hAnsi="Times New Roman;Times;Serif"/>
                  <w:sz w:val="20"/>
                </w:rPr>
                <w:t>MANAGEMENT’S DISCUSSION AND ANALYSIS OF FINANCIAL CONDITION AND RESULTS OF OPERATIONS</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8402" w:type="dxa"/>
            <w:tcBorders/>
            <w:shd w:fill="FFFFFF" w:val="clear"/>
            <w:vAlign w:val="center"/>
          </w:tcPr>
          <w:p>
            <w:pPr>
              <w:pStyle w:val="TableContents"/>
              <w:bidi w:val="0"/>
              <w:spacing w:before="0" w:after="283"/>
              <w:jc w:val="left"/>
              <w:rPr/>
            </w:pPr>
            <w:hyperlink w:anchor="b010">
              <w:r>
                <w:rPr>
                  <w:rStyle w:val="InternetLink"/>
                  <w:rFonts w:ascii="Times New Roman;Times;Serif" w:hAnsi="Times New Roman;Times;Serif"/>
                  <w:sz w:val="20"/>
                </w:rPr>
                <w:t>BUSINESS</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8402" w:type="dxa"/>
            <w:tcBorders/>
            <w:shd w:fill="CCEEFF" w:val="clear"/>
            <w:vAlign w:val="center"/>
          </w:tcPr>
          <w:p>
            <w:pPr>
              <w:pStyle w:val="TableContents"/>
              <w:bidi w:val="0"/>
              <w:spacing w:before="0" w:after="283"/>
              <w:jc w:val="left"/>
              <w:rPr/>
            </w:pPr>
            <w:hyperlink w:anchor="b011">
              <w:r>
                <w:rPr>
                  <w:rStyle w:val="InternetLink"/>
                  <w:rFonts w:ascii="Times New Roman;Times;Serif" w:hAnsi="Times New Roman;Times;Serif"/>
                  <w:sz w:val="20"/>
                </w:rPr>
                <w:t>MANAGEMENT</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r>
      <w:tr>
        <w:trPr/>
        <w:tc>
          <w:tcPr>
            <w:tcW w:w="8402" w:type="dxa"/>
            <w:tcBorders/>
            <w:shd w:fill="FFFFFF" w:val="clear"/>
            <w:vAlign w:val="center"/>
          </w:tcPr>
          <w:p>
            <w:pPr>
              <w:pStyle w:val="TableContents"/>
              <w:bidi w:val="0"/>
              <w:spacing w:before="0" w:after="283"/>
              <w:jc w:val="left"/>
              <w:rPr/>
            </w:pPr>
            <w:hyperlink w:anchor="b012">
              <w:r>
                <w:rPr>
                  <w:rStyle w:val="InternetLink"/>
                  <w:rFonts w:ascii="Times New Roman;Times;Serif" w:hAnsi="Times New Roman;Times;Serif"/>
                  <w:sz w:val="20"/>
                </w:rPr>
                <w:t>EXECUTIVE COMPENSATION</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8402" w:type="dxa"/>
            <w:tcBorders/>
            <w:shd w:fill="CCEEFF" w:val="clear"/>
            <w:vAlign w:val="center"/>
          </w:tcPr>
          <w:p>
            <w:pPr>
              <w:pStyle w:val="TableContents"/>
              <w:bidi w:val="0"/>
              <w:spacing w:before="0" w:after="283"/>
              <w:jc w:val="left"/>
              <w:rPr/>
            </w:pPr>
            <w:hyperlink w:anchor="b013">
              <w:r>
                <w:rPr>
                  <w:rStyle w:val="InternetLink"/>
                  <w:rFonts w:ascii="Times New Roman;Times;Serif" w:hAnsi="Times New Roman;Times;Serif"/>
                  <w:sz w:val="20"/>
                </w:rPr>
                <w:t>CERTAIN RELATIONSHIPS AND RELATED PARTY TRANSACTIONS</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r>
      <w:tr>
        <w:trPr/>
        <w:tc>
          <w:tcPr>
            <w:tcW w:w="8402" w:type="dxa"/>
            <w:tcBorders/>
            <w:shd w:fill="FFFFFF" w:val="clear"/>
            <w:vAlign w:val="center"/>
          </w:tcPr>
          <w:p>
            <w:pPr>
              <w:pStyle w:val="TableContents"/>
              <w:bidi w:val="0"/>
              <w:spacing w:before="0" w:after="283"/>
              <w:jc w:val="left"/>
              <w:rPr/>
            </w:pPr>
            <w:hyperlink w:anchor="b014">
              <w:r>
                <w:rPr>
                  <w:rStyle w:val="InternetLink"/>
                  <w:rFonts w:ascii="Times New Roman;Times;Serif" w:hAnsi="Times New Roman;Times;Serif"/>
                  <w:sz w:val="20"/>
                </w:rPr>
                <w:t>SECURITY OWNERSHIP OF CERTAIN BENEFICIAL OWNERS AND MANAGEMENT</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8402" w:type="dxa"/>
            <w:tcBorders/>
            <w:shd w:fill="CCEEFF" w:val="clear"/>
            <w:vAlign w:val="center"/>
          </w:tcPr>
          <w:p>
            <w:pPr>
              <w:pStyle w:val="TableContents"/>
              <w:bidi w:val="0"/>
              <w:spacing w:before="0" w:after="283"/>
              <w:jc w:val="left"/>
              <w:rPr/>
            </w:pPr>
            <w:hyperlink w:anchor="b015">
              <w:r>
                <w:rPr>
                  <w:rStyle w:val="InternetLink"/>
                  <w:rFonts w:ascii="Times New Roman;Times;Serif" w:hAnsi="Times New Roman;Times;Serif"/>
                  <w:sz w:val="20"/>
                </w:rPr>
                <w:t>DESCRIPTION OF SECURITIES</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r>
      <w:tr>
        <w:trPr/>
        <w:tc>
          <w:tcPr>
            <w:tcW w:w="8402" w:type="dxa"/>
            <w:tcBorders/>
            <w:shd w:fill="FFFFFF" w:val="clear"/>
            <w:vAlign w:val="center"/>
          </w:tcPr>
          <w:p>
            <w:pPr>
              <w:pStyle w:val="TableContents"/>
              <w:bidi w:val="0"/>
              <w:spacing w:before="0" w:after="283"/>
              <w:jc w:val="left"/>
              <w:rPr/>
            </w:pPr>
            <w:hyperlink w:anchor="b016">
              <w:r>
                <w:rPr>
                  <w:rStyle w:val="InternetLink"/>
                  <w:rFonts w:ascii="Times New Roman;Times;Serif" w:hAnsi="Times New Roman;Times;Serif"/>
                  <w:sz w:val="20"/>
                </w:rPr>
                <w:t>DETERMINATION OF OFFERING PRICE</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8402" w:type="dxa"/>
            <w:tcBorders/>
            <w:shd w:fill="CCEEFF" w:val="clear"/>
            <w:vAlign w:val="center"/>
          </w:tcPr>
          <w:p>
            <w:pPr>
              <w:pStyle w:val="TableContents"/>
              <w:bidi w:val="0"/>
              <w:spacing w:before="0" w:after="283"/>
              <w:jc w:val="left"/>
              <w:rPr/>
            </w:pPr>
            <w:hyperlink w:anchor="b017">
              <w:r>
                <w:rPr>
                  <w:rStyle w:val="InternetLink"/>
                  <w:rFonts w:ascii="Times New Roman;Times;Serif" w:hAnsi="Times New Roman;Times;Serif"/>
                  <w:sz w:val="20"/>
                </w:rPr>
                <w:t>SELLING STOCKHOLDER</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r>
      <w:tr>
        <w:trPr/>
        <w:tc>
          <w:tcPr>
            <w:tcW w:w="8402" w:type="dxa"/>
            <w:tcBorders/>
            <w:shd w:fill="FFFFFF" w:val="clear"/>
            <w:vAlign w:val="center"/>
          </w:tcPr>
          <w:p>
            <w:pPr>
              <w:pStyle w:val="TableContents"/>
              <w:bidi w:val="0"/>
              <w:spacing w:before="0" w:after="283"/>
              <w:jc w:val="left"/>
              <w:rPr/>
            </w:pPr>
            <w:hyperlink w:anchor="b018">
              <w:r>
                <w:rPr>
                  <w:rStyle w:val="InternetLink"/>
                  <w:rFonts w:ascii="Times New Roman;Times;Serif" w:hAnsi="Times New Roman;Times;Serif"/>
                  <w:sz w:val="20"/>
                </w:rPr>
                <w:t>PLAN OF DISTRIBUTION</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r>
      <w:tr>
        <w:trPr/>
        <w:tc>
          <w:tcPr>
            <w:tcW w:w="8402" w:type="dxa"/>
            <w:tcBorders/>
            <w:shd w:fill="CCEEFF" w:val="clear"/>
            <w:vAlign w:val="center"/>
          </w:tcPr>
          <w:p>
            <w:pPr>
              <w:pStyle w:val="TableContents"/>
              <w:bidi w:val="0"/>
              <w:spacing w:before="0" w:after="283"/>
              <w:jc w:val="left"/>
              <w:rPr/>
            </w:pPr>
            <w:hyperlink w:anchor="b019">
              <w:r>
                <w:rPr>
                  <w:rStyle w:val="InternetLink"/>
                  <w:rFonts w:ascii="Times New Roman;Times;Serif" w:hAnsi="Times New Roman;Times;Serif"/>
                  <w:sz w:val="20"/>
                </w:rPr>
                <w:t>LEGAL MATTERS</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r>
      <w:tr>
        <w:trPr/>
        <w:tc>
          <w:tcPr>
            <w:tcW w:w="8402" w:type="dxa"/>
            <w:tcBorders/>
            <w:shd w:fill="FFFFFF" w:val="clear"/>
            <w:vAlign w:val="center"/>
          </w:tcPr>
          <w:p>
            <w:pPr>
              <w:pStyle w:val="TableContents"/>
              <w:bidi w:val="0"/>
              <w:spacing w:before="0" w:after="283"/>
              <w:jc w:val="left"/>
              <w:rPr/>
            </w:pPr>
            <w:hyperlink w:anchor="b020">
              <w:r>
                <w:rPr>
                  <w:rStyle w:val="InternetLink"/>
                  <w:rFonts w:ascii="Times New Roman;Times;Serif" w:hAnsi="Times New Roman;Times;Serif"/>
                  <w:sz w:val="20"/>
                </w:rPr>
                <w:t>EXPERTS</w:t>
              </w:r>
            </w:hyperlink>
          </w:p>
        </w:tc>
        <w:tc>
          <w:tcPr>
            <w:tcW w:w="3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r>
      <w:tr>
        <w:trPr/>
        <w:tc>
          <w:tcPr>
            <w:tcW w:w="8402" w:type="dxa"/>
            <w:tcBorders/>
            <w:shd w:fill="CCEEFF" w:val="clear"/>
            <w:vAlign w:val="center"/>
          </w:tcPr>
          <w:p>
            <w:pPr>
              <w:pStyle w:val="TableContents"/>
              <w:bidi w:val="0"/>
              <w:spacing w:before="0" w:after="283"/>
              <w:jc w:val="left"/>
              <w:rPr/>
            </w:pPr>
            <w:hyperlink w:anchor="b021">
              <w:r>
                <w:rPr>
                  <w:rStyle w:val="InternetLink"/>
                  <w:rFonts w:ascii="Times New Roman;Times;Serif" w:hAnsi="Times New Roman;Times;Serif"/>
                  <w:sz w:val="20"/>
                </w:rPr>
                <w:t>WHERE YOU CAN FIND MORE INFORMATION</w:t>
              </w:r>
            </w:hyperlink>
          </w:p>
        </w:tc>
        <w:tc>
          <w:tcPr>
            <w:tcW w:w="3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r>
      <w:tr>
        <w:trPr/>
        <w:tc>
          <w:tcPr>
            <w:tcW w:w="8402" w:type="dxa"/>
            <w:tcBorders/>
            <w:shd w:fill="FFFFFF" w:val="clear"/>
            <w:vAlign w:val="center"/>
          </w:tcPr>
          <w:p>
            <w:pPr>
              <w:pStyle w:val="TableContents"/>
              <w:bidi w:val="0"/>
              <w:spacing w:before="0" w:after="283"/>
              <w:jc w:val="left"/>
              <w:rPr/>
            </w:pPr>
            <w:hyperlink w:anchor="b022">
              <w:r>
                <w:rPr>
                  <w:rStyle w:val="InternetLink"/>
                  <w:rFonts w:ascii="Times New Roman;Times;Serif" w:hAnsi="Times New Roman;Times;Serif"/>
                  <w:sz w:val="20"/>
                </w:rPr>
                <w:t>INDEX TO FINANCIAL STATEMENTS</w:t>
              </w:r>
            </w:hyperlink>
          </w:p>
        </w:tc>
        <w:tc>
          <w:tcPr>
            <w:tcW w:w="363" w:type="dxa"/>
            <w:tcBorders/>
            <w:shd w:fill="FFFFFF" w:val="clear"/>
            <w:vAlign w:val="center"/>
          </w:tcPr>
          <w:p>
            <w:pPr>
              <w:pStyle w:val="TableContents"/>
              <w:bidi w:val="0"/>
              <w:spacing w:before="0" w:after="283"/>
              <w:jc w:val="right"/>
              <w:rPr/>
            </w:pPr>
            <w:r>
              <w:rPr/>
              <w:t>F-1</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or any prospectus supplement or amendment. Neither we, nor the Selling Stockholder, have authorized any other person to provide you with information that is different from, or adds to, that contained in this prospectus. If anyone provides you with different or inconsistent information, you should not rely on it. Neither we nor the Selling Stockholder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 </w:t>
      </w:r>
    </w:p>
    <w:p>
      <w:pPr>
        <w:pStyle w:val="TextBody"/>
        <w:bidi w:val="0"/>
        <w:spacing w:before="0" w:after="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0" w:name="b001"/>
      <w:bookmarkEnd w:id="20"/>
      <w:r>
        <w:rPr>
          <w:rFonts w:ascii="Times New Roman;Times;Serif" w:hAnsi="Times New Roman;Times;Serif"/>
          <w:b/>
          <w:i w:val="false"/>
          <w:caps/>
          <w:sz w:val="20"/>
        </w:rPr>
        <w:t>ABOUT THIS PROSPECTUS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prospectus is part of a registration statement on Form S-1 that we filed with the U.S. Securities and Exchange Commission (the “SEC”), pursuant to which the Selling Stockholder may, from time to time, offer and sell or otherwise dispose of the shares of common stock covered by this prospectus.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may also provide a prospectus supplement or post-effective amendment to the registration statement to add information to, or update or change information contained in, this prospectus. If there is any inconsistency between the information in this prospectus and the applicable prospectus supplement or post-effective amendment, you should rely on the prospectus supplement or post-effective amendment, as applicable. You should read both this prospectus and any applicable prospectus supplement or post-effective amendment to the registration statement together with the additional information described under the heading “</w:t>
      </w:r>
      <w:r>
        <w:rPr>
          <w:rFonts w:ascii="Times New Roman;Times;Serif" w:hAnsi="Times New Roman;Times;Serif"/>
          <w:b w:val="false"/>
          <w:i/>
          <w:caps w:val="false"/>
          <w:smallCaps w:val="false"/>
          <w:color w:val="231F20"/>
          <w:sz w:val="20"/>
        </w:rPr>
        <w:t>Where You Can Find More Information</w:t>
      </w:r>
      <w:r>
        <w:rPr>
          <w:rFonts w:ascii="Times New Roman;Times;Serif" w:hAnsi="Times New Roman;Times;Serif"/>
          <w:b w:val="false"/>
          <w:i w:val="false"/>
          <w:caps w:val="false"/>
          <w:smallCaps w:val="false"/>
          <w:color w:val="231F20"/>
          <w:sz w:val="20"/>
        </w:rPr>
        <w: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should rely only on the information contained in this prospectus and any prospectus supplement filed by us with the SEC in connection with this offering. Neither we nor the Selling Stockholder has authorized anyone to provide you with information that is different from or in addition to the information contained in this prospectus, any applicable prospectus supplement and any related free writing prospectus filed by us with the SEC. We take no responsibility for, and can provide no assurance as to the reliability of, any other information that others may give you. The Selling Stockholder is offering to sell, and seeking offers to buy, our securities only in jurisdictions where offers and sales are permitted. You should assume that the information contained in this prospectus and any applicable prospectus supplement is accurate only as of the respective dates of such documents, regardless of the time of delivery of this prospectus or any sale of our securities. Our business, financial condition, results of operations and prospects may have changed materially since those dates.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investors outside the United States: Neither we, nor the Selling Stockholder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securities and the distribution of this prospectus outside the United States.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Unless the context otherwise indicates, references in this prospectus to “BioAtla”, the “Company”, “we”, “us” and “our” refer to BioAtla, Inc., a Delaware corporation. BioAtla is a trademark of BioAtla, Inc. Our logos and trademarks are the property of BioAtla. All other brand names or trademarks appearing in this prospectus are the property of their respective holders. Use or display by us of other parties’ trademarks or trade dress in this prospectus is not intended to, and does not, imply a relationship with, or endorsements or sponsorship of, us by the trademark or trade dress owners.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1" w:name="b002"/>
      <w:bookmarkEnd w:id="21"/>
      <w:r>
        <w:rPr>
          <w:rFonts w:ascii="Times New Roman;Times;Serif" w:hAnsi="Times New Roman;Times;Serif"/>
          <w:b/>
          <w:i w:val="false"/>
          <w:caps/>
          <w:sz w:val="20"/>
        </w:rPr>
        <w:t>FORWARD-LOOKING STATEMENTS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prospectus, any applicable prospectus supplement and any free writing prospectus contain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w:t>
      </w:r>
      <w:r>
        <w:rPr>
          <w:rFonts w:ascii="Times New Roman;Times;Serif" w:hAnsi="Times New Roman;Times;Serif"/>
          <w:b w:val="false"/>
          <w:i/>
          <w:caps w:val="false"/>
          <w:smallCaps w:val="false"/>
          <w:color w:val="231F20"/>
          <w:sz w:val="20"/>
        </w:rPr>
        <w:t>Risk Factors</w:t>
      </w:r>
      <w:r>
        <w:rPr>
          <w:rFonts w:ascii="Times New Roman;Times;Serif" w:hAnsi="Times New Roman;Times;Serif"/>
          <w:b w:val="false"/>
          <w:i w:val="false"/>
          <w:caps w:val="false"/>
          <w:smallCaps w:val="false"/>
          <w:color w:val="231F20"/>
          <w:sz w:val="20"/>
        </w:rPr>
        <w:t>” section of this prospectus.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any applicable prospectus supplement and any free writing prospectus may not occur, and actual results may differ materially and adversely from those anticipated or implied in the forward-looking statements. Such forward-looking statements include, but are not limited to, statements about:</w:t>
      </w:r>
    </w:p>
    <w:p>
      <w:pPr>
        <w:pStyle w:val="TextBody"/>
        <w:bidi w:val="0"/>
        <w:spacing w:before="0" w:after="0"/>
        <w:ind w:left="720" w:right="720" w:hanging="0"/>
        <w:jc w:val="both"/>
        <w:rPr>
          <w:caps w:val="false"/>
          <w:smallCaps w:val="false"/>
          <w:color w:val="231F20"/>
        </w:rPr>
      </w:pPr>
      <w:r>
        <w:rPr>
          <w:caps w:val="false"/>
          <w:smallCaps w:val="false"/>
          <w:color w:val="231F2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advance our current product candidates and programs into, and successfully complete,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clinical trials to demonstrate safety and efficacy of our product candidates and other positive results;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the market opportunity for our product candidates, including our estimates of the number of patients who suffer from the diseases we are targeting;</w:t>
            </w:r>
          </w:p>
        </w:tc>
      </w:tr>
    </w:tbl>
    <w:p>
      <w:pPr>
        <w:pStyle w:val="TextBody"/>
        <w:bidi w:val="0"/>
        <w:spacing w:before="0" w:after="0"/>
        <w:ind w:left="720" w:right="720" w:hanging="0"/>
        <w:jc w:val="left"/>
        <w:rPr>
          <w:caps w:val="false"/>
          <w:smallCaps w:val="false"/>
        </w:rPr>
      </w:pPr>
      <w:r>
        <w:rPr>
          <w:caps w:val="false"/>
          <w:smallCaps w:val="false"/>
        </w:rPr>
        <w:t> </w:t>
      </w:r>
    </w:p>
    <w:tbl>
      <w:tblPr>
        <w:tblW w:w="6648" w:type="dxa"/>
        <w:jc w:val="left"/>
        <w:tblInd w:w="72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manufacturing, commercialization and marketing capabilities and strategy;</w:t>
            </w:r>
          </w:p>
        </w:tc>
      </w:tr>
    </w:tbl>
    <w:p>
      <w:pPr>
        <w:pStyle w:val="TextBody"/>
        <w:bidi w:val="0"/>
        <w:spacing w:before="0" w:after="0"/>
        <w:ind w:left="720" w:right="720" w:hanging="0"/>
        <w:jc w:val="left"/>
        <w:rPr>
          <w:caps w:val="false"/>
          <w:smallCaps w:val="false"/>
        </w:rPr>
      </w:pPr>
      <w:r>
        <w:rPr>
          <w:caps w:val="false"/>
          <w:smallCaps w:val="false"/>
        </w:rPr>
        <w:t> </w:t>
      </w:r>
    </w:p>
    <w:tbl>
      <w:tblPr>
        <w:tblW w:w="6363" w:type="dxa"/>
        <w:jc w:val="left"/>
        <w:tblInd w:w="72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and strategies to develop and commercialize our CAB antibodies;</w:t>
            </w:r>
          </w:p>
        </w:tc>
      </w:tr>
    </w:tbl>
    <w:p>
      <w:pPr>
        <w:pStyle w:val="TextBody"/>
        <w:bidi w:val="0"/>
        <w:spacing w:before="0" w:after="0"/>
        <w:ind w:left="720" w:right="720" w:hanging="0"/>
        <w:jc w:val="left"/>
        <w:rPr>
          <w:caps w:val="false"/>
          <w:smallCaps w:val="false"/>
        </w:rPr>
      </w:pPr>
      <w:r>
        <w:rPr>
          <w:caps w:val="false"/>
          <w:smallCaps w:val="false"/>
        </w:rPr>
        <w:t> </w:t>
      </w:r>
    </w:p>
    <w:tbl>
      <w:tblPr>
        <w:tblW w:w="8403" w:type="dxa"/>
        <w:jc w:val="left"/>
        <w:tblInd w:w="72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further develop our technology platform and expand our pipeline of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regarding the formal process to explore and evaluate strategic options, the timing of such process and expected costs related thereto, and our expectations regarding the workforce reduction implemented in connection with the concurrent restructuring plan;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benefits and advantages of our current and future product candidates that we may develop from our patented technology platform;</w:t>
            </w:r>
          </w:p>
        </w:tc>
      </w:tr>
    </w:tbl>
    <w:p>
      <w:pPr>
        <w:pStyle w:val="TextBody"/>
        <w:bidi w:val="0"/>
        <w:spacing w:before="0" w:after="0"/>
        <w:ind w:left="720" w:right="720" w:hanging="0"/>
        <w:jc w:val="left"/>
        <w:rPr>
          <w:caps w:val="false"/>
          <w:smallCaps w:val="false"/>
        </w:rPr>
      </w:pPr>
      <w:r>
        <w:rPr>
          <w:caps w:val="false"/>
          <w:smallCaps w:val="false"/>
        </w:rPr>
        <w:t> </w:t>
      </w:r>
    </w:p>
    <w:tbl>
      <w:tblPr>
        <w:tblW w:w="7278" w:type="dxa"/>
        <w:jc w:val="left"/>
        <w:tblInd w:w="72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or likelihood of regulatory filings and approvals for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7173" w:type="dxa"/>
        <w:jc w:val="left"/>
        <w:tblInd w:w="72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developments in the United States and Europe and other foreign countries;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to obtain funding for our operations, including from our existing and potential future collaboration and licensing agreements;</w:t>
            </w:r>
          </w:p>
        </w:tc>
      </w:tr>
    </w:tbl>
    <w:p>
      <w:pPr>
        <w:pStyle w:val="TextBody"/>
        <w:bidi w:val="0"/>
        <w:spacing w:before="0" w:after="0"/>
        <w:ind w:left="720" w:right="720" w:hanging="0"/>
        <w:jc w:val="left"/>
        <w:rPr>
          <w:caps w:val="false"/>
          <w:smallCaps w:val="false"/>
        </w:rPr>
      </w:pPr>
      <w:r>
        <w:rPr>
          <w:caps w:val="false"/>
          <w:smallCaps w:val="false"/>
        </w:rPr>
        <w:t> </w:t>
      </w:r>
    </w:p>
    <w:tbl>
      <w:tblPr>
        <w:tblW w:w="3693" w:type="dxa"/>
        <w:jc w:val="left"/>
        <w:tblInd w:w="72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as a going concern;</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for our technology platform and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benefits of our strategic relationships and our plans to pursue additional strategic relationships;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continued reliance on third parties to conduct additional clinical trials of our product candidates and for the manufacture of our product candidates for preclinical studies and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6018" w:type="dxa"/>
        <w:jc w:val="left"/>
        <w:tblInd w:w="72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achieve the expected benefits of our workforce reduction;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regarding expenses, future revenue, capital requirements and needs for additional financing;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impact of health epidemics and outbreaks on our business, financial condition, results of operations, and prospects.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caution readers not to place undue reliance on any such forward-looking statements, which speak only as of the date they were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such forward-looking statements.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should read this prospectus with the understanding that our actual future results may be materially different from those expressed in forward-looking statements.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bdr w:val="single" w:sz="2" w:space="1" w:color="000000"/>
        </w:rPr>
      </w:pPr>
      <w:r>
        <w:rPr>
          <w:caps/>
          <w:bdr w:val="single" w:sz="2" w:space="1" w:color="000000"/>
        </w:rPr>
        <w:t> </w:t>
      </w:r>
    </w:p>
    <w:p>
      <w:pPr>
        <w:pStyle w:val="TextBody"/>
        <w:bidi w:val="0"/>
        <w:spacing w:before="0" w:after="0"/>
        <w:ind w:left="720" w:right="720" w:hanging="0"/>
        <w:jc w:val="center"/>
        <w:rPr>
          <w:rFonts w:ascii="Times New Roman;Times;Serif" w:hAnsi="Times New Roman;Times;Serif"/>
          <w:b/>
          <w:i w:val="false"/>
          <w:caps/>
          <w:sz w:val="20"/>
          <w:bdr w:val="single" w:sz="2" w:space="1" w:color="000000"/>
        </w:rPr>
      </w:pPr>
      <w:bookmarkStart w:id="22" w:name="b003"/>
      <w:bookmarkEnd w:id="22"/>
      <w:r>
        <w:rPr>
          <w:rFonts w:ascii="Times New Roman;Times;Serif" w:hAnsi="Times New Roman;Times;Serif"/>
          <w:b/>
          <w:i w:val="false"/>
          <w:caps/>
          <w:sz w:val="20"/>
          <w:bdr w:val="single" w:sz="2" w:space="1" w:color="000000"/>
        </w:rPr>
        <w:t>PROSPECTUS SUMMARY</w:t>
      </w:r>
    </w:p>
    <w:p>
      <w:pPr>
        <w:pStyle w:val="TextBody"/>
        <w:bidi w:val="0"/>
        <w:spacing w:before="0" w:after="0"/>
        <w:ind w:left="720" w:right="720" w:hanging="0"/>
        <w:jc w:val="center"/>
        <w:rPr>
          <w:caps/>
          <w:bdr w:val="single" w:sz="2" w:space="1" w:color="000000"/>
        </w:rPr>
      </w:pPr>
      <w:r>
        <w:rPr>
          <w:caps/>
          <w:bdr w:val="single" w:sz="2" w:space="1" w:color="000000"/>
        </w:rPr>
        <w:t> </w:t>
      </w:r>
    </w:p>
    <w:p>
      <w:pPr>
        <w:pStyle w:val="TextBody"/>
        <w:bidi w:val="0"/>
        <w:spacing w:before="0" w:after="0"/>
        <w:ind w:left="720" w:right="720" w:hanging="0"/>
        <w:jc w:val="both"/>
        <w:rPr>
          <w:rFonts w:ascii="Times New Roman;Times;Serif" w:hAnsi="Times New Roman;Times;Serif"/>
          <w:b w:val="false"/>
          <w:i/>
          <w:caps w:val="false"/>
          <w:smallCaps w:val="false"/>
          <w:color w:val="231F20"/>
          <w:sz w:val="20"/>
          <w:bdr w:val="single" w:sz="2" w:space="1" w:color="000000"/>
        </w:rPr>
      </w:pPr>
      <w:r>
        <w:rPr>
          <w:rFonts w:ascii="Times New Roman;Times;Serif" w:hAnsi="Times New Roman;Times;Serif"/>
          <w:b w:val="false"/>
          <w:i/>
          <w:caps w:val="false"/>
          <w:smallCaps w:val="false"/>
          <w:color w:val="231F20"/>
          <w:sz w:val="20"/>
          <w:bdr w:val="single" w:sz="2" w:space="1" w:color="000000"/>
        </w:rPr>
        <w:t>This summary highlights selected information included in this prospectus and does not contain all of the information that may be important to you. You should carefully review this entire prospectus, including the risk factors and financial statements and related notes thereto included herein, any applicable prospectus supplement and any related free writing prospectus that we have authorized for use in connection with this offering before making a decision to purchase our common stock.</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bdr w:val="single" w:sz="2" w:space="1" w:color="000000"/>
        </w:rPr>
      </w:pPr>
      <w:r>
        <w:rPr>
          <w:rFonts w:ascii="Times New Roman;Times;Serif" w:hAnsi="Times New Roman;Times;Serif"/>
          <w:b/>
          <w:i w:val="false"/>
          <w:caps w:val="false"/>
          <w:smallCaps w:val="false"/>
          <w:color w:val="231F20"/>
          <w:sz w:val="20"/>
          <w:bdr w:val="single" w:sz="2" w:space="1" w:color="000000"/>
        </w:rPr>
        <w:t>Overview</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shd w:fill="FFFFFF" w:val="clear"/>
        <w:bidi w:val="0"/>
        <w:spacing w:before="0" w:after="0"/>
        <w:ind w:left="720" w:right="720" w:hanging="0"/>
        <w:jc w:val="both"/>
        <w:rPr>
          <w:rFonts w:ascii="Times New Roman;Times;Serif" w:hAnsi="Times New Roman;Times;Serif"/>
          <w:b w:val="false"/>
          <w:i w:val="false"/>
          <w:caps w:val="false"/>
          <w:smallCaps w:val="false"/>
          <w:sz w:val="20"/>
          <w:bdr w:val="single" w:sz="2" w:space="1" w:color="000000"/>
        </w:rPr>
      </w:pPr>
      <w:r>
        <w:rPr>
          <w:rFonts w:ascii="Times New Roman;Times;Serif" w:hAnsi="Times New Roman;Times;Serif"/>
          <w:b w:val="false"/>
          <w:i w:val="false"/>
          <w:caps w:val="false"/>
          <w:smallCaps w:val="false"/>
          <w:sz w:val="20"/>
          <w:bdr w:val="single" w:sz="2" w:space="1" w:color="000000"/>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proprietary approach is to identify the necessary targeting and potency required for cancer cell destruction, while aiming to eliminate or greatly reduce on-target, off-tumor toxicity—one of the fundamental challenges of existing cancer therapies.</w:t>
      </w:r>
    </w:p>
    <w:p>
      <w:pPr>
        <w:pStyle w:val="TextBody"/>
        <w:shd w:fill="FFFFFF" w:val="clear"/>
        <w:bidi w:val="0"/>
        <w:spacing w:before="0" w:after="0"/>
        <w:ind w:left="720" w:right="720" w:hanging="0"/>
        <w:jc w:val="both"/>
        <w:rPr>
          <w:caps w:val="false"/>
          <w:smallCaps w:val="false"/>
          <w:bdr w:val="single" w:sz="2" w:space="1" w:color="000000"/>
        </w:rPr>
      </w:pPr>
      <w:r>
        <w:rPr>
          <w:caps w:val="false"/>
          <w:smallCaps w:val="false"/>
          <w:bdr w:val="single" w:sz="2" w:space="1" w:color="000000"/>
        </w:rPr>
        <w:t> </w:t>
      </w:r>
    </w:p>
    <w:p>
      <w:pPr>
        <w:pStyle w:val="TextBody"/>
        <w:shd w:fill="FFFFFF" w:val="clear"/>
        <w:bidi w:val="0"/>
        <w:spacing w:before="0" w:after="0"/>
        <w:ind w:left="720" w:right="720" w:hanging="0"/>
        <w:jc w:val="both"/>
        <w:rPr>
          <w:rFonts w:ascii="Times New Roman;Times;Serif" w:hAnsi="Times New Roman;Times;Serif"/>
          <w:b w:val="false"/>
          <w:i w:val="false"/>
          <w:caps w:val="false"/>
          <w:smallCaps w:val="false"/>
          <w:sz w:val="20"/>
          <w:bdr w:val="single" w:sz="2" w:space="1" w:color="000000"/>
        </w:rPr>
      </w:pPr>
      <w:r>
        <w:rPr>
          <w:rFonts w:ascii="Times New Roman;Times;Serif" w:hAnsi="Times New Roman;Times;Serif"/>
          <w:b w:val="false"/>
          <w:i w:val="false"/>
          <w:caps w:val="false"/>
          <w:smallCaps w:val="false"/>
          <w:sz w:val="20"/>
          <w:bdr w:val="single" w:sz="2" w:space="1" w:color="000000"/>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completed Phase 2 clinical trials of mecbotamab vedotin (BA3011), ozuriftamab vedotin (BA3021), evalstotug (BA3071), and our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pStyle w:val="TextBody"/>
        <w:shd w:fill="FFFFFF" w:val="clear"/>
        <w:bidi w:val="0"/>
        <w:spacing w:before="0" w:after="0"/>
        <w:ind w:left="720" w:right="720" w:hanging="0"/>
        <w:jc w:val="both"/>
        <w:rPr>
          <w:caps w:val="false"/>
          <w:smallCaps w:val="false"/>
          <w:bdr w:val="single" w:sz="2" w:space="1" w:color="000000"/>
        </w:rPr>
      </w:pPr>
      <w:r>
        <w:rPr>
          <w:caps w:val="false"/>
          <w:smallCaps w:val="false"/>
          <w:bdr w:val="single" w:sz="2" w:space="1" w:color="000000"/>
        </w:rPr>
        <w:t> </w:t>
      </w:r>
    </w:p>
    <w:p>
      <w:pPr>
        <w:pStyle w:val="TextBody"/>
        <w:shd w:fill="FFFFFF" w:val="clear"/>
        <w:bidi w:val="0"/>
        <w:spacing w:before="0" w:after="0"/>
        <w:ind w:left="720" w:right="720" w:hanging="0"/>
        <w:jc w:val="both"/>
        <w:rPr>
          <w:rFonts w:ascii="Times New Roman;Times;Serif" w:hAnsi="Times New Roman;Times;Serif"/>
          <w:b w:val="false"/>
          <w:i w:val="false"/>
          <w:caps w:val="false"/>
          <w:smallCaps w:val="false"/>
          <w:sz w:val="20"/>
          <w:bdr w:val="single" w:sz="2" w:space="1" w:color="000000"/>
        </w:rPr>
      </w:pPr>
      <w:r>
        <w:rPr>
          <w:rFonts w:ascii="Times New Roman;Times;Serif" w:hAnsi="Times New Roman;Times;Serif"/>
          <w:b w:val="false"/>
          <w:i w:val="false"/>
          <w:caps w:val="false"/>
          <w:smallCaps w:val="false"/>
          <w:sz w:val="20"/>
          <w:bdr w:val="single" w:sz="2" w:space="1" w:color="000000"/>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pStyle w:val="TextBody"/>
        <w:shd w:fill="FFFFFF" w:val="clear"/>
        <w:bidi w:val="0"/>
        <w:spacing w:before="0" w:after="0"/>
        <w:ind w:left="720" w:right="720" w:hanging="0"/>
        <w:jc w:val="both"/>
        <w:rPr>
          <w:caps w:val="false"/>
          <w:smallCaps w:val="false"/>
          <w:bdr w:val="single" w:sz="2" w:space="1" w:color="000000"/>
        </w:rPr>
      </w:pPr>
      <w:r>
        <w:rPr>
          <w:caps w:val="false"/>
          <w:smallCaps w:val="false"/>
          <w:bdr w:val="single" w:sz="2" w:space="1" w:color="000000"/>
        </w:rPr>
        <w:t> </w:t>
      </w:r>
    </w:p>
    <w:p>
      <w:pPr>
        <w:pStyle w:val="TextBody"/>
        <w:shd w:fill="FFFFFF" w:val="clear"/>
        <w:bidi w:val="0"/>
        <w:spacing w:before="0" w:after="0"/>
        <w:ind w:left="720" w:right="720" w:hanging="0"/>
        <w:jc w:val="both"/>
        <w:rPr>
          <w:rFonts w:ascii="Times New Roman;Times;Serif" w:hAnsi="Times New Roman;Times;Serif"/>
          <w:b w:val="false"/>
          <w:i w:val="false"/>
          <w:caps w:val="false"/>
          <w:smallCaps w:val="false"/>
          <w:sz w:val="20"/>
          <w:bdr w:val="single" w:sz="2" w:space="1" w:color="000000"/>
        </w:rPr>
      </w:pPr>
      <w:r>
        <w:rPr>
          <w:rFonts w:ascii="Times New Roman;Times;Serif" w:hAnsi="Times New Roman;Times;Serif"/>
          <w:b w:val="false"/>
          <w:i w:val="false"/>
          <w:caps w:val="false"/>
          <w:smallCaps w:val="false"/>
          <w:sz w:val="20"/>
          <w:bdr w:val="single" w:sz="2" w:space="1" w:color="000000"/>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As part of this process, we paused further enrollment in our ongoing Phase 1 study of BA3182 (CAB-EpCAM x CAB-CD3), while continuing treatment, follow-up of patients, including obtaining new scans in the study. We are also reassessing the appropriate timeline and pacing of further enrollment in the Phase 1 study as well as the appropriate timeline to commence a Phase 3 study for ozuriftamab vedotin (BA3021) (CAB-ROR2-ADC) in 2L+ oropharyngeal squamous cell carcinoma. While our goal is to continue these studies, there can be no assurances that clinical development of our programs will not be limited or delayed pending the outcome of the strategic process.</w:t>
      </w:r>
    </w:p>
    <w:p>
      <w:pPr>
        <w:pStyle w:val="TextBody"/>
        <w:shd w:fill="FFFFFF" w:val="clear"/>
        <w:bidi w:val="0"/>
        <w:spacing w:before="0" w:after="0"/>
        <w:ind w:left="720" w:right="720" w:hanging="0"/>
        <w:jc w:val="both"/>
        <w:rPr>
          <w:caps w:val="false"/>
          <w:smallCaps w:val="false"/>
          <w:bdr w:val="single" w:sz="2" w:space="1" w:color="000000"/>
        </w:rPr>
      </w:pPr>
      <w:r>
        <w:rPr>
          <w:caps w:val="false"/>
          <w:smallCaps w:val="false"/>
          <w:bdr w:val="single" w:sz="2" w:space="1" w:color="000000"/>
        </w:rPr>
        <w:t> </w:t>
      </w:r>
    </w:p>
    <w:p>
      <w:pPr>
        <w:pStyle w:val="TextBody"/>
        <w:bidi w:val="0"/>
        <w:spacing w:before="0" w:after="0"/>
        <w:ind w:left="720" w:right="720" w:hanging="0"/>
        <w:jc w:val="left"/>
        <w:rPr>
          <w:rFonts w:ascii="Times New Roman;Times;Serif" w:hAnsi="Times New Roman;Times;Serif"/>
          <w:b/>
          <w:i w:val="false"/>
          <w:caps w:val="false"/>
          <w:smallCaps w:val="false"/>
          <w:color w:val="231F20"/>
          <w:sz w:val="20"/>
          <w:bdr w:val="single" w:sz="2" w:space="1" w:color="000000"/>
        </w:rPr>
      </w:pPr>
      <w:r>
        <w:rPr>
          <w:rFonts w:ascii="Times New Roman;Times;Serif" w:hAnsi="Times New Roman;Times;Serif"/>
          <w:b/>
          <w:i w:val="false"/>
          <w:caps w:val="false"/>
          <w:smallCaps w:val="false"/>
          <w:color w:val="231F20"/>
          <w:sz w:val="20"/>
          <w:bdr w:val="single" w:sz="2" w:space="1" w:color="000000"/>
        </w:rPr>
        <w:t>Corporate Information</w:t>
      </w:r>
    </w:p>
    <w:p>
      <w:pPr>
        <w:pStyle w:val="TextBody"/>
        <w:bidi w:val="0"/>
        <w:spacing w:before="0" w:after="0"/>
        <w:ind w:left="720" w:right="720" w:hanging="0"/>
        <w:jc w:val="left"/>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bdr w:val="single" w:sz="2" w:space="1" w:color="000000"/>
        </w:rPr>
      </w:pPr>
      <w:r>
        <w:rPr>
          <w:rFonts w:ascii="Times New Roman;Times;Serif" w:hAnsi="Times New Roman;Times;Serif"/>
          <w:b w:val="false"/>
          <w:i w:val="false"/>
          <w:caps w:val="false"/>
          <w:smallCaps w:val="false"/>
          <w:color w:val="231F20"/>
          <w:sz w:val="20"/>
          <w:bdr w:val="single" w:sz="2" w:space="1" w:color="000000"/>
        </w:rPr>
        <w:t>Our business was founded in March 2007 and originally operated as a Delaware limited liability company, BioAtla, LLC. In July 2020, we converted from a limited liability company into a Delaware corporation pursuant to a statutory conversion and changed our name from BioAtla, LLC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prospectus and should not be considered a part of this prospectus. </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bdr w:val="single" w:sz="2" w:space="1" w:color="000000"/>
        </w:rPr>
      </w:pPr>
      <w:r>
        <w:rPr>
          <w:rFonts w:ascii="Times New Roman;Times;Serif" w:hAnsi="Times New Roman;Times;Serif"/>
          <w:b/>
          <w:i w:val="false"/>
          <w:caps w:val="false"/>
          <w:smallCaps w:val="false"/>
          <w:color w:val="231F20"/>
          <w:sz w:val="20"/>
          <w:bdr w:val="single" w:sz="2" w:space="1" w:color="000000"/>
        </w:rPr>
        <w:t>Implications of Being a Smaller Reporting Company</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bdr w:val="single" w:sz="2" w:space="1" w:color="000000"/>
        </w:rPr>
      </w:pPr>
      <w:r>
        <w:rPr>
          <w:rFonts w:ascii="Times New Roman;Times;Serif" w:hAnsi="Times New Roman;Times;Serif"/>
          <w:b w:val="false"/>
          <w:i w:val="false"/>
          <w:caps w:val="false"/>
          <w:smallCaps w:val="false"/>
          <w:color w:val="231F20"/>
          <w:sz w:val="20"/>
          <w:bdr w:val="single" w:sz="2" w:space="1" w:color="000000"/>
        </w:rPr>
        <w:t>We are a “smaller reporting company,” as defined by the Exchange Act, and the rules and regulations thereunder, meaning that the market value of our common stock held by non-affiliates is less than $250.0 million measured on the last business day of our second fiscal quarter or our annual revenue is less than $100.0 million during the most recently completed fiscal year and the market value of our common stock held by non-affiliates is less than $700.0 million measured on the last business day of our second fiscal quarter. Accordingly, we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 </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bdr w:val="single" w:sz="2" w:space="1" w:color="000000"/>
        </w:rPr>
      </w:pPr>
      <w:r>
        <w:rPr>
          <w:rFonts w:ascii="Times New Roman;Times;Serif" w:hAnsi="Times New Roman;Times;Serif"/>
          <w:b/>
          <w:i w:val="false"/>
          <w:caps w:val="false"/>
          <w:smallCaps w:val="false"/>
          <w:color w:val="231F20"/>
          <w:sz w:val="20"/>
          <w:bdr w:val="single" w:sz="2" w:space="1" w:color="000000"/>
        </w:rPr>
        <w:t xml:space="preserve">Summary of Risk Factors </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bdr w:val="single" w:sz="2" w:space="1" w:color="000000"/>
        </w:rPr>
      </w:pPr>
      <w:r>
        <w:rPr>
          <w:rFonts w:ascii="Times New Roman;Times;Serif" w:hAnsi="Times New Roman;Times;Serif"/>
          <w:b w:val="false"/>
          <w:i w:val="false"/>
          <w:caps w:val="false"/>
          <w:smallCaps w:val="false"/>
          <w:color w:val="231F20"/>
          <w:sz w:val="20"/>
          <w:bdr w:val="single" w:sz="2" w:space="1" w:color="000000"/>
        </w:rPr>
        <w:t>Investing in our common stock involves a high degree of risk. You should carefully consider all information in this prospectus before purchasing our common stock. These risks and uncertainties include, but are not limited to, the following:</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management will have broad discretion over how we use the net proceeds we receive from sales of Advance Shares to Yorkville under the SEPA. We may not use these proceeds in ways that improve our financial condition or operating results or increase the value of your investment.</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cannot predict how many shares we will actually sell to Yorkville under the SEPA or the gross proceeds we will receive from those sales. Because of the SEPA’s limits on volume and beneficial ownership, and because a limited number of shares are being registered for resale, we may not be able to access the full $40,000,000 Commitment Amount.</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clinical-stage biopharmaceutical company with a limited operating history and no products approved for commercial sale, and we have a history of significant losses and expect to continue to incur significant losses for the foreseeable future.</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75"/>
        <w:gridCol w:w="170"/>
        <w:gridCol w:w="8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231F20"/>
              </w:rPr>
            </w:pPr>
            <w:r>
              <w:rPr>
                <w:color w:val="231F20"/>
              </w:rPr>
              <w:t>●</w:t>
            </w:r>
          </w:p>
        </w:tc>
        <w:tc>
          <w:tcPr>
            <w:tcW w:w="8520" w:type="dxa"/>
            <w:tcBorders/>
            <w:vAlign w:val="center"/>
          </w:tcPr>
          <w:p>
            <w:pPr>
              <w:pStyle w:val="TableContents"/>
              <w:bidi w:val="0"/>
              <w:spacing w:before="0" w:after="283"/>
              <w:jc w:val="both"/>
              <w:rPr>
                <w:color w:val="231F20"/>
                <w:sz w:val="20"/>
              </w:rPr>
            </w:pPr>
            <w:r>
              <w:rPr>
                <w:color w:val="231F20"/>
                <w:sz w:val="20"/>
              </w:rPr>
              <w:t>If we are unable to successfully complete a strategic transaction, we may be forced to cease operations altogether or file for bankruptcy protection.</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is quoted on the OTCQB rather than listed on a national securities exchange, which may limit the liquidity and price of our common stock and our ability to raise capital.</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is subject to the SEC’s “penny stock” rules, which may make it more difficult for you to sell your shares.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substantially dependent on the success of our patented CAB technology platform, and our future success depends heavily on the successful development of this platform.</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Results from early-stage clinical trials may not be predictive of results from late-stage or other clinical trials, and the results of our clinical trials may not satisfy the requirements of the FDA, the European Medicine Agency or other comparable foreign regulatory authorities.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expend our resources to pursue particular product candidates and fail to capitalize on product candidates that may be more profitable or for which there is a greater likelihood of success.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may not be receptive to our product candidates because they are based on our novel therapeutic modality, and we may not generate any future revenue from the sale or licensing of product candidates.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the commencement and completion of clinical trials could increase costs and delay or prevent regulatory approval and commercialization of our product candidates.</w:t>
            </w:r>
          </w:p>
        </w:tc>
      </w:tr>
    </w:tbl>
    <w:p>
      <w:pPr>
        <w:pStyle w:val="TextBody"/>
        <w:bidi w:val="0"/>
        <w:spacing w:before="720" w:after="720"/>
        <w:ind w:left="720" w:right="720" w:hanging="0"/>
        <w:jc w:val="left"/>
        <w:rPr>
          <w:bdr w:val="single" w:sz="2" w:space="1" w:color="000000"/>
        </w:rPr>
      </w:pPr>
      <w:r>
        <w:rPr>
          <w:bdr w:val="single" w:sz="2"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720" w:right="720" w:hanging="0"/>
        <w:jc w:val="left"/>
        <w:rPr/>
      </w:pPr>
      <w:r>
        <w:rPr/>
        <w:t> </w:t>
      </w:r>
    </w:p>
    <w:p>
      <w:pPr>
        <w:pStyle w:val="TextBody"/>
        <w:bidi w:val="0"/>
        <w:spacing w:before="720" w:after="720"/>
        <w:ind w:left="720" w:right="720" w:hanging="0"/>
        <w:jc w:val="left"/>
        <w:rPr>
          <w:bdr w:val="single" w:sz="2" w:space="1" w:color="000000"/>
        </w:rPr>
      </w:pPr>
      <w:r>
        <w:rPr>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entities that have developed or may develop product candidates for cancer, including companies developing novel treatments and technology platforms.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obtain U.S. or foreign regulatory approval and, as a result, unable to commercialize our product candidates.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we receive regulatory approval for any of our product candidates, we will be subject to ongoing regulatory obligations and continued regulatory review, which may result in significant additional expense.</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substantial uncertainty regarding the current Administration’s initiatives and how these might impact the FDA, including its implementation of laws, regulations, policies and guidance and its personnel. Similar initiatives may also be directed toward other government agencies. These initiatives could prevent, limit or delay development and regulatory review and approval of our product candidates, which would negatively impact our business.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attract and retain qualified senior management and key scientific personnel, our business may be materially and adversely affected.</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issuance of equity or of debt securities that are convertible into equity will dilute our share capital.</w:t>
            </w:r>
          </w:p>
        </w:tc>
      </w:tr>
    </w:tbl>
    <w:p>
      <w:pPr>
        <w:pStyle w:val="TextBody"/>
        <w:bidi w:val="0"/>
        <w:spacing w:before="720" w:after="720"/>
        <w:ind w:left="720" w:right="720" w:hanging="0"/>
        <w:jc w:val="left"/>
        <w:rPr>
          <w:bdr w:val="single" w:sz="2" w:space="1" w:color="000000"/>
        </w:rPr>
      </w:pPr>
      <w:r>
        <w:rPr>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tc>
      </w:tr>
    </w:tbl>
    <w:p>
      <w:pPr>
        <w:pStyle w:val="TextBody"/>
        <w:bidi w:val="0"/>
        <w:spacing w:before="720" w:after="720"/>
        <w:ind w:left="720" w:right="720" w:hanging="0"/>
        <w:jc w:val="left"/>
        <w:rPr>
          <w:bdr w:val="single" w:sz="2" w:space="1" w:color="000000"/>
        </w:rPr>
      </w:pPr>
      <w:r>
        <w:rPr>
          <w:bdr w:val="single" w:sz="2"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bdr w:val="single" w:sz="2" w:space="1" w:color="000000"/>
        </w:rPr>
      </w:pPr>
      <w:r>
        <w:rPr>
          <w:caps/>
          <w:bdr w:val="single" w:sz="2" w:space="1" w:color="000000"/>
        </w:rPr>
        <w:t> </w:t>
      </w:r>
    </w:p>
    <w:p>
      <w:pPr>
        <w:pStyle w:val="TextBody"/>
        <w:bidi w:val="0"/>
        <w:spacing w:before="0" w:after="0"/>
        <w:ind w:left="720" w:right="720" w:hanging="0"/>
        <w:jc w:val="center"/>
        <w:rPr>
          <w:rFonts w:ascii="Times New Roman;Times;Serif" w:hAnsi="Times New Roman;Times;Serif"/>
          <w:b/>
          <w:i w:val="false"/>
          <w:caps/>
          <w:sz w:val="20"/>
          <w:bdr w:val="single" w:sz="2" w:space="1" w:color="000000"/>
        </w:rPr>
      </w:pPr>
      <w:bookmarkStart w:id="23" w:name="b004"/>
      <w:bookmarkEnd w:id="23"/>
      <w:r>
        <w:rPr>
          <w:rFonts w:ascii="Times New Roman;Times;Serif" w:hAnsi="Times New Roman;Times;Serif"/>
          <w:b/>
          <w:i w:val="false"/>
          <w:caps/>
          <w:sz w:val="20"/>
          <w:bdr w:val="single" w:sz="2" w:space="1" w:color="000000"/>
        </w:rPr>
        <w:t>THE OFFERING </w:t>
      </w:r>
    </w:p>
    <w:tbl>
      <w:tblPr>
        <w:tblW w:w="8765" w:type="dxa"/>
        <w:jc w:val="left"/>
        <w:tblInd w:w="720" w:type="dxa"/>
        <w:tblLayout w:type="fixed"/>
        <w:tblCellMar>
          <w:top w:w="0" w:type="dxa"/>
          <w:left w:w="0" w:type="dxa"/>
          <w:bottom w:w="0" w:type="dxa"/>
          <w:right w:w="0" w:type="dxa"/>
        </w:tblCellMar>
      </w:tblPr>
      <w:tblGrid>
        <w:gridCol w:w="1723"/>
        <w:gridCol w:w="7042"/>
      </w:tblGrid>
      <w:tr>
        <w:trPr/>
        <w:tc>
          <w:tcPr>
            <w:tcW w:w="1723" w:type="dxa"/>
            <w:tcBorders/>
            <w:vAlign w:val="center"/>
          </w:tcPr>
          <w:p>
            <w:pPr>
              <w:pStyle w:val="TableContents"/>
              <w:bidi w:val="0"/>
              <w:spacing w:before="0" w:after="283"/>
              <w:ind w:left="0" w:right="0" w:hanging="180"/>
              <w:jc w:val="left"/>
              <w:rPr/>
            </w:pPr>
            <w:r>
              <w:rPr/>
              <w:t> </w:t>
            </w:r>
          </w:p>
        </w:tc>
        <w:tc>
          <w:tcPr>
            <w:tcW w:w="7042" w:type="dxa"/>
            <w:tcBorders/>
            <w:vAlign w:val="center"/>
          </w:tcPr>
          <w:p>
            <w:pPr>
              <w:pStyle w:val="TableContents"/>
              <w:bidi w:val="0"/>
              <w:spacing w:before="0" w:after="283"/>
              <w:ind w:left="0" w:right="0" w:hanging="180"/>
              <w:jc w:val="left"/>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Shares of common stock that may be Offered and sold by the Selling Stockholder </w:t>
            </w:r>
          </w:p>
        </w:tc>
        <w:tc>
          <w:tcPr>
            <w:tcW w:w="704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Up to 8,182,110 shares of our common stock, consisting of (i) up to 8,000,000 Advance Shares that we may, in our sole discretion, elect to issue and sell to the Selling Stockholder from time to time pursuant to the SEPA and (ii) up to 182,110 Commitment Shares issuable upon exercise of the Commitment Fee Warrants issued or issuable to the Selling Stockholder in payment of a portion of the commitment fee under the SEPA.</w:t>
            </w:r>
          </w:p>
        </w:tc>
      </w:tr>
      <w:tr>
        <w:trPr/>
        <w:tc>
          <w:tcPr>
            <w:tcW w:w="1723" w:type="dxa"/>
            <w:tcBorders/>
            <w:vAlign w:val="center"/>
          </w:tcPr>
          <w:p>
            <w:pPr>
              <w:pStyle w:val="TableContents"/>
              <w:bidi w:val="0"/>
              <w:spacing w:before="0" w:after="283"/>
              <w:jc w:val="left"/>
              <w:rPr/>
            </w:pPr>
            <w:r>
              <w:rPr/>
              <w:t> </w:t>
            </w:r>
          </w:p>
        </w:tc>
        <w:tc>
          <w:tcPr>
            <w:tcW w:w="7042" w:type="dxa"/>
            <w:tcBorders/>
            <w:vAlign w:val="center"/>
          </w:tcPr>
          <w:p>
            <w:pPr>
              <w:pStyle w:val="TableContents"/>
              <w:bidi w:val="0"/>
              <w:spacing w:before="0" w:after="283"/>
              <w:ind w:left="0" w:right="0" w:hanging="180"/>
              <w:jc w:val="both"/>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Terms of the offering </w:t>
            </w:r>
          </w:p>
        </w:tc>
        <w:tc>
          <w:tcPr>
            <w:tcW w:w="704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Selling Stockholder will determine when and how it will dispose of any shares of common stock registered for resale under this prospectus.</w:t>
            </w:r>
          </w:p>
        </w:tc>
      </w:tr>
      <w:tr>
        <w:trPr/>
        <w:tc>
          <w:tcPr>
            <w:tcW w:w="1723" w:type="dxa"/>
            <w:tcBorders/>
            <w:vAlign w:val="center"/>
          </w:tcPr>
          <w:p>
            <w:pPr>
              <w:pStyle w:val="TableContents"/>
              <w:bidi w:val="0"/>
              <w:spacing w:before="0" w:after="283"/>
              <w:jc w:val="left"/>
              <w:rPr/>
            </w:pPr>
            <w:r>
              <w:rPr/>
              <w:t> </w:t>
            </w:r>
          </w:p>
        </w:tc>
        <w:tc>
          <w:tcPr>
            <w:tcW w:w="7042" w:type="dxa"/>
            <w:tcBorders/>
            <w:vAlign w:val="center"/>
          </w:tcPr>
          <w:p>
            <w:pPr>
              <w:pStyle w:val="TableContents"/>
              <w:bidi w:val="0"/>
              <w:spacing w:before="0" w:after="283"/>
              <w:ind w:left="0" w:right="0" w:hanging="180"/>
              <w:jc w:val="both"/>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Common stock outstanding before this offering </w:t>
            </w:r>
          </w:p>
        </w:tc>
        <w:tc>
          <w:tcPr>
            <w:tcW w:w="704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1,663,280 shares (as of June 30, 2026)</w:t>
            </w:r>
          </w:p>
        </w:tc>
      </w:tr>
      <w:tr>
        <w:trPr/>
        <w:tc>
          <w:tcPr>
            <w:tcW w:w="1723" w:type="dxa"/>
            <w:tcBorders/>
            <w:vAlign w:val="center"/>
          </w:tcPr>
          <w:p>
            <w:pPr>
              <w:pStyle w:val="TableContents"/>
              <w:bidi w:val="0"/>
              <w:spacing w:before="0" w:after="283"/>
              <w:jc w:val="left"/>
              <w:rPr/>
            </w:pPr>
            <w:r>
              <w:rPr/>
              <w:t> </w:t>
            </w:r>
          </w:p>
        </w:tc>
        <w:tc>
          <w:tcPr>
            <w:tcW w:w="7042" w:type="dxa"/>
            <w:tcBorders/>
            <w:vAlign w:val="center"/>
          </w:tcPr>
          <w:p>
            <w:pPr>
              <w:pStyle w:val="TableContents"/>
              <w:bidi w:val="0"/>
              <w:spacing w:before="0" w:after="283"/>
              <w:ind w:left="0" w:right="0" w:hanging="180"/>
              <w:jc w:val="both"/>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Common stock to be outstanding after </w:t>
              <w:br/>
              <w:t xml:space="preserve">this offering </w:t>
            </w:r>
          </w:p>
        </w:tc>
        <w:tc>
          <w:tcPr>
            <w:tcW w:w="704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9,845,390 shares, assuming the issuance of all 8,182,110 shares offered hereby. The actual number of shares issued will vary depending upon the actual sales under the SEPA and the number of shares issued upon exercise of the Commitment Fee Warrants.</w:t>
            </w:r>
          </w:p>
        </w:tc>
      </w:tr>
      <w:tr>
        <w:trPr/>
        <w:tc>
          <w:tcPr>
            <w:tcW w:w="1723" w:type="dxa"/>
            <w:tcBorders/>
            <w:vAlign w:val="center"/>
          </w:tcPr>
          <w:p>
            <w:pPr>
              <w:pStyle w:val="TableContents"/>
              <w:bidi w:val="0"/>
              <w:spacing w:before="0" w:after="283"/>
              <w:jc w:val="left"/>
              <w:rPr/>
            </w:pPr>
            <w:r>
              <w:rPr/>
              <w:t> </w:t>
            </w:r>
          </w:p>
        </w:tc>
        <w:tc>
          <w:tcPr>
            <w:tcW w:w="7042" w:type="dxa"/>
            <w:tcBorders/>
            <w:vAlign w:val="center"/>
          </w:tcPr>
          <w:p>
            <w:pPr>
              <w:pStyle w:val="TableContents"/>
              <w:bidi w:val="0"/>
              <w:spacing w:before="0" w:after="283"/>
              <w:ind w:left="0" w:right="0" w:hanging="180"/>
              <w:jc w:val="both"/>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Use of proceeds </w:t>
            </w:r>
          </w:p>
        </w:tc>
        <w:tc>
          <w:tcPr>
            <w:tcW w:w="704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The Selling Stockholder will receive all of the proceeds from the resale of the shares offered pursuant to this prospectus. We will not receive any of the proceeds from these resales. However, we may receive up to $40,000,000 in aggregate gross proceeds under the SEPA from sales of common stock we may elect to make to the Selling Stockholder from time to time in our discretion pursuant to the SEPA, if any. We intend to use any such net proceeds, together with existing cash and cash equivalents, primarily for working capital and other general corporate purposes and to fund our research and development efforts. See “</w:t>
            </w:r>
            <w:r>
              <w:rPr>
                <w:rFonts w:ascii="Times New Roman;Times;Serif" w:hAnsi="Times New Roman;Times;Serif"/>
                <w:i/>
                <w:color w:val="231F20"/>
                <w:sz w:val="20"/>
              </w:rPr>
              <w:t>Use of Proceeds</w:t>
            </w:r>
            <w:r>
              <w:rPr>
                <w:rFonts w:ascii="Times New Roman;Times;Serif" w:hAnsi="Times New Roman;Times;Serif"/>
                <w:color w:val="231F20"/>
                <w:sz w:val="20"/>
              </w:rPr>
              <w:t>” for additional information.</w:t>
            </w:r>
          </w:p>
        </w:tc>
      </w:tr>
      <w:tr>
        <w:trPr/>
        <w:tc>
          <w:tcPr>
            <w:tcW w:w="1723" w:type="dxa"/>
            <w:tcBorders/>
            <w:vAlign w:val="center"/>
          </w:tcPr>
          <w:p>
            <w:pPr>
              <w:pStyle w:val="TableContents"/>
              <w:bidi w:val="0"/>
              <w:spacing w:before="0" w:after="283"/>
              <w:jc w:val="left"/>
              <w:rPr/>
            </w:pPr>
            <w:r>
              <w:rPr/>
              <w:t> </w:t>
            </w:r>
          </w:p>
        </w:tc>
        <w:tc>
          <w:tcPr>
            <w:tcW w:w="7042" w:type="dxa"/>
            <w:tcBorders/>
            <w:vAlign w:val="center"/>
          </w:tcPr>
          <w:p>
            <w:pPr>
              <w:pStyle w:val="TableContents"/>
              <w:bidi w:val="0"/>
              <w:spacing w:before="0" w:after="283"/>
              <w:ind w:left="0" w:right="0" w:hanging="180"/>
              <w:jc w:val="both"/>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Risk factors </w:t>
            </w:r>
          </w:p>
        </w:tc>
        <w:tc>
          <w:tcPr>
            <w:tcW w:w="7042" w:type="dxa"/>
            <w:tcBorders/>
            <w:vAlign w:val="center"/>
          </w:tcPr>
          <w:p>
            <w:pPr>
              <w:pStyle w:val="TableContents"/>
              <w:bidi w:val="0"/>
              <w:spacing w:before="0" w:after="283"/>
              <w:ind w:left="0" w:right="0" w:hanging="180"/>
              <w:jc w:val="both"/>
              <w:rPr>
                <w:rFonts w:ascii="Times New Roman;Times;Serif" w:hAnsi="Times New Roman;Times;Serif"/>
                <w:color w:val="231F20"/>
                <w:sz w:val="20"/>
              </w:rPr>
            </w:pPr>
            <w:r>
              <w:rPr>
                <w:rFonts w:ascii="Times New Roman;Times;Serif" w:hAnsi="Times New Roman;Times;Serif"/>
                <w:color w:val="231F20"/>
                <w:sz w:val="20"/>
              </w:rPr>
              <w:t>An investment in our securities involves a high degree of risk. See “</w:t>
            </w:r>
            <w:r>
              <w:rPr>
                <w:rFonts w:ascii="Times New Roman;Times;Serif" w:hAnsi="Times New Roman;Times;Serif"/>
                <w:i/>
                <w:color w:val="231F20"/>
                <w:sz w:val="20"/>
              </w:rPr>
              <w:t>Risk Factors</w:t>
            </w:r>
            <w:r>
              <w:rPr>
                <w:rFonts w:ascii="Times New Roman;Times;Serif" w:hAnsi="Times New Roman;Times;Serif"/>
                <w:color w:val="231F20"/>
                <w:sz w:val="20"/>
              </w:rPr>
              <w:t>” beginning on page 15 of this prospectus for a discussion of factors to consider before deciding to invest in our securities.</w:t>
            </w:r>
          </w:p>
        </w:tc>
      </w:tr>
      <w:tr>
        <w:trPr/>
        <w:tc>
          <w:tcPr>
            <w:tcW w:w="1723" w:type="dxa"/>
            <w:tcBorders/>
            <w:vAlign w:val="center"/>
          </w:tcPr>
          <w:p>
            <w:pPr>
              <w:pStyle w:val="TableContents"/>
              <w:bidi w:val="0"/>
              <w:spacing w:before="0" w:after="283"/>
              <w:jc w:val="left"/>
              <w:rPr/>
            </w:pPr>
            <w:r>
              <w:rPr/>
              <w:t> </w:t>
            </w:r>
          </w:p>
        </w:tc>
        <w:tc>
          <w:tcPr>
            <w:tcW w:w="7042" w:type="dxa"/>
            <w:tcBorders/>
            <w:vAlign w:val="center"/>
          </w:tcPr>
          <w:p>
            <w:pPr>
              <w:pStyle w:val="TableContents"/>
              <w:bidi w:val="0"/>
              <w:spacing w:before="0" w:after="283"/>
              <w:ind w:left="0" w:right="0" w:hanging="180"/>
              <w:jc w:val="left"/>
              <w:rPr/>
            </w:pPr>
            <w:r>
              <w:rPr/>
              <w:t> </w:t>
            </w:r>
          </w:p>
        </w:tc>
      </w:tr>
      <w:tr>
        <w:trPr/>
        <w:tc>
          <w:tcPr>
            <w:tcW w:w="1723"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 xml:space="preserve">OTCQB symbol </w:t>
            </w:r>
          </w:p>
        </w:tc>
        <w:tc>
          <w:tcPr>
            <w:tcW w:w="704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Our common stock is quoted on the OTCQB under the symbol “BCAB.”</w:t>
            </w:r>
          </w:p>
        </w:tc>
      </w:tr>
    </w:tbl>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bdr w:val="single" w:sz="2" w:space="1" w:color="000000"/>
        </w:rPr>
      </w:pPr>
      <w:r>
        <w:rPr>
          <w:rFonts w:ascii="Times New Roman;Times;Serif" w:hAnsi="Times New Roman;Times;Serif"/>
          <w:b w:val="false"/>
          <w:i w:val="false"/>
          <w:caps w:val="false"/>
          <w:smallCaps w:val="false"/>
          <w:color w:val="231F20"/>
          <w:sz w:val="20"/>
          <w:bdr w:val="single" w:sz="2" w:space="1" w:color="000000"/>
        </w:rPr>
        <w:t>Except as otherwise indicated herein, the number of shares of our common stock to be outstanding immediately after this offering is based on 1,663,280 shares of our common stock outstanding as of June 30, 2026 and 0 shares of our Class B common stock outstanding as of June 30, 2026 and excludes:</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720" w:right="720" w:hanging="0"/>
        <w:jc w:val="left"/>
        <w:rPr/>
      </w:pPr>
      <w:r>
        <w:rPr/>
        <w:t> </w:t>
      </w:r>
    </w:p>
    <w:p>
      <w:pPr>
        <w:pStyle w:val="TextBody"/>
        <w:bidi w:val="0"/>
        <w:spacing w:before="720" w:after="720"/>
        <w:ind w:left="720" w:right="720" w:hanging="0"/>
        <w:jc w:val="left"/>
        <w:rPr>
          <w:bdr w:val="single" w:sz="2" w:space="1" w:color="000000"/>
        </w:rPr>
      </w:pPr>
      <w:r>
        <w:rPr>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 xml:space="preserve">114,059 shares of our common stock issuable upon the exercise of stock options outstanding as of June 30, 2026 at a weighted average exercise price of $388.45 per share; </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193,581 shares of common stock issuable upon the exercise of warrants outstanding as of June 30, 2026, at an exercise price of </w:t>
            </w:r>
            <w:r>
              <w:rPr>
                <w:rFonts w:ascii="Times New Roman;Times;Serif" w:hAnsi="Times New Roman;Times;Serif"/>
                <w:color w:val="231F20"/>
                <w:sz w:val="20"/>
              </w:rPr>
              <w:t xml:space="preserve">$4.35 </w:t>
            </w:r>
            <w:r>
              <w:rPr>
                <w:rFonts w:ascii="Times New Roman;Times;Serif" w:hAnsi="Times New Roman;Times;Serif"/>
                <w:sz w:val="20"/>
              </w:rPr>
              <w:t>per share;</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 xml:space="preserve">57,404 shares of our common stock issuable pursuant to unvested restricted stock units outstanding as of June 30, 2026; </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98,478 shares of our common stock reserved and available for future issuance as of June 30, 2026, under our equity incentive plans, consisting of (1) 39,200 shares of common stock reserved and available for issuance under our 2020 Equity Incentive Plan as of June 30, 2026 and (2) 59,278 shares of common stock reserved for issuance under our 2020 Employee Stock Purchase Plan as of June 30, 2026.</w:t>
            </w:r>
          </w:p>
        </w:tc>
      </w:tr>
    </w:tbl>
    <w:p>
      <w:pPr>
        <w:pStyle w:val="TextBody"/>
        <w:bidi w:val="0"/>
        <w:spacing w:before="0" w:after="0"/>
        <w:ind w:left="720" w:right="720" w:hanging="0"/>
        <w:jc w:val="left"/>
        <w:rPr>
          <w:caps w:val="false"/>
          <w:smallCaps w:val="false"/>
          <w:bdr w:val="single" w:sz="2" w:space="1" w:color="000000"/>
        </w:rPr>
      </w:pPr>
      <w:r>
        <w:rPr>
          <w:caps w:val="false"/>
          <w:smallCaps w:val="false"/>
          <w:bdr w:val="single" w:sz="2" w:space="1" w:color="00000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bdr w:val="single" w:sz="2" w:space="1" w:color="000000"/>
        </w:rPr>
      </w:pPr>
      <w:r>
        <w:rPr>
          <w:rFonts w:ascii="Times New Roman;Times;Serif" w:hAnsi="Times New Roman;Times;Serif"/>
          <w:b w:val="false"/>
          <w:i w:val="false"/>
          <w:caps w:val="false"/>
          <w:smallCaps w:val="false"/>
          <w:color w:val="231F20"/>
          <w:sz w:val="20"/>
          <w:bdr w:val="single" w:sz="2" w:space="1" w:color="000000"/>
        </w:rPr>
        <w:t>Except as otherwise indicated, all information in this prospectus reflects and assumes no purchases of Advance Shares or Commitment Shares, no issuance, exercise or settlement of stock-based awards under our 2020 Equity Incentive Plan or 2020 Employee Stock Purchase Plan and no exercise of outstanding warrants. </w:t>
      </w:r>
    </w:p>
    <w:p>
      <w:pPr>
        <w:pStyle w:val="TextBody"/>
        <w:bidi w:val="0"/>
        <w:spacing w:before="0" w:after="0"/>
        <w:ind w:left="720" w:right="720" w:hanging="0"/>
        <w:jc w:val="both"/>
        <w:rPr>
          <w:caps w:val="false"/>
          <w:smallCaps w:val="false"/>
          <w:color w:val="231F20"/>
          <w:bdr w:val="single" w:sz="2" w:space="1" w:color="000000"/>
        </w:rPr>
      </w:pPr>
      <w:r>
        <w:rPr>
          <w:caps w:val="false"/>
          <w:smallCaps w:val="false"/>
          <w:color w:val="231F20"/>
          <w:bdr w:val="single" w:sz="2" w:space="1" w:color="00000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4" w:name="b005"/>
      <w:bookmarkEnd w:id="24"/>
      <w:r>
        <w:rPr>
          <w:rFonts w:ascii="Times New Roman;Times;Serif" w:hAnsi="Times New Roman;Times;Serif"/>
          <w:b/>
          <w:i w:val="false"/>
          <w:caps/>
          <w:sz w:val="20"/>
        </w:rPr>
        <w:t>THE STANDBY EQUITY PURCHASE AGREEMENT</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we entered into the SEPA with Yorkville, pursuant to which we have the right, but not the obligation, to sell to Yorkville up to $40,000,000 (the “Commitment Amount”) of our common stock, at our request at any time during the commitment period commencing on the date of the SEPA and terminating on the earlier of (i) the 36-month anniversary of the date of the SEPA and (ii) the date on which Yorkville shall have made payment of Advances (as defined below) pursuant to the SEPA for shares of common stock equal to the Commitment Amount. Sales of shares of common stock to Yorkville under the SEPA, and the timing of any such sales, are at our option, and we are under no obligation to sell any shares to Yorkville under the SEPA. The issuance and sale of shares of common stock to Yorkville under the SEPA is being made in reliance on the exemption from registration provided by Section 4(a)(2) of the Securities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satisfaction of the conditions to Yorkville’s purchase obligation set forth in the SEPA, including the effectiveness of a registration statement covering the resale of the shares issuable under the SEPA (which includes the registration statement of which this prospectus forms a part), we may require Yorkville to purchase shares of our common stock (each such sale, an “Advance”) by delivering written notice to Yorkville (an “Advance Notice”). Each Advance may not exceed 100% of the average of the daily trading volume of our common stock on the OTCQB (or such other principal market on which our common stock is then listed or traded) during the five consecutive trading days immediately preceding the delivery of an Advance Notice (the “Maximum Advance Amount”), unless otherwise agreed in writing by us and Yorkville. There is no mandatory minimum Advance and no non-usage fee for not utilizing the Commitment Amount or any part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purchased pursuant to an Advance will be purchased at a price equal to 97% of the lowest daily VWAP of our common stock during the three consecutive trading days commencing on the date the Advance Notice is delivered (the “Pricing Period”), other than the daily VWAP on any Excluded Day (as defined below). “VWAP” is defined in the SEPA as the volume weighted average price of our common stock on the principal market for such period as reported by Bloomberg L.P. through its “AQR” function. We may, in our sole discretion, specify a minimum acceptable price in an Advance Notice (the “Minimum Acceptable Price”). Each trading day during a Pricing Period on which the daily VWAP is below the Minimum Acceptable Price in effect, or on which there is no VWAP (each, an “Excluded Day”), will result in an automatic reduction of the number of shares specified in the Advance Notice by one-third and will be excluded from the Pricing Period for purposes of determining the purchase price. The number of shares in such Advance will then be automatically increased by the greater of (a) the number of shares sold by Yorkville on such Excluded Day(s), if any, and (b) the number of shares Yorkville elects to subscribe for, at a price per share equal to 97% of the Minimum Acceptable Price, provided that such increase may not cause the Advance to exceed the number of shares set forth in the Advance Notice or the limitations described below. There is no upper limit on the price per share that Yorkville could be obligated to pay for shares we elect to sell to it under the SEPA.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Yorkville’s receipt of a valid Advance Notice, we and Yorkville are deemed to have entered into an unconditional contract for the purchase and sale of the applicable shares, and Yorkville may sell shares of our common stock during the applicable Pricing Period. The closing of each Advance will occur as soon as practicable on or after the first trading day following the expiration of the applicable Pricing Period, at which time Yorkville will deliver a settlement document setting forth the final number of shares to be purchased and the purchase price, and we will deliver the shares electronically against payment in immediately available funds. If, during a Pricing Period, we notify Yorkville that a Material Outside Event (as defined in the SEPA) has occurred or of a Black Out Period (as described below), the pending Advance will end and the final number of shares to be purchased will equal the number of shares sold by Yorkville during the Pricing Period prior to such notice.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Limitations on Advances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will not be obligated to purchase, and may not purchase, any shares of our common stock under the SEPA which, when aggregated with all other shares of common stock beneficially owned by Yorkville and its affiliates (as calculated pursuant to Section 13(d) of the Exchange Act and Rule 13d-3 thereunder), would result in Yorkville and its affiliates beneficially owning more than 4.99% of the then outstanding voting power or number of shares of our common stock (the “Ownership Limitation”). In addition, an Advance may not cause the aggregate number of shares sold to Yorkville under the SEPA to exceed the Commitment Amount, or exceed the number of shares registered under the registration statement then in effect (the “Registration Limitation”). Any portion of an Advance that would exceed the Ownership Limitation, the Commitment Amount or the Registration Limitation will automatically be withdrawn.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to deliver an Advance Notice is subject to the satisfaction of certain conditions on each Advance Notice date, including, among others, the accuracy in all material respects of our representations and warranties, our payment of the portion of the Commitment Fee (as defined below) then due, the effectiveness of a registration statement permitting Yorkville to resell the shares issuable pursuant to such Advance Notice, the filing of the Current Report on Form 8-K describing the SEPA, the absence of any continuing Material Outside Event, the absence of any suspension of trading in, or removal from quotation of, our common stock, and neither we nor Yorkville being in possession of material non-public information regarding us. In addition, we may not deliver an Advance Notice during a Black Out Period or if a stockholder meeting or corporate action, or the record date for any stockholder meeting or corporate action, would fall during the period beginning two trading days prior to the delivery of such Advance Notice and ending two trading days following the closing of such Advance.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 Fee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Yorkville’s execution and delivery of the SEPA, we agreed to pay Yorkville a commitment fee of $500,000 (the “Commitment Fee”), which was earned on the date of the SEPA. One-half of the Commitment Fee is payable within five days of the date of the SEPA and the remaining one-half is payable on or before December 31, 2026, in each case, at our election, either in cash or by the issuance to Yorkville of Commitment Fee Warrants exercisable for a number of shares of common stock equal to the applicable installment of the Commitment Fee divided by the average of the daily VWAPs of our common stock during the five trading days immediately prior to the date of the SEPA (for the first installment) or immediately prior to December 31, 2026 (for the second installment). Any Commitment Shares underlying Commitment Fee Warrants issued prior to the filing of the initial registration statement are required to be included in such registration statement. On October 16, 2026, we issued Commitment Fee Warrants to Yorkville exercisable for 182,110 Commitment Shares in payment of the first installment of the Commitment Fee. The Commitment Fee Warrants are being issued in reliance on Section 4(a)(2) of the Securities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and Black Out Periods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SEPA, we agreed to file one or more registration statements for the resale by Yorkville of the shares issuable under the SEPA, at times determined in our sole discretion, and to maintain the effectiveness of any such registration statement that has been declared effective during the commitment period, subject to certain exceptions, including upon the earliest of the date Yorkville notifies us that it has completed the resale of all registrable securities, the date on which all such securities have been sold, and the date on which all such securities may be sold without restriction under Rule 144. We may not request any Advances until a registration statement has been declared effective. We may suspend the use of the registration statement during a “Black Out Period” to delay disclosure of material non-public information or to amend or supplement the registration statement or prospectus, provided that no Black Out Period may exceed 20 days or be more restrictive than comparable restrictions applicable to our directors and senior executive officers. We may not deliver an Advance Notice during a Black Out Period, and Yorkville has agreed not to sell shares under the registration statement during a Black Out Period.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the SEPA will terminate automatically on the earlier of (i) the 36-month anniversary of the date of the SEPA and (ii) the date on which Yorkville shall have made payment of Advances for shares of common stock equal to the Commitment Amount. We may terminate the SEPA upon five trading days’ prior written notice to Yorkville, provided that there are no outstanding Advance Notices under which shares have yet to be issued and we have paid all amounts owed to Yorkville under the SEPA. We and Yorkville may also terminate the SEPA at any time by mutual written consent.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and related agreements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Placement Agent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we engaged the Placement Agent as our sole placement agent. As compensation for its services, we have agreed to pay the Placement Agent cash compensation equal to 3% of the aggregate purchase price of any Advance Shares purchased by Yorkville under the SEPA.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Sales of Our Common Stock under the SEPA on Our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Advance Shares and Commitment Shares being registered for resale in this offering are expected to be freely tradable. The Advance Shares may be issued and sold by us to Yorkville from time to time over a period of up to 36 months, unless the SEPA is earlier terminated. The resale by Yorkville of a significant number of shares registered for resale in this offering at any given time, or the perception that these sales may occur, could cause the market price of our common stock to decline or to be highly volatile. Sales of Advance Shares, if any, will depend upon market conditions and other factors to be determined by us, and we may ultimately decide to sell to Yorkville all, some or none of the Advance Shares. If and when we do sell Advance Shares to Yorkville, Yorkville may resell all, some or none of such shares at any time or from time to time in its discretion and at different prices.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of our common stock to Yorkville under the SEPA, or if investors expect that we will do so, the actual sales of shares or the mere existence of our arrangement with Yorkville may make it more difficult for us to sell equity or equity-related securities in the future at times and at prices that we might otherwise prefer.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per share purchase price that Yorkville will pay for Advance Shares pursuant to any Advance that we may elect to effect pursuant to the SEPA will be determined by reference to the VWAP during the applicable period for such Advance on the date upon which such Advance Shares were purchased, as of the date of this prospectus, we cannot determine the actual purchase price per share that Yorkville will be required to pay for any Advance Shares that we may elect to sell to Yorkville under the SEPA and, therefore, we cannot be certain how many Advance Shares, in the aggregate, we may issue and sell to Yorkville under the SEPA.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16, 2026, there were 1,668,261 shares of our common stock outstanding. If all of the 8,182,110 shares offered for resale by Yorkville under this prospectus were issued and outstanding as of such date, such shares would represent approximately 490.5% of the total number of shares of our common stock outstanding. Although the SEPA provides that we may sell up to $40,000,000 of our common stock to Yorkville, only 8,000,000 Advance Shares are being registered for resale by Yorkville under the registration statement that includes this prospectus. Depending on the market prices of our common stock at the time we elect to sell Advance Shares, we may need to file with the SEC one or more additional registration statements to register the resale by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of additional shares, which the SEC must declare effective before we may sell any such additional shares to Yorkville. The issuance of our common stock to Yorkville will not affect the rights or privileges of our existing stockholders, except that the economic and voting interests of each of our existing stockholders will be diluted.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ultimately offered for resale by Yorkville through this prospectus is dependent upon the number of shares of common stock, if any, we elect to sell to Yorkville under the SEPA. The issuance of our common stock to Yorkville pursuant to the SEPA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5" w:name="b006"/>
      <w:bookmarkEnd w:id="25"/>
      <w:r>
        <w:rPr>
          <w:rFonts w:ascii="Times New Roman;Times;Serif" w:hAnsi="Times New Roman;Times;Serif"/>
          <w:b/>
          <w:i w:val="false"/>
          <w:caps/>
          <w:sz w:val="20"/>
        </w:rPr>
        <w:t>RISK FACTORS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investment in our common stock involves significant risks. Before making an investment in our common stock, you should carefully read all of the information contained in this prospectus and any applicable prospectus supplement. For a discussion of risks that you should carefully consider before deciding to purchase any of our common stock, please review the risk factors disclosed below, together with the other information in this prospectus and any applicable prospectus supplement. Any of these risks, as well as additional risks not currently known to us or that we currently deem immaterial, may adversely affect our business, financial condition, results of operations, and prospects, resulting in a decline in the trading price of our common stock and loss of all or part of your investment.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Risks Relating to this Offering</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Our management will have broad discretion over the actual amount and timing of the expenditures of the proceeds we receive in this offering and might not apply these proceeds in ways that enhance our financial condition or operating results or increase the value of your investment.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intend to use the net proceeds we receive from sales of Advance Shares under the SEPA, if any, together with existing cash and cash equivalents, primarily for working capital and other general corporate purposes and to fund our research and development efforts. This expected use of our net proceeds represents our intentions based upon our current plans and business conditions. The amount and timing of our actual expenditures may vary significantly depending on numerous factors, including the expenses related to our clinical and preclinical trials, the expenses related to any potential commercialization, as well as any strategic transactions that we may enter into with third parties, and any unforeseen cash needs. As a result, our management will retain broad discretion over the allocation of such net proceeds and could spend the proceeds in ways that do not necessarily improve our financial condition or operating results or enhance the value of our common stock. Additionally, until the net proceeds we receive are used, they may be placed in investments that do not produce income or that lose value. See “</w:t>
      </w:r>
      <w:r>
        <w:rPr>
          <w:rFonts w:ascii="Times New Roman;Times;Serif" w:hAnsi="Times New Roman;Times;Serif"/>
          <w:b w:val="false"/>
          <w:i/>
          <w:caps w:val="false"/>
          <w:smallCaps w:val="false"/>
          <w:color w:val="231F20"/>
          <w:sz w:val="20"/>
        </w:rPr>
        <w:t>Use of Proceeds</w:t>
      </w:r>
      <w:r>
        <w:rPr>
          <w:rFonts w:ascii="Times New Roman;Times;Serif" w:hAnsi="Times New Roman;Times;Serif"/>
          <w:b w:val="false"/>
          <w:i w:val="false"/>
          <w:caps w:val="false"/>
          <w:smallCaps w:val="false"/>
          <w:color w:val="231F20"/>
          <w:sz w:val="20"/>
        </w:rPr>
        <w:t>” for additional information.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It is not possible to predict the actual number of shares we will sell under the SEPA to Yorkville, or the actual gross proceeds resulting from those sales. Further, we may not have access to the full amount available under the SEPA.</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generally have the right to control the timing and amount of any sales of our common stock to Yorkville under the SEPA, and sales, if any, will depend upon market conditions and other factors to be determined by us. Because the purchase price per share that Yorkville will pay will fluctuate based on the market prices of our common stock during each Pricing Period, it is not possible for us to predict the number of shares we will sell to Yorkville, the purchase price per share or the aggregate gross proceeds we will receive. Although the SEPA provides that we may sell up to $40,000,000 of our common stock to Yorkville, the actual gross proceeds from the sale to Yorkville of such shares of common stock may be substantially less than $40,000,000, which could materially adversely affect our liquidity. 8,182,110 shares are being registered for resale under this registration statement that includes this prospectus, and unless there is a significant increase in the market price of our common stock, we may be </w:t>
      </w:r>
      <w:r>
        <w:rPr>
          <w:rFonts w:ascii="Times New Roman;Times;Serif" w:hAnsi="Times New Roman;Times;Serif"/>
          <w:b w:val="false"/>
          <w:i w:val="false"/>
          <w:caps w:val="false"/>
          <w:smallCaps w:val="false"/>
          <w:color w:val="231F20"/>
          <w:sz w:val="20"/>
        </w:rPr>
        <w:t>required to file one or more additional registration statements to register additional shares, which must be declared effective by the SEC</w:t>
      </w:r>
      <w:r>
        <w:rPr>
          <w:rFonts w:ascii="Times New Roman;Times;Serif" w:hAnsi="Times New Roman;Times;Serif"/>
          <w:b w:val="false"/>
          <w:i w:val="false"/>
          <w:caps w:val="false"/>
          <w:smallCaps w:val="false"/>
          <w:sz w:val="20"/>
          <w:shd w:fill="FFFFFF" w:val="clear"/>
        </w:rPr>
        <w:t xml:space="preserve">, in order to access the full Commitment Amount. In addition, the size of each Advance is limited to 100% of the average daily trading volume of our common stock during the </w:t>
      </w:r>
      <w:r>
        <w:rPr>
          <w:rFonts w:ascii="Times New Roman;Times;Serif" w:hAnsi="Times New Roman;Times;Serif"/>
          <w:b w:val="false"/>
          <w:i w:val="false"/>
          <w:caps w:val="false"/>
          <w:smallCaps w:val="false"/>
          <w:color w:val="231F20"/>
          <w:sz w:val="20"/>
        </w:rPr>
        <w:t>five trading days preceding the Advance Notice, and Yorkville may not purchase shares that would cause it to beneficially own more than 4.99% of our outstanding common stock. Because our 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quoted on the OTCQB, where trading volume may be limited, these limitations may significantly restrict the amount we are able to raise under the SEPA at any given time</w:t>
      </w: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val="false"/>
          <w:caps w:val="false"/>
          <w:smallCaps w:val="false"/>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720" w:right="720" w:hanging="0"/>
        <w:jc w:val="left"/>
        <w:rPr/>
      </w:pPr>
      <w:r>
        <w:rPr/>
        <w:t> </w:t>
      </w:r>
    </w:p>
    <w:p>
      <w:pPr>
        <w:pStyle w:val="TextBody"/>
        <w:shd w:fill="FFFFFF" w:val="clear"/>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and issuance of our common stock to Yorkville will cause dilution to our existing stockholders, and the sale of the shares of common stock acquired by Yorkville, or the perception that such sales may occur, could cause the price of our common stock to fall.</w:t>
      </w:r>
    </w:p>
    <w:p>
      <w:pPr>
        <w:pStyle w:val="TextBody"/>
        <w:shd w:fill="FFFFFF" w:val="clear"/>
        <w:bidi w:val="0"/>
        <w:spacing w:before="0" w:after="0"/>
        <w:ind w:left="720" w:right="720" w:hanging="0"/>
        <w:jc w:val="both"/>
        <w:rPr>
          <w:caps w:val="false"/>
          <w:smallCaps w:val="false"/>
        </w:rPr>
      </w:pPr>
      <w:r>
        <w:rPr>
          <w:caps w:val="false"/>
          <w:smallCaps w:val="false"/>
        </w:rPr>
        <w:t> </w:t>
      </w:r>
    </w:p>
    <w:p>
      <w:pPr>
        <w:pStyle w:val="TextBody"/>
        <w:shd w:fill="FFFFFF" w:val="clear"/>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price of our common stock could decline and be volatile if there are substantial sales of shares of our common stock, if there is a large number of shares of our common stock available for sale, or if there is the perception that these sales could occur. Yorkville may resell under this prospectus up to 8,182,110 shares of common stock, consisting of up to 8,000,000 Advance Shares that we may, in our sole discretion, elect to sell to Yorkville from time to time pursuant to the SEPA and up to 182,110 Commitment Shares. If all of </w:t>
      </w:r>
      <w:r>
        <w:rPr>
          <w:rFonts w:ascii="Times New Roman;Times;Serif" w:hAnsi="Times New Roman;Times;Serif"/>
          <w:b w:val="false"/>
          <w:i w:val="false"/>
          <w:caps w:val="false"/>
          <w:smallCaps w:val="false"/>
          <w:color w:val="231F20"/>
          <w:sz w:val="20"/>
        </w:rPr>
        <w:t>such shares were issued and outstanding as of October 16, 2026</w:t>
      </w:r>
      <w:r>
        <w:rPr>
          <w:rFonts w:ascii="Times New Roman;Times;Serif" w:hAnsi="Times New Roman;Times;Serif"/>
          <w:b w:val="false"/>
          <w:i w:val="false"/>
          <w:caps w:val="false"/>
          <w:smallCaps w:val="false"/>
          <w:sz w:val="20"/>
        </w:rPr>
        <w:t>, they would represent approximately 490.5% of our outstanding common stock. Any issuances of shares under the SEPA will dilute the percentage ownership of our stockholders and may dilute the per share projected earnings (if any) or book value of our common stock. Sales of a substantial number of shares of our common stock in the public market, or the perception that these sales could occur, could cause the market price of our common stock to decline and may make it more difficult for you to sell your shares, and for us to sell equity or equity-related securities in the future, at a time and price that you or we deem appropriate.</w:t>
      </w:r>
    </w:p>
    <w:p>
      <w:pPr>
        <w:pStyle w:val="TextBody"/>
        <w:shd w:fill="FFFFFF" w:val="clear"/>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Investors who buy shares of common stock from Yorkville at different times will likely pay different prices.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limitations in the </w:t>
      </w:r>
      <w:r>
        <w:rPr>
          <w:rFonts w:ascii="Times New Roman;Times;Serif" w:hAnsi="Times New Roman;Times;Serif"/>
          <w:b w:val="false"/>
          <w:i w:val="false"/>
          <w:caps w:val="false"/>
          <w:smallCaps w:val="false"/>
          <w:color w:val="231F20"/>
          <w:sz w:val="20"/>
        </w:rPr>
        <w:t>SEPA</w:t>
      </w:r>
      <w:r>
        <w:rPr>
          <w:rFonts w:ascii="Times New Roman;Times;Serif" w:hAnsi="Times New Roman;Times;Serif"/>
          <w:b w:val="false"/>
          <w:i w:val="false"/>
          <w:caps w:val="false"/>
          <w:smallCaps w:val="false"/>
          <w:sz w:val="20"/>
        </w:rPr>
        <w:t xml:space="preserve"> and compliance with applicable law, we will have discretion to vary the timing, prices and numbers of Advance Shares sold to Yorkville. The number of Advance Shares that are sold to Yorkville after delivering an Advance Notice will fluctuate based on a number of factors, including the market price of our common stock during the Pricing Period and the occurrence of any Excluded Days.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do elect to sell Advance Shares to Yorkville pursuant to the SEPA, Yorkville may resell all, some or none of such shares at any time or from time to time in its discretion and at different prices.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 addition, investors may experience a decline in the value of the shares they purchase from Yorkville in this offering as a result of future sales made by us to Yorkville at prices lower than the prices such investors paid for their shares in this offering.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quoted on the OTCQB rather than listed on a national securities exchange, which may limit the liquidity and price of our common stock and our ability to raise capital.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OTCQB under the symbol “BCAB” and is not listed on a national securities exchange. Securities quoted on the OTCQB generally experience lower trading volume, wider bid-ask spreads and greater price volatility than securities listed on a national securities exchange, and an active and liquid trading market for our common stock may not develop or be sustained. Limited liquidity in our common stock may restrict the size of Advances we are able to make under the SEPA and impair our ability to raise capital on acceptable terms, or at all. We cannot assure you that our common stock will be listed on a national securities exchange in the future or that, if listed, we would be able to satisfy the applicable continued listing requirements of such exchange. Furthermore, to maintain the quotation of our common stock on the OTCQB, we must continue to satisfy the OTCQB’s eligibility standards, including a minimum bid price requirement, and if we fail to do so our common stock may be moved to a lower tier of the OTC Markets, which could further reduce the liquidity and market price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subject to the SEC’s “penny stock” rules, which may make it more difficult for you to sell your shares.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subject to the SEC’s “penny stock” rules, which apply to equity securities that are not listed on a national securities exchange and that do not satisfy specified price or financial thresholds. Under these rules, a broker-dealer must deliver a standardized risk disclosure document before effecting a transaction, make a suitability determination for the customer, obtain the customer’s written consent and provide monthly account statements. These disclosure and other requirements may discourage broker-dealers from effecting transactions in our common stock and may reduce the level of trading activity in the secondary market for our common stock.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formal process to explore and evaluate strategic options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initiated a formal process to explore and evaluate strategic options, and there is no guarantee that this strategic path will be successful.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exploring and evaluating strategic options to maximize shareholder value, including sale of preclinical and clinical assets, licensing transactions, strategic partnerships or other corporate transactions. We expect to devote substantial time and resources to exploring such strategic options; however, there is no set time frame and there can be no assurance that such activities will result in any agreements or transactions that will enhance shareholder value. Evaluating a strategic option may divert the attention of our management from ordinary operating matters. The identification, negotiation and completion of any such transaction may also require more time and cash resources than we anticipate. In addition, potential strategic options that require stockholder approval may not be approved by our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our process to identify and evaluate potential strategic options will result in any definitive offer to consummate a strategic transaction, or if made that the terms thereof will be acceptable to us.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us and/or our assets that is consummated would enhance shareholder value.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completing a strategic transaction, we may be exposed to other operational and financial risks, including increased near-term or long-term expenditures, exposure to unknown liabilities, incurrence of substantial debt, higher-than-expected acquisition and integration costs, write-downs of assets or impairment charges and increased amortization expenses. If a strategic transaction is not completed, we may be subject to a number of material risks or suffer a number of consequences that may adversely affect our business, financial results and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successfully complete a strategic transaction, we may be forced to cease operations altogether or file for bankruptcy protection.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of our plans will be successful or that additional capital will be available to us on reasonable terms, or at all, when needed or that we will successfully complete a strategic transaction. If we are unable to obtain sufficient additional capital or to conclude a successful strategic transaction, we may be forced to defer, reduce or eliminate significant planned expenditures, dispose of technology or assets including intangible assets, conclude a strategic transaction that is unfavorable to stockholders, enter into arrangements that may require us to relinquish rights to certain of our products or product candidates, technologies or potential markets, delay or stop ongoing clinical trials, cease operations altogether or file for bankruptcy protection.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remains dedicated to diligently deliberating upon and making informed decisions that the directors believe are in the best interests of the Company and its stockholders. There can be no assurance, however, that our current strategic direction, or our board of director’s evaluation of strategic options, will result in any initiatives, agreements, transactions or plans that will further enhance shareholder value.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current restructuring of our operations and recent workforce reduction, it may be difficult to evaluate our current business and future prospects on the basis of historical operating performance.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any additional value in a strategic transaction.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counterparties in a strategic transaction involving the Company may place minimal or no value on our assets.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involving the Company may choose not to spend additional resources for the development of our product candidates and may attribute little or no value, in such a transaction, to those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successful in completing a strategic transaction, we may be exposed to other operational and financial risks.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can be no assurance that a strategic transaction will result from the process we have undertaken to identify and evaluate strategic options, the negotiation and consummation of any such transaction will require significant time on the part of our management, and the diversion of management’s attention may disrupt our business. The negotiation and consummation of any such transaction may also require more time or greater cash resources than we anticipate and expose us to other operational and financial risks, including:</w:t>
      </w:r>
    </w:p>
    <w:p>
      <w:pPr>
        <w:pStyle w:val="TextBody"/>
        <w:bidi w:val="0"/>
        <w:spacing w:before="0" w:after="0"/>
        <w:ind w:left="720" w:right="720" w:hanging="0"/>
        <w:jc w:val="both"/>
        <w:rPr>
          <w:caps w:val="false"/>
          <w:smallCaps w:val="false"/>
        </w:rPr>
      </w:pPr>
      <w:r>
        <w:rPr>
          <w:caps w:val="false"/>
          <w:smallCaps w:val="false"/>
        </w:rPr>
        <w:t> </w:t>
      </w:r>
    </w:p>
    <w:tbl>
      <w:tblPr>
        <w:tblW w:w="3303" w:type="dxa"/>
        <w:jc w:val="left"/>
        <w:tblInd w:w="72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our key employees;</w:t>
            </w:r>
          </w:p>
        </w:tc>
      </w:tr>
    </w:tbl>
    <w:p>
      <w:pPr>
        <w:pStyle w:val="TextBody"/>
        <w:bidi w:val="0"/>
        <w:spacing w:before="0" w:after="0"/>
        <w:ind w:left="720" w:right="720" w:hanging="0"/>
        <w:jc w:val="left"/>
        <w:rPr>
          <w:caps w:val="false"/>
          <w:smallCaps w:val="false"/>
        </w:rPr>
      </w:pPr>
      <w:r>
        <w:rPr>
          <w:caps w:val="false"/>
          <w:smallCaps w:val="false"/>
        </w:rPr>
        <w:t> </w:t>
      </w:r>
    </w:p>
    <w:tbl>
      <w:tblPr>
        <w:tblW w:w="4158" w:type="dxa"/>
        <w:jc w:val="left"/>
        <w:tblInd w:w="72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near-term and long-term expenditures;</w:t>
            </w:r>
          </w:p>
        </w:tc>
      </w:tr>
    </w:tbl>
    <w:p>
      <w:pPr>
        <w:pStyle w:val="TextBody"/>
        <w:bidi w:val="0"/>
        <w:spacing w:before="0" w:after="0"/>
        <w:ind w:left="720" w:right="720" w:hanging="0"/>
        <w:jc w:val="left"/>
        <w:rPr>
          <w:caps w:val="false"/>
          <w:smallCaps w:val="false"/>
        </w:rPr>
      </w:pPr>
      <w:r>
        <w:rPr>
          <w:caps w:val="false"/>
          <w:smallCaps w:val="false"/>
        </w:rPr>
        <w:t> </w:t>
      </w:r>
    </w:p>
    <w:tbl>
      <w:tblPr>
        <w:tblW w:w="2883" w:type="dxa"/>
        <w:jc w:val="left"/>
        <w:tblInd w:w="72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exposure to unknown liabilities;</w:t>
            </w:r>
          </w:p>
        </w:tc>
      </w:tr>
    </w:tbl>
    <w:p>
      <w:pPr>
        <w:pStyle w:val="TextBody"/>
        <w:bidi w:val="0"/>
        <w:spacing w:before="0" w:after="0"/>
        <w:ind w:left="720" w:right="720" w:hanging="0"/>
        <w:jc w:val="left"/>
        <w:rPr>
          <w:caps w:val="false"/>
          <w:smallCaps w:val="false"/>
        </w:rPr>
      </w:pPr>
      <w:r>
        <w:rPr>
          <w:caps w:val="false"/>
          <w:smallCaps w:val="false"/>
        </w:rPr>
        <w:t> </w:t>
      </w:r>
    </w:p>
    <w:tbl>
      <w:tblPr>
        <w:tblW w:w="4578" w:type="dxa"/>
        <w:jc w:val="left"/>
        <w:tblInd w:w="72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higher than expected acquisition or integration costs;</w:t>
            </w:r>
          </w:p>
        </w:tc>
      </w:tr>
    </w:tbl>
    <w:p>
      <w:pPr>
        <w:pStyle w:val="TextBody"/>
        <w:bidi w:val="0"/>
        <w:spacing w:before="0" w:after="0"/>
        <w:ind w:left="720" w:right="720" w:hanging="0"/>
        <w:jc w:val="left"/>
        <w:rPr>
          <w:caps w:val="false"/>
          <w:smallCaps w:val="false"/>
        </w:rPr>
      </w:pPr>
      <w:r>
        <w:rPr>
          <w:caps w:val="false"/>
          <w:smallCaps w:val="false"/>
        </w:rPr>
        <w:t> </w:t>
      </w:r>
    </w:p>
    <w:tbl>
      <w:tblPr>
        <w:tblW w:w="8058" w:type="dxa"/>
        <w:jc w:val="left"/>
        <w:tblInd w:w="72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incurrence of substantial debt or dilutive issuances of equity securities to fund future operations;</w:t>
            </w:r>
          </w:p>
        </w:tc>
      </w:tr>
    </w:tbl>
    <w:p>
      <w:pPr>
        <w:pStyle w:val="TextBody"/>
        <w:bidi w:val="0"/>
        <w:spacing w:before="0" w:after="0"/>
        <w:ind w:left="720" w:right="720" w:hanging="0"/>
        <w:jc w:val="left"/>
        <w:rPr>
          <w:caps w:val="false"/>
          <w:smallCaps w:val="false"/>
        </w:rPr>
      </w:pPr>
      <w:r>
        <w:rPr>
          <w:caps w:val="false"/>
          <w:smallCaps w:val="false"/>
        </w:rPr>
        <w:t> </w:t>
      </w:r>
    </w:p>
    <w:tbl>
      <w:tblPr>
        <w:tblW w:w="6843" w:type="dxa"/>
        <w:jc w:val="left"/>
        <w:tblInd w:w="72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write-downs of assets or incurrence of non-recurring, impairment or other charges;</w:t>
            </w:r>
          </w:p>
        </w:tc>
      </w:tr>
    </w:tbl>
    <w:p>
      <w:pPr>
        <w:pStyle w:val="TextBody"/>
        <w:bidi w:val="0"/>
        <w:spacing w:before="0" w:after="0"/>
        <w:ind w:left="720" w:right="720" w:hanging="0"/>
        <w:jc w:val="left"/>
        <w:rPr>
          <w:caps w:val="false"/>
          <w:smallCaps w:val="false"/>
        </w:rPr>
      </w:pPr>
      <w:r>
        <w:rPr>
          <w:caps w:val="false"/>
          <w:smallCaps w:val="false"/>
        </w:rPr>
        <w:t> </w:t>
      </w:r>
    </w:p>
    <w:tbl>
      <w:tblPr>
        <w:tblW w:w="3273" w:type="dxa"/>
        <w:jc w:val="left"/>
        <w:tblInd w:w="72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amortization expenses; and</w:t>
            </w:r>
          </w:p>
        </w:tc>
      </w:tr>
    </w:tbl>
    <w:p>
      <w:pPr>
        <w:pStyle w:val="TextBody"/>
        <w:bidi w:val="0"/>
        <w:spacing w:before="0" w:after="0"/>
        <w:ind w:left="720" w:right="720" w:hanging="0"/>
        <w:jc w:val="left"/>
        <w:rPr>
          <w:caps w:val="false"/>
          <w:smallCaps w:val="false"/>
        </w:rPr>
      </w:pPr>
      <w:r>
        <w:rPr>
          <w:caps w:val="false"/>
          <w:smallCaps w:val="false"/>
        </w:rPr>
        <w:t> </w:t>
      </w:r>
    </w:p>
    <w:tbl>
      <w:tblPr>
        <w:tblW w:w="2703" w:type="dxa"/>
        <w:jc w:val="left"/>
        <w:tblInd w:w="72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possibility of future litigation.</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risks could have a material adverse effect on our business, financial condition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fully realize the expected cost savings and/or operating efficiencies from our restructuring activities and our ability to consummate a strategic transaction depends on our ability to retain our employees required to consummate such transaction.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we announced that we have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we have implemented a restructuring plan that included a workforce reduction of approximately 70%.</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changes were needed to streamline our organization and reallocate our resources to better align with our current strategic goals, including our current focus on pursuing strategic options. However, these expense reduction measures have and may continue to yield unintended consequences and costs, such as the loss of institutional knowledge and expertise, attrition beyond our intended reductions in workforce, and the risk that we may not achieve the anticipated benefits, all of which may have an adverse effect on our results of operations or financial condition.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a strategic transaction depends upon our ability to retain our employees required to consummate such a transaction, the loss of whose services may adversely impact the ability to consummate such transaction. In view of our ongoing strategic process, on September 24, 2026, our board of directors approved a partial reinstatement of our previously disclosed retention bonus program for Jay M. Short, Ph.D., our Chief Executive Officer, and Christian Vasquez, our Chief Financial Officer, which provides for cash payouts contingent upon the achievement of certain financial and capital raising milestones by December 31, 2026, with target retention bonus amounts of $440,892 for Dr. Short and $148,888 for Mr. Vasquez, representing 60% and 40% of their respective annual base salaries. Our board of directors also approved cash performance bonus opportunities for Dr. Short and Mr. Vasquez, with target amounts of $220,000 and $75,000, respectively, contingent upon the achievement of certain financial and capital raising milestones by March 31, 2027. Each of these bonuses requires the executive to be employed by us and in good standing on the applicable payout date. However, the milestones underlying our prior retention bonus program were not achieved, and there can be no assurance that these milestones will be achieved or that these arrangements will be sufficient to retain our key employees. There is no set timetable for the process we have initiated to explore strategic options and there can be no assurance that this process will result in the Company pursuing a transaction or that any transaction, if pursued, will be completed on attractive terms. If we are unable to complete a transaction, we may be required to seek a reorganization, liquidation or other restructuring. In addition, our cash conservation activities, as well as the announcement that we are seeking strategic options, may yield unintended consequences.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that we have previously entered into may be re-evaluated or restructured as part of the strategic process, and there can be no assurance that clinical development of our programs will not be limited or delayed as a result of the strategic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strategic process, transactions we have previously entered into may be re-evaluated or restructured. For example, the previously announced transaction with Inversagen AI, LLC is being re-evaluated and may not close, or if it does close, may close on materially different terms than originally contemplated. As a result, we may fail to realize the anticipated benefits of such transactions, which could adversely affect our research and development capabilities, competitive position and long-term business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can be no assurance that clinical development of our programs will not be limited or delayed as a result of the strategic process. We are actively re-evaluating the timing and scope of our clinical development programs, and clinical trial timelines have been adjusted, extended or paused pending the outcome of the strategic process. Any such limitation, delay or suspension of our clinical development activities could harm our ability to advance our product candidates, generate meaningful clinical data and achieve key development milestones on a timely basis, or at all.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need for additional capital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$59.6 million and $69.8 million for the years ended December 31, 2025 and 2024, respectively. For the six months ended June 30, 2026 and 2025, our net losses were $5.9 million and $34.0 million, respectively. As of June 30, 2026, we had an accumulated deficit of $551.5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Advancing the development of our product candidates will require a significant amount of capital. Our existing cash and cash equivalents are not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0" w:after="0"/>
        <w:ind w:left="720" w:right="720" w:hanging="0"/>
        <w:jc w:val="both"/>
        <w:rPr>
          <w:caps w:val="false"/>
          <w:smallCaps w:val="false"/>
        </w:rPr>
      </w:pPr>
      <w:r>
        <w:rPr>
          <w:caps w:val="false"/>
          <w:smallCaps w:val="false"/>
        </w:rPr>
        <w:t> </w:t>
      </w:r>
    </w:p>
    <w:tbl>
      <w:tblPr>
        <w:tblW w:w="6723" w:type="dxa"/>
        <w:jc w:val="left"/>
        <w:tblInd w:w="72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outcome of our recently initiated evaluation of strategic options;</w:t>
            </w:r>
          </w:p>
        </w:tc>
      </w:tr>
    </w:tbl>
    <w:p>
      <w:pPr>
        <w:pStyle w:val="TextBody"/>
        <w:bidi w:val="0"/>
        <w:spacing w:before="0" w:after="0"/>
        <w:ind w:left="720" w:right="720" w:hanging="0"/>
        <w:jc w:val="left"/>
        <w:rPr>
          <w:caps w:val="false"/>
          <w:smallCaps w:val="false"/>
        </w:rPr>
      </w:pPr>
      <w:r>
        <w:rPr>
          <w:caps w:val="false"/>
          <w:smallCaps w:val="false"/>
        </w:rPr>
        <w:t> </w:t>
      </w:r>
    </w:p>
    <w:tbl>
      <w:tblPr>
        <w:tblW w:w="5628" w:type="dxa"/>
        <w:jc w:val="left"/>
        <w:tblInd w:w="72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progress of our ongoing and planned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6648" w:type="dxa"/>
        <w:jc w:val="left"/>
        <w:tblInd w:w="72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scope of preclinical and clinical programs we decide to pursue;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progress of our collaborators with whom we have entered, or may in the future enter, into collaboration agreements and research and development agreements;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our current licenses, collaboration and research and development programs or possibly establish new collaboration arrangements;</w:t>
            </w:r>
          </w:p>
        </w:tc>
      </w:tr>
    </w:tbl>
    <w:p>
      <w:pPr>
        <w:pStyle w:val="TextBody"/>
        <w:bidi w:val="0"/>
        <w:spacing w:before="0" w:after="0"/>
        <w:ind w:left="720" w:right="720" w:hanging="0"/>
        <w:jc w:val="left"/>
        <w:rPr>
          <w:caps w:val="false"/>
          <w:smallCaps w:val="false"/>
        </w:rPr>
      </w:pPr>
      <w:r>
        <w:rPr>
          <w:caps w:val="false"/>
          <w:smallCaps w:val="false"/>
        </w:rPr>
        <w:t> </w:t>
      </w:r>
    </w:p>
    <w:tbl>
      <w:tblPr>
        <w:tblW w:w="7818" w:type="dxa"/>
        <w:jc w:val="left"/>
        <w:tblInd w:w="72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involved in prosecuting and enforcing patent and other intellectual property claims;</w:t>
            </w:r>
          </w:p>
        </w:tc>
      </w:tr>
    </w:tbl>
    <w:p>
      <w:pPr>
        <w:pStyle w:val="TextBody"/>
        <w:bidi w:val="0"/>
        <w:spacing w:before="0" w:after="0"/>
        <w:ind w:left="720" w:right="720" w:hanging="0"/>
        <w:jc w:val="left"/>
        <w:rPr>
          <w:caps w:val="false"/>
          <w:smallCaps w:val="false"/>
        </w:rPr>
      </w:pPr>
      <w:r>
        <w:rPr>
          <w:caps w:val="false"/>
          <w:smallCaps w:val="false"/>
        </w:rPr>
        <w:t> </w:t>
      </w:r>
    </w:p>
    <w:tbl>
      <w:tblPr>
        <w:tblW w:w="4143" w:type="dxa"/>
        <w:jc w:val="left"/>
        <w:tblInd w:w="72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regulatory approvals;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efforts to enhance operational systems and attract and retain personnel, including personnel to support development of our product candidates and satisfy our obligations as a public company.</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obtain funding on a timely basis, including under our current or future collaborations, or on acceptable terms, we may have to wind down the company, delay, reduce or terminate further development of our CAB technology platform and CAB product candidates,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exploring and evaluating strategic options to maximize shareholder value, including the sale of preclinical and clinical assets, licensing transactions, strategic partnerships or other corporate transactions. We may be forced to wind-down our operations if we are unable to consummate a strategic transaction and/or obtain sufficient funding.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approximately $1.5 million in cash and cash equivalents. 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finance our future cash needs through equity or debt financings, strategic collaborations transactions, or a combination of these approaches.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wind down the company,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or dissolution could be significantly lower than the values reflected in our condensed consolidated financial statements.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invest a portion of our cash in a money market fund, which is vulnerable to market-specific risks that could adversely affect our business and financial condition.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discovery, development and commercialization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on the market and our product candidates are in various stages of development. We have completed clinical trials of mecbotamab vedotin, ozuriftamab vedotin, and evalstotug, and are continuing patient treatment and follow-up in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our clinical trials resulting from external factors including global conflicts and health epidemics;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or inconclusive results from preclinical testing or clinical trials leading to a decision or requirement to conduct additional preclinical testing or clinical trials or abandon a program;</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unforeseen safety issues, including occurrence of treatment emergent adverse events (“TEAEs”) associated with the product candidate that are viewed to outweigh the product candidate’s potential benefits or to expose participants in clinical trials to an unreasonable and significant risk of illness or injury at an effective dose;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side effects experienced by participants in clinical trials or by individuals using therapeutic biologics that share characteristics with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submitting INDs or comparable foreign applications or delays or failure in obtaining the necessary approvals from regulators or institutional review boards (“IRBs”), to commence a clinical trial, or a suspension or termination of a clinical trial, including a clinical hold issued by a regulator, once commenced;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imposed by the FDA or comparable foreign authorities, including the EMA, regarding the scope or design of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3843" w:type="dxa"/>
        <w:jc w:val="left"/>
        <w:tblInd w:w="72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enrolling patients in clinical trials;</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720" w:right="720" w:hanging="0"/>
        <w:jc w:val="left"/>
        <w:rPr/>
      </w:pPr>
      <w:r>
        <w:rPr/>
        <w:t> </w:t>
      </w:r>
    </w:p>
    <w:tbl>
      <w:tblPr>
        <w:tblW w:w="2748" w:type="dxa"/>
        <w:jc w:val="left"/>
        <w:tblInd w:w="72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drop-out rates of patients;</w:t>
            </w:r>
          </w:p>
        </w:tc>
      </w:tr>
    </w:tbl>
    <w:p>
      <w:pPr>
        <w:pStyle w:val="TextBody"/>
        <w:bidi w:val="0"/>
        <w:spacing w:before="0" w:after="0"/>
        <w:ind w:left="720" w:right="720" w:hanging="0"/>
        <w:jc w:val="left"/>
        <w:rPr>
          <w:caps w:val="false"/>
          <w:smallCaps w:val="false"/>
        </w:rPr>
      </w:pPr>
      <w:r>
        <w:rPr>
          <w:caps w:val="false"/>
          <w:smallCaps w:val="false"/>
        </w:rPr>
        <w:t> </w:t>
      </w:r>
    </w:p>
    <w:tbl>
      <w:tblPr>
        <w:tblW w:w="7533" w:type="dxa"/>
        <w:jc w:val="left"/>
        <w:tblInd w:w="72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inadequate drug materials or other supplies necessary for the conduct of our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alternative sources of supply for which we have a single source for product candidate components or materials, if necessary;</w:t>
            </w:r>
          </w:p>
        </w:tc>
      </w:tr>
    </w:tbl>
    <w:p>
      <w:pPr>
        <w:pStyle w:val="TextBody"/>
        <w:bidi w:val="0"/>
        <w:spacing w:before="0" w:after="0"/>
        <w:ind w:left="720" w:right="720" w:hanging="0"/>
        <w:jc w:val="left"/>
        <w:rPr>
          <w:caps w:val="false"/>
          <w:smallCaps w:val="false"/>
        </w:rPr>
      </w:pPr>
      <w:r>
        <w:rPr>
          <w:caps w:val="false"/>
          <w:smallCaps w:val="false"/>
        </w:rPr>
        <w:t> </w:t>
      </w:r>
    </w:p>
    <w:tbl>
      <w:tblPr>
        <w:tblW w:w="3708" w:type="dxa"/>
        <w:jc w:val="left"/>
        <w:tblInd w:w="72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than anticipated clinical trial costs;</w:t>
            </w:r>
          </w:p>
        </w:tc>
      </w:tr>
    </w:tbl>
    <w:p>
      <w:pPr>
        <w:pStyle w:val="TextBody"/>
        <w:bidi w:val="0"/>
        <w:spacing w:before="0" w:after="0"/>
        <w:ind w:left="720" w:right="720" w:hanging="0"/>
        <w:jc w:val="left"/>
        <w:rPr>
          <w:caps w:val="false"/>
          <w:smallCaps w:val="false"/>
        </w:rPr>
      </w:pPr>
      <w:r>
        <w:rPr>
          <w:caps w:val="false"/>
          <w:smallCaps w:val="false"/>
        </w:rPr>
        <w:t> </w:t>
      </w:r>
    </w:p>
    <w:tbl>
      <w:tblPr>
        <w:tblW w:w="5583" w:type="dxa"/>
        <w:jc w:val="left"/>
        <w:tblInd w:w="72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poor effectiveness of our product candidates during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7593" w:type="dxa"/>
        <w:jc w:val="left"/>
        <w:tblInd w:w="72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unfavorable FDA or other regulatory authority inspection and review of a clinical trial site;</w:t>
            </w:r>
          </w:p>
        </w:tc>
      </w:tr>
    </w:tbl>
    <w:p>
      <w:pPr>
        <w:pStyle w:val="TextBody"/>
        <w:bidi w:val="0"/>
        <w:spacing w:before="0" w:after="0"/>
        <w:ind w:left="720" w:right="720" w:hanging="0"/>
        <w:jc w:val="left"/>
        <w:rPr>
          <w:caps w:val="false"/>
          <w:smallCaps w:val="false"/>
        </w:rPr>
      </w:pPr>
      <w:r>
        <w:rPr>
          <w:caps w:val="false"/>
          <w:smallCaps w:val="false"/>
        </w:rPr>
        <w:t> </w:t>
      </w:r>
    </w:p>
    <w:tbl>
      <w:tblPr>
        <w:tblW w:w="6963" w:type="dxa"/>
        <w:jc w:val="left"/>
        <w:tblInd w:w="720" w:type="dxa"/>
        <w:tblLayout w:type="fixed"/>
        <w:tblCellMar>
          <w:top w:w="0" w:type="dxa"/>
          <w:left w:w="0" w:type="dxa"/>
          <w:bottom w:w="0" w:type="dxa"/>
          <w:right w:w="0" w:type="dxa"/>
        </w:tblCellMar>
      </w:tblPr>
      <w:tblGrid>
        <w:gridCol w:w="38"/>
        <w:gridCol w:w="17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deficiencies in our third-party manufacturers’ manufacturing processes or facilities;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any third-party contractors, investigators or contract research organizations (“CROs”), to comply with regulatory requirements or otherwise meet their contractual obligations in a timely manner, or at all;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and changes in regulatory requirements, policy and guidelines, including the imposition of additional regulatory oversight around clinical testing generally or with respect to our technology or product candidates in particular; or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varying interpretations of data by the FDA and comparable foreign regulatory authorities, including the EMA.</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 the clinical trial results to the U.S. population.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EMA or comparable foreign regulatory authorities. To the extent the results of these or other investigator-initiated trials are inconsistent with, or different from, the results of our ongoing or planned company-sponsored trials or raise concerns regarding our product candidates, the FDA or a comparable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support regulatory approval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patented CAB technology platform, and our future success depends heavily on the successful development of this platform.</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CAB technology platform to develop product candidates for cancer.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use and expand our patented CAB technology platform to continue to build a pipeline of product candidates and develop marketable products.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resources to pursue particular product candidates and fail to capitalize on product candidates that may be more profitable or for which there is a greater likelihood of success.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opportunities for any product that we develop are smaller than we believe they are, our revenue may be adversely affected and our business may suffer.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our product candidate development on therapeutic CAB antibodies for the treatment of various oncology indications, such as sarcoma, NSCLC, melanoma, colorectal carcinoma,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spacing w:before="0" w:after="0"/>
        <w:ind w:left="720" w:right="720" w:hanging="0"/>
        <w:jc w:val="both"/>
        <w:rPr>
          <w:caps w:val="false"/>
          <w:smallCaps w:val="false"/>
        </w:rPr>
      </w:pPr>
      <w:r>
        <w:rPr>
          <w:caps w:val="false"/>
          <w:smallCaps w:val="false"/>
        </w:rPr>
        <w:t> </w:t>
      </w:r>
    </w:p>
    <w:tbl>
      <w:tblPr>
        <w:tblW w:w="6438" w:type="dxa"/>
        <w:jc w:val="left"/>
        <w:tblInd w:w="72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of our receipt of any marketing and commercialization approvals;</w:t>
            </w:r>
          </w:p>
        </w:tc>
      </w:tr>
    </w:tbl>
    <w:p>
      <w:pPr>
        <w:pStyle w:val="TextBody"/>
        <w:bidi w:val="0"/>
        <w:spacing w:before="0" w:after="0"/>
        <w:ind w:left="720" w:right="720" w:hanging="0"/>
        <w:jc w:val="left"/>
        <w:rPr>
          <w:caps w:val="false"/>
          <w:smallCaps w:val="false"/>
        </w:rPr>
      </w:pPr>
      <w:r>
        <w:rPr>
          <w:caps w:val="false"/>
          <w:smallCaps w:val="false"/>
        </w:rPr>
        <w:t> </w:t>
      </w:r>
    </w:p>
    <w:tbl>
      <w:tblPr>
        <w:tblW w:w="6513" w:type="dxa"/>
        <w:jc w:val="left"/>
        <w:tblInd w:w="72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approvals and the countries in which approvals are obtained;</w:t>
            </w:r>
          </w:p>
        </w:tc>
      </w:tr>
    </w:tbl>
    <w:p>
      <w:pPr>
        <w:pStyle w:val="TextBody"/>
        <w:bidi w:val="0"/>
        <w:spacing w:before="0" w:after="0"/>
        <w:ind w:left="720" w:right="720" w:hanging="0"/>
        <w:jc w:val="left"/>
        <w:rPr>
          <w:caps w:val="false"/>
          <w:smallCaps w:val="false"/>
        </w:rPr>
      </w:pPr>
      <w:r>
        <w:rPr>
          <w:caps w:val="false"/>
          <w:smallCaps w:val="false"/>
        </w:rPr>
        <w:t> </w:t>
      </w:r>
    </w:p>
    <w:tbl>
      <w:tblPr>
        <w:tblW w:w="4233" w:type="dxa"/>
        <w:jc w:val="left"/>
        <w:tblInd w:w="72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safety and efficacy of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7878" w:type="dxa"/>
        <w:jc w:val="left"/>
        <w:tblInd w:w="72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prevalence and severity of any adverse side effects associated with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or warnings contained in any labeling approved by the FDA, EMA or comparable foreign regulatory authorities;</w:t>
            </w:r>
          </w:p>
        </w:tc>
      </w:tr>
    </w:tbl>
    <w:p>
      <w:pPr>
        <w:pStyle w:val="TextBody"/>
        <w:bidi w:val="0"/>
        <w:spacing w:before="0" w:after="0"/>
        <w:ind w:left="720" w:right="720" w:hanging="0"/>
        <w:jc w:val="left"/>
        <w:rPr>
          <w:caps w:val="false"/>
          <w:smallCaps w:val="false"/>
        </w:rPr>
      </w:pPr>
      <w:r>
        <w:rPr>
          <w:caps w:val="false"/>
          <w:smallCaps w:val="false"/>
        </w:rPr>
        <w:t> </w:t>
      </w:r>
    </w:p>
    <w:tbl>
      <w:tblPr>
        <w:tblW w:w="8703" w:type="dxa"/>
        <w:jc w:val="left"/>
        <w:tblInd w:w="72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willingness of patients to obtain new biopsies or consent to provide existing tumor tissue specimens;</w:t>
            </w:r>
          </w:p>
        </w:tc>
      </w:tr>
    </w:tbl>
    <w:p>
      <w:pPr>
        <w:pStyle w:val="TextBody"/>
        <w:bidi w:val="0"/>
        <w:spacing w:before="0" w:after="0"/>
        <w:ind w:left="720" w:right="720" w:hanging="0"/>
        <w:jc w:val="left"/>
        <w:rPr>
          <w:caps w:val="false"/>
          <w:smallCaps w:val="false"/>
        </w:rPr>
      </w:pPr>
      <w:r>
        <w:rPr>
          <w:caps w:val="false"/>
          <w:smallCaps w:val="false"/>
        </w:rPr>
        <w:t> </w:t>
      </w:r>
    </w:p>
    <w:tbl>
      <w:tblPr>
        <w:tblW w:w="6288" w:type="dxa"/>
        <w:jc w:val="left"/>
        <w:tblInd w:w="72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relative convenience and ease of administration of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6108" w:type="dxa"/>
        <w:jc w:val="left"/>
        <w:tblInd w:w="72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willingness of patients to accept any new methods of administration;</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720" w:right="720" w:hanging="0"/>
        <w:jc w:val="left"/>
        <w:rPr/>
      </w:pPr>
      <w:r>
        <w:rPr/>
        <w:t> </w:t>
      </w:r>
    </w:p>
    <w:tbl>
      <w:tblPr>
        <w:tblW w:w="4248" w:type="dxa"/>
        <w:jc w:val="left"/>
        <w:tblInd w:w="72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any physician education programs;</w:t>
            </w:r>
          </w:p>
        </w:tc>
      </w:tr>
    </w:tbl>
    <w:p>
      <w:pPr>
        <w:pStyle w:val="TextBody"/>
        <w:bidi w:val="0"/>
        <w:spacing w:before="0" w:after="0"/>
        <w:ind w:left="720" w:right="720" w:hanging="0"/>
        <w:jc w:val="left"/>
        <w:rPr>
          <w:caps w:val="false"/>
          <w:smallCaps w:val="false"/>
        </w:rPr>
      </w:pPr>
      <w:r>
        <w:rPr>
          <w:caps w:val="false"/>
          <w:smallCaps w:val="false"/>
        </w:rPr>
        <w:t> </w:t>
      </w:r>
    </w:p>
    <w:tbl>
      <w:tblPr>
        <w:tblW w:w="6573" w:type="dxa"/>
        <w:jc w:val="left"/>
        <w:tblInd w:w="72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adequate government and third-party payor reimbursement;</w:t>
            </w:r>
          </w:p>
        </w:tc>
      </w:tr>
    </w:tbl>
    <w:p>
      <w:pPr>
        <w:pStyle w:val="TextBody"/>
        <w:bidi w:val="0"/>
        <w:spacing w:before="0" w:after="0"/>
        <w:ind w:left="720" w:right="720" w:hanging="0"/>
        <w:jc w:val="left"/>
        <w:rPr>
          <w:caps w:val="false"/>
          <w:smallCaps w:val="false"/>
        </w:rPr>
      </w:pPr>
      <w:r>
        <w:rPr>
          <w:caps w:val="false"/>
          <w:smallCaps w:val="false"/>
        </w:rPr>
        <w:t> </w:t>
      </w:r>
    </w:p>
    <w:tbl>
      <w:tblPr>
        <w:tblW w:w="6903" w:type="dxa"/>
        <w:jc w:val="left"/>
        <w:tblInd w:w="72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pricing of our products, particularly as compared to alternative treatments;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of alternative effective treatments for the disease indications our product candidates are intended to treat and the relative risks, benefits and costs of those treatments.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product candidate we commercialize fails to achieve market acceptance, it could have a material and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in the commencement and completion of clinical trials could increase costs and delay or prevent regulatory approval and commercialization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0" w:after="0"/>
        <w:ind w:left="720" w:right="720" w:hanging="0"/>
        <w:jc w:val="both"/>
        <w:rPr>
          <w:caps w:val="false"/>
          <w:smallCaps w:val="false"/>
        </w:rPr>
      </w:pPr>
      <w:r>
        <w:rPr>
          <w:caps w:val="false"/>
          <w:smallCaps w:val="false"/>
        </w:rPr>
        <w:t> </w:t>
      </w:r>
    </w:p>
    <w:tbl>
      <w:tblPr>
        <w:tblW w:w="2313" w:type="dxa"/>
        <w:jc w:val="left"/>
        <w:tblInd w:w="72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preclinical data;</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receiving the required regulatory clearance from the appropriate regulatory authorities to commence clinical trials or amend clinical trial protocols, including any objections to our INDs or protocol amendments from the FDA;</w:t>
            </w:r>
          </w:p>
        </w:tc>
      </w:tr>
    </w:tbl>
    <w:p>
      <w:pPr>
        <w:pStyle w:val="TextBody"/>
        <w:bidi w:val="0"/>
        <w:spacing w:before="0" w:after="0"/>
        <w:ind w:left="720" w:right="720" w:hanging="0"/>
        <w:jc w:val="left"/>
        <w:rPr>
          <w:caps w:val="false"/>
          <w:smallCaps w:val="false"/>
        </w:rPr>
      </w:pPr>
      <w:r>
        <w:rPr>
          <w:caps w:val="false"/>
          <w:smallCaps w:val="false"/>
        </w:rPr>
        <w:t> </w:t>
      </w:r>
    </w:p>
    <w:tbl>
      <w:tblPr>
        <w:tblW w:w="8028" w:type="dxa"/>
        <w:jc w:val="left"/>
        <w:tblInd w:w="72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reaching, or a failure to reach, a consensus with regulatory authorities on study design;</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reaching, or failure to reach, agreement on acceptable terms with prospective CROs and clinical trial sites, the terms of which can be subject to extensive negotiation and may vary significantly among different CROs and trial sites;</w:t>
            </w:r>
          </w:p>
        </w:tc>
      </w:tr>
    </w:tbl>
    <w:p>
      <w:pPr>
        <w:pStyle w:val="TextBody"/>
        <w:bidi w:val="0"/>
        <w:spacing w:before="0" w:after="0"/>
        <w:ind w:left="720" w:right="720" w:hanging="0"/>
        <w:jc w:val="left"/>
        <w:rPr>
          <w:caps w:val="false"/>
          <w:smallCaps w:val="false"/>
        </w:rPr>
      </w:pPr>
      <w:r>
        <w:rPr>
          <w:caps w:val="false"/>
          <w:smallCaps w:val="false"/>
        </w:rPr>
        <w:t> </w:t>
      </w:r>
    </w:p>
    <w:tbl>
      <w:tblPr>
        <w:tblW w:w="4323" w:type="dxa"/>
        <w:jc w:val="left"/>
        <w:tblInd w:w="72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obtaining IRB approval at each site;</w:t>
            </w:r>
          </w:p>
        </w:tc>
      </w:tr>
    </w:tbl>
    <w:p>
      <w:pPr>
        <w:pStyle w:val="TextBody"/>
        <w:bidi w:val="0"/>
        <w:spacing w:before="0" w:after="0"/>
        <w:ind w:left="720" w:right="720" w:hanging="0"/>
        <w:jc w:val="left"/>
        <w:rPr>
          <w:caps w:val="false"/>
          <w:smallCaps w:val="false"/>
        </w:rPr>
      </w:pPr>
      <w:r>
        <w:rPr>
          <w:caps w:val="false"/>
          <w:smallCaps w:val="false"/>
        </w:rPr>
        <w:t> </w:t>
      </w:r>
    </w:p>
    <w:tbl>
      <w:tblPr>
        <w:tblW w:w="5448" w:type="dxa"/>
        <w:jc w:val="left"/>
        <w:tblInd w:w="72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in recruiting suitable patients to participate in a trial;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inability to enroll a sufficient number of patients in clinical trials to ensure adequate statistical power to detect statistically significant treatment effects;</w:t>
            </w:r>
          </w:p>
        </w:tc>
      </w:tr>
    </w:tbl>
    <w:p>
      <w:pPr>
        <w:pStyle w:val="TextBody"/>
        <w:bidi w:val="0"/>
        <w:spacing w:before="0" w:after="0"/>
        <w:ind w:left="720" w:right="720" w:hanging="0"/>
        <w:jc w:val="left"/>
        <w:rPr>
          <w:caps w:val="false"/>
          <w:smallCaps w:val="false"/>
        </w:rPr>
      </w:pPr>
      <w:r>
        <w:rPr>
          <w:caps w:val="false"/>
          <w:smallCaps w:val="false"/>
        </w:rPr>
        <w:t> </w:t>
      </w:r>
    </w:p>
    <w:tbl>
      <w:tblPr>
        <w:tblW w:w="7068" w:type="dxa"/>
        <w:jc w:val="left"/>
        <w:tblInd w:w="72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having patients complete a trial or return for post-treatment follow-up;</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CROs or clinical trial sites failing to comply with regulatory requirements or meet their contractual obligations to us in a timely manner, or at all, deviating from the protocol or dropping out of a clinical trial;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unforeseen safety issues, including occurrence of TEAEs associated with the product candidate that are viewed to outweigh the product candidate’s potential benefits or to expose participants in clinical trials to an unreasonable and significant risk of illness or injury;</w:t>
            </w:r>
          </w:p>
        </w:tc>
      </w:tr>
    </w:tbl>
    <w:p>
      <w:pPr>
        <w:pStyle w:val="TextBody"/>
        <w:bidi w:val="0"/>
        <w:spacing w:before="0" w:after="0"/>
        <w:ind w:left="720" w:right="720" w:hanging="0"/>
        <w:jc w:val="left"/>
        <w:rPr>
          <w:caps w:val="false"/>
          <w:smallCaps w:val="false"/>
        </w:rPr>
      </w:pPr>
      <w:r>
        <w:rPr>
          <w:caps w:val="false"/>
          <w:smallCaps w:val="false"/>
        </w:rPr>
        <w:t> </w:t>
      </w:r>
    </w:p>
    <w:tbl>
      <w:tblPr>
        <w:tblW w:w="3828" w:type="dxa"/>
        <w:jc w:val="left"/>
        <w:tblInd w:w="72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adding new clinical trial sites;</w:t>
            </w:r>
          </w:p>
        </w:tc>
      </w:tr>
    </w:tbl>
    <w:p>
      <w:pPr>
        <w:pStyle w:val="TextBody"/>
        <w:bidi w:val="0"/>
        <w:spacing w:before="0" w:after="0"/>
        <w:ind w:left="720" w:right="720" w:hanging="0"/>
        <w:jc w:val="left"/>
        <w:rPr>
          <w:caps w:val="false"/>
          <w:smallCaps w:val="false"/>
        </w:rPr>
      </w:pPr>
      <w:r>
        <w:rPr>
          <w:caps w:val="false"/>
          <w:smallCaps w:val="false"/>
        </w:rPr>
        <w:t> </w:t>
      </w:r>
    </w:p>
    <w:tbl>
      <w:tblPr>
        <w:tblW w:w="3363" w:type="dxa"/>
        <w:jc w:val="left"/>
        <w:tblInd w:w="72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ambiguous or negative interim results;</w:t>
            </w:r>
          </w:p>
        </w:tc>
      </w:tr>
    </w:tbl>
    <w:p>
      <w:pPr>
        <w:pStyle w:val="TextBody"/>
        <w:bidi w:val="0"/>
        <w:spacing w:before="0" w:after="0"/>
        <w:ind w:left="720" w:right="720" w:hanging="0"/>
        <w:jc w:val="left"/>
        <w:rPr>
          <w:caps w:val="false"/>
          <w:smallCaps w:val="false"/>
        </w:rPr>
      </w:pPr>
      <w:r>
        <w:rPr>
          <w:caps w:val="false"/>
          <w:smallCaps w:val="false"/>
        </w:rPr>
        <w:t> </w:t>
      </w:r>
    </w:p>
    <w:tbl>
      <w:tblPr>
        <w:tblW w:w="4638" w:type="dxa"/>
        <w:jc w:val="left"/>
        <w:tblInd w:w="72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adequate funding to continue the clinical trial;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in manufacturing sufficient quantities of product candidate acceptable for use in clinical trials in a timely manner, or at all; or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epidemics and outbreaks, which in the past has resulted in, and in the future may result in, delays to patient enrollment, patients discontinuing their treatment or follow up visits or changes to trial protocols.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encounter delays if a clinical trial is suspended or terminated by us, by the IRBs of the institutions in which such trials are being conducted, by a Data Safety Monitoring Board (“DSMB”), for such trial or by the FDA or comparable foreign regulatory authorities. Such authorities may impose such a suspension or termination, including by the imposition of a clinical hold, due to several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Enrollment and retention of patients in clinical trials is an expensive and time-consuming process and could be made more difficult or rendered impossible by multiple factors outside our control.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In our clinical trial of BA3182, we have observed adverse events, such as cytokine release syndrome, diarrhea, and transient elevations in liver enzymes and bilirubin, and colitis, including a grade 2 colitis where the patient subsequently withdrew from the study and transferred into hospice and ultimately died, with the death being attributed to colitis. We may also observe undesirable side effects in clinical trials for our other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EMA or comparable foreign regulatory authorities delaying, suspending or terminating one or more of our clinical trials and which could jeopardize regulatory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evalstotug, and BA3182 have demonstrated manageable tolerability profiles when delivered at optimized doses thus far, we cannot assure</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that these and our other product candidates will not cause more severe side effects in a greater proportion of patients or when delivered at higher doses.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may suspend, limit or withdraw their approval of such product, or seek an injunction against its manufacture or distribution;</w:t>
            </w:r>
          </w:p>
        </w:tc>
      </w:tr>
    </w:tbl>
    <w:p>
      <w:pPr>
        <w:pStyle w:val="TextBody"/>
        <w:bidi w:val="0"/>
        <w:spacing w:before="0" w:after="0"/>
        <w:ind w:left="720" w:right="720" w:hanging="0"/>
        <w:jc w:val="left"/>
        <w:rPr>
          <w:caps w:val="false"/>
          <w:smallCaps w:val="false"/>
        </w:rPr>
      </w:pPr>
      <w:r>
        <w:rPr>
          <w:caps w:val="false"/>
          <w:smallCaps w:val="false"/>
        </w:rPr>
        <w:t> </w:t>
      </w:r>
    </w:p>
    <w:tbl>
      <w:tblPr>
        <w:tblW w:w="6783" w:type="dxa"/>
        <w:jc w:val="left"/>
        <w:tblInd w:w="72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conduct additional clinical trials or post-approval studies;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requested or required to recall a product or change the way such product is administered to patients;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restrictions may be imposed on the marketing of the particular product or the manufacturing processes for the product or any component thereof;</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tc>
      </w:tr>
    </w:tbl>
    <w:p>
      <w:pPr>
        <w:pStyle w:val="TextBody"/>
        <w:bidi w:val="0"/>
        <w:spacing w:before="0" w:after="0"/>
        <w:ind w:left="720" w:right="720" w:hanging="0"/>
        <w:jc w:val="left"/>
        <w:rPr>
          <w:caps w:val="false"/>
          <w:smallCaps w:val="false"/>
        </w:rPr>
      </w:pPr>
      <w:r>
        <w:rPr>
          <w:caps w:val="false"/>
          <w:smallCaps w:val="false"/>
        </w:rPr>
        <w:t> </w:t>
      </w:r>
    </w:p>
    <w:tbl>
      <w:tblPr>
        <w:tblW w:w="5178" w:type="dxa"/>
        <w:jc w:val="left"/>
        <w:tblInd w:w="72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could be sued and held liable for harm caused to patients;</w:t>
            </w:r>
          </w:p>
        </w:tc>
      </w:tr>
    </w:tbl>
    <w:p>
      <w:pPr>
        <w:pStyle w:val="TextBody"/>
        <w:bidi w:val="0"/>
        <w:spacing w:before="0" w:after="0"/>
        <w:ind w:left="720" w:right="720" w:hanging="0"/>
        <w:jc w:val="left"/>
        <w:rPr>
          <w:caps w:val="false"/>
          <w:smallCaps w:val="false"/>
        </w:rPr>
      </w:pPr>
      <w:r>
        <w:rPr>
          <w:caps w:val="false"/>
          <w:smallCaps w:val="false"/>
        </w:rPr>
        <w:t> </w:t>
      </w:r>
    </w:p>
    <w:tbl>
      <w:tblPr>
        <w:tblW w:w="7233" w:type="dxa"/>
        <w:jc w:val="left"/>
        <w:tblInd w:w="72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fines, injunctions or the imposition of civil or criminal penalties;</w:t>
            </w:r>
          </w:p>
        </w:tc>
      </w:tr>
    </w:tbl>
    <w:p>
      <w:pPr>
        <w:pStyle w:val="TextBody"/>
        <w:bidi w:val="0"/>
        <w:spacing w:before="0" w:after="0"/>
        <w:ind w:left="720" w:right="720" w:hanging="0"/>
        <w:jc w:val="left"/>
        <w:rPr>
          <w:caps w:val="false"/>
          <w:smallCaps w:val="false"/>
        </w:rPr>
      </w:pPr>
      <w:r>
        <w:rPr>
          <w:caps w:val="false"/>
          <w:smallCaps w:val="false"/>
        </w:rPr>
        <w:t> </w:t>
      </w:r>
    </w:p>
    <w:tbl>
      <w:tblPr>
        <w:tblW w:w="4008" w:type="dxa"/>
        <w:jc w:val="left"/>
        <w:tblInd w:w="72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product may become less competitive; and</w:t>
            </w:r>
          </w:p>
        </w:tc>
      </w:tr>
    </w:tbl>
    <w:p>
      <w:pPr>
        <w:pStyle w:val="TextBody"/>
        <w:bidi w:val="0"/>
        <w:spacing w:before="0" w:after="0"/>
        <w:ind w:left="720" w:right="720" w:hanging="0"/>
        <w:jc w:val="left"/>
        <w:rPr>
          <w:caps w:val="false"/>
          <w:smallCaps w:val="false"/>
        </w:rPr>
      </w:pPr>
      <w:r>
        <w:rPr>
          <w:caps w:val="false"/>
          <w:smallCaps w:val="false"/>
        </w:rPr>
        <w:t> </w:t>
      </w:r>
    </w:p>
    <w:tbl>
      <w:tblPr>
        <w:tblW w:w="2328" w:type="dxa"/>
        <w:jc w:val="left"/>
        <w:tblInd w:w="72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reputation may suffer.</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use of a companion diagnostic test is determined to be essential for the safe and effective use of any of our product candidates, such as mecbotamab vedotin and ozuriftamab vedotin, then the FDA generally will require approval, authorization,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a PMA is time-consuming and costly and a delay in diagnostic approval could delay drug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CDRH announced that it intended to reclassify most high-risk in vitro 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 While the 510(k) and de novo submission processes are less burdensome than the PMA process, there is no guarantee that the diagnostics test that would be used with our product candidates will be reclassified or that they would obtain marketing authorization through either process more quickly than through the PMA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authorized,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perceived to be safer and more effective than competing products. Our commercial opportunity and success will be reduced or eliminated if competing products are perceived to be safer, more effective or less expensive than the therapeutics we develop.</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opportunity could be substantially limited in the event that our competitors develop and commercialize products that are perceived to be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biologic product candidates for which we intend to seek approval may face competition through an abbreviated pathway.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of 2009 (the “BPCIA”), enacted as part of the Affordable Care Act (the “ACA”),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any product candidates we may develop that are approved by FDA as a biological product under a BLA would not qualify for the 12-year period of exclusivity or that this exclusivity could be shortened due to congressional action or otherwise, potentially creating the opportunity for generic competition sooner than anticipated.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approval, other legal compliance matters and taxation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obtain U.S. or foreign regulatory approval and, as a result, unable to commercialize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completed any large-scale or pivotal clinical trials nor managed the regulatory approval process with the FDA or any other comparable foreign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and other policy changes as they relate to our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product candidates could fail to receive regulatory approval for many reasons including the following:</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FDA or comparable foreign regulatory authorities may disagree with the design or implementation of our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demonstrate to the satisfaction of the FDA or comparable foreign regulatory authorities that a product candidate is safe, pure and potent for its proposed indication;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results of clinical trials may fail to achieve the level of statistical significance required by the FDA or comparable foreign regulatory authorities for approval;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demonstrate that a product candidate’s clinical and other benefits outweigh its safety risks;</w:t>
            </w:r>
          </w:p>
        </w:tc>
      </w:tr>
    </w:tbl>
    <w:p>
      <w:pPr>
        <w:pStyle w:val="TextBody"/>
        <w:bidi w:val="0"/>
        <w:spacing w:before="0" w:after="0"/>
        <w:ind w:left="720" w:right="720" w:hanging="0"/>
        <w:jc w:val="left"/>
        <w:rPr>
          <w:caps w:val="false"/>
          <w:smallCaps w:val="false"/>
        </w:rPr>
      </w:pPr>
      <w:r>
        <w:rPr>
          <w:caps w:val="false"/>
          <w:smallCaps w:val="false"/>
        </w:rPr>
        <w:t> </w:t>
      </w:r>
    </w:p>
    <w:tbl>
      <w:tblPr>
        <w:tblW w:w="7788" w:type="dxa"/>
        <w:jc w:val="left"/>
        <w:tblInd w:w="72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demonstrate that the dose for the product candidate has been optimized;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demonstrate a sufficient response rate or duration of response for a product candidate;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FDA or comparable foreign regulatory authorities may disagree with our interpretation of data submitted in support of regulatory approval;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data collected from preclinical studies and clinical trials of our product candidates may not be sufficient to support the submission of a BLA or other regulatory submission necessary to obtain regulatory approval in the United States or elsewhere;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 From time to</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during the development and regulatory approval process for our therapeutic candidates, we engage in discussions with the FDA and other regulatory authorities regarding our development programs, including discussions about the regulatory requirements for approval. Sometimes different regulatory authorities provide different or conflicting advice. While we attempt to harmonize the advice we receive from multiple regulatory authorities, it is not always practical to do so. Also, we may choose not to harmonize conflicting advice when harmonization would significantly delay clinical trial data or when we believe it is otherwise inappropriate. In addition, regulatory authorities may change their views on aspects of the clinical programs, including study designs, or the ability of the studies as designed to support approval of a product. If we are unable to effectively and efficiently resolve and comply with the inquiries and requests of the FDA and other regulatory authorities, the approval of our therapeutic candidates may be delayed, and their value may be reduced.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accelerated approval for one or more of our product candidates. Under the accelerated approval program, the FDA may grant accelerated approval to a product candidate designed to treat a serious or life-threatening condition that addresses an unmet medical need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that our product candidate addresses an unmet medical need.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seeking accelerated approval for any of our product candidates, we intend to seek feedback from the FDA and will otherwise evaluate our ability to seek and receive accelerated approval. For example, we received feedback from the FDA in November 2025 on the design of our planned Phase 3 trial of ozuriftamab vedotin for the treatment of oropharyngeal squamous cell carcinoma to support potential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accelerated approval pathway has come under scrutiny within the FDA and by Congress. The FDA has put increased focus on ensuring that confirmatory studies are conducted with diligence and, ultimately, that such studies confirm the anticipated clinical benefit. For example, the FDA has convened its Oncologic Drugs Advisory Committee to review what the FDA has called dangling or delinquent accelerated approvals where confirmatory studies have not been completed or where results did not confirm benefit.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increase the likelihood of receiving regulatory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decide to seek Orphan Drug Designation for some of our product candidates, we may be unsuccessful or may be unable to maintain the benefits associated with Orphan Drug Designation, including the potential for orphan drug exclusivity.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defined as a patient population of fewer than 200,000 individuals in the United States, or a patient population greater than 200,000 in the United States where there is no reasonable expectation that the cost of developing the drug or therapeutic biologic will be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recovered from sales in the United States. In the United States, Orphan Drug Designation entitles a party to financial incentives such as tax advantages and user fee waivers. In addition, if a product that has Orphan Drug Designation subsequently receives the first FDA approval of the drug to treat the disease for which it has such designation, the product is entitled to orphan drug exclusivity, which means that the FDA may not approve any other applications, including a full BLA, to market the same product for the same condition for seven years, except in limited circumstances, such as a showing of clinical superiority to the product with orphan drug exclusivity or where the manufacturer is unable to assure sufficient product quantity.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Orphan Drug Designation for our product candidates in specific conditions, we may not be the first to obtain marketing approval of these product candidates for the orphan-designated condition due to the uncertainties associated with developing pharmaceutical products; in such case, no orphan drug exclusivity would be available unless we could demonstrate “clinical superiority.” In addition, exclusive marketing rights in the United States may be limited if we seek approval for an indication broader than the orphan-designated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principal molecular structural features can be approved for the same condition. Even after an orphan product is approved, the FDA can subsequently approve the same drug or therapeutic biologic with the same principal molecular structural features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not receive such designations.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Additionally, we may receive approval for indications or patient populations that are not as broad as intended or desired.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comparable foreign regulatory authorities,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or manufacturing processes, or failure to comply with regulatory requirements, may result in, among other things:</w:t>
      </w:r>
    </w:p>
    <w:p>
      <w:pPr>
        <w:pStyle w:val="TextBody"/>
        <w:bidi w:val="0"/>
        <w:spacing w:before="0" w:after="0"/>
        <w:ind w:left="720" w:right="720" w:hanging="0"/>
        <w:jc w:val="both"/>
        <w:rPr>
          <w:caps w:val="false"/>
          <w:smallCaps w:val="false"/>
        </w:rPr>
      </w:pPr>
      <w:r>
        <w:rPr>
          <w:caps w:val="false"/>
          <w:smallCaps w:val="false"/>
        </w:rPr>
        <w:t> </w:t>
      </w:r>
    </w:p>
    <w:tbl>
      <w:tblPr>
        <w:tblW w:w="6063" w:type="dxa"/>
        <w:jc w:val="left"/>
        <w:tblInd w:w="72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the labeling, marketing, or manufacturing of the product;</w:t>
            </w:r>
          </w:p>
        </w:tc>
      </w:tr>
    </w:tbl>
    <w:p>
      <w:pPr>
        <w:pStyle w:val="TextBody"/>
        <w:bidi w:val="0"/>
        <w:spacing w:before="0" w:after="0"/>
        <w:ind w:left="720" w:right="720" w:hanging="0"/>
        <w:jc w:val="left"/>
        <w:rPr>
          <w:caps w:val="false"/>
          <w:smallCaps w:val="false"/>
        </w:rPr>
      </w:pPr>
      <w:r>
        <w:rPr>
          <w:caps w:val="false"/>
          <w:smallCaps w:val="false"/>
        </w:rPr>
        <w:t> </w:t>
      </w:r>
    </w:p>
    <w:tbl>
      <w:tblPr>
        <w:tblW w:w="3663" w:type="dxa"/>
        <w:jc w:val="left"/>
        <w:tblInd w:w="72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product distribution or use;</w:t>
            </w:r>
          </w:p>
        </w:tc>
      </w:tr>
    </w:tbl>
    <w:p>
      <w:pPr>
        <w:pStyle w:val="TextBody"/>
        <w:bidi w:val="0"/>
        <w:spacing w:before="0" w:after="0"/>
        <w:ind w:left="720" w:right="720" w:hanging="0"/>
        <w:jc w:val="left"/>
        <w:rPr>
          <w:caps w:val="false"/>
          <w:smallCaps w:val="false"/>
        </w:rPr>
      </w:pPr>
      <w:r>
        <w:rPr>
          <w:caps w:val="false"/>
          <w:smallCaps w:val="false"/>
        </w:rPr>
        <w:t> </w:t>
      </w:r>
    </w:p>
    <w:tbl>
      <w:tblPr>
        <w:tblW w:w="5478" w:type="dxa"/>
        <w:jc w:val="left"/>
        <w:tblInd w:w="72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requirements to conduct post-marketing studies or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7128" w:type="dxa"/>
        <w:jc w:val="left"/>
        <w:tblInd w:w="72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of the product from the market or voluntary or mandatory product recalls;</w:t>
            </w:r>
          </w:p>
        </w:tc>
      </w:tr>
    </w:tbl>
    <w:p>
      <w:pPr>
        <w:pStyle w:val="TextBody"/>
        <w:bidi w:val="0"/>
        <w:spacing w:before="0" w:after="0"/>
        <w:ind w:left="720" w:right="720" w:hanging="0"/>
        <w:jc w:val="left"/>
        <w:rPr>
          <w:caps w:val="false"/>
          <w:smallCaps w:val="false"/>
        </w:rPr>
      </w:pPr>
      <w:r>
        <w:rPr>
          <w:caps w:val="false"/>
          <w:smallCaps w:val="false"/>
        </w:rPr>
        <w:t> </w:t>
      </w:r>
    </w:p>
    <w:tbl>
      <w:tblPr>
        <w:tblW w:w="4953" w:type="dxa"/>
        <w:jc w:val="left"/>
        <w:tblInd w:w="72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fines, warning or untitled letters or holds on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 of approval or refusal by the FDA or comparable foreign regulatory authorities in other jurisdictions to approve pending applications or supplements to approved applications filed by us, our current collaborator or any future strategic partners;</w:t>
            </w:r>
          </w:p>
        </w:tc>
      </w:tr>
    </w:tbl>
    <w:p>
      <w:pPr>
        <w:pStyle w:val="TextBody"/>
        <w:bidi w:val="0"/>
        <w:spacing w:before="0" w:after="0"/>
        <w:ind w:left="720" w:right="720" w:hanging="0"/>
        <w:jc w:val="left"/>
        <w:rPr>
          <w:caps w:val="false"/>
          <w:smallCaps w:val="false"/>
        </w:rPr>
      </w:pPr>
      <w:r>
        <w:rPr>
          <w:caps w:val="false"/>
          <w:smallCaps w:val="false"/>
        </w:rPr>
        <w:t> </w:t>
      </w:r>
    </w:p>
    <w:tbl>
      <w:tblPr>
        <w:tblW w:w="4668" w:type="dxa"/>
        <w:jc w:val="left"/>
        <w:tblInd w:w="72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suspension or revocation of product license approvals;</w:t>
            </w:r>
          </w:p>
        </w:tc>
      </w:tr>
    </w:tbl>
    <w:p>
      <w:pPr>
        <w:pStyle w:val="TextBody"/>
        <w:bidi w:val="0"/>
        <w:spacing w:before="0" w:after="0"/>
        <w:ind w:left="720" w:right="720" w:hanging="0"/>
        <w:jc w:val="left"/>
        <w:rPr>
          <w:caps w:val="false"/>
          <w:smallCaps w:val="false"/>
        </w:rPr>
      </w:pPr>
      <w:r>
        <w:rPr>
          <w:caps w:val="false"/>
          <w:smallCaps w:val="false"/>
        </w:rPr>
        <w:t> </w:t>
      </w:r>
    </w:p>
    <w:tbl>
      <w:tblPr>
        <w:tblW w:w="7128" w:type="dxa"/>
        <w:jc w:val="left"/>
        <w:tblInd w:w="72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seizure or detention or refusal to permit the import or export of products; and</w:t>
            </w:r>
          </w:p>
        </w:tc>
      </w:tr>
    </w:tbl>
    <w:p>
      <w:pPr>
        <w:pStyle w:val="TextBody"/>
        <w:bidi w:val="0"/>
        <w:spacing w:before="0" w:after="0"/>
        <w:ind w:left="720" w:right="720" w:hanging="0"/>
        <w:jc w:val="left"/>
        <w:rPr>
          <w:caps w:val="false"/>
          <w:smallCaps w:val="false"/>
        </w:rPr>
      </w:pPr>
      <w:r>
        <w:rPr>
          <w:caps w:val="false"/>
          <w:smallCaps w:val="false"/>
        </w:rPr>
        <w:t> </w:t>
      </w:r>
    </w:p>
    <w:tbl>
      <w:tblPr>
        <w:tblW w:w="4998" w:type="dxa"/>
        <w:jc w:val="left"/>
        <w:tblInd w:w="72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or criminal penalties.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significant uncertainty related to third-party payor coverage and reimbursement of newly approved products. For example, in the United States, principal decisions about reimbursement for new products are</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State Medicaid agencies and Medicaid managed care plans make coverage and payment decisions under Medicaid within federal guidelines.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two mandatory MFN pricing demonstration models under Medicare Part B and Part D. If these rules or other MFN pricing rules are finalized, they are likely to mandate reduced prices of at least some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guarantee that any drug or therapeutic biologic will be reimbursed in all cases or at a rate that permits us to cover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FDA and other comparable foreign regulatory authorities actively enforce the laws and regulations prohibiting the promotion of off-label uses.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product candidates are approved and we are found to have improperly promoted off-label uses of those products, we may become subject to significant liability. The FDA and other comparable foreign regulatory authorities strictly regulate the promotional claims that may be made about prescription products, such as our product candidates, if approved. In particular, a product may not be promoted for uses that are not approved by the FDA or such other comparable foreign regulatory authorities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the SEC and other government agencies caused by, among other factors, funding shortages or global health concerns could hinder their ability to hire and retain key leadership and other personnel,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consequences would also result in the event of a significant shutdown of the federal government. For example, over the last several years, including for 35 days beginning on December 22, 2018, and most recently beginning on October 1, 2025, the U.S. government has shut down several times and certain regulatory authorities, such as the FDA, have had to furlough critical employees and stop critical activities to the extent they are not funded by existing available user fees. Additionally, starting in January 2025, the Trump administration has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the number of federal employees by establishing voluntary termination programs, by position eliminations or by involuntary terminations.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if funding for the FDA, including for user-fee funded activities or other federal agencies (including their workforce) is reduced or exhausted, if global health concerns prevent the FDA or comparable foreign regulatory authorities from conducting their regular inspections, reviews, or other regulatory activities, or if the volume of applications to the FDA or comparable foreign regulatory authorities for new product candidates increases materially, it could significantly impact the ability of the FDA or comparable foreign regulatory authorities to timely review and process our regulatory submissions, and could even result in a complete cessation of such activities until appropriations legislation or a continuing resolution is passed,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uncertainty regarding the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Administration has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Some of these actions have been challenged in court and there remains general uncertainty regarding future activities. The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Administration, there could be a material adverse effect on us and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FDA, EMA and other comparable foreign regulatory authorities may not accept data from trials conducted in locations outside of their jurisdiction.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which may result in our product candidates not receiving approval for commercialization in the applicable jurisdiction.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legislative reform measures may have a material adverse effect on our business and results of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Later healthcare reform initiatives culminated in the enactment of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became effective, CMS selected 10 high-cost Medicare Part D products in 2023, negotiations began in 2024, the negotiated maximum fair price for each product was announced, and these prices became effective in 2026. These negotiations resulted in significant price reductions for the products from their 2023 list prices, ranging from 38 to 79 percent, with an average price reduction of 59.4 percent. In addition, CMS has selected and negotiated maximum fair pricing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by the current administration or subsequent administrations will have on our business, including market acceptance, and sales, of our products and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into law the One Big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to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November 2026. In June 2026, FDA authorized Colorado’s importation plan. It is unclear whether these programs will be extended, how they will be implemented, including which drugs will be chosen, and whether they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federal Anti-Kickback Statute, which prohibits, among other things, persons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a claim including items and services resulting from a violation of the federal Anti-Kickback Statute constitutes a false or fraudulent claim for purposes of the False Claims Act;</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and state consumer protection and unfair competition laws, which broadly regulate marketplace activities and activities that potentially harm customers;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Certain state and local laws also require the registration of pharmaceutical sales representatives.</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comparable foreign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activities could be affected or delayed as a result of possible restrictions on animal testing.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laws and regulations may require us to conduct preclinical testing, which is routinely conducted in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FDA announced a plan to phase out animal testing requirements for monoclonal antibodies and other drugs. This plan involves replacing animal testing with scientifically validated new approach methodologies (“NAMs”), including computational modeling and in vitro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or in their implementation or interpretation may adversely affect us or our investors.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and makes changes to the U.S. taxation of profits derived from foreign operations. The impact of this newly enacted law on our tax position is currently under review and will depend on how the provision is implemented and 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our growth and other risks related to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senior management and key clinical and scientific personnel, our business may be materially and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successfully implement our plans and strategies, we will need to grow the size of our organization, and we may experience difficulties in managing this growth.</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0" w:after="0"/>
        <w:ind w:left="720" w:right="720" w:hanging="0"/>
        <w:jc w:val="both"/>
        <w:rPr>
          <w:caps w:val="false"/>
          <w:smallCaps w:val="false"/>
        </w:rPr>
      </w:pPr>
      <w:r>
        <w:rPr>
          <w:caps w:val="false"/>
          <w:smallCaps w:val="false"/>
        </w:rPr>
        <w:t> </w:t>
      </w:r>
    </w:p>
    <w:tbl>
      <w:tblPr>
        <w:tblW w:w="7263" w:type="dxa"/>
        <w:jc w:val="left"/>
        <w:tblInd w:w="720" w:type="dxa"/>
        <w:tblLayout w:type="fixed"/>
        <w:tblCellMar>
          <w:top w:w="0" w:type="dxa"/>
          <w:left w:w="0" w:type="dxa"/>
          <w:bottom w:w="0" w:type="dxa"/>
          <w:right w:w="0" w:type="dxa"/>
        </w:tblCellMar>
      </w:tblPr>
      <w:tblGrid>
        <w:gridCol w:w="38"/>
        <w:gridCol w:w="17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recruiting, integrating, maintaining and motivating additional employees;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tc>
      </w:tr>
    </w:tbl>
    <w:p>
      <w:pPr>
        <w:pStyle w:val="TextBody"/>
        <w:bidi w:val="0"/>
        <w:spacing w:before="0" w:after="0"/>
        <w:ind w:left="720" w:right="720" w:hanging="0"/>
        <w:jc w:val="left"/>
        <w:rPr>
          <w:caps w:val="false"/>
          <w:smallCaps w:val="false"/>
        </w:rPr>
      </w:pPr>
      <w:r>
        <w:rPr>
          <w:caps w:val="false"/>
          <w:smallCaps w:val="false"/>
        </w:rPr>
        <w:t> </w:t>
      </w:r>
    </w:p>
    <w:tbl>
      <w:tblPr>
        <w:tblW w:w="8163" w:type="dxa"/>
        <w:jc w:val="left"/>
        <w:tblInd w:w="72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our operational, financial and management controls, reporting systems and procedures.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as a smaller organization, we may face limitations in our ability to successfully implement and manage our plans and strategies due to resource constraints and limited personnel. These limitations may hinder our ability to execute multiple initiatives simultaneously, respond quickly to market or regulatory changes, and effectively compete with larger organizations that have greater resources and infrastructure. If we are unable to overcome the challenges associated with operating as a smaller organization, our business, financial condition, and results of operations could be materially and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(4) laws that require the true, complete and accurate reporting of financial information or data or (5) company policies on the use of social media and disclosure of confidential information.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loss of data or compromised data integrity across many of our programs in various stages of development.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 The increasing adoption of AI tools and platforms introduces additional risks, including the potential for unauthorized access to proprietary information, generation of inaccurate or misleading content, and exposure to new cybersecurity threats. AI-generated outputs may also inadvertently violate regulatory requirements or intellectual property rights, which could result in legal liability or reputational harm. As AI technologies evolve rapidly, it may be challenging to anticipate and mitigate all associated risks, and our existing controls may not be sufficient to address emerging threats. Any failure to effectively manage AI-related risks could have a material adverse effect on our business, financial condition, and results of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conducted preclinical research and development activities in China through BioDuro-Sundia, which is U.S. owned, but governed by Chinese laws, rules and regulations, and we may in the future conduct similar research and development activities in China.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was recently signed into law in December 2025, that prohibits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The BIOSECURE Act also prohibits U.S. government loan and grant recipients from using federal loan or grant money to enter into contracts with entities that use equipment from “biotechnology companies of concern” in the performance of any federal prime contract or subcontract.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We are currently party to agreements with WuXi Biologics and WuXi XDC Hong Kong for certain development and manufacturing services. WuXi AppTec is currently designated on the 1260H List, but neither WuXi Biologics nor WuXi XDC Hong Kong are currently designated on the 1260H List. WuXi Biologics was previously explicitly named as a “biotechnology company of concern” in prior versions of the BIOSECURE Act.” In addition, the BIOSECURE Act provides a grandfathering period of five years for entities that are designated by the U.S. Government; however, entities identified on the 1260H List are not eligible for such grandfathering period. It is possible for the legislation to be amended. If this law, or similar laws that are passed impact Chinese biotechnology manufacturing companies that may be or may become contractors of ours or provide biotechnology equipment or services in the manufacture of our products or products candidates, we may be restricted in our ability to work with such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packaging and other services being interrupted or limited, which could harm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operations are concentrated in one location.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current operations are located in our facilities in San Diego, California, we have in the past conducted and may in the future conduct a portion of our research and development activities in other countries.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economic, political, regulatory and other risks associated with conducting business internationally.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0" w:after="0"/>
        <w:ind w:left="720" w:right="720" w:hanging="0"/>
        <w:jc w:val="both"/>
        <w:rPr>
          <w:caps w:val="false"/>
          <w:smallCaps w:val="false"/>
        </w:rPr>
      </w:pPr>
      <w:r>
        <w:rPr>
          <w:caps w:val="false"/>
          <w:smallCaps w:val="false"/>
        </w:rPr>
        <w:t> </w:t>
      </w:r>
    </w:p>
    <w:tbl>
      <w:tblPr>
        <w:tblW w:w="6888" w:type="dxa"/>
        <w:jc w:val="left"/>
        <w:tblInd w:w="72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differing regulatory requirements and reimbursement regimes in foreign countries;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changes in tariffs, trade barriers, price and exchange controls and other regulatory requirements;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weakness, including inflation, or political instability in particular foreign economies and markets;</w:t>
            </w:r>
          </w:p>
        </w:tc>
      </w:tr>
    </w:tbl>
    <w:p>
      <w:pPr>
        <w:pStyle w:val="TextBody"/>
        <w:bidi w:val="0"/>
        <w:spacing w:before="0" w:after="0"/>
        <w:ind w:left="720" w:right="720" w:hanging="0"/>
        <w:jc w:val="left"/>
        <w:rPr>
          <w:caps w:val="false"/>
          <w:smallCaps w:val="false"/>
        </w:rPr>
      </w:pPr>
      <w:r>
        <w:rPr>
          <w:caps w:val="false"/>
          <w:smallCaps w:val="false"/>
        </w:rPr>
        <w:t> </w:t>
      </w:r>
    </w:p>
    <w:tbl>
      <w:tblPr>
        <w:tblW w:w="8688" w:type="dxa"/>
        <w:jc w:val="left"/>
        <w:tblInd w:w="72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tax, employment, immigration and labor laws for employees living or traveling abroad;</w:t>
            </w:r>
          </w:p>
        </w:tc>
      </w:tr>
    </w:tbl>
    <w:p>
      <w:pPr>
        <w:pStyle w:val="TextBody"/>
        <w:bidi w:val="0"/>
        <w:spacing w:before="0" w:after="0"/>
        <w:ind w:left="720" w:right="720" w:hanging="0"/>
        <w:jc w:val="left"/>
        <w:rPr>
          <w:caps w:val="false"/>
          <w:smallCaps w:val="false"/>
        </w:rPr>
      </w:pPr>
      <w:r>
        <w:rPr>
          <w:caps w:val="false"/>
          <w:smallCaps w:val="false"/>
        </w:rPr>
        <w:t> </w:t>
      </w:r>
    </w:p>
    <w:tbl>
      <w:tblPr>
        <w:tblW w:w="4593" w:type="dxa"/>
        <w:jc w:val="left"/>
        <w:tblInd w:w="72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taxes, including withholding of payroll taxes;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currency fluctuations, which could result in increased operating expenses and reduced revenue, and other obligations incident to doing business in another country;</w:t>
            </w:r>
          </w:p>
        </w:tc>
      </w:tr>
    </w:tbl>
    <w:p>
      <w:pPr>
        <w:pStyle w:val="TextBody"/>
        <w:bidi w:val="0"/>
        <w:spacing w:before="0" w:after="0"/>
        <w:ind w:left="720" w:right="720" w:hanging="0"/>
        <w:jc w:val="left"/>
        <w:rPr>
          <w:caps w:val="false"/>
          <w:smallCaps w:val="false"/>
        </w:rPr>
      </w:pPr>
      <w:r>
        <w:rPr>
          <w:caps w:val="false"/>
          <w:smallCaps w:val="false"/>
        </w:rPr>
        <w:t> </w:t>
      </w:r>
    </w:p>
    <w:tbl>
      <w:tblPr>
        <w:tblW w:w="4578" w:type="dxa"/>
        <w:jc w:val="left"/>
        <w:tblInd w:w="72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difficulties staffing and managing foreign operations;</w:t>
            </w:r>
          </w:p>
        </w:tc>
      </w:tr>
    </w:tbl>
    <w:p>
      <w:pPr>
        <w:pStyle w:val="TextBody"/>
        <w:bidi w:val="0"/>
        <w:spacing w:before="0" w:after="0"/>
        <w:ind w:left="720" w:right="720" w:hanging="0"/>
        <w:jc w:val="left"/>
        <w:rPr>
          <w:caps w:val="false"/>
          <w:smallCaps w:val="false"/>
        </w:rPr>
      </w:pPr>
      <w:r>
        <w:rPr>
          <w:caps w:val="false"/>
          <w:smallCaps w:val="false"/>
        </w:rPr>
        <w:t> </w:t>
      </w:r>
    </w:p>
    <w:tbl>
      <w:tblPr>
        <w:tblW w:w="8043" w:type="dxa"/>
        <w:jc w:val="left"/>
        <w:tblInd w:w="72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workforce uncertainty in countries where labor unrest is more common than in the United States;</w:t>
            </w:r>
          </w:p>
        </w:tc>
      </w:tr>
    </w:tbl>
    <w:p>
      <w:pPr>
        <w:pStyle w:val="TextBody"/>
        <w:bidi w:val="0"/>
        <w:spacing w:before="0" w:after="0"/>
        <w:ind w:left="720" w:right="720" w:hanging="0"/>
        <w:jc w:val="left"/>
        <w:rPr>
          <w:caps w:val="false"/>
          <w:smallCaps w:val="false"/>
        </w:rPr>
      </w:pPr>
      <w:r>
        <w:rPr>
          <w:caps w:val="false"/>
          <w:smallCaps w:val="false"/>
        </w:rPr>
        <w:t> </w:t>
      </w:r>
    </w:p>
    <w:tbl>
      <w:tblPr>
        <w:tblW w:w="5868" w:type="dxa"/>
        <w:jc w:val="left"/>
        <w:tblInd w:w="72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liability under the FCPA or comparable foreign regulations;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enforcing our contractual and intellectual property rights, especially in those foreign countries that do not respect and protect intellectual property rights to the same extent as the United States;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shortages resulting from any events affecting raw material supply or manufacturing capabilities abroad; and</w:t>
            </w:r>
          </w:p>
        </w:tc>
      </w:tr>
    </w:tbl>
    <w:p>
      <w:pPr>
        <w:pStyle w:val="TextBody"/>
        <w:bidi w:val="0"/>
        <w:spacing w:before="0" w:after="0"/>
        <w:ind w:left="720" w:right="720" w:hanging="0"/>
        <w:jc w:val="left"/>
        <w:rPr>
          <w:caps w:val="false"/>
          <w:smallCaps w:val="false"/>
        </w:rPr>
      </w:pPr>
      <w:r>
        <w:rPr>
          <w:caps w:val="false"/>
          <w:smallCaps w:val="false"/>
        </w:rPr>
        <w:t> </w:t>
      </w:r>
    </w:p>
    <w:tbl>
      <w:tblPr>
        <w:tblW w:w="7308" w:type="dxa"/>
        <w:jc w:val="left"/>
        <w:tblInd w:w="72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interruptions resulting from geo-political actions, including war and terrorism.</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 that new higher tariff rates will come into effect unless they reach a trade agreement with the United States by August 1, 2025. Effective as of August 7, 2025, the United States implemented additional “reciprocal” duties on most imports, generally ranging from 15% to 40%. Notably with respect to China, the temporary 10% reciprocal rate was extended for an additional 90 days on August 12, 2025 through November 10, 2025, so Chinese-origin goods remain subject to the 10% reciprocal tariff (in addition to other applicable duties).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health epidemics and outbreaks, which could significantly disrupt our preclinical studies, affect enrollment of patients in our clinical trials or delay or prevent our receipt of necessary regulatory approvals.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dependence on third parties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and may in the future seek to enter, into collaborations with third parties for the development and commercialization of certain of our product candidates. For example, in September 2024 we entered into an agreement to license BA3362, a Nectin-4 x CD3 T cell engaging (“TCE”) bispecific CAB antibody to Context Therapeutics, and subsequently amended this license in May 2026.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collaboration arrangements currently pose, and future collaborations involving our product candidates will pose, the following risks to us: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have significant discretion in determining the efforts and resources that they will apply to these collaborations;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with marketing, manufacturing and distribution rights to one or more products may not commit sufficient resources to or otherwise not perform satisfactorily in carrying out these activities;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could grant exclusive rights to our collaborators that would prevent us from collaborating with others;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may infringe the intellectual property rights of third parties, which may expose us to litigation and potential liability;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may arise with respect to the ownership of any intellectual property developed pursuant to our collaborations;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collaborations may be terminated and, if terminated, this may result in a need for additional capital to pursue further development or commercialization of the applicable current or future product candidates;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collaborators’ sales and marketing activities or other operations may not be in compliance with applicable laws resulting in civil or criminal proceedings.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establishing commercialization collaborations, which could adversely affect our ability to commercialize our product candidates, if approved.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candidate is delayed, sales of an approved product candidate do not meet expectations or the collaborator terminates the collaboration.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timelines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apply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reduction or termination of production or deliveries by suppliers, or the raising of prices or renegotiation of terms;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termination or nonrenewal of arrangements or agreements by our third-party contractors at a time that is costly or inconvenient for us;</w:t>
            </w:r>
          </w:p>
        </w:tc>
      </w:tr>
    </w:tbl>
    <w:p>
      <w:pPr>
        <w:pStyle w:val="TextBody"/>
        <w:bidi w:val="0"/>
        <w:spacing w:before="0" w:after="0"/>
        <w:ind w:left="720" w:right="720" w:hanging="0"/>
        <w:jc w:val="left"/>
        <w:rPr>
          <w:caps w:val="false"/>
          <w:smallCaps w:val="false"/>
        </w:rPr>
      </w:pPr>
      <w:r>
        <w:rPr>
          <w:caps w:val="false"/>
          <w:smallCaps w:val="false"/>
        </w:rPr>
        <w:t> </w:t>
      </w:r>
    </w:p>
    <w:tbl>
      <w:tblPr>
        <w:tblW w:w="5898" w:type="dxa"/>
        <w:jc w:val="left"/>
        <w:tblInd w:w="72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breach by the third-party contractors of our agreements with them;</w:t>
            </w:r>
          </w:p>
        </w:tc>
      </w:tr>
    </w:tbl>
    <w:p>
      <w:pPr>
        <w:pStyle w:val="TextBody"/>
        <w:bidi w:val="0"/>
        <w:spacing w:before="0" w:after="0"/>
        <w:ind w:left="720" w:right="720" w:hanging="0"/>
        <w:jc w:val="left"/>
        <w:rPr>
          <w:caps w:val="false"/>
          <w:smallCaps w:val="false"/>
        </w:rPr>
      </w:pPr>
      <w:r>
        <w:rPr>
          <w:caps w:val="false"/>
          <w:smallCaps w:val="false"/>
        </w:rPr>
        <w:t> </w:t>
      </w:r>
    </w:p>
    <w:tbl>
      <w:tblPr>
        <w:tblW w:w="7353" w:type="dxa"/>
        <w:jc w:val="left"/>
        <w:tblInd w:w="72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failure of third-party contractors to comply with applicable regulatory requirements;</w:t>
            </w:r>
          </w:p>
        </w:tc>
      </w:tr>
    </w:tbl>
    <w:p>
      <w:pPr>
        <w:pStyle w:val="TextBody"/>
        <w:bidi w:val="0"/>
        <w:spacing w:before="0" w:after="0"/>
        <w:ind w:left="720" w:right="720" w:hanging="0"/>
        <w:jc w:val="left"/>
        <w:rPr>
          <w:caps w:val="false"/>
          <w:smallCaps w:val="false"/>
        </w:rPr>
      </w:pPr>
      <w:r>
        <w:rPr>
          <w:caps w:val="false"/>
          <w:smallCaps w:val="false"/>
        </w:rPr>
        <w:t> </w:t>
      </w:r>
    </w:p>
    <w:tbl>
      <w:tblPr>
        <w:tblW w:w="8253" w:type="dxa"/>
        <w:jc w:val="left"/>
        <w:tblInd w:w="72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failure of the third party to manufacture our product candidates according to our specifications;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mislabeling of clinical supplies, potentially resulting in the wrong dose amounts being supplied or active drug not being properly identified;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supplies not being delivered to clinical sites on time, leading to clinical trial interruptions, or of drug supplies not being distributed to commercial vendors in a timely manner, resulting in lost sales; and</w:t>
            </w:r>
          </w:p>
        </w:tc>
      </w:tr>
    </w:tbl>
    <w:p>
      <w:pPr>
        <w:pStyle w:val="TextBody"/>
        <w:bidi w:val="0"/>
        <w:spacing w:before="0" w:after="0"/>
        <w:ind w:left="720" w:right="720" w:hanging="0"/>
        <w:jc w:val="left"/>
        <w:rPr>
          <w:caps w:val="false"/>
          <w:smallCaps w:val="false"/>
        </w:rPr>
      </w:pPr>
      <w:r>
        <w:rPr>
          <w:caps w:val="false"/>
          <w:smallCaps w:val="false"/>
        </w:rPr>
        <w:t> </w:t>
      </w:r>
    </w:p>
    <w:tbl>
      <w:tblPr>
        <w:tblW w:w="7938" w:type="dxa"/>
        <w:jc w:val="left"/>
        <w:tblInd w:w="72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misappropriation of our proprietary information, including our trade secrets and know-how.</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obtain, maintain, protect and enforce intellectual property protection for our technologies and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 will not or may not be able to make, use or sell compounds that are the same as or similar to our product candidates but that are not covered by the claims of the patents that we own or license.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or our licensors, or our existing or future collaborators are the first to make the inventions covered by each of our issued patents and pending patent applications that we own or license.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or our licensors, or our existing or future collaborators are the first to file patent applications covering certain aspects of our inventions.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 will not independently develop similar or alternative technologies or duplicate any of our technologies without infringing our intellectual property rights.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third party may not challenge our patents and, if challenged, that a court would hold that our patents are valid, enforceable and infringed.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issued patents that we own or have licensed will provide us with any competitive advantage, or will not be challenged by third parties.</w:t>
            </w:r>
          </w:p>
        </w:tc>
      </w:tr>
    </w:tbl>
    <w:p>
      <w:pPr>
        <w:pStyle w:val="TextBody"/>
        <w:bidi w:val="0"/>
        <w:spacing w:before="0" w:after="0"/>
        <w:ind w:left="720" w:right="720" w:hanging="0"/>
        <w:jc w:val="left"/>
        <w:rPr>
          <w:caps w:val="false"/>
          <w:smallCaps w:val="false"/>
        </w:rPr>
      </w:pPr>
      <w:r>
        <w:rPr>
          <w:caps w:val="false"/>
          <w:smallCaps w:val="false"/>
        </w:rPr>
        <w:t> </w:t>
      </w:r>
    </w:p>
    <w:tbl>
      <w:tblPr>
        <w:tblW w:w="7173" w:type="dxa"/>
        <w:jc w:val="left"/>
        <w:tblInd w:w="72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develop or in-license additional proprietary technologies that are patentable.</w:t>
            </w:r>
          </w:p>
        </w:tc>
      </w:tr>
    </w:tbl>
    <w:p>
      <w:pPr>
        <w:pStyle w:val="TextBody"/>
        <w:bidi w:val="0"/>
        <w:spacing w:before="0" w:after="0"/>
        <w:ind w:left="720" w:right="720" w:hanging="0"/>
        <w:jc w:val="left"/>
        <w:rPr>
          <w:caps w:val="false"/>
          <w:smallCaps w:val="false"/>
        </w:rPr>
      </w:pPr>
      <w:r>
        <w:rPr>
          <w:caps w:val="false"/>
          <w:smallCaps w:val="false"/>
        </w:rPr>
        <w:t> </w:t>
      </w:r>
    </w:p>
    <w:tbl>
      <w:tblPr>
        <w:tblW w:w="6948" w:type="dxa"/>
        <w:jc w:val="left"/>
        <w:tblInd w:w="72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Pending patent applications that we own or may license will lead to issued patents.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patents of others will not have a material or adverse effect on our business, financial condition, results of operations and prospects.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competitors do not conduct research and development activities in countries where we do not have enforceable patent rights and then use the information learned from such activities to develop competitive products for sale in our commercial markets.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trade secrets, our business and competitive position would be harmed.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able to exploit our product candidates and discovery technologies to identify and develop competing product candidates, and thus our competitive position could be adversely affected, as could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patents may not protect our competitive position on our product candidates for an adequate amount of time.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obtain patent term extension for our product candidates, our business may be materially harmed.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patent reform legislation could increase the uncertainties and costs surrounding the prosecution of our patent applications and the enforcement or defense of our issued patents.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to either (i) file any patent application related to our product candidates or (ii) invent any of the inventions claimed in our patents or patent applications.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patent law or laws in other countries could diminish the value of patents in general, thereby impairing our ability to protect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companies or organizations may challenge our or our licensors’ patent rights or may assert patent rights that prevent us from developing and commercializing our products.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that our product candidates or technologies may give rise to claims of infringement of the patent rights of others.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prevail, could require us to divert substantial financial and management resources that we would otherwise be able to devote to our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or ownership of our patents and other intellectual property.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our intellectual property rights throughout the world.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could cause us to spend substantial resources and distract our personnel from their normal responsibilities.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or maintaining necessary rights to our product candidates through acquisitions and in-licenses.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to intellectual property of interest, we may not be able to secure exclusive rights, in which case others could use the same rights and compete with 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trademarks and trade names are not adequately protected, then we may not be able to build name recognition in our markets of interest and our business may be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unable to establish name recognition based on our trademarks and trade names, we may not be able to compete effectively and our business may be adversely affected.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or may fall below the expectations of investors or securities analysts, each of which may cause our stock price to fluctuate or decline.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operating results to be subject to annual and quarterly fluctuations. Our net loss and other operating results will be affected by numerous factors, including, among others: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the level of expense related to the ongoing development of our product candidates or future development programs;</w:t>
            </w:r>
          </w:p>
        </w:tc>
      </w:tr>
    </w:tbl>
    <w:p>
      <w:pPr>
        <w:pStyle w:val="TextBody"/>
        <w:bidi w:val="0"/>
        <w:spacing w:before="0" w:after="0"/>
        <w:ind w:left="720" w:right="720" w:hanging="0"/>
        <w:jc w:val="left"/>
        <w:rPr>
          <w:caps w:val="false"/>
          <w:smallCaps w:val="false"/>
        </w:rPr>
      </w:pPr>
      <w:r>
        <w:rPr>
          <w:caps w:val="false"/>
          <w:smallCaps w:val="false"/>
        </w:rPr>
        <w:t> </w:t>
      </w:r>
    </w:p>
    <w:tbl>
      <w:tblPr>
        <w:tblW w:w="7833" w:type="dxa"/>
        <w:jc w:val="left"/>
        <w:tblInd w:w="72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results of preclinical studies and clinical trials, or the addition or termination of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our existing collaborations and any potential additional collaborations, licensing or similar arrangements;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intellectual property infringement lawsuit or opposition, interference or cancellation proceeding in which we may become involved;</w:t>
            </w:r>
          </w:p>
        </w:tc>
      </w:tr>
    </w:tbl>
    <w:p>
      <w:pPr>
        <w:pStyle w:val="TextBody"/>
        <w:bidi w:val="0"/>
        <w:spacing w:before="0" w:after="0"/>
        <w:ind w:left="720" w:right="720" w:hanging="0"/>
        <w:jc w:val="left"/>
        <w:rPr>
          <w:caps w:val="false"/>
          <w:smallCaps w:val="false"/>
        </w:rPr>
      </w:pPr>
      <w:r>
        <w:rPr>
          <w:caps w:val="false"/>
          <w:smallCaps w:val="false"/>
        </w:rPr>
        <w:t> </w:t>
      </w:r>
    </w:p>
    <w:tbl>
      <w:tblPr>
        <w:tblW w:w="3693" w:type="dxa"/>
        <w:jc w:val="left"/>
        <w:tblInd w:w="72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and departures of key personnel;</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decisions by us or our competitors, such as acquisitions, divestitures, spin-offs, joint ventures, strategic investments or changes in business strategy;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any of our product candidates receives regulatory approval, the terms of such approval and market acceptance and demand for such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7563" w:type="dxa"/>
        <w:jc w:val="left"/>
        <w:tblInd w:w="72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developments affecting our product candidates or those of our competitors; and</w:t>
            </w:r>
          </w:p>
        </w:tc>
      </w:tr>
    </w:tbl>
    <w:p>
      <w:pPr>
        <w:pStyle w:val="TextBody"/>
        <w:bidi w:val="0"/>
        <w:spacing w:before="0" w:after="0"/>
        <w:ind w:left="720" w:right="720" w:hanging="0"/>
        <w:jc w:val="left"/>
        <w:rPr>
          <w:caps w:val="false"/>
          <w:smallCaps w:val="false"/>
        </w:rPr>
      </w:pPr>
      <w:r>
        <w:rPr>
          <w:caps w:val="false"/>
          <w:smallCaps w:val="false"/>
        </w:rPr>
        <w:t> </w:t>
      </w:r>
    </w:p>
    <w:tbl>
      <w:tblPr>
        <w:tblW w:w="4503" w:type="dxa"/>
        <w:jc w:val="left"/>
        <w:tblInd w:w="72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market and economic conditions.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 and you could lose all or part of your investment.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0" w:after="0"/>
        <w:ind w:left="720" w:right="720" w:hanging="0"/>
        <w:jc w:val="both"/>
        <w:rPr>
          <w:caps w:val="false"/>
          <w:smallCaps w:val="false"/>
        </w:rPr>
      </w:pPr>
      <w:r>
        <w:rPr>
          <w:caps w:val="false"/>
          <w:smallCaps w:val="false"/>
        </w:rPr>
        <w:t> </w:t>
      </w:r>
    </w:p>
    <w:tbl>
      <w:tblPr>
        <w:tblW w:w="5913" w:type="dxa"/>
        <w:jc w:val="left"/>
        <w:tblInd w:w="72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results of our clinical trials or those of our competitors;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 especially changes in laws or regulations applicable to our products;</w:t>
            </w:r>
          </w:p>
        </w:tc>
      </w:tr>
    </w:tbl>
    <w:p>
      <w:pPr>
        <w:pStyle w:val="TextBody"/>
        <w:bidi w:val="0"/>
        <w:spacing w:before="0" w:after="0"/>
        <w:ind w:left="720" w:right="720" w:hanging="0"/>
        <w:jc w:val="left"/>
        <w:rPr>
          <w:caps w:val="false"/>
          <w:smallCaps w:val="false"/>
        </w:rPr>
      </w:pPr>
      <w:r>
        <w:rPr>
          <w:caps w:val="false"/>
          <w:smallCaps w:val="false"/>
        </w:rPr>
        <w:t> </w:t>
      </w:r>
    </w:p>
    <w:tbl>
      <w:tblPr>
        <w:tblW w:w="4488" w:type="dxa"/>
        <w:jc w:val="left"/>
        <w:tblInd w:w="72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or technologies;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introductions and announcements of new products by us, our current or future collaborators or our competitors, and the timing of these introductions or announcements;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collaboration agreements, or the restructuring or termination of current collaboration agreements;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taken by regulatory authorities with respect to our products, preclinical studies, clinical trials, manufacturing process or sales and marketing terms;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variations in our financial results or those of companies that are perceived to be similar to us;</w:t>
            </w:r>
          </w:p>
        </w:tc>
      </w:tr>
    </w:tbl>
    <w:p>
      <w:pPr>
        <w:pStyle w:val="TextBody"/>
        <w:bidi w:val="0"/>
        <w:spacing w:before="0" w:after="0"/>
        <w:ind w:left="720" w:right="720" w:hanging="0"/>
        <w:jc w:val="left"/>
        <w:rPr>
          <w:caps w:val="false"/>
          <w:smallCaps w:val="false"/>
        </w:rPr>
      </w:pPr>
      <w:r>
        <w:rPr>
          <w:caps w:val="false"/>
          <w:smallCaps w:val="false"/>
        </w:rPr>
        <w:t> </w:t>
      </w:r>
    </w:p>
    <w:tbl>
      <w:tblPr>
        <w:tblW w:w="8763" w:type="dxa"/>
        <w:jc w:val="left"/>
        <w:tblInd w:w="72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our efforts to acquire or in-license additional technologies, products or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concerning any future collaborations, including those regarding manufacturing, supply and commercialization of our products;</w:t>
            </w:r>
          </w:p>
        </w:tc>
      </w:tr>
    </w:tbl>
    <w:p>
      <w:pPr>
        <w:pStyle w:val="TextBody"/>
        <w:bidi w:val="0"/>
        <w:spacing w:before="0" w:after="0"/>
        <w:ind w:left="720" w:right="720" w:hanging="0"/>
        <w:jc w:val="left"/>
        <w:rPr>
          <w:caps w:val="false"/>
          <w:smallCaps w:val="false"/>
        </w:rPr>
      </w:pPr>
      <w:r>
        <w:rPr>
          <w:caps w:val="false"/>
          <w:smallCaps w:val="false"/>
        </w:rPr>
        <w:t> </w:t>
      </w:r>
    </w:p>
    <w:tbl>
      <w:tblPr>
        <w:tblW w:w="5763" w:type="dxa"/>
        <w:jc w:val="left"/>
        <w:tblInd w:w="72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in the pharmaceutical and biotechnology sectors;</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acquisitions, strategic collaborations, joint ventures or capital commitments;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or disputes concerning patents or other proprietary rights, including patents, litigation matters and our ability to obtain patent protection for our products;</w:t>
            </w:r>
          </w:p>
        </w:tc>
      </w:tr>
    </w:tbl>
    <w:p>
      <w:pPr>
        <w:pStyle w:val="TextBody"/>
        <w:bidi w:val="0"/>
        <w:spacing w:before="0" w:after="0"/>
        <w:ind w:left="720" w:right="720" w:hanging="0"/>
        <w:jc w:val="left"/>
        <w:rPr>
          <w:caps w:val="false"/>
          <w:smallCaps w:val="false"/>
        </w:rPr>
      </w:pPr>
      <w:r>
        <w:rPr>
          <w:caps w:val="false"/>
          <w:smallCaps w:val="false"/>
        </w:rPr>
        <w:t> </w:t>
      </w:r>
    </w:p>
    <w:tbl>
      <w:tblPr>
        <w:tblW w:w="7008" w:type="dxa"/>
        <w:jc w:val="left"/>
        <w:tblInd w:w="72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or inability to raise additional capital and the terms on which we raise it;</w:t>
            </w:r>
          </w:p>
        </w:tc>
      </w:tr>
    </w:tbl>
    <w:p>
      <w:pPr>
        <w:pStyle w:val="TextBody"/>
        <w:bidi w:val="0"/>
        <w:spacing w:before="0" w:after="0"/>
        <w:ind w:left="720" w:right="720" w:hanging="0"/>
        <w:jc w:val="left"/>
        <w:rPr>
          <w:caps w:val="false"/>
          <w:smallCaps w:val="false"/>
        </w:rPr>
      </w:pPr>
      <w:r>
        <w:rPr>
          <w:caps w:val="false"/>
          <w:smallCaps w:val="false"/>
        </w:rPr>
        <w:t> </w:t>
      </w:r>
    </w:p>
    <w:tbl>
      <w:tblPr>
        <w:tblW w:w="3948" w:type="dxa"/>
        <w:jc w:val="left"/>
        <w:tblInd w:w="72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recruitment or departure of key personnel;</w:t>
            </w:r>
          </w:p>
        </w:tc>
      </w:tr>
    </w:tbl>
    <w:p>
      <w:pPr>
        <w:pStyle w:val="TextBody"/>
        <w:bidi w:val="0"/>
        <w:spacing w:before="0" w:after="0"/>
        <w:ind w:left="720" w:right="720" w:hanging="0"/>
        <w:jc w:val="left"/>
        <w:rPr>
          <w:caps w:val="false"/>
          <w:smallCaps w:val="false"/>
        </w:rPr>
      </w:pPr>
      <w:r>
        <w:rPr>
          <w:caps w:val="false"/>
          <w:smallCaps w:val="false"/>
        </w:rPr>
        <w:t> </w:t>
      </w:r>
    </w:p>
    <w:tbl>
      <w:tblPr>
        <w:tblW w:w="4743" w:type="dxa"/>
        <w:jc w:val="left"/>
        <w:tblInd w:w="72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structure of healthcare payment systems;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earnings estimates or changes in stock market analysts’ recommendations regarding our common stock, other comparable companies or our industry generally;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or the failure of our competitors to meet analysts’ projections or guidance that we or our competitors may give to the market;</w:t>
            </w:r>
          </w:p>
        </w:tc>
      </w:tr>
    </w:tbl>
    <w:p>
      <w:pPr>
        <w:pStyle w:val="TextBody"/>
        <w:bidi w:val="0"/>
        <w:spacing w:before="0" w:after="0"/>
        <w:ind w:left="720" w:right="720" w:hanging="0"/>
        <w:jc w:val="left"/>
        <w:rPr>
          <w:caps w:val="false"/>
          <w:smallCaps w:val="false"/>
        </w:rPr>
      </w:pPr>
      <w:r>
        <w:rPr>
          <w:caps w:val="false"/>
          <w:smallCaps w:val="false"/>
        </w:rPr>
        <w:t> </w:t>
      </w:r>
    </w:p>
    <w:tbl>
      <w:tblPr>
        <w:tblW w:w="7488" w:type="dxa"/>
        <w:jc w:val="left"/>
        <w:tblInd w:w="72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valuation of companies perceived by investors to be comparable to us;</w:t>
            </w:r>
          </w:p>
        </w:tc>
      </w:tr>
    </w:tbl>
    <w:p>
      <w:pPr>
        <w:pStyle w:val="TextBody"/>
        <w:bidi w:val="0"/>
        <w:spacing w:before="0" w:after="0"/>
        <w:ind w:left="720" w:right="720" w:hanging="0"/>
        <w:jc w:val="left"/>
        <w:rPr>
          <w:caps w:val="false"/>
          <w:smallCaps w:val="false"/>
        </w:rPr>
      </w:pPr>
      <w:r>
        <w:rPr>
          <w:caps w:val="false"/>
          <w:smallCaps w:val="false"/>
        </w:rPr>
        <w:t> </w:t>
      </w:r>
    </w:p>
    <w:tbl>
      <w:tblPr>
        <w:tblW w:w="5328" w:type="dxa"/>
        <w:jc w:val="left"/>
        <w:tblInd w:w="72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 and expectation of additional financing efforts;</w:t>
            </w:r>
          </w:p>
        </w:tc>
      </w:tr>
    </w:tbl>
    <w:p>
      <w:pPr>
        <w:pStyle w:val="TextBody"/>
        <w:bidi w:val="0"/>
        <w:spacing w:before="0" w:after="0"/>
        <w:ind w:left="720" w:right="720" w:hanging="0"/>
        <w:jc w:val="left"/>
        <w:rPr>
          <w:caps w:val="false"/>
          <w:smallCaps w:val="false"/>
        </w:rPr>
      </w:pPr>
      <w:r>
        <w:rPr>
          <w:caps w:val="false"/>
          <w:smallCaps w:val="false"/>
        </w:rPr>
        <w:t> </w:t>
      </w:r>
    </w:p>
    <w:tbl>
      <w:tblPr>
        <w:tblW w:w="4338" w:type="dxa"/>
        <w:jc w:val="left"/>
        <w:tblInd w:w="72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speculation in the press or investment community;</w:t>
            </w:r>
          </w:p>
        </w:tc>
      </w:tr>
    </w:tbl>
    <w:p>
      <w:pPr>
        <w:pStyle w:val="TextBody"/>
        <w:bidi w:val="0"/>
        <w:spacing w:before="0" w:after="0"/>
        <w:ind w:left="720" w:right="720" w:hanging="0"/>
        <w:jc w:val="left"/>
        <w:rPr>
          <w:caps w:val="false"/>
          <w:smallCaps w:val="false"/>
        </w:rPr>
      </w:pPr>
      <w:r>
        <w:rPr>
          <w:caps w:val="false"/>
          <w:smallCaps w:val="false"/>
        </w:rPr>
        <w:t> </w:t>
      </w:r>
    </w:p>
    <w:tbl>
      <w:tblPr>
        <w:tblW w:w="3303" w:type="dxa"/>
        <w:jc w:val="left"/>
        <w:tblInd w:w="72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volume of our common stock;</w:t>
            </w:r>
          </w:p>
        </w:tc>
      </w:tr>
    </w:tbl>
    <w:p>
      <w:pPr>
        <w:pStyle w:val="TextBody"/>
        <w:bidi w:val="0"/>
        <w:spacing w:before="0" w:after="0"/>
        <w:ind w:left="720" w:right="720" w:hanging="0"/>
        <w:jc w:val="left"/>
        <w:rPr>
          <w:caps w:val="false"/>
          <w:smallCaps w:val="false"/>
        </w:rPr>
      </w:pPr>
      <w:r>
        <w:rPr>
          <w:caps w:val="false"/>
          <w:smallCaps w:val="false"/>
        </w:rPr>
        <w:t> </w:t>
      </w:r>
    </w:p>
    <w:tbl>
      <w:tblPr>
        <w:tblW w:w="6033" w:type="dxa"/>
        <w:jc w:val="left"/>
        <w:tblInd w:w="72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our common stock by us, our insiders or our other stockholders;</w:t>
            </w:r>
          </w:p>
        </w:tc>
      </w:tr>
    </w:tbl>
    <w:p>
      <w:pPr>
        <w:pStyle w:val="TextBody"/>
        <w:bidi w:val="0"/>
        <w:spacing w:before="0" w:after="0"/>
        <w:ind w:left="720" w:right="720" w:hanging="0"/>
        <w:jc w:val="left"/>
        <w:rPr>
          <w:caps w:val="false"/>
          <w:smallCaps w:val="false"/>
        </w:rPr>
      </w:pPr>
      <w:r>
        <w:rPr>
          <w:caps w:val="false"/>
          <w:smallCaps w:val="false"/>
        </w:rPr>
        <w:t> </w:t>
      </w:r>
    </w:p>
    <w:tbl>
      <w:tblPr>
        <w:tblW w:w="4563" w:type="dxa"/>
        <w:jc w:val="left"/>
        <w:tblInd w:w="72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of market stand-off or lock-up agreements;</w:t>
            </w:r>
          </w:p>
        </w:tc>
      </w:tr>
    </w:tbl>
    <w:p>
      <w:pPr>
        <w:pStyle w:val="TextBody"/>
        <w:bidi w:val="0"/>
        <w:spacing w:before="0" w:after="0"/>
        <w:ind w:left="720" w:right="720" w:hanging="0"/>
        <w:jc w:val="left"/>
        <w:rPr>
          <w:caps w:val="false"/>
          <w:smallCaps w:val="false"/>
        </w:rPr>
      </w:pPr>
      <w:r>
        <w:rPr>
          <w:caps w:val="false"/>
          <w:smallCaps w:val="false"/>
        </w:rPr>
        <w:t> </w:t>
      </w:r>
    </w:p>
    <w:tbl>
      <w:tblPr>
        <w:tblW w:w="4293" w:type="dxa"/>
        <w:jc w:val="left"/>
        <w:tblInd w:w="72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concentrated ownership of our common stock;</w:t>
            </w:r>
          </w:p>
        </w:tc>
      </w:tr>
    </w:tbl>
    <w:p>
      <w:pPr>
        <w:pStyle w:val="TextBody"/>
        <w:bidi w:val="0"/>
        <w:spacing w:before="0" w:after="0"/>
        <w:ind w:left="720" w:right="720" w:hanging="0"/>
        <w:jc w:val="left"/>
        <w:rPr>
          <w:caps w:val="false"/>
          <w:smallCaps w:val="false"/>
        </w:rPr>
      </w:pPr>
      <w:r>
        <w:rPr>
          <w:caps w:val="false"/>
          <w:smallCaps w:val="false"/>
        </w:rPr>
        <w:t> </w:t>
      </w:r>
    </w:p>
    <w:tbl>
      <w:tblPr>
        <w:tblW w:w="2988" w:type="dxa"/>
        <w:jc w:val="left"/>
        <w:tblInd w:w="72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accounting principles;</w:t>
            </w:r>
          </w:p>
        </w:tc>
      </w:tr>
    </w:tbl>
    <w:p>
      <w:pPr>
        <w:pStyle w:val="TextBody"/>
        <w:bidi w:val="0"/>
        <w:spacing w:before="0" w:after="0"/>
        <w:ind w:left="720" w:right="720" w:hanging="0"/>
        <w:jc w:val="left"/>
        <w:rPr>
          <w:caps w:val="false"/>
          <w:smallCaps w:val="false"/>
        </w:rPr>
      </w:pPr>
      <w:r>
        <w:rPr>
          <w:caps w:val="false"/>
          <w:smallCaps w:val="false"/>
        </w:rPr>
        <w:t> </w:t>
      </w:r>
    </w:p>
    <w:tbl>
      <w:tblPr>
        <w:tblW w:w="5223" w:type="dxa"/>
        <w:jc w:val="left"/>
        <w:tblInd w:w="72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terrorist acts, acts of war or periods of widespread civil unrest;</w:t>
            </w:r>
          </w:p>
        </w:tc>
      </w:tr>
    </w:tbl>
    <w:p>
      <w:pPr>
        <w:pStyle w:val="TextBody"/>
        <w:bidi w:val="0"/>
        <w:spacing w:before="0" w:after="0"/>
        <w:ind w:left="720" w:right="720" w:hanging="0"/>
        <w:jc w:val="left"/>
        <w:rPr>
          <w:caps w:val="false"/>
          <w:smallCaps w:val="false"/>
        </w:rPr>
      </w:pPr>
      <w:r>
        <w:rPr>
          <w:caps w:val="false"/>
          <w:smallCaps w:val="false"/>
        </w:rPr>
        <w:t> </w:t>
      </w:r>
    </w:p>
    <w:tbl>
      <w:tblPr>
        <w:tblW w:w="5793" w:type="dxa"/>
        <w:jc w:val="left"/>
        <w:tblInd w:w="72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any natural disasters or public health emergencies; and</w:t>
            </w:r>
          </w:p>
        </w:tc>
      </w:tr>
    </w:tbl>
    <w:p>
      <w:pPr>
        <w:pStyle w:val="TextBody"/>
        <w:bidi w:val="0"/>
        <w:spacing w:before="0" w:after="0"/>
        <w:ind w:left="720" w:right="720" w:hanging="0"/>
        <w:jc w:val="left"/>
        <w:rPr>
          <w:caps w:val="false"/>
          <w:smallCaps w:val="false"/>
        </w:rPr>
      </w:pPr>
      <w:r>
        <w:rPr>
          <w:caps w:val="false"/>
          <w:smallCaps w:val="false"/>
        </w:rPr>
        <w:t> </w:t>
      </w:r>
    </w:p>
    <w:tbl>
      <w:tblPr>
        <w:tblW w:w="4353" w:type="dxa"/>
        <w:jc w:val="left"/>
        <w:tblInd w:w="72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issuance of equity or of debt securities that are convertible into equity will dilute our share capital.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2024, we completed a registered direct offering (the “Registered Direct Offering”) with certain institutional investors, where we issued an aggregate of (a) 193,581 shares of our common stock and (b) warrants to purchase 193,581 shares of our common stock (the “Warrants”). The Warrants became exercisable on June 20, 2025 at an initial exercise price of $59.50 per share, subject to certain adjustments including for reverse stock splits and share consolidations. As a result of the April 6, 2026 Share Consolidation, the exercise price of the warrants was adjusted to $4.35 per share. Once the Warrants are exercised, the issuance of additional shares of our common stock would cause immediate and substantial dilution to our existing shareholders and could cause a significant reduction in the market price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entered into the PPAs and the SEPA (each as defined herein). The issuances of the PPA Shares (as defined herein) to date caused immediate and substantial dilution to our existing shareholders. In addition, any future issuances of SEPA Shares (as defined herein) may cause immediate and substantial dilution to our existing shareholders and could cause a significant reduction in the market price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common stock or the availability of common stock for future sales will have on the trading price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executive officers and directors, together with holders of 5% or more of our outstanding common stock and their respective affiliates, beneficially own approximately 22.8% of our outstanding common stock. More specifically, Jay M. Short, Ph.D, our Chairman and Chief Executive Officer, together with his spouse, beneficially own approximately 5.4%, of our outstanding common stock, as of September 30,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our stock price to fall.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future awards granted under those plans will become available for sale in the public market to the extent permitted by Rules 144 and 701 under the Securities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0" w:after="0"/>
        <w:ind w:left="720" w:right="720" w:hanging="0"/>
        <w:jc w:val="both"/>
        <w:rPr>
          <w:caps w:val="false"/>
          <w:smallCaps w:val="false"/>
        </w:rPr>
      </w:pPr>
      <w:r>
        <w:rPr>
          <w:caps w:val="false"/>
          <w:smallCaps w:val="false"/>
        </w:rPr>
        <w:t> </w:t>
      </w:r>
    </w:p>
    <w:tbl>
      <w:tblPr>
        <w:tblW w:w="5448" w:type="dxa"/>
        <w:jc w:val="left"/>
        <w:tblInd w:w="72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prohibition on actions by our stockholders by written consent;</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requirement that special meetings of stockholders be called only by the chairman of our board of directors, our chief executive officer, or our board of directors pursuant to a resolution adopted by a majority of the total number of authorized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 notice requirements for election to our board of directors and for proposing matters that can be acted upon at stockholder meetings;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requirement that directors may only be removed “for cause” and only with 66 2/3% voting stock of our stockholders;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requirement that only the board of directors may change the number of directors and fill vacancies on the board;</w:t>
            </w:r>
          </w:p>
        </w:tc>
      </w:tr>
    </w:tbl>
    <w:p>
      <w:pPr>
        <w:pStyle w:val="TextBody"/>
        <w:bidi w:val="0"/>
        <w:spacing w:before="0" w:after="0"/>
        <w:ind w:left="720" w:right="720" w:hanging="0"/>
        <w:jc w:val="left"/>
        <w:rPr>
          <w:caps w:val="false"/>
          <w:smallCaps w:val="false"/>
        </w:rPr>
      </w:pPr>
      <w:r>
        <w:rPr>
          <w:caps w:val="false"/>
          <w:smallCaps w:val="false"/>
        </w:rPr>
        <w:t> </w:t>
      </w:r>
    </w:p>
    <w:tbl>
      <w:tblPr>
        <w:tblW w:w="8283" w:type="dxa"/>
        <w:jc w:val="left"/>
        <w:tblInd w:w="72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division of our board of directors into three classes, serving staggered terms of three years each;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authority of the board of directors to issue preferred stock with such terms as the board of directors may determine.</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ability to attract and retain qualified members of our board of directors may be impacted due to new laws, including recently enacted diversity quotas.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required to comply with additional disclosure requirements. However, ultimate enforceability of SB 826 remains uncertain.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market or exchange rules, which may expose us to penalties and/or reputational harm.</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incurred and will continue to incur significant legal, accounting and other expenses that we did not incur as a private company. The Sarbanes-Oxley Act, the Dodd-Frank Wall Street Reform and Consumer Protection Act, exchange listing requirements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market on which our common stock is quoted, the SEC or other regulatory authorities. In addition, if we are not able to continue to meet these requirements, we may not be able to remain eligible for quotation on the OTCQB.</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disclosure controls and procedures may not prevent or detect all errors or acts of fraud.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6" w:name="b007"/>
      <w:bookmarkEnd w:id="26"/>
      <w:r>
        <w:rPr>
          <w:rFonts w:ascii="Times New Roman;Times;Serif" w:hAnsi="Times New Roman;Times;Serif"/>
          <w:b/>
          <w:i w:val="false"/>
          <w:caps/>
          <w:sz w:val="20"/>
        </w:rPr>
        <w:t>USE OF PROCEEDS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prospectus relates to shares of our common stock that may be offered and sold from time to time by the Selling Stockholder. All of the proceeds from the resale of such shares by the Selling Stockholder will be solely for the Selling Stockholder’s account, and we will not receive any proceeds from such sales.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may receive up to $40,000,000 in aggregate gross proceeds from any sales of Advance Shares we make to Yorkville pursuant to the SEPA from and after the date of this prospectus. Because we are not obligated to sell any shares of our common stock under the SEPA, the actual total proceeds to us, if any, are not determinable at this time. See “</w:t>
      </w:r>
      <w:r>
        <w:rPr>
          <w:rFonts w:ascii="Times New Roman;Times;Serif" w:hAnsi="Times New Roman;Times;Serif"/>
          <w:b w:val="false"/>
          <w:i/>
          <w:caps w:val="false"/>
          <w:smallCaps w:val="false"/>
          <w:color w:val="231F20"/>
          <w:sz w:val="20"/>
        </w:rPr>
        <w:t>The Standby Equity Purchase Agreement</w:t>
      </w:r>
      <w:r>
        <w:rPr>
          <w:rFonts w:ascii="Times New Roman;Times;Serif" w:hAnsi="Times New Roman;Times;Serif"/>
          <w:b w:val="false"/>
          <w:i w:val="false"/>
          <w:caps w:val="false"/>
          <w:smallCaps w:val="false"/>
          <w:color w:val="231F20"/>
          <w:sz w:val="20"/>
        </w:rPr>
        <w:t>” and “</w:t>
      </w:r>
      <w:r>
        <w:rPr>
          <w:rFonts w:ascii="Times New Roman;Times;Serif" w:hAnsi="Times New Roman;Times;Serif"/>
          <w:b w:val="false"/>
          <w:i/>
          <w:caps w:val="false"/>
          <w:smallCaps w:val="false"/>
          <w:color w:val="231F20"/>
          <w:sz w:val="20"/>
        </w:rPr>
        <w:t>Plan of Distribution</w:t>
      </w:r>
      <w:r>
        <w:rPr>
          <w:rFonts w:ascii="Times New Roman;Times;Serif" w:hAnsi="Times New Roman;Times;Serif"/>
          <w:b w:val="false"/>
          <w:i w:val="false"/>
          <w:caps w:val="false"/>
          <w:smallCaps w:val="false"/>
          <w:color w:val="231F20"/>
          <w:sz w:val="20"/>
        </w:rPr>
        <w:t>” elsewhere in this prospectus for more information.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receive a de minimis amount of proceeds from any cash exercise of the Commitment Fee Warrants. If all of the Commitment Fee Warrants were exercised for cash, we would receive aggregate proceeds of approximately $18.21, assuming an exercise price of $0.0001.</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the extent that we do elect to sell shares of our common stock to Yorkville pursuant to the SEPA, the amount of proceeds will depend upon the number of shares of common stock sold and the price at which they are sold. There can be no assurance that we will be able to sell any shares of common stock under or fully utilize the SEPA as a source of financing.</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currently plan to use the net proceeds we receive from the SEPA, if any, together with existing cash and cash equivalents, primarily for working capital and other general corporate purposes and to fund our research and development efforts. We do not currently have specific plans or commitments with respect to such net proceeds, if any, and, accordingly, are not able to quantify the allocation of such proceeds among the various potential uses.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Selling Stockholder will pay any underwriting discounts, selling commissions and stock transfer taxes and fees incurred by such holder in connection with any sale of their shares of common stock. The Company will generally bear all other costs, fees and expenses incurred in effecting the registration of the shares of common stock covered by this prospectus, including, without limitation, all registration and filing fees and fees and expenses of our counsel and independent registered public accountants.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amounts and timing of our actual expenditures will depend on numerous factors, including the progress of our clinical trials and other development efforts and other factors described under “</w:t>
      </w:r>
      <w:r>
        <w:rPr>
          <w:rFonts w:ascii="Times New Roman;Times;Serif" w:hAnsi="Times New Roman;Times;Serif"/>
          <w:b w:val="false"/>
          <w:i/>
          <w:caps w:val="false"/>
          <w:smallCaps w:val="false"/>
          <w:color w:val="231F20"/>
          <w:sz w:val="20"/>
        </w:rPr>
        <w:t>Risk Factors</w:t>
      </w:r>
      <w:r>
        <w:rPr>
          <w:rFonts w:ascii="Times New Roman;Times;Serif" w:hAnsi="Times New Roman;Times;Serif"/>
          <w:b w:val="false"/>
          <w:i w:val="false"/>
          <w:caps w:val="false"/>
          <w:smallCaps w:val="false"/>
          <w:color w:val="231F20"/>
          <w:sz w:val="20"/>
        </w:rPr>
        <w:t>” in this prospectus, as well as the amount of cash used in our operations. We may find it necessary or advisable to use the net proceeds for other purposes, and we will have broad discretion in the application of the net proceeds. Pending the uses described above, we plan to invest the net proceeds in short-term, interest-bearing accounts.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i w:val="false"/>
          <w:caps/>
          <w:sz w:val="20"/>
        </w:rPr>
      </w:pPr>
      <w:bookmarkStart w:id="27" w:name="b008"/>
      <w:bookmarkEnd w:id="27"/>
      <w:r>
        <w:rPr>
          <w:rFonts w:ascii="Times New Roman;Times;Serif" w:hAnsi="Times New Roman;Times;Serif"/>
          <w:b/>
          <w:i w:val="false"/>
          <w:caps/>
          <w:sz w:val="20"/>
        </w:rPr>
        <w:t>DIVIDEND POLICY</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the Common Stock to date and do not intend to pay cash dividends. Any payment of cash dividends in the future will be dependent upon our revenues and earnings, if any, capital requirements and general financial condition. The payment of any cash dividends will be within the discretion of our Board of Directors at such time.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8" w:name="b009"/>
      <w:bookmarkEnd w:id="2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You should read the following discussion and analysis together with our consolidated financial statements and related notes included in this prospectus. The following discussion contains forward-looking statements that involve risks and uncertainties. For a complete discussion of forward-looking statements, see the section above entitled “Forward-Looking Statements.” Our actual results could differ materially from those expressed or implied in any forward-looking statements as a result of various factors, including those set forth under the caption “Risk Factors.”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proprietary approach is to identify the necessary targeting and potency required for cancer cell destruction, while aiming to eliminate or greatly reduce on-target, off-tumor toxicity—one of the fundamental challenges of existing cancer therapies.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completed Phase 2 clinical trials of mecbotamab vedotin (BA3011), ozuriftamab vedotin (BA3021), evalstotug (BA3071), and our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As part of this process, we paused further enrollment in our ongoing Phase 1 study of BA3182 (CAB-EpCAM x CAB-CD3), while continuing treatment, follow-up of patients, including obtaining new scans in the study. We are also reassessing the appropriate timeline and pacing of further enrollment in the Phase 1 study as well as the appropriate timeline to commence a Phase 3 study for ozuriftamab vedotin (BA3021) (CAB-ROR2-ADC) in 2L+ oropharyngeal squamous cell carcinoma (“OPSCC”). While our goal is to continue these studies, there can be no assurances that clinical development of our programs will not be limited or delayed pending the outcome of the strategic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incurred significant losses to date. Our ability to generate product revenue sufficient to achieve profitability will depend on the successful development and eventual commercialization of one or more of our current and future product candidates. We reported net income of $0.5 million and a net loss of $5.9 million for the three and six months ended June 30, 2026, compared to net losses of $18.7 million and $34.0 million for the three and six months ended June 30, 2025. Our net loss was $59.6 million and $69.8 million for the years ended December 31, 2025 and 2024, respectively. As of June 30, 2026, we had an accumulated deficit of $551.5 million. As of December 31, 2025, we had an accumulated deficit of $545.6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clinical development of our product candidates. During the year ended December 31, 2025, we implemented certain initiatives to lower cost and extend our cash runway, including a restructuring in March 2025 that included a 30%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reduction, and a reduction in our lease footprint by almost half in June 2025. Additionally, in March 2026 we implemented a restructuring plan that included a 70% workforce reduction. We expect our expenses to decrease in the near term as a result of the March 2026 workforce reduction, cost containment measures and capital preservation initiatives discussed above.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long-term, we expect our expenses to increase substantially in connection with the development of our clinical programs beyond our existing and potential future clinical trials and potentially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and cash equivalents totaled approximately $1.5 million. On May 14, 2026, we entered into a First Amendment (the “Context Amendment”) to that certain License Agreement, dated September 23, 2024 (the “Context License Agreement”), by and between us and Context Therapeutics, Inc., a Delaware corporation (“Context”). Under the terms of the Context Amendment, and in full consideration for the amended license rights in the Context Amendment, we received $4,500,000 upfront from Context and the additional $2,000,000 that was due by August 1,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we entered into a First Amendment (the “EXUMA Amendment”) to the Amended and Restated Exclusive License Agreement, dated November 22, 2019 (the “EXUMA License Agreement”), with EXUMA Biotech Corp. (formerly F1 Oncology, Inc.), a Delaware corporation (“EXUMA”). Under the terms of the EXUMA Amendment, and in full consideration for the license and other rights granted under the EXUMA License Agreement, EXUMA agreed to pay us $250,000 within two business days of the effective date of the EXUMA Amendment.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the sale of products and do not expect to generate meaningful revenue in the near future.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and licensing agreements with various third parties that, in some cases, may provide for potential future milestone and royalty payments to us (see Note 9 to our condensed consolidated financial statements). In September 2024, we licensed BA3362, a Nectin-4 x CD3 T cell engaging bispecific antibody, to Context. In November 2025, we received the first $2.0 million milestone payment under the Context License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in connection with the Context Amendment, we received $4.5 million. We subsequently received the additional $2.0 million that was due by August 1, 2026. We recognized $6.5 million in revenue during the three and six months ended June 30, 2026, related to these payments under the Context License Agreement. We did not recognize any revenue during the three and six months ended June 30, 2025, related to the Context License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revenue of $2.0 million and $11.0 million related to the licensing agreement with Context during the years ended December 31, 2025 and 2024, respectively.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the discovery and development of our product candidates.</w:t>
      </w:r>
    </w:p>
    <w:p>
      <w:pPr>
        <w:pStyle w:val="TextBody"/>
        <w:bidi w:val="0"/>
        <w:spacing w:before="0" w:after="0"/>
        <w:ind w:left="720" w:right="720" w:hanging="0"/>
        <w:jc w:val="both"/>
        <w:rPr>
          <w:caps w:val="false"/>
          <w:smallCaps w:val="false"/>
        </w:rPr>
      </w:pPr>
      <w:r>
        <w:rPr>
          <w:caps w:val="false"/>
          <w:smallCaps w:val="false"/>
        </w:rPr>
        <w:t> </w:t>
      </w:r>
    </w:p>
    <w:tbl>
      <w:tblPr>
        <w:tblW w:w="2598" w:type="dxa"/>
        <w:jc w:val="left"/>
        <w:tblInd w:w="72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External expenses consist of:</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paid to third parties such as contractors, clinical research organizations (CROs) and consultants, and other costs related to preclinical and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paid to third parties such as contract manufacturing organizations (CMOs) and other vendors for manufacturing research and clinical trial materials; and</w:t>
            </w:r>
          </w:p>
        </w:tc>
      </w:tr>
    </w:tbl>
    <w:p>
      <w:pPr>
        <w:pStyle w:val="TextBody"/>
        <w:bidi w:val="0"/>
        <w:spacing w:before="0" w:after="0"/>
        <w:ind w:left="720" w:right="720" w:hanging="0"/>
        <w:jc w:val="left"/>
        <w:rPr>
          <w:caps w:val="false"/>
          <w:smallCaps w:val="false"/>
        </w:rPr>
      </w:pPr>
      <w:r>
        <w:rPr>
          <w:caps w:val="false"/>
          <w:smallCaps w:val="false"/>
        </w:rPr>
        <w:t> </w:t>
      </w:r>
    </w:p>
    <w:tbl>
      <w:tblPr>
        <w:tblW w:w="4503" w:type="dxa"/>
        <w:jc w:val="left"/>
        <w:tblInd w:w="72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related to laboratory supplies and services.</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720" w:right="720" w:hanging="0"/>
        <w:jc w:val="left"/>
        <w:rPr/>
      </w:pPr>
      <w:r>
        <w:rPr/>
        <w:t> </w:t>
      </w:r>
    </w:p>
    <w:tbl>
      <w:tblPr>
        <w:tblW w:w="2898" w:type="dxa"/>
        <w:jc w:val="left"/>
        <w:tblInd w:w="72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Unallocated expenses consist of:</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Personnel-related expenses, including salaries, benefits and equity-based compensation expenses, for personnel in our research and development functions; and</w:t>
            </w:r>
          </w:p>
        </w:tc>
      </w:tr>
    </w:tbl>
    <w:p>
      <w:pPr>
        <w:pStyle w:val="TextBody"/>
        <w:bidi w:val="0"/>
        <w:spacing w:before="0" w:after="0"/>
        <w:ind w:left="720" w:right="720" w:hanging="0"/>
        <w:jc w:val="left"/>
        <w:rPr>
          <w:caps w:val="false"/>
          <w:smallCaps w:val="false"/>
        </w:rPr>
      </w:pPr>
      <w:r>
        <w:rPr>
          <w:caps w:val="false"/>
          <w:smallCaps w:val="false"/>
        </w:rPr>
        <w:t> </w:t>
      </w:r>
    </w:p>
    <w:tbl>
      <w:tblPr>
        <w:tblW w:w="4698" w:type="dxa"/>
        <w:jc w:val="left"/>
        <w:tblInd w:w="72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equipment and facilities depreciation expense.</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to decrease in the near term due to cost containment measures and capital preservation initiatives discussed above.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consists primarily of interest earned on our cash and cash equivalent balances.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(Loss) on 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warrant liability relates to the changes in the fair value of our liability-classified warrants to purchase common stock.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(Loss) on PPAs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PPAs liability relates to the changes in the fair value of our liability-classified PPAs (as defined below).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of miscellaneous income and expense unrelated to our core operations.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5795"/>
        <w:gridCol w:w="60"/>
        <w:gridCol w:w="140"/>
        <w:gridCol w:w="560"/>
        <w:gridCol w:w="95"/>
        <w:gridCol w:w="60"/>
        <w:gridCol w:w="140"/>
        <w:gridCol w:w="755"/>
        <w:gridCol w:w="95"/>
        <w:gridCol w:w="60"/>
        <w:gridCol w:w="140"/>
        <w:gridCol w:w="755"/>
        <w:gridCol w:w="110"/>
      </w:tblGrid>
      <w:tr>
        <w:trPr/>
        <w:tc>
          <w:tcPr>
            <w:tcW w:w="5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5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10"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0" w:type="dxa"/>
            <w:gridSpan w:val="6"/>
            <w:tcBorders/>
            <w:vAlign w:val="center"/>
          </w:tcPr>
          <w:p>
            <w:pPr>
              <w:pStyle w:val="TableContents"/>
              <w:bidi w:val="0"/>
              <w:spacing w:before="0" w:after="283"/>
              <w:jc w:val="center"/>
              <w:rPr>
                <w:b/>
                <w:sz w:val="16"/>
              </w:rPr>
            </w:pPr>
            <w:r>
              <w:rPr>
                <w:b/>
                <w:sz w:val="16"/>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6,500</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(10,342</w:t>
            </w:r>
          </w:p>
        </w:tc>
        <w:tc>
          <w:tcPr>
            <w:tcW w:w="110" w:type="dxa"/>
            <w:tcBorders/>
            <w:shd w:fill="CCEEFF" w:val="clear"/>
            <w:vAlign w:val="center"/>
          </w:tcPr>
          <w:p>
            <w:pPr>
              <w:pStyle w:val="TableContents"/>
              <w:bidi w:val="0"/>
              <w:spacing w:before="0" w:after="283"/>
              <w:jc w:val="left"/>
              <w:rPr/>
            </w:pPr>
            <w:r>
              <w:rPr/>
              <w:t>)</w:t>
            </w:r>
          </w:p>
        </w:tc>
      </w:tr>
      <w:tr>
        <w:trPr/>
        <w:tc>
          <w:tcPr>
            <w:tcW w:w="57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(2,032</w:t>
            </w:r>
          </w:p>
        </w:tc>
        <w:tc>
          <w:tcPr>
            <w:tcW w:w="110" w:type="dxa"/>
            <w:tcBorders/>
            <w:shd w:fill="FFFFFF" w:val="clear"/>
            <w:vAlign w:val="center"/>
          </w:tcPr>
          <w:p>
            <w:pPr>
              <w:pStyle w:val="TableContents"/>
              <w:bidi w:val="0"/>
              <w:spacing w:before="0" w:after="283"/>
              <w:jc w:val="left"/>
              <w:rPr/>
            </w:pPr>
            <w:r>
              <w:rPr/>
              <w:t>)</w:t>
            </w:r>
          </w:p>
        </w:tc>
      </w:tr>
      <w:tr>
        <w:trPr/>
        <w:tc>
          <w:tcPr>
            <w:tcW w:w="579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6,273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18,647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(12,374</w:t>
            </w:r>
          </w:p>
        </w:tc>
        <w:tc>
          <w:tcPr>
            <w:tcW w:w="110" w:type="dxa"/>
            <w:tcBorders/>
            <w:shd w:fill="CCEEFF" w:val="clear"/>
            <w:vAlign w:val="center"/>
          </w:tcPr>
          <w:p>
            <w:pPr>
              <w:pStyle w:val="TableContents"/>
              <w:bidi w:val="0"/>
              <w:spacing w:before="0" w:after="283"/>
              <w:jc w:val="left"/>
              <w:rPr/>
            </w:pPr>
            <w:r>
              <w:rPr/>
              <w:t>)</w:t>
            </w:r>
          </w:p>
        </w:tc>
      </w:tr>
      <w:tr>
        <w:trPr/>
        <w:tc>
          <w:tcPr>
            <w:tcW w:w="5795"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(18,647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18,874</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(217</w:t>
            </w:r>
          </w:p>
        </w:tc>
        <w:tc>
          <w:tcPr>
            <w:tcW w:w="110" w:type="dxa"/>
            <w:tcBorders/>
            <w:shd w:fill="FFFFFF" w:val="clear"/>
            <w:vAlign w:val="center"/>
          </w:tcPr>
          <w:p>
            <w:pPr>
              <w:pStyle w:val="TableContents"/>
              <w:bidi w:val="0"/>
              <w:spacing w:before="0" w:after="283"/>
              <w:jc w:val="left"/>
              <w:rPr/>
            </w:pPr>
            <w:r>
              <w:rPr/>
              <w:t>)</w:t>
            </w:r>
          </w:p>
        </w:tc>
      </w:tr>
      <w:tr>
        <w:trPr/>
        <w:tc>
          <w:tcPr>
            <w:tcW w:w="5795" w:type="dxa"/>
            <w:tcBorders/>
            <w:shd w:fill="CCEEFF" w:val="clear"/>
            <w:vAlign w:val="center"/>
          </w:tcPr>
          <w:p>
            <w:pPr>
              <w:pStyle w:val="TableContents"/>
              <w:bidi w:val="0"/>
              <w:spacing w:before="0" w:after="283"/>
              <w:jc w:val="left"/>
              <w:rPr/>
            </w:pPr>
            <w:r>
              <w:rPr/>
              <w:t>Gain (loss) on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517</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5795"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Consolidated net income (loss) and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19,163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Collaboration and other revenue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and other revenue was $6.5 million and $0.0 million during the three months ended June 30, 2026 and 2025, respectively. The $6.5 million increase was due to amounts due under the Context Amendment in the current quarter.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allocated by CAB program for the periods indicated:</w:t>
      </w:r>
    </w:p>
    <w:p>
      <w:pPr>
        <w:pStyle w:val="TextBody"/>
        <w:bidi w:val="0"/>
        <w:spacing w:before="0" w:after="0"/>
        <w:ind w:left="720" w:right="720" w:hanging="0"/>
        <w:jc w:val="both"/>
        <w:rPr>
          <w:caps w:val="false"/>
          <w:smallCaps w:val="false"/>
        </w:rPr>
      </w:pPr>
      <w:r>
        <w:rPr>
          <w:caps w:val="false"/>
          <w:smallCaps w:val="false"/>
        </w:rPr>
        <w:t> </w:t>
      </w:r>
    </w:p>
    <w:tbl>
      <w:tblPr>
        <w:tblW w:w="6790" w:type="dxa"/>
        <w:jc w:val="left"/>
        <w:tblInd w:w="720" w:type="dxa"/>
        <w:tblLayout w:type="fixed"/>
        <w:tblCellMar>
          <w:top w:w="0" w:type="dxa"/>
          <w:left w:w="0" w:type="dxa"/>
          <w:bottom w:w="0" w:type="dxa"/>
          <w:right w:w="0" w:type="dxa"/>
        </w:tblCellMar>
      </w:tblPr>
      <w:tblGrid>
        <w:gridCol w:w="3965"/>
        <w:gridCol w:w="60"/>
        <w:gridCol w:w="140"/>
        <w:gridCol w:w="560"/>
        <w:gridCol w:w="60"/>
        <w:gridCol w:w="60"/>
        <w:gridCol w:w="140"/>
        <w:gridCol w:w="680"/>
        <w:gridCol w:w="60"/>
        <w:gridCol w:w="60"/>
        <w:gridCol w:w="140"/>
        <w:gridCol w:w="755"/>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vAlign w:val="center"/>
          </w:tcPr>
          <w:p>
            <w:pPr>
              <w:pStyle w:val="TableContents"/>
              <w:bidi w:val="0"/>
              <w:spacing w:before="0" w:after="283"/>
              <w:jc w:val="center"/>
              <w:rPr>
                <w:b/>
                <w:sz w:val="16"/>
              </w:rPr>
            </w:pPr>
            <w:r>
              <w:rPr>
                <w:b/>
                <w:sz w:val="16"/>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External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BA3182 (CAB EpCAM x CAB CD3)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(1,814</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Other CAB Programs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(6,001</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Total external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(7,815</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Personnel and related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(1,664</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Equity-based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(432</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Facilities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(431</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(10,342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$3.3 million and $13.7 million for the three months ended June 30, 2026 and 2025, respectively. The decrease of approximately $10.3 million was primarily driven by a $8.8 million decrease in program development costs due to completion of our Phase 2 trials for mecbotamab vedotin, ozuriftamab vedotin, and evalstotug. The remaining decrease in research and development expense is due to a $2.1 million decrease in personnel related expense, including stock-based compensation, primarily due to our reduction in force in March 2026, and a $0.4 million decrease in facilities and other allocated costs. This was offset by a $1.0 million increase in related party expense incurred in connection with the Context Amendment in May 2026.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$2.9 million and $5.0 million for the three months ended June 30, 2026 and 2025, respectively. The decrease of approximately $2.0 million was primarily driven by a $1.2 million decrease in personnel related expense, including stock-based compensation, primarily due to our reduction in force in March 2026, a $0.8 million decrease in professional fees primarily related to the Company’s intellectual property portfolio, offset by a $0.4 million increase in advisor fees related to closing the Context Amendment in May 2026. The remaining $0.4 million decrease is related to facility and other allocated costs.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$0.0 million and $0.2 million for the three months ended June 30, 2026 and 2025, respectively. The decrease of $0.2 million was primarily due to lower cash and cash equivalents compared to the same period in 2025.</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(loss) on 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warrant liability was $0.2 million for the three months ended June 30, 2026, as compared to a loss on warrant liability of $0.3 million for the three months ended June 30, 2025. The increase of $0.5 million was due to the change in fair value of the warrants which were issued in December 2024 and are adjusted to fair value at each period, including the impact of an adjustment to the warrant exercise price related to the Share Consolidation which became effective in April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720" w:right="720" w:hanging="0"/>
        <w:jc w:val="left"/>
        <w:rPr>
          <w:caps w:val="false"/>
          <w:smallCaps w:val="false"/>
        </w:rPr>
      </w:pPr>
      <w:r>
        <w:rPr>
          <w:caps w:val="false"/>
          <w:smallCaps w:val="false"/>
        </w:rPr>
        <w:t> </w:t>
      </w:r>
    </w:p>
    <w:tbl>
      <w:tblPr>
        <w:tblW w:w="6200" w:type="dxa"/>
        <w:jc w:val="left"/>
        <w:tblInd w:w="720" w:type="dxa"/>
        <w:tblLayout w:type="fixed"/>
        <w:tblCellMar>
          <w:top w:w="0" w:type="dxa"/>
          <w:left w:w="0" w:type="dxa"/>
          <w:bottom w:w="0" w:type="dxa"/>
          <w:right w:w="0" w:type="dxa"/>
        </w:tblCellMar>
      </w:tblPr>
      <w:tblGrid>
        <w:gridCol w:w="3110"/>
        <w:gridCol w:w="60"/>
        <w:gridCol w:w="140"/>
        <w:gridCol w:w="680"/>
        <w:gridCol w:w="95"/>
        <w:gridCol w:w="60"/>
        <w:gridCol w:w="140"/>
        <w:gridCol w:w="755"/>
        <w:gridCol w:w="95"/>
        <w:gridCol w:w="60"/>
        <w:gridCol w:w="140"/>
        <w:gridCol w:w="755"/>
        <w:gridCol w:w="110"/>
      </w:tblGrid>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b/>
                <w:sz w:val="16"/>
              </w:rPr>
            </w:pPr>
            <w:r>
              <w:rPr>
                <w:b/>
                <w:sz w:val="16"/>
              </w:rPr>
              <w:t>(in thousands)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6,500</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26,039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(18,115</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(2,565</w:t>
            </w:r>
          </w:p>
        </w:tc>
        <w:tc>
          <w:tcPr>
            <w:tcW w:w="11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(20,680</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(36,261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27,180</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(580</w:t>
            </w:r>
          </w:p>
        </w:tc>
        <w:tc>
          <w:tcPr>
            <w:tcW w:w="11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Gain on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1,311</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Gain on PPAs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273</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Total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973</w:t>
            </w:r>
          </w:p>
        </w:tc>
        <w:tc>
          <w:tcPr>
            <w:tcW w:w="11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(5,892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(34,045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28,153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Collaboration and other revenue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and other revenue was $6.5 million and $0.0 million during the six months ended June 30, 2026 and 2025, respectively. The $6.5 million increase was due to amounts due under the Context Amendment in the current quarter.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allocated by CAB program for the periods indicated:</w:t>
      </w:r>
    </w:p>
    <w:p>
      <w:pPr>
        <w:pStyle w:val="TextBody"/>
        <w:bidi w:val="0"/>
        <w:spacing w:before="0" w:after="0"/>
        <w:ind w:left="720" w:right="720" w:firstLine="490"/>
        <w:jc w:val="left"/>
        <w:rPr>
          <w:caps w:val="false"/>
          <w:smallCaps w:val="false"/>
        </w:rPr>
      </w:pPr>
      <w:r>
        <w:rPr>
          <w:caps w:val="false"/>
          <w:smallCaps w:val="false"/>
        </w:rPr>
        <w:t> </w:t>
      </w:r>
    </w:p>
    <w:tbl>
      <w:tblPr>
        <w:tblW w:w="6790" w:type="dxa"/>
        <w:jc w:val="left"/>
        <w:tblInd w:w="720" w:type="dxa"/>
        <w:tblLayout w:type="fixed"/>
        <w:tblCellMar>
          <w:top w:w="0" w:type="dxa"/>
          <w:left w:w="0" w:type="dxa"/>
          <w:bottom w:w="0" w:type="dxa"/>
          <w:right w:w="0" w:type="dxa"/>
        </w:tblCellMar>
      </w:tblPr>
      <w:tblGrid>
        <w:gridCol w:w="3965"/>
        <w:gridCol w:w="60"/>
        <w:gridCol w:w="140"/>
        <w:gridCol w:w="560"/>
        <w:gridCol w:w="60"/>
        <w:gridCol w:w="60"/>
        <w:gridCol w:w="140"/>
        <w:gridCol w:w="680"/>
        <w:gridCol w:w="60"/>
        <w:gridCol w:w="60"/>
        <w:gridCol w:w="140"/>
        <w:gridCol w:w="755"/>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b/>
                <w:sz w:val="16"/>
              </w:rPr>
            </w:pPr>
            <w:r>
              <w:rPr>
                <w:b/>
                <w:sz w:val="16"/>
              </w:rPr>
              <w:t>(in thousands)</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External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BA3182 (CAB EpCAM x CAB CD3)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(935</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Other CAB Programs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(12,256</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Total external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(13,191</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Personnel and related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(3,355</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Equity-based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(885</w:t>
            </w:r>
          </w:p>
        </w:tc>
        <w:tc>
          <w:tcPr>
            <w:tcW w:w="11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Facilities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(684</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7,924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26,039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(18,115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$7.9 million and $26.0 million for the six months ended June 30, 2026 and 2025, respectively. The decrease of approximately $18.1 million was primarily driven by a $14.2 million decrease in program development costs due to completion of our Phase 2 trials for mecbotamab vedotin, ozuriftamab vedotin, and evalstotug, a $4.2 million decrease in personnel related expense, including stock-based compensation, primarily due to workforce reductions in March 2025 and March 2026, a lower bonus expense in 2026, and a $0.7 million decrease in facilities and other allocated costs. This was offset by a $1.0 million increase in related party expense incurred in connection with the Context Amendment in May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$7.7 million and $10.2 million for the six months ended June 30, 2026 and 2025, respectively. The decrease of approximately $2.5 million was primarily driven by a $2.3 million decrease in personnel expense, including stock-based compensation, primarily due to workforce reductions in March 2025 and March 2026, and lower bonus expense in 2026, a $0.5 million decrease in professional fees primarily related to the Company’s intellectual property portfolio, and a $0.4 million decrease in facility and other allocated costs. This was offset by a $0.4 million increase in advisor fees related to closing the Context Amendment in May 2026, and a $0.3 million increase in fees related to the Company’s efforts to maintain compliance with Nasdaq listing requirements including the share consolidation that became effective in April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$0.1 million and $0.6 million for the six months ended June 30, 2026 and 2025, respectively. The decrease of $0.5 million was primarily due to lower cash and cash equivalents compared to the same period in 2025.</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warrant liability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warrant liability was $2.9 million and $1.6 million for the six months ended June 30, 2026 and 2025, respectively. The increase of $1.3 million was due to the change in fair value of the warrants which were issued in December 2024 and are adjusted to fair value at each period, including the impact of an adjustment to the warrant exercise price related to the share consolidation which became effective in April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PPAs liability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PPAs liability was $0.3 million for the six months ended June 30, 2026 compared to zero for the six months ended June 30, 2025. The gain of $0.3 million was due to the change in fair value for our pre-paid agreement liability which was initiated in November 2025 and has been fully converted into common stock as of March 2026.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and 2024</w:t>
      </w:r>
    </w:p>
    <w:p>
      <w:pPr>
        <w:pStyle w:val="TextBody"/>
        <w:bidi w:val="0"/>
        <w:spacing w:before="0" w:after="0"/>
        <w:ind w:left="720" w:right="720" w:hanging="0"/>
        <w:jc w:val="left"/>
        <w:rPr>
          <w:caps w:val="false"/>
          <w:smallCaps w:val="false"/>
        </w:rPr>
      </w:pPr>
      <w:r>
        <w:rPr>
          <w:caps w:val="false"/>
          <w:smallCaps w:val="false"/>
        </w:rPr>
        <w:t> </w:t>
      </w:r>
    </w:p>
    <w:tbl>
      <w:tblPr>
        <w:tblW w:w="7541" w:type="dxa"/>
        <w:jc w:val="left"/>
        <w:tblInd w:w="720" w:type="dxa"/>
        <w:tblLayout w:type="fixed"/>
        <w:tblCellMar>
          <w:top w:w="0" w:type="dxa"/>
          <w:left w:w="0" w:type="dxa"/>
          <w:bottom w:w="0" w:type="dxa"/>
          <w:right w:w="0" w:type="dxa"/>
        </w:tblCellMar>
      </w:tblPr>
      <w:tblGrid>
        <w:gridCol w:w="4355"/>
        <w:gridCol w:w="60"/>
        <w:gridCol w:w="141"/>
        <w:gridCol w:w="764"/>
        <w:gridCol w:w="96"/>
        <w:gridCol w:w="60"/>
        <w:gridCol w:w="141"/>
        <w:gridCol w:w="764"/>
        <w:gridCol w:w="95"/>
        <w:gridCol w:w="60"/>
        <w:gridCol w:w="140"/>
        <w:gridCol w:w="755"/>
        <w:gridCol w:w="110"/>
      </w:tblGrid>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vAlign w:val="center"/>
          </w:tcPr>
          <w:p>
            <w:pPr>
              <w:pStyle w:val="TableContents"/>
              <w:bidi w:val="0"/>
              <w:spacing w:before="0" w:after="283"/>
              <w:jc w:val="center"/>
              <w:rPr>
                <w:b/>
                <w:sz w:val="16"/>
              </w:rPr>
            </w:pPr>
            <w:r>
              <w:rPr>
                <w:b/>
                <w:sz w:val="16"/>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2,000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(9,000</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43,573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63,095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(19,522</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17,732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21,848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(4,116</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61,305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84,943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(23,638</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(59,305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(73,943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14,638</w:t>
            </w:r>
          </w:p>
        </w:tc>
        <w:tc>
          <w:tcPr>
            <w:tcW w:w="11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843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Gain on warrant liability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295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(512</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Loss on PPAs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(406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(406</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(1,034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(1,025</w:t>
            </w:r>
          </w:p>
        </w:tc>
        <w:tc>
          <w:tcPr>
            <w:tcW w:w="110" w:type="dxa"/>
            <w:tcBorders/>
            <w:shd w:fill="CCEEFF" w:val="clear"/>
            <w:vAlign w:val="center"/>
          </w:tcPr>
          <w:p>
            <w:pPr>
              <w:pStyle w:val="TableContents"/>
              <w:bidi w:val="0"/>
              <w:spacing w:before="0" w:after="283"/>
              <w:jc w:val="left"/>
              <w:rPr/>
            </w:pPr>
            <w:r>
              <w:rPr/>
              <w:t>)</w:t>
            </w:r>
          </w:p>
        </w:tc>
      </w:tr>
      <w:tr>
        <w:trPr/>
        <w:tc>
          <w:tcPr>
            <w:tcW w:w="4355"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4,167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(4,469</w:t>
            </w:r>
          </w:p>
        </w:tc>
        <w:tc>
          <w:tcPr>
            <w:tcW w:w="11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Consolidated net loss and comprehensive loss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(59,607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(69,776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10,169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Collaboration and other revenue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and other revenue was $2.0 million and $11.0 million during the years ended December 31, 2025 and 2024, respectively, and consisted of revenue recognized under the Context License Agreement. See Note 9 to our consolidated financial statements for further details regarding collaboration and licensing agreements.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allocated by CAB program for the periods indicated:</w:t>
      </w:r>
    </w:p>
    <w:p>
      <w:pPr>
        <w:pStyle w:val="TextBody"/>
        <w:bidi w:val="0"/>
        <w:spacing w:before="0" w:after="0"/>
        <w:ind w:left="720" w:right="720" w:hanging="0"/>
        <w:jc w:val="both"/>
        <w:rPr>
          <w:caps w:val="false"/>
          <w:smallCaps w:val="false"/>
        </w:rPr>
      </w:pPr>
      <w:r>
        <w:rPr>
          <w:caps w:val="false"/>
          <w:smallCaps w:val="false"/>
        </w:rPr>
        <w:t> </w:t>
      </w:r>
    </w:p>
    <w:tbl>
      <w:tblPr>
        <w:tblW w:w="8093" w:type="dxa"/>
        <w:jc w:val="left"/>
        <w:tblInd w:w="720" w:type="dxa"/>
        <w:tblLayout w:type="fixed"/>
        <w:tblCellMar>
          <w:top w:w="0" w:type="dxa"/>
          <w:left w:w="0" w:type="dxa"/>
          <w:bottom w:w="0" w:type="dxa"/>
          <w:right w:w="0" w:type="dxa"/>
        </w:tblCellMar>
      </w:tblPr>
      <w:tblGrid>
        <w:gridCol w:w="4940"/>
        <w:gridCol w:w="60"/>
        <w:gridCol w:w="156"/>
        <w:gridCol w:w="761"/>
        <w:gridCol w:w="67"/>
        <w:gridCol w:w="67"/>
        <w:gridCol w:w="156"/>
        <w:gridCol w:w="761"/>
        <w:gridCol w:w="60"/>
        <w:gridCol w:w="60"/>
        <w:gridCol w:w="140"/>
        <w:gridCol w:w="755"/>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vAlign w:val="center"/>
          </w:tcPr>
          <w:p>
            <w:pPr>
              <w:pStyle w:val="TableContents"/>
              <w:bidi w:val="0"/>
              <w:spacing w:before="0" w:after="283"/>
              <w:jc w:val="center"/>
              <w:rPr>
                <w:b/>
                <w:sz w:val="16"/>
              </w:rPr>
            </w:pPr>
            <w:r>
              <w:rPr>
                <w:b/>
                <w:sz w:val="16"/>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External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Mecbotamab vedotin, BA3011 (CAB AXL-ADC)</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61" w:type="dxa"/>
            <w:tcBorders/>
            <w:shd w:fill="FFFFFF" w:val="clear"/>
            <w:vAlign w:val="center"/>
          </w:tcPr>
          <w:p>
            <w:pPr>
              <w:pStyle w:val="TableContents"/>
              <w:bidi w:val="0"/>
              <w:spacing w:before="0" w:after="283"/>
              <w:jc w:val="right"/>
              <w:rPr/>
            </w:pPr>
            <w:r>
              <w:rPr/>
              <w:t>7,848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61" w:type="dxa"/>
            <w:tcBorders/>
            <w:shd w:fill="FFFFFF" w:val="clear"/>
            <w:vAlign w:val="center"/>
          </w:tcPr>
          <w:p>
            <w:pPr>
              <w:pStyle w:val="TableContents"/>
              <w:bidi w:val="0"/>
              <w:spacing w:before="0" w:after="283"/>
              <w:jc w:val="right"/>
              <w:rPr/>
            </w:pPr>
            <w:r>
              <w:rPr/>
              <w:t>12,934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Ozuriftamab vedotin, BA3021 (CAB ROR2-ADC)</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5,446</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8,962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(3,516</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Evalstotug, BA3071 (CAB CTLA-4)</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5,026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9,103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(4,077</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BA3182 (CAB EpCAM x CAB CD3)</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7,869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5,111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2,758</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Other CAB Programs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pPr>
            <w:r>
              <w:rPr/>
              <w:t>3,768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pPr>
            <w:r>
              <w:rPr/>
              <w:t>6,912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(3,144</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Total external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pPr>
            <w:r>
              <w:rPr/>
              <w:t>29,957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pPr>
            <w:r>
              <w:rPr/>
              <w:t>43,022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(13,065</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Personnel and related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8,180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12,082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(3,902</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Equity-based compensation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2,199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4,238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(2,039</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Facilities and other</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pPr>
            <w:r>
              <w:rPr/>
              <w:t>3,237</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pPr>
            <w:r>
              <w:rPr/>
              <w:t>3,753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(516</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43,573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63,095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(19,522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were $43.6 million and $63.1 million for the years ended December 31, 2025 and 2024, respectively. The decrease of approximately $19.5 million was primarily driven by a $13.1 million decrease in program development costs which was primarily due to a $12.7 million decrease in development costs for certain of our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stage programs due to lower enrollment and lower overall expense as we complete Phase 2 clinical trials for mecbotamab vedotin, ozuriftamab vedotin and evalstotug, a $3.1 million decrease in other program expense due to a $1.7 million decrease in related party expense primarily incurred in connection with the Context License Agreement and a $1.4 million decrease in development cost for our pre-clinical programs, offset by a $2.8 million increase in development costs for our ongoing Phase 1 trial for our EpCAM program. The remaining decrease in research and development expense is due to a $3.9 million decrease in personnel related expense primarily due to goal achievement for the annual employee incentive bonus falling below the threshold for payment in 2025 and lower headcount including our March 2025 reduction in force, a $2.0 million decrease in stock-based compensation related to awards issued under our 2020 Equity Incentive Plan, and a $0.5 million decrease in facilities and other allocated expense.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$17.7 million and $21.8 million for the years ended December 31, 2025 and 2024, respectively. The decrease of approximately $4.1 million was primarily driven by a $1.9 million decrease in personnel related expense related expenses primarily due to goal achievement for the annual employee incentive bonus falling below the threshold for payment in 2025 and lower headcount including our March 2025 reduction in force, a $1.5 million decrease in stock-based compensation related to awards issued under our 2020 Equity Incentive Plan, a $0.3 million decrease in consulting and professional fees related to closing of the Context License Agreement, and a $0.3 million decrease in insurance primarily due to lower D&amp;O insurance premiums.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$0.8 million and $3.4 million for the years ended December 31, 2025 and 2024, respectively. The decrease of $2.5 million was primarily due to lower cash and cash equivalents compared to the same period in 2024.</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warrant liability was $0.3 million and $0.8 million for the years ended December 31, 2025 and 2024, respectively. The decrease of $0.5 million was due to the change in fair value of the warrants we issued in December 2024.</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PPAs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PPAs liability was $0.4 million for the year ended December 31, 2025 compared to zero for the year ended December 31, 2024. The loss of $0.4 million was due to the change in fair value of the PPAs liability in connection with the PPAs (as defined below) entered into in November 2025.</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was $1.0 million and $0.01 million for the year ended December 31, 2025 and 2024, respectively. The increase in expense of $1.0 million was due to transaction costs related to our PPAs and SEPA (as defined below) entered into in November 2025.</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aggregate net losses and negative cash flows from operations since our inception and anticipate we will continue to incur net losses for the foreseeable future. Since July 2020, we have funded our operations primarily through the issuance of equity. As of June 30, 2026, we had cash and cash equivalents of $1.5 million.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entered into Pre-Paid Advance Agreements (the “PPAs”) with each of YA II PN, Ltd., a Cayman Islands exempt limited partnership (“Yorkville”), Anson Investments Master Fund LP and Anson East Master Fund LP (collectively, the “Investors”). Pursuant to the PPAs, the Investors agreed to advance to us $7.5 million (the “Pre-Paid Advance”). The Pre-Paid Advance was purchased by the Investors at 95% of the face amount of the Pre-Paid Advance for gross proceeds of approximately $7.13 million. The Pre-Paid Advance accrued interest at an annual rate of 4%. As of March 2026, the entire balance of the Pre-Paid Advance has been converted into PPA Shares and no amounts remain outstanding under the PPAs.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we also entered into the Standby Equity Purchase Agreement (the “SEPA”) with Yorkville pursuant to which we have the right to sell to Yorkville up to $15.0 million of shares of common stock (the “Commitment Amount”),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and conditions set forth in the SEPA, during the 36 months beginning November 20, 2025 (such shares, the “SEPA Shares”). Sales of the SEPA Shares to Yorkville and the timing of any such sales, if elected to be utilized by us at a future date, are at our option, and we are under no obligation to sell any SEPA Shares to Yorkville. As consideration for Yorkville’s commitment to purchase the SEPA Shares, we agreed to pay to Yorkville a commitment fee equal to 2.00% of the Commitment Amount, or $300,000, which was satisfied by the issuance to Yorkville of an aggregate of 4,868 shares of common stock (the “Commitment Shares”). As of June 30, 2026, 48,092 SEPA Shares had been sold under the SEPA, with gross proceeds to the Company totaling approximately $0.4 million.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closed on an offering (the “December 2024 Offering”) that included warrants to purchase up to 193,581 shares of common stock, which initially had an exercise price of $59.50 per share (the “Warrants”) subject to certain adjustments including for reverse stock splits and share consolidations. As a result of the April 6, 2026 Share Consolidation and pursuant to the re-pricing mechanism contained in the Warrants, the exercise price of the Warrants was adjusted to $4.35 to match the lowest VWAP of our common stock during the eleven (11) trading days commencing five (5) trading days immediately preceding the Share Consolidation and ending five (5) trading days immediately following the Share Consolidation. The Warrants became exercisable on June 20, 2025 and will expire five years from the date of initial exercisability. There were 193,581 Warrants outstanding and exercisable at June 30,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we entered into the Context Amendment. Under the terms of the Context Amendment, and in full consideration for the amended license rights described below, we received $4.5 million upfront from Context and the additional $2.0 million that was due by August 1, 2026 (together, the “Amendment Consideration”). The Amendment Consideration satisfies in full any and all milestone and royalty payment obligations contemplated by the Context License Agreement. Among other modifications to the Context License Agreement, under the terms of the Context Amendment, the license granted to Context under the Context License Agreement is amended to be irrevocable, exclusive, royalty-free, fully paid-up and non-terminable, and any and all diligence obligations with respect to Context are removed.</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we entered into the EXUMA Amendment. Under the terms of the EXUMA Amendment, and in full consideration for the license and other rights granted under the EXUMA License Agreement, EXUMA agreed to pay us $250,000 within two business days of the effective date of the EXUMA Amendment (the “EXUMA Pay-Off Amount”). The EXUMA Pay-Off Amount satisfies in full any and all royalty payment obligations contemplated by the EXUMA License Agreement. Under the terms of the EXUMA Amendment, the exclusive license granted to EXUMA under the EXUMA License Agreement is amended to be royalty-free, fully paid-up, irrevocable, perpetual and non-terminable, and EXUMA is responsible for all Joint Patent (as defined in the EXUMA License Agreement) costs, whether currently outstanding or due in the future.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Funding Requirements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0" w:after="0"/>
        <w:ind w:left="720" w:right="720" w:hanging="0"/>
        <w:jc w:val="both"/>
        <w:rPr>
          <w:caps w:val="false"/>
          <w:smallCaps w:val="false"/>
        </w:rPr>
      </w:pPr>
      <w:r>
        <w:rPr>
          <w:caps w:val="false"/>
          <w:smallCaps w:val="false"/>
        </w:rPr>
        <w:t> </w:t>
      </w:r>
    </w:p>
    <w:tbl>
      <w:tblPr>
        <w:tblW w:w="6723" w:type="dxa"/>
        <w:jc w:val="left"/>
        <w:tblInd w:w="72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outcome of our recently initiated evaluation of strategic options;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and advancement, scope, rate of progress, completion of enrollment, results and costs of our preclinical studies, clinical trials and other related activities for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associated with manufacturing our product candidates and establishing commercial supplies and sales, marketing and distribution capabilities;</w:t>
            </w:r>
          </w:p>
        </w:tc>
      </w:tr>
    </w:tbl>
    <w:p>
      <w:pPr>
        <w:pStyle w:val="TextBody"/>
        <w:bidi w:val="0"/>
        <w:spacing w:before="0" w:after="0"/>
        <w:ind w:left="720" w:right="720" w:hanging="0"/>
        <w:jc w:val="left"/>
        <w:rPr>
          <w:caps w:val="false"/>
          <w:smallCaps w:val="false"/>
        </w:rPr>
      </w:pPr>
      <w:r>
        <w:rPr>
          <w:caps w:val="false"/>
          <w:smallCaps w:val="false"/>
        </w:rPr>
        <w:t> </w:t>
      </w:r>
    </w:p>
    <w:tbl>
      <w:tblPr>
        <w:tblW w:w="7743" w:type="dxa"/>
        <w:jc w:val="left"/>
        <w:tblInd w:w="72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costs of capital expenditures to support our research and development efforts;</w:t>
            </w:r>
          </w:p>
        </w:tc>
      </w:tr>
    </w:tbl>
    <w:p>
      <w:pPr>
        <w:pStyle w:val="TextBody"/>
        <w:bidi w:val="0"/>
        <w:spacing w:before="0" w:after="0"/>
        <w:ind w:left="720" w:right="720" w:hanging="0"/>
        <w:jc w:val="left"/>
        <w:rPr>
          <w:caps w:val="false"/>
          <w:smallCaps w:val="false"/>
        </w:rPr>
      </w:pPr>
      <w:r>
        <w:rPr>
          <w:caps w:val="false"/>
          <w:smallCaps w:val="false"/>
        </w:rPr>
        <w:t> </w:t>
      </w:r>
    </w:p>
    <w:tbl>
      <w:tblPr>
        <w:tblW w:w="6243" w:type="dxa"/>
        <w:jc w:val="left"/>
        <w:tblInd w:w="72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characteristics of other product candidates that we pursue;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tc>
      </w:tr>
    </w:tbl>
    <w:p>
      <w:pPr>
        <w:pStyle w:val="TextBody"/>
        <w:bidi w:val="0"/>
        <w:spacing w:before="0" w:after="0"/>
        <w:ind w:left="720" w:right="720" w:hanging="0"/>
        <w:jc w:val="left"/>
        <w:rPr>
          <w:caps w:val="false"/>
          <w:smallCaps w:val="false"/>
        </w:rPr>
      </w:pPr>
      <w:r>
        <w:rPr>
          <w:caps w:val="false"/>
          <w:smallCaps w:val="false"/>
        </w:rPr>
        <w:t> </w:t>
      </w:r>
    </w:p>
    <w:tbl>
      <w:tblPr>
        <w:tblW w:w="5703" w:type="dxa"/>
        <w:jc w:val="left"/>
        <w:tblInd w:w="72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receipt and amount of sales from our potential products;</w:t>
            </w:r>
          </w:p>
        </w:tc>
      </w:tr>
    </w:tbl>
    <w:p>
      <w:pPr>
        <w:pStyle w:val="TextBody"/>
        <w:bidi w:val="0"/>
        <w:spacing w:before="0" w:after="0"/>
        <w:ind w:left="720" w:right="720" w:hanging="0"/>
        <w:jc w:val="left"/>
        <w:rPr>
          <w:caps w:val="false"/>
          <w:smallCaps w:val="false"/>
        </w:rPr>
      </w:pPr>
      <w:r>
        <w:rPr>
          <w:caps w:val="false"/>
          <w:smallCaps w:val="false"/>
        </w:rPr>
        <w:t> </w:t>
      </w:r>
    </w:p>
    <w:tbl>
      <w:tblPr>
        <w:tblW w:w="7188" w:type="dxa"/>
        <w:jc w:val="left"/>
        <w:tblInd w:w="72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need and ability to hire additional management, scientific and medical personnel;</w:t>
            </w:r>
          </w:p>
        </w:tc>
      </w:tr>
    </w:tbl>
    <w:p>
      <w:pPr>
        <w:pStyle w:val="TextBody"/>
        <w:bidi w:val="0"/>
        <w:spacing w:before="0" w:after="0"/>
        <w:ind w:left="720" w:right="720" w:hanging="0"/>
        <w:jc w:val="left"/>
        <w:rPr>
          <w:caps w:val="false"/>
          <w:smallCaps w:val="false"/>
        </w:rPr>
      </w:pPr>
      <w:r>
        <w:rPr>
          <w:caps w:val="false"/>
          <w:smallCaps w:val="false"/>
        </w:rPr>
        <w:t> </w:t>
      </w:r>
    </w:p>
    <w:tbl>
      <w:tblPr>
        <w:tblW w:w="7803" w:type="dxa"/>
        <w:jc w:val="left"/>
        <w:tblInd w:w="72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products that may limit market penetration of our product candidates;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need to implement additional internal systems and infrastructure, including financial and reporting systems;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other terms, timing and success of any collaboration, licensing, or other arrangements into which we may enter in the future, including the timing of receipt of any milestone or royalty payments under these agreements;</w:t>
            </w:r>
          </w:p>
        </w:tc>
      </w:tr>
    </w:tbl>
    <w:p>
      <w:pPr>
        <w:pStyle w:val="TextBody"/>
        <w:bidi w:val="0"/>
        <w:spacing w:before="0" w:after="0"/>
        <w:ind w:left="720" w:right="720" w:hanging="0"/>
        <w:jc w:val="left"/>
        <w:rPr>
          <w:caps w:val="false"/>
          <w:smallCaps w:val="false"/>
        </w:rPr>
      </w:pPr>
      <w:r>
        <w:rPr>
          <w:caps w:val="false"/>
          <w:smallCaps w:val="false"/>
        </w:rPr>
        <w:t> </w:t>
      </w:r>
    </w:p>
    <w:tbl>
      <w:tblPr>
        <w:tblW w:w="7203" w:type="dxa"/>
        <w:jc w:val="left"/>
        <w:tblInd w:w="72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compliance and administrative costs associated with being a public company;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we acquire or invest in businesses, products or technologies, although we have no commitments or agreements relating to any of these types of transactions.</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our current cash and cash equivalents are not sufficient to fund our ongoing operations for a period of at least twelve months from the date the condensed consolidated financial statements included in this prospectus are issued. We have based this estimate on assumptions that may prove to be wrong, and we could utilize our available capital resources sooner than we currently expect. These circumstances raise substantial doubt about our ability to continue as a going concern.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we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believes additional funds can be raised through a combination of these approaches, which may alleviate the conditions that raise substantial doubt, these plans are not entirely within our control and cannot be assessed as being probable of occurring. We may not be able to secure additional financing in a timely manner or on favorable terms, if at all. 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recent and future government shutdowns, tariffs and trade disputes with other countries, inflation, high interest rates, growing recession risks, supply chain disruptions, and geopolitical tensions and disruptions, including the US and EU sanctions on Russian oil and gas, the ongoing conflict between Russia and Ukraine, the wars between Israel and the terrorist groups Hamas and Hezbollah, geopolitical instability in Venezuela and the conflict in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cash flows for the periods indicated:</w:t>
      </w:r>
    </w:p>
    <w:p>
      <w:pPr>
        <w:pStyle w:val="TextBody"/>
        <w:bidi w:val="0"/>
        <w:spacing w:before="0" w:after="0"/>
        <w:ind w:left="720" w:right="720" w:hanging="0"/>
        <w:jc w:val="left"/>
        <w:rPr>
          <w:caps w:val="false"/>
          <w:smallCaps w:val="false"/>
        </w:rPr>
      </w:pPr>
      <w:r>
        <w:rPr>
          <w:caps w:val="false"/>
          <w:smallCaps w:val="false"/>
        </w:rPr>
        <w:t> </w:t>
      </w:r>
    </w:p>
    <w:tbl>
      <w:tblPr>
        <w:tblW w:w="5975" w:type="dxa"/>
        <w:jc w:val="left"/>
        <w:tblInd w:w="720" w:type="dxa"/>
        <w:tblLayout w:type="fixed"/>
        <w:tblCellMar>
          <w:top w:w="0" w:type="dxa"/>
          <w:left w:w="0" w:type="dxa"/>
          <w:bottom w:w="0" w:type="dxa"/>
          <w:right w:w="0" w:type="dxa"/>
        </w:tblCellMar>
      </w:tblPr>
      <w:tblGrid>
        <w:gridCol w:w="3980"/>
        <w:gridCol w:w="60"/>
        <w:gridCol w:w="140"/>
        <w:gridCol w:w="635"/>
        <w:gridCol w:w="95"/>
        <w:gridCol w:w="60"/>
        <w:gridCol w:w="140"/>
        <w:gridCol w:w="755"/>
        <w:gridCol w:w="110"/>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sz w:val="16"/>
              </w:rPr>
            </w:pPr>
            <w:r>
              <w:rPr>
                <w:b/>
                <w:sz w:val="16"/>
              </w:rPr>
              <w:t>(in thousands)</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(5,686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(30,408</w:t>
            </w:r>
          </w:p>
        </w:tc>
        <w:tc>
          <w:tcPr>
            <w:tcW w:w="11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(431</w:t>
            </w:r>
          </w:p>
        </w:tc>
        <w:tc>
          <w:tcPr>
            <w:tcW w:w="110"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(30,839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used in operating activities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was $5.7 million, which consisted of a net loss of $5.9 million, a net change of $1.7 million in our operating assets and liabilities and $1.5 million of non-cash transactions. The net change in our operating assets and liabilities was primarily due to an increase in accounts payable and accrued expenses of $3.4 million, an increase in operating lease ROU asset and lease liability of $0.1 million, and a decrease in prepaid expenses and other assets of $0.2 million, offset by an increase in accounts receivable of $2.0 million. The non-cash transactions primarily consisted of $2.9 million related to the change in fair value of the warrant liability and $0.3 million related to the change in fair value of the PPAs liability, offset by $1.6 million of stock-based compensation and non-cash charges of $0.1 million related to depreciation and amortization.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$30.4 million, which consisted of a net loss of $34.0 million, a net change of $1.9 million in our operating assets and liabilities and $1.7 million of non-cash transactions. The net change in our operating assets and liabilities was primarily due to an increase in accounts payable and accrued expenses of $2.5 million, offset by an increase in prepaid expenses and other assets of $0.4 million and a net decrease in operating lease right-of-use assets and lease liabilities of $0.3 million. The non-cash transactions primarily consisted of $3.0 million of stock-based compensation and non-cash charges of $0.3 million related to depreciation and amortization, offset by $1.6 million related to the change in fair value of the 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provided by (used in) financing activities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$0.1 million for the six months ended June 30, 2026, consisting primarily of proceeds from issuance of common stock under the SEPA of $0.4 million, offset by the payment of financing costs in connection with the PPAs and SEPA of $0.3 million.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$0.4 million for the six months ended June 30, 2025, consisting primarily of the payment of financing costs in connection with the December 2024 offering and the payment of taxes related to the net settlement of restricted stock units, partially offset by the proceeds from the issuance of common stock under the ESPP and the 2020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cash flows for the periods indicated:</w:t>
      </w:r>
    </w:p>
    <w:p>
      <w:pPr>
        <w:pStyle w:val="TextBody"/>
        <w:bidi w:val="0"/>
        <w:spacing w:before="0" w:after="0"/>
        <w:ind w:left="720" w:right="720" w:hanging="0"/>
        <w:jc w:val="left"/>
        <w:rPr>
          <w:caps w:val="false"/>
          <w:smallCaps w:val="false"/>
        </w:rPr>
      </w:pPr>
      <w:r>
        <w:rPr>
          <w:caps w:val="false"/>
          <w:smallCaps w:val="false"/>
        </w:rPr>
        <w:t> </w:t>
      </w:r>
    </w:p>
    <w:tbl>
      <w:tblPr>
        <w:tblW w:w="6116" w:type="dxa"/>
        <w:jc w:val="left"/>
        <w:tblInd w:w="720" w:type="dxa"/>
        <w:tblLayout w:type="fixed"/>
        <w:tblCellMar>
          <w:top w:w="0" w:type="dxa"/>
          <w:left w:w="0" w:type="dxa"/>
          <w:bottom w:w="0" w:type="dxa"/>
          <w:right w:w="0" w:type="dxa"/>
        </w:tblCellMar>
      </w:tblPr>
      <w:tblGrid>
        <w:gridCol w:w="3980"/>
        <w:gridCol w:w="60"/>
        <w:gridCol w:w="141"/>
        <w:gridCol w:w="764"/>
        <w:gridCol w:w="96"/>
        <w:gridCol w:w="60"/>
        <w:gridCol w:w="141"/>
        <w:gridCol w:w="764"/>
        <w:gridCol w:w="110"/>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vAlign w:val="center"/>
          </w:tcPr>
          <w:p>
            <w:pPr>
              <w:pStyle w:val="TableContents"/>
              <w:bidi w:val="0"/>
              <w:spacing w:before="0" w:after="283"/>
              <w:jc w:val="center"/>
              <w:rPr>
                <w:b/>
                <w:sz w:val="16"/>
              </w:rPr>
            </w:pPr>
            <w:r>
              <w:rPr>
                <w:b/>
                <w:sz w:val="16"/>
              </w:rPr>
              <w:t>(in thousands)</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764" w:type="dxa"/>
            <w:tcBorders/>
            <w:shd w:fill="FFFFFF" w:val="clear"/>
            <w:vAlign w:val="center"/>
          </w:tcPr>
          <w:p>
            <w:pPr>
              <w:pStyle w:val="TableContents"/>
              <w:bidi w:val="0"/>
              <w:spacing w:before="0" w:after="283"/>
              <w:jc w:val="right"/>
              <w:rPr/>
            </w:pPr>
            <w:r>
              <w:rPr/>
              <w:t>(48,204</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764" w:type="dxa"/>
            <w:tcBorders/>
            <w:shd w:fill="FFFFFF" w:val="clear"/>
            <w:vAlign w:val="center"/>
          </w:tcPr>
          <w:p>
            <w:pPr>
              <w:pStyle w:val="TableContents"/>
              <w:bidi w:val="0"/>
              <w:spacing w:before="0" w:after="283"/>
              <w:jc w:val="right"/>
              <w:rPr/>
            </w:pPr>
            <w:r>
              <w:rPr/>
              <w:t>(71,936</w:t>
            </w:r>
          </w:p>
        </w:tc>
        <w:tc>
          <w:tcPr>
            <w:tcW w:w="11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6,276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9,511</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pPr>
            <w:r>
              <w:rPr/>
              <w:t>(41,928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pPr>
            <w:r>
              <w:rPr/>
              <w:t>(62,425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used in operating activities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year ended December 31, 2025 was $48.2 million, which consisted of a consolidated net loss of $59.6 million, offset by a net change of $4.3 million in our net operating assets and liabilities, $6.4 million of non-cash transactions and a $0.7 million adjustment to reclassify issuance costs related to the PPAs announced in November 2025 that were expensed as incurred. The net change in our operating assets and liabilities was primarily due to an increase in accounts payable and accrued expenses of $2.8 million, an increase in operating lease right-of-use assets and liabilities of $0.3 million, and a decrease in prepaid expenses and other assets of $1.1 million. The non-cash transactions primarily consisted of $5.4 million of stock-based compensation, $0.4 million related to change in fair value of the PPAs liability, $0.4 million related to depreciation and amortization, $0.3 million related to the commitment fee for the SEPA announced in November 2025, and a $0.2 million loss on disposal of property and equipment, offset by $0.3 million related to the change in fair value of the 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operating activities for the year ended December 31, 2024 was $71.9 million, which consisted of a net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$69.8 million, a net change of $11.2 million in our net operating assets and liabilities and $9.0 million of non-cash transactions. The net change in our operating assets and liabilities was primarily due to a decrease in accounts payable and accrued expenses of $13.5 million and a decrease in operating lease right-of-use assets and liabilities of $0.6 million, partially offset by an increase in prepaid expenses and other assets of $2.9 million. The non-cash transactions primarily consisted of $8.9 million of stock-based compensation and non-cash charges of $0.9 million related to depreciation and amortization, offset by $0.8 million related to the change in fair value of the 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provided by financing activities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$6.3 million for the year ended December 31, 2025, which consisted primarily of $7.1 million in net proceeds from the PPAs and $0.1 million in proceeds from the issuance of common stock under the Employee Stock Purchase Plan, offset by the payment of financing costs in connection with the December 2024 offering of $0.4 million and $0.5 million in connection with the PPAs.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$9.5 million for the year ended December 31, 2024, which consisted primarily of $9.2 million in net proceeds from the issuance of common stock and warrants in connection with the December 2024 offering and common stock issued under our Employee Stock Purchase Plan of $0.3 million, partially offset by payment of taxes related to the net settlement of equity awards of $46 thousand.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described in the Note 1 to our consolidated financial statements included elsewhere in this Registration Statement, we believe that the following critical accounting policies are most important to understanding and evaluating our reported financial results.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our consolidated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do not expect our estimates to be materially different from amounts actually incurred, if our estimates of the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revenue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it expects to receive and use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 performance obligation, revenue is recognized when (or as) we transfer control of the product or the service applicable to such performance obligation.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those instances where we first receive consideration in advance of satisfying our performance obligation, we classify such consideration as deferred revenue until (or as) we satisfy such performance obligation. In those instances where we first satisfy our performance obligation prior to receipt of consideration, the consideration is recorded as accounts receivable.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Company Information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 to the audited consolidated financial statements included in this prospectus.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arrangements, as defined in the rules and regulations of the SEC.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720" w:right="720" w:hanging="0"/>
        <w:jc w:val="left"/>
        <w:rPr/>
      </w:pPr>
      <w:r>
        <w:rPr/>
        <w:t> </w:t>
      </w:r>
    </w:p>
    <w:p>
      <w:pPr>
        <w:pStyle w:val="TextBody"/>
        <w:bidi w:val="0"/>
        <w:spacing w:before="720" w:after="72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29" w:name="b010"/>
      <w:bookmarkEnd w:id="29"/>
      <w:r>
        <w:rPr>
          <w:rFonts w:ascii="Times New Roman;Times;Serif" w:hAnsi="Times New Roman;Times;Serif"/>
          <w:b/>
          <w:i w:val="false"/>
          <w:caps/>
          <w:sz w:val="20"/>
        </w:rPr>
        <w:t>BUSINESS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developing our novel class of highly specific and selective antibody-based therapeutics for the treatment of solid tumor cancers.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The enhanced selectivity of our CAB technology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The broad applicability of our CAB technology allows us to develop a wide array of product candidate modalities, such as monoclonal antibodies, antibody-drug conjugates, (“ADCs”), T cell-engaging bispecific antibodies and chimeric antigen receptor T cells, or CAR-T cells. In 2021, we published a paper in the Proceedings of the National Academy of Sciences describing a novel mechanism using physiological chemicals as Protein-activated Chemical Switches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(“PaCS”) for generating CAB antibodies. Initially, we applied the reversible binding and precision capability of our CAB technology to advance next-generation ADC therapies. We have also developed antibodies for immuno-oncology and for bispecific, T cell engagement.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including the appropriate timeline and pacing of additional enrollment in the Phase 1 study of BA3182 (CAB-EpCAM x CAB-CD3) and the timeline to commence a Phase 3 study for ozuriftamab vedotin (BA3021) (CAB-ROR2-ADC) in 2L+ oropharyngeal squamous cell carcinoma (OPSCC).  While we remain focused on conducting the ongoing Phase 1 study and are committed to our clinical development programs, there can be no assurances that clinical development of our programs will not be limited or delayed pending the outcome of the strategic process.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develop and commercialize innovative antibody-based therapeutics for the treatment of solid tumors that are designed to bind depending on the physical and chemical properties of tumors and their microenvironment. We believe that our proprietary CAB technology and approach have the potential to transform cancer therapy by decreasing systemic toxicities and improving efficacy. Our strategy to achieve this mission is as follows: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Enter into collaborations to maximize the value of our platform and pipeline. </w:t>
            </w:r>
            <w:r>
              <w:rPr>
                <w:rFonts w:ascii="Times New Roman;Times;Serif" w:hAnsi="Times New Roman;Times;Serif"/>
              </w:rPr>
              <w:t>We have initiated a formal process to explore and evaluate strategic options to maximize shareholder value, including the sale of preclinical and clinical assets, licensing transactions, strategic partnerships or other corporate transactions. As part of this process, we may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We are currently seeking partnering opportunities across our portfolio, including for our clinical-stage programs. These collaborations could advance and accelerate our programs to maximize their market potential and expand the worldwide commercial potential of our CAB technology and assets.</w:t>
            </w:r>
          </w:p>
        </w:tc>
      </w:tr>
    </w:tbl>
    <w:p>
      <w:pPr>
        <w:pStyle w:val="TextBody"/>
        <w:bidi w:val="0"/>
        <w:spacing w:before="0" w:after="0"/>
        <w:ind w:left="720" w:right="720" w:hanging="0"/>
        <w:jc w:val="left"/>
        <w:rPr>
          <w:caps w:val="false"/>
          <w:smallCaps w:val="false"/>
        </w:rPr>
      </w:pPr>
      <w:r>
        <w:rPr>
          <w:caps w:val="false"/>
          <w:smallCaps w:val="false"/>
        </w:rPr>
        <w:t> </w:t>
      </w:r>
    </w:p>
    <w:tbl>
      <w:tblPr>
        <w:tblW w:w="6003" w:type="dxa"/>
        <w:jc w:val="left"/>
        <w:tblInd w:w="72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 xml:space="preserve">Continued prioritization of our lead product candidates. </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BA3182 (CAB-EpCAM x CAB-CD3)</w:t>
            </w:r>
            <w:r>
              <w:rPr>
                <w:rFonts w:ascii="Times New Roman;Times;Serif" w:hAnsi="Times New Roman;Times;Serif"/>
              </w:rPr>
              <w:t>: Our first bispecific candidate demonstrated in its investigational new drug (“IND”)-enabling studies a more than 100-fold improvement in the therapeutic window, as compared to a non-CAB anti-EpCAM bispecific antibody. We are conducting a Phase 1 study in advanced adenocarcinoma. Carcinoma is the most common form of cancer and adenocarcinoma is the most common subtype. Adenocarcinoma is most prevalent in the lung, prostate, breast, pancreas, esophagus, colon/rectum and stomach. Almost all prostate and breast cancers are adenocarcinoma, and about 96% of colorectal cancers are adenocarcinoma (American Cancer Society 2022).</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Ozuriftamab vedotin (BA3021):</w:t>
            </w:r>
            <w:r>
              <w:rPr>
                <w:rFonts w:ascii="Times New Roman;Times;Serif" w:hAnsi="Times New Roman;Times;Serif"/>
              </w:rPr>
              <w:t xml:space="preserve"> Having observed multiple durable responses among patients with HPV-associated oropharyngeal squamous cell carcinoma (OPSCC) we are planning a Phase 3 trial for patients with OPSCC who have previously received anti-PD-(L)1 therapy and platinum-containing therapy. We have received guidance from FDA that 1.8 mg/kg of ozuriftamab vedotin delivered every other week satisfies dose optimization requirements.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connection with the strategic process, we are re-evaluating the timing and scope of our clinical development programs, including the appropriate timeline and pacing of additional enrollment in the Phase 1 study of BA3182 and the timeline to commence a Phase 3 study for ozuriftamab vedotin.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Continue to leverage our CAB platform.</w:t>
            </w:r>
            <w:r>
              <w:rPr>
                <w:rFonts w:ascii="Times New Roman;Times;Serif" w:hAnsi="Times New Roman;Times;Serif"/>
              </w:rPr>
              <w:t xml:space="preserve"> We have shown in preclinical experiments, including for our Phase 1 clinical asset, BA3182, that our CAB bispecific molecules meet or exceed the activity of conventional bispecifics and reduce systemic activation of potentially fatal immune responses. For example, BA3182 demonstrated in its IND-enabling studies a more than 100-fold improvement in the therapeutic window as compared to a non-CAB anti-EpCAM bispecific antibody.</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1944"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next generation CAB-ADC platform further widens that therapeutic window by enhancing the linker-payload system. Combining our CAB technology with our next generation CAB-ADC platform replaces the traditional peptide linker with a novel sugar-based linker to deliver the MMAE payload. It is expected that this new CAB-ADC system will further reduce off-target, off-tumor toxicity and thereby expand the therapeutic window.</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Maintain and leverage our intellectual property portfolio.</w:t>
            </w:r>
            <w:r>
              <w:rPr>
                <w:rFonts w:ascii="Times New Roman;Times;Serif" w:hAnsi="Times New Roman;Times;Serif"/>
              </w:rPr>
              <w:t xml:space="preserve"> As of February 1, 2026, we had a total of 868 patents and patent applications with 597 issued patents, 13 allowed applications and 258 pending applications covering our technologies, including the CAB technology and product candidates. This broad patent coverage was designed such that protection of our product candidates is not dependent on any single patent but rather, each product candidate is covered by several layers of protection. We plan to continue to maintain, monitor, enforce and defend our intellectual property.</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significant potential to improve therapeutics for our patients with our proprietary CAB antibody technology across well-validated oncology targets in solid tumors. The following table summarizes our current product candidate pipeline.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drawing>
          <wp:inline distT="0" distB="0" distL="0" distR="0">
            <wp:extent cx="6696075" cy="3143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96075" cy="3143250"/>
                    </a:xfrm>
                    <a:prstGeom prst="rect">
                      <a:avLst/>
                    </a:prstGeom>
                  </pic:spPr>
                </pic:pic>
              </a:graphicData>
            </a:graphic>
          </wp:inline>
        </w:drawing>
      </w: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BA3182 (CAB-EpCAM x CAB-CD3):</w:t>
      </w:r>
      <w:r>
        <w:rPr>
          <w:rFonts w:ascii="Times New Roman;Times;Serif" w:hAnsi="Times New Roman;Times;Serif"/>
          <w:b w:val="false"/>
          <w:i w:val="false"/>
          <w:caps w:val="false"/>
          <w:smallCaps w:val="false"/>
          <w:sz w:val="20"/>
        </w:rPr>
        <w:t xml:space="preserve"> Our bispecific candidate, BA3182, is currently being investigated in a Phase 1 dose escalation study in advanced adenocarcinoma. We have leveraged our CAB technology to develop bispecific antibodies, which bind both a tumor-specific antigen and a T cell receptor using dual CAB antigen-binding domains. A bispecific antibody is a type of engineered antibody that can simultaneously bind two separate and unique antigens, unlike conventional monospecific antibodies that only bind to one type of target.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design feature for a bispecific antibody is to include a T cell engager component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FDA-approved bispecific antibody was a T cell engager, blinatumomab, which contained antigen-binding domains for CD19, an antigen found on B-cell leukemias, and CD3, a T cell activating receptor.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many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and other potential adverse events due to systemic immune activation.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our CAB antibody technology to develop bispecific CAB antibodies in which both antigen-binding domains are active only in the tumor microenvironment. An example of this approach is our BA3182 bispecific. Epithelial cell adhesion molecule (“EpCAM”) is a protein that is over-expressed in many cancers including carcinomas derived from colon, intestine, breast, lung and prostate. Expression of EpCAM has been extensively associated with cell growth and proliferation of both healthy and cancer cells.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 third-party, non-CAB EpCAM x CD3 bispecific tested in the clinical by Amgen, led to over 95% of patients in a Phase 1 dose-escalation trial to experience at least one Grade 3 or above adverse event. Over 20% of patients experienced dose-limiting toxicities, and at tolerated doses only one unconfirmed partial response was observed among 65 patients.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720" w:right="720" w:hanging="0"/>
        <w:jc w:val="left"/>
        <w:rPr/>
      </w:pPr>
      <w:r>
        <w:rPr/>
        <w:t> </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Phase 1 dose escalation study, we have observed several patients with tumor reduction, including one patient with cholangiocarcinoma who achieved a confirmed partial response, and we continue to explore higher doses that integrate treatment free intervals with the goal of limiting T cell exhaustion. In connection with the strategic process, we are re-evaluating the timeline and pacing of additional enrollment in the Phase 1 study.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Ozuriftamab vedotin (BA3021):</w:t>
      </w:r>
      <w:r>
        <w:rPr>
          <w:rFonts w:ascii="Times New Roman;Times;Serif" w:hAnsi="Times New Roman;Times;Serif"/>
          <w:b w:val="false"/>
          <w:i w:val="false"/>
          <w:caps w:val="false"/>
          <w:smallCaps w:val="false"/>
          <w:sz w:val="20"/>
        </w:rPr>
        <w:t xml:space="preserve"> We have advanced our clinical stage product candidate, ozuriftamab vedotin or BA3021, a CAB antibody drug conjugate directed against Receptor Tyrosine Kinase Like Orphan Receptor 2 (“ROR2”). ROR2 is overexpressed across many different solid tumors, including breast, lung, pancreatic, renal, ovarian, and colorectal cancers,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such as Robinow syndrome and brachydactyly type B.</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Ozuriftamab vedotin has shown promising overall response rates in SCCHN and the FDA has granted Fast-Track designation for ozuriftamab vedotin in SCCHN. Having observed multiple durable responses including a confirmed complete response among patients with HPV-associated OPSCC we are planning a Phase 3 trial for patients with OPSCC who have previously received anti-PD-(L)1 therapy and platinum-containing therapy (the “Phase 3 Study”). We have received guidance from FDA that 1.8 mg/kg of ozuriftamab vedotin delivered every other week satisfies dose optimization requirements. However, in connection with the strategic process, we are re-evaluating the timeline to commence the Phase 3 Study.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Mecbotamab vedotin (BA3011):</w:t>
      </w:r>
      <w:r>
        <w:rPr>
          <w:rFonts w:ascii="Times New Roman;Times;Serif" w:hAnsi="Times New Roman;Times;Serif"/>
          <w:b w:val="false"/>
          <w:i w:val="false"/>
          <w:caps w:val="false"/>
          <w:smallCaps w:val="false"/>
          <w:sz w:val="20"/>
        </w:rPr>
        <w:t xml:space="preserve"> Our clinical stage product candidate, mecbotamab vedotin, or BA3011, is a CAB ADC that targets AXL, a protein kinase receptor that is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AXL has been shown to be involved in the epithelial-mesenchymal transition, or EMT, a process by which epithelial cells lose their cell polarity and cell-cell adhesion, and gain migratory and invasive properties to become mesenchymal stem cells (“MSCs”). MSCs are home to developing aggressive tumors, where they exacerbate cancer cell proliferation, motility, invasion and metastasis, foster angiogenesis, promote tumor fibrosis and suppress antitumor immune responses. Several therapeutic agents that target AXL have been developed and investigated in clinical trials, and several small-molecule AXL kinase inhibitors have been developed by others; however, the majority of these inhibitors, including one that is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Mecbotamab vedotin is an ADC consisting of a CAB humanized immunoglobulin G,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720" w:right="720" w:hanging="0"/>
        <w:jc w:val="left"/>
        <w:rPr/>
      </w:pPr>
      <w:r>
        <w:rPr/>
        <w:t> </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a Phase 2 study (BA3011-002) in NSCLC patients who have previously progressed on PD-1 / programmed cell death ligand 1 (“PD-L1”), epidermal growth factor receptor (“EGFR”), or anaplastic lymphoma kinase (“ALK”) inhibitor therapy. We also conducted a Phase 2 study in sarcoma in patients who were ineligible for chemotherapy or have received at least one regimen containing anthracycline. In both Phase 2 indications, we have enrolled patients either as a monotherapy or in combination with a PD-1 inhibitor, nivolumab. Both the monotherapy and combination treatment are broadly well tolerated with most events being low grade and reversible with no clinically meaningful on-target toxicity observed during the course of treatment. Drug-related adverse events appear likely to have been related to free-circulating MMAE payload-associated toxicity including reversible neutropenia, elevated liver function test and hyperglycemia which were all manageable and with low incidence. Our Phase 2 study in NSCLC has shown promising long-term survival in heavily pre-treated mutated KRAS NSCLC patients with mecbotamab vedotin at Q2W both as monotherapy and in combination with nivolumab.</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a Phase 2, single-arm trial with mecbotamab vedotin monotherapy in patients with undifferentiated pleomorphic sarcoma (“UPS”) who have experienced prior treatment failure. We continue to see encouraging efficacy in AXL positive UPS patients, however, there is a potential need for a companion diagnostic and a likely requirement of a randomized trial in UPS. As a result, we may prioritize the larger, mutated KRAS NSCLC opportunity which shows high correlation with AXL expression, thereby utilizing an approved readily available companion diagnostic for KRAS mutations. Both soft tissue and bone sarcoma, as well as other indications including mutated KRAS NSCLC, remain promising for potential future development through partnership with other companies.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Evalstotug (BA3071):</w:t>
      </w:r>
      <w:r>
        <w:rPr>
          <w:rFonts w:ascii="Times New Roman;Times;Serif" w:hAnsi="Times New Roman;Times;Serif"/>
          <w:b w:val="false"/>
          <w:i w:val="false"/>
          <w:caps w:val="false"/>
          <w:smallCaps w:val="false"/>
          <w:sz w:val="20"/>
        </w:rPr>
        <w:t xml:space="preserve"> Our clinical stage product candidate, evalstotug, is a CAB anti-CTLA-4 antibody that has been developed to the completion of Phase 1 and 2 as an immuno-oncology agent with the goal of delivering at least the efficacy of approved CTLA-4 antibodies, such as ipilimumab, but with lower toxicity rate as a result of the CAB’s unique tumor microenvironment-restricted binding. Cytotoxic T-lymphocyte-associated antigen 4 (“CTLA-4”),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and tremelimumab currently are the only anti-CTLA-4 monoclonal antibodies approved by the FDA. Ipilimumab is approved as a single agent for the treatment of melanoma, and in combination with an anti-PD-1 antibody for the treatment of several solid tumors, including melanoma, renal cell carcinoma, colorectal cancer and NSCLC, and tremelimumab is approved in combination with an anti-PD-L-1 antibody for the treatment of unresectable hepatocellular carcinoma and NSCLC. Patients treated with these checkpoint inhibitors face the risk of adverse events associated with inappropriate activation of the immune system beyond the tumor site including severe and sometimes fatal enterocolitis, hepatitis, dermatitis, neuropathy and endocrinopathy. Consequently, usage and dosage of these checkpoint inhibitors is highly limited due to their safety profile.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advanced evalstotug as a potential therapeutic for solid tumor indications. We have completed a dose-escalation trial of evalstotug as monotherapy and in combination with an anti-PD-1 antibody. We have reached the planned maximum dose of 1000 mg with maximum tolerated dose (“MTD”) not being reached. A Phase 2 study was initiated at a dose of either 350mg or 700mg in combination with the PD-1 inhibitor, pembrolizumab, for dose optimization. Evalstotug has shown promising efficacy in several indications. Most related adverse events in the Phase 1 and 2 were low grade with acceptable tolerability.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Preclinical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several assets that are in varying stages of development and have been positioned for partnering.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BA3361 (CAB-Nectin-4-ADC)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 We have received FDA clearance of our IND for BA3361.</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Bispecific preclinical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CAB technology opens up the opportunity for the creation of a broad set of bispecific product candidates with antitumor potential. Through these CAB bispecific antibodies, we believe we can activate T cells directly in tumors while minimizing systemic activation. We believe our CAB bispecific antibodies may allow for increased efficacy through more potent T cell activation, higher doses or administration in combination with other immuno-oncology therapies, such as checkpoint inhibitors. We have shown in preclinical experiments that our CAB bispecific molecules meet or exceed the activity of conventional bispecifics and reduce systemic activation of potentially fatal immune responses.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BA3142 (CAB-B7-H3 x CAB-CD3)</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second bispecific product candidate, BA3142, is a dual-CAB T-cell engager targeting B7-H3, a protein expressed on many solid tumors. The lead molecule was characterized by multiple assays including functional assays, and by preclinical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 Cell line development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efficacy study are completed. We have manufactured sufficient supply of BA3142 to enable the Company to complete an IND and initiate a Phase 1 clinical trial in the near term with additional funding or through a partnership.</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CAB-Nectin 4 x CAB-CD3 (formerly BA3362)</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out-licensed a pre-clinical Nectin 4 T-cell engager to Context Therapeutics in 2024. See further discussion in the Licensing and Strategic Collaboration section below.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CAB technology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CABs are based on our patented protein discovery and engineering technology. We invented, developed, and refined this technology, which we believe selectively enables the binding of proteins and antibodies to targeted cells in the tumor microenvironment based on differences in local conditions such as pH, temperature,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 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physiologically 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Protein-associated Chemical Switch(es)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or PaCS mechanism. The ability to design conditionally active therapeutics with strong selectivity over narrower pH ranges using the PaCS mechanism offers the opportunity to greatly enhance both the safety and potency of future therapies for solid tumors.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CAB antibodies have been designed to be active in the acidic, lower pH of the tumor microenvironment and inactive under the alkaline pH of 7.4 and above found in normal physiological conditions. In a quantitative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binding assay, we compared a CAB antibody and a non-CAB antibody that both bind to the target AXL with matched strength of binding to the target, or affinities, when measured at pH 6.0. The binding of the CAB antibody was highly sensitive to pH with binding becoming much weaker as pH approached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pH-dependent CAB antibodies are far less likely to bind to targets outside of tumors, resulting in several potential advantages over traditional antibodies: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Wide therapeutic window.</w:t>
            </w:r>
            <w:r>
              <w:rPr>
                <w:rFonts w:ascii="Times New Roman;Times;Serif" w:hAnsi="Times New Roman;Times;Serif"/>
              </w:rPr>
              <w:t xml:space="preserve"> Reduced binding to target antigens outside of the tumor has the potential to reduce toxicities that arise from systemic exposure. We believe this may enable higher doses or increased potency to be safely delivered to patients with the potential for increased efficacy.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Opportunity to increase tumor-specific killing.</w:t>
            </w:r>
            <w:r>
              <w:rPr>
                <w:rFonts w:ascii="Times New Roman;Times;Serif" w:hAnsi="Times New Roman;Times;Serif"/>
              </w:rPr>
              <w:t xml:space="preserve"> The wide therapeutic window imparted by tumor-specific targeting enables CAB antibodies to be modified with cytotoxic drugs to create ADCs. Similarly, bispecific antibodies can be developed using CAB antibody domains targeting pairs of targets that direct T cells to attack the tumor, thereby reducing the likelihood of unacceptable normal tissue injury if constructed using traditional antibody domains.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Increased drug exposure to tumors.</w:t>
            </w:r>
            <w:r>
              <w:rPr>
                <w:rFonts w:ascii="Times New Roman;Times;Serif" w:hAnsi="Times New Roman;Times;Serif"/>
              </w:rPr>
              <w:t xml:space="preserve"> Limited binding to targets outside of tumors allows more of the administered CAB antibodies to be available to bind to target sites in the tumor, potentially increasing the concentrations and exposure of these antibodies in tumors.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Improved pharmacokinetics.</w:t>
            </w:r>
            <w:r>
              <w:rPr>
                <w:rFonts w:ascii="Times New Roman;Times;Serif" w:hAnsi="Times New Roman;Times;Serif"/>
              </w:rPr>
              <w:t xml:space="preserve"> Limited binding to targets outside of tumors effectively increases their half-life in plasma. The phenomenon of target-mediated drug disposition (“TMDD”), is a well-known limitation facing the development of many biologics, which CAB antibodies can significantly reduce.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Broader universe of tumor-specific antigens that can be targeted.</w:t>
            </w:r>
            <w:r>
              <w:rPr>
                <w:rFonts w:ascii="Times New Roman;Times;Serif" w:hAnsi="Times New Roman;Times;Serif"/>
              </w:rPr>
              <w:t xml:space="preserve"> There are few highly prevalent tumor-specific antigens expressed on solid tumors, which represent approximately 90% of tumor types, that are not expressed at some level in normal tissues.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companies in various stages of clinical development of ADCs, one of the key features of our product candidates mecbotamab vedotin and ozuriftamab vedotin. Currently, there are several approved ADCs and many more in clinical development, the vast majority of which are being developed for the treatment of cancer. Certain other companies are also pursuing antibody therapies in immuno-oncology. Although we do not believe competing companies have selective CAB technology, there is a wide array of activity in immune-based cellular therapies for oncology.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CAB antibodies are designed and produced using our patented Comprehensive Integrated Antibody Optimization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(“CIAO!”)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been able to successfully manufacture our investigational product candidates for our ongoing early-stage clinical trials with contract manufacturers.  However, 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(“cGMPs”), and project management experience to oversee our third-party manufacturers and to manage manufacturing and quality data and information for regulatory compliance purposes.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Collaborations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selectively enter into collaborations with preclinical and/or clinical assets, particularly where potential collaborators can both accelerate and maximize a therapeutic's market potential.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Agreements and Strategic Collaborations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and Supply Agreement with Bristol-Myers Squibb</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(BA3011) and ozuriftamab vedotin (BA3021), each in combination with Opdivo® (nivolumab), BMS’ proprietary anti-PD-1 monoclonal antibody product. We serve as the study sponsor of the scheduled studies and are responsible for costs associated with the trial execution. BMS provides Opdivo® clinical drug supply at no cost for the combination study trials. After the completion of the combination therapy trials, we are obligated to provide BMS with a final report of the data resulting from the trial. The BMS agreement was amended in October 2022 to include additional territories for our combination study trials for mecbotamab vedotin and ozuriftamab vedotin.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Co-Development and Collaboration Agreement with BeOne Medicines, Ltd.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2019, we entered into a Global Co-Development and Collaboration Agreement with BeOne Medicines, Ltd. (f/k/a BeiGene, Ltd.) (“BeOne”), which, as amended in December 2019 and October 2020, provided for the development, manufacturing and commercialization of BioAtla’s investigational CAB CTLA-4 antibody, evalstotug (BA3071). Under the terms of our BeOne collaboration, BeOne was generally responsible for developing evalstotug and for global regulatory filings and commercialization. We received a total of $25 million in payments from BeOne.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2021, we entered into Amendment No. 3 to the Global Co-Development and Collaboration Agreement (“Amendment No. 3”). Under Amendment No. 3, the collaboration agreement was terminated, subject to survival of certain provisions, and BeOne handed back rights to certain know-how and materials received under the collaboration agreement and we assumed responsibility for the development and commercialization of evalstotug, in addition to other standard provisions. As consideration for Amendment No. 3, we agreed to pay BeOne mid single digit royalties on sales worldwide and on a limited basis will share in any upfront and milestone payments received through a sublicense of evalstotug.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Exclusive Rights Agreement with Himalaya Therapeutics SEZC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License Agreement with Context Therapeutics Inc.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our Nectin-4 x CD3 T cell engaging (TCE) bispecific antibody (the “License”). We also transferred know-how, including any necessary materials Context would need to perform research and development. In exchange for the License, we are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10).</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Agreement with Inversagen AI</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entered into an Investment Agreement (the “Investment Agreement”) with Inversagen AI, LLC, a Delaware limited liability company (“Inversagen AI”), and Alliance International Resources Corp., a Nevada corporation (“AIRC”).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 elimination therapy.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planned to use the gross proceeds received from the sale of the SPV common units to Inversagen AI for general operating expenses and clinical trial expenses to advance Oz-V in the Phase 3 Study. However, in connection with recent events, including the recently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10 of our consolidated financial statements, Inversagen, LLC holds an exclusive license to CAB senescence and longevity technologies from the Company.  Inversagen, LLC subsequently contributed these rights to Inversagen AI.   Inversagen, LLC and Inversagen AI are deemed to be related parties of the Company.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February 1, 2026, we had 868 patents and patent applications with 597 issued patents, 13 allowed applications, and 258 pending applications.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ability to obtain patent protection and the degree of such protection depends on several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our applications with the U.S. Patent and Trademark Office (the “USPTO”)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when appropriate, we pursue patent applications in foreign countries. The Patent Cooperation Treaty (“PCT”) system for filing international patent applications is used. This system allows a single application to be filed within 12 months of the original priority date of the patent application designating all 157 PCT member states (including countries in South, Central and North America, Africa, Europe, Asia and Australia) in which national/regional patent applications can later be pursued based on the international patent application filed under the PCT. At the end of a period of 2 1/2 years from the first priority date of the PCT patent application, separate patent applications can be pursued in any of the 157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Annual Report on Form 10-K, we have freedom to operate on all of our technologies and product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Company-owned patents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Mecbotamab vedotin is covered by many filings, including a published PCT application filed in 2017 that entered the national phase in 2018. Applications have been granted in Albania, Australia, Canada, Croatia, Cyprus, Czech Republic, Europe, Greece, Hungary, Israel, India, Japan, Korea, Macedonia (former Yugoslav Republic), Malta, Mexico, Monaco, Norway, Poland, San Marino, Serbia, Singapore, Slovakia, Spain, Switzerland, Taiwan, Turkey, the United Kingdom and the United States and are pending in 8 jurisdictions, including most major market countries. Composition of matter claims issuing from this application would not expire before 2037.</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Ozuriftamab vedotin is covered by many filings, including a published PCT application filed in 2017 that entered the national phase in 2018. Applications have been granted in Albania, Australia, Belgium, Bulgaria, China, Croatia, Cyprus, Czech Republic, Europe, Germany, Denmark, Estonia, Finland, France, Greece, Hungary, Iceland, Ireland, Israel, India, Italy, Japan, Korea, Lithuania, Luxembourg, Latvia, Macedonia (former Yugoslav Republic), Malta, Mexico, Monaco, Netherlands, Norway, Poland, Portugal, Romania, San Marino, Serbia, Slovenia, Slovakia, Spain, Switzerland, Taiwan, Turkey, the United Kingdom and the United States and are pending in 13 jurisdictions, including most major market countries. Composition of matter claims issuing from this application would not expire before 2037.</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Evalstotug is covered by many filings, including a published PCT application filed in 2019 that entered the national phase in 2021. Applications have been granted in Australia, Canada, Israel, Japan, Korea, New Zealand, Russia, Singapore, Taiwan and the United States and are pending in 16 jurisdictions, including most major market countries. Composition of matter claims issuing from this application would not expire before 2039.</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CAB-anti-EpCAM antibody is covered by many filings, including a published PCT application filed in 2020 that entered the national phase in 2022. Applications have been granted in Australia, China, Hong Kong, Israel, Japan, Korea, Taiwan and the United States and are pending in 6 jurisdictions, including most major market countries. Composition of matter claims issuing from this application would not expire before 2040.</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CAB-anti-Nectin-4 antibodies are covered by many filings, including 12 national phase filings and a granted and pending application in Taiwan. Composition of matter claims issuing from these applications would not expire before 2044.</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30 issued U.S. patents covering various aspects of the manufacturing methods used to generate CAB antibodies that have patent terms expiring from 2030 to 2038, excluding potential patent term extensions.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Out-licensed patents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Himalaya Therapeutics SEZC has exclusive rights to patents/patent applications in China, Macao, Hong Kong and Taiwan relating to ROR2 (patent application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granted Context Therapeutics an exclusive worldwide license to develop, manufacture, and commercialize two licensed antibodies, including a CAB Nectin-4 x CD3 T-Cell engaging bispecific antibody, and non-exclusive rights to BioAtla's enabling technology to the extent necessary to exploit the licensed antibodies. See Note 9 to our consolidated financial statements for further details.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Holdings, LLC has exclusive worldwide rights to all patents for the field of adoptive cell immunotherapy “ACT” (chimeric antigen receptor (CAR) T-cell (“CAR-T”)), excluding the targets licensed to EXUMA Biotech Corp (“EXUMA”).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Inversagen, LLC has exclusive worldwide rights to all patents solely in the field of diseases associated with aging (outside of cancer), diagnostics related thereto and an immuno-oncology antibody.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EXUMA has an exclusive worldwide license to all patents solely to develop, make, have made, use, sell, have sold, offer for sale and import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and Product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Licensure and Regulation of Biologics in the United States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FDA regulates biologic products under the Federal Food, Drug, and Cosmetic Act (the “FDCA”), the Public Health Service Act (“PHSA”), and regulations and guidance implementing these laws. The FDCA, PHSA and their corresponding regulations, and other federal and state statutes and regulations, govern, among other things, the research, development, testing, manufacturing, safety, purity, potency, labeling, packaging, storage, record keeping, approval, distribution, post-approval monitoring and reporting, sampling,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(“NDAs”). Biological products are approved for marketing under provisions of the PHSA, via a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biologic products development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Biological product candidates must be approved by the FDA pursuant to a BLA before they may be legally marketed in the United States. The process generally involves the following:</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Completion of extensive preclinical laboratory tests and </w:t>
            </w:r>
            <w:r>
              <w:rPr>
                <w:rFonts w:ascii="Times New Roman;Times;Serif" w:hAnsi="Times New Roman;Times;Serif"/>
                <w:i/>
              </w:rPr>
              <w:t>in vivo</w:t>
            </w:r>
            <w:r>
              <w:rPr>
                <w:rFonts w:ascii="Times New Roman;Times;Serif" w:hAnsi="Times New Roman;Times;Serif"/>
              </w:rPr>
              <w:t xml:space="preserve"> studies in accordance with the FDA’s current good laboratory practice (“GLP”) regulations and applicable requirements for the humane use of laboratory animals or other applicable regulations;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Submission to the FDA of an IND, which must become effective before clinical trials may begin;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Approval by an independent institutional review board (“IRB”), reviewing each clinical site before each clinical trial may be initiated;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Performance of adequate and well-controlled clinical trials in accordance with the FDA’s IND regulations, good clinical practice (“GCP”) requirements, and any additional requirements for the protection of human research subjects and their health information, to establish the safety and efficacy of the proposed biologic product candidate for its intended use;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Preparation and submission to the FDA of a BLA for marketing approval that includes substantial evidence of safety, purity and potency from results of nonclinical testing and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18" w:type="dxa"/>
        <w:jc w:val="left"/>
        <w:tblInd w:w="72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determination by the FDA within 60 days of its receipt of a BLA to file the application;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Satisfactory completion of any potential FDA audits of the nonclinical and clinical trial sites that generated the data in support of the BLA to assure compliance with GCPs and integrity of the clinical data;</w:t>
            </w:r>
          </w:p>
        </w:tc>
      </w:tr>
    </w:tbl>
    <w:p>
      <w:pPr>
        <w:pStyle w:val="TextBody"/>
        <w:bidi w:val="0"/>
        <w:spacing w:before="0" w:after="0"/>
        <w:ind w:left="720" w:right="720" w:hanging="0"/>
        <w:jc w:val="left"/>
        <w:rPr>
          <w:caps w:val="false"/>
          <w:smallCaps w:val="false"/>
        </w:rPr>
      </w:pPr>
      <w:r>
        <w:rPr>
          <w:caps w:val="false"/>
          <w:smallCaps w:val="false"/>
        </w:rPr>
        <w:t> </w:t>
      </w:r>
    </w:p>
    <w:tbl>
      <w:tblPr>
        <w:tblW w:w="5013" w:type="dxa"/>
        <w:jc w:val="left"/>
        <w:tblInd w:w="72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Payment of user fees for FDA review of the BLA;</w:t>
            </w:r>
          </w:p>
        </w:tc>
      </w:tr>
    </w:tbl>
    <w:p>
      <w:pPr>
        <w:pStyle w:val="TextBody"/>
        <w:bidi w:val="0"/>
        <w:spacing w:before="0" w:after="0"/>
        <w:ind w:left="720" w:right="720" w:hanging="0"/>
        <w:jc w:val="left"/>
        <w:rPr>
          <w:caps w:val="false"/>
          <w:smallCaps w:val="false"/>
        </w:rPr>
      </w:pPr>
      <w:r>
        <w:rPr>
          <w:caps w:val="false"/>
          <w:smallCaps w:val="false"/>
        </w:rPr>
        <w:t> </w:t>
      </w:r>
    </w:p>
    <w:tbl>
      <w:tblPr>
        <w:tblW w:w="6738" w:type="dxa"/>
        <w:jc w:val="left"/>
        <w:tblInd w:w="72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 of the product by an FDA advisory committee, if applicable;</w:t>
            </w:r>
          </w:p>
        </w:tc>
      </w:tr>
    </w:tbl>
    <w:p>
      <w:pPr>
        <w:pStyle w:val="TextBody"/>
        <w:bidi w:val="0"/>
        <w:spacing w:before="0" w:after="0"/>
        <w:ind w:left="720" w:right="720" w:hanging="0"/>
        <w:jc w:val="left"/>
        <w:rPr>
          <w:caps w:val="false"/>
          <w:smallCaps w:val="false"/>
        </w:rPr>
      </w:pPr>
      <w:r>
        <w:rPr>
          <w:caps w:val="false"/>
          <w:smallCaps w:val="false"/>
        </w:rPr>
        <w:t> </w:t>
      </w:r>
    </w:p>
    <w:tbl>
      <w:tblPr>
        <w:tblW w:w="3948" w:type="dxa"/>
        <w:jc w:val="left"/>
        <w:tblInd w:w="72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FDA review and approval of the BLA.</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Preclinical studies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testing any biologic product candidate in humans, the product candidate must undergo rigorous preclinical testing. Preclinical tests, also referred to as nonclinical studies, include laboratory evaluations of product chemistry, toxicity and formulation, as well as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animal studies to assess the potential safety and activity of the product candidate and to establish a rationale for therapeutic use. The conduct of the preclinical tests must comply with federal regulations and requirements including GLPs.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trials under an IND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typically are conducted in three sequential phases that may overlap or be combined:</w:t>
      </w:r>
    </w:p>
    <w:p>
      <w:pPr>
        <w:pStyle w:val="TextBody"/>
        <w:bidi w:val="0"/>
        <w:spacing w:before="0" w:after="0"/>
        <w:ind w:left="720" w:right="720" w:firstLine="446"/>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Phase 1.</w:t>
            </w:r>
            <w:r>
              <w:rPr>
                <w:rFonts w:ascii="Times New Roman;Times;Serif" w:hAnsi="Times New Roman;Times;Serif"/>
              </w:rPr>
              <w:t xml:space="preserve"> The biologic product candidate initially is introduced into a small number of healthy human subjects and tested for safety, dosage tolerance, 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Phase 2.</w:t>
            </w:r>
            <w:r>
              <w:rPr>
                <w:rFonts w:ascii="Times New Roman;Times;Serif" w:hAnsi="Times New Roman;Times;Serif"/>
              </w:rPr>
              <w:t xml:space="preserve"> The biologic product candidate is evaluated in a limited patient population to identify possible adverse effects and safety risks, to preliminarily evaluate the efficacy of the product candidate a particular indication and to determine dosage tolerance, optimal dosage and dosing schedule. Multiple Phase 2 clinical trials may be conducted to obtain information prior to beginning larger and more expensive Phase 3 clinical trials.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Phase 3.</w:t>
            </w:r>
            <w:r>
              <w:rPr>
                <w:rFonts w:ascii="Times New Roman;Times;Serif" w:hAnsi="Times New Roman;Times;Serif"/>
              </w:rPr>
              <w:t xml:space="preserve"> The biologic product candidate is administered to an expanded patient population at multiple sites to further evaluate dosage, to demonstrate efficacy and safety, generally at multiple geographically dispersed clinical trial sites. These clinical trials are intended to establish the overall risk/benefit ratio of the investigational product and to provide an adequate basis for product approval and labeling.</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cases, particularly for prevalent diseases, the FDA requires two adequate and well-controlled Phase 3 clinical trials to demonstrate the efficacy of a biologic. A single Phase 3 or Phase 2 trial may be sufficient in many other conditions, particularly for rare disease therapies, when in conjunction with confirmatory evidence. A single adequate and well-controlled trial may also be sufficient, though it is less common, when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Approval on the basis of a single trial may be subject to the requirement of additional post-approval studies.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clinical trials, companies usually must complete some long-term preclinical testing, such as animal tests of reproductive toxicity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drug or biologic.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review and approval processes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approval of a BLA must be obtained before commercial marketing of the biologic product. The results of the preclinical tests and clinical trials, together with detailed information relating to the product’s pharmacology, chemistry, manufacturing controls (“CMC”), and proposed labeling, among other things, are submitted to the FDA as part of the BLA requesting approval to market the product for one or more indications.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and submitting a BLA is substantial. Under the Prescription Drug User Fee Act (“PDUFA”), each BLA must be accompanied by a significant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reviews a BLA within 60 days of receipt to determine whether the application will be filed based on the FDA's determination that it is sufficiently complete to permit substantive review.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risk evaluation and mitigation strategy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agreed to specified performance goals in the review of BLAs under PDUFA. One such goal is to review standard BLAs within 10 months after the FDA files the BLA, and priority BLAs within six months, whereupon a review decision is to be made. The review process and the PDUFA goal date for both standard and priority review BLAs may be extended by three months if the FDA deems information submitted by the applicant to be a major amendment to the BLA.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cGMP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requested product recalls or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Expedited development and review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is authorized to designate certain products for expedited review if they are intended to address an unmet medical need in the treatment of a serious or life-threatening disease or condition.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approval may be granted for products that are intended to treat a serious or life-threatening condition and that generally address an unmet medical need.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marker, such as a laboratory measurement, radiographic image, physical sign, or other measure that is thought to predict clinical benefit, but is not itself a measure of clinical benefit.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the verification and description of the product’s clinical benefit, which is generally in the form of at least one post-approval confirmatory trial.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Orphan drug designation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Orphan drug designation in the United States is designed to encourage sponsors to develop products intended for treatment of rare diseases or conditions. In the United States, pursuant to the Orphan Drug Act, the FDA may grant orphan designation to a drug or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for designation as an orphan product can be made any time prior to the submission of an application for approval to market the product. The Office of Orphan Products Development at the FDA grants orphan drug designations based on acceptable confidential requests made under the regulatory provisions. The product must then go through the review and approval process like any other product. Orphan drug designation entitles a company to financial incentives, such as tax credits and user fee waivers, but does not convey any advantage in or shorten the duration of the regulatory review and approval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sponsor may request orphan drug designation of a previously unapproved product or new orphan indication for an already marketed product. In addition, a sponsor of a product that is otherwise the same drug, which includes biologics, as an already approved orphan-designated drug may seek and obtain orphan drug designation for a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product with orphan designation receives the first FDA approval of the drug to treat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such as in instances of product supply issues. In the case of a biological product, the same drug is a drug that contains the same principal molecular features, except if it is clinically superior. A product is clinically superior if it is safer, more effective, or makes a major contribution to patient care. If a product designated as an orphan drug ultimately receives marketing approval for an indication broader than what was designated in its orphan drug application, it may not be entitled to orphan drug exclusivity.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exclusivity begins on the date that the marketing application is approved by the FDA and applies only to the indication for which the product has been designated and approved. The FDA may approve a second application for the same drug for a different indication, a different drug for the same indication, or a second application for a clinically superior version of the same drug for the same indication. Because healthcare professionals are free to prescribe products for off-label uses, the competitor’s product could be used for the orphan indication despite another product’s orphan exclusivity. The FDA cannot, however, approve the same drug made by another manufacturer for the same indication during the market exclusivity period unless it has the consent of the sponsor, the new drug product has been demonstrated to be clinically superior, or the sponsor is unable to provide sufficient quantities.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determination of whether two ADCs are the same drug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approval and regulation of companion diagnostics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use of an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diagnostic is essential to the safe and effective use of a drug or biologic product, then the FDA generally will require approval or clearance of that diagnostic, known as a companion diagnostic, before or at the same time that the FDA approves the therapeutic product. In August 2014, the FDA issued final guidance clarifying the requirements that will apply to approval of therapeutic products and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has also introduced the concept of a complementary diagnostic, which the FDA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diagnostic will be included in the therapeutic product labeling.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or clearance of the companion or complementary diagnostic device will ensure that the device has been adequately evaluated and has adequate performance characteristics in the intended population. The review of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companion or complementary diagnostics in conjunction with the review of our products will, therefore, likely involve coordination of review by the FDA’s Center for Drug Evaluation and Research and Office of In Vitro Diagnostics. We may partner with a diagnostic provider to develop a companion or complementary diagnostic for certain of our product candidates. Review and approval of a companion or complementary diagnostic is typically done in parallel with development of the therapeutic product. However, it is possible that the FDA may permit approval of the companion or complementary diagnostic as a post-marketing commitment following a potential regulatory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FDCA,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diagnostics, including companion and complementary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authorization, or approval from the FDA prior to commercial distribution. The two primary types of FDA marketing authorization applicable to a medical device are premarket notification, also called 510(k) clearance, and premarket approval, or PMA. The FDA has generally required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companion diagnostics intended to select the patients who will respond to cancer treatment to obtain a PMA for that diagnostic simultaneously with approval of the therapeutic.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Management System Regulation (“QMSR”), which imposes elaborate testing, control, documentation and other quality assurance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2024, FDA’s Center for Devices and Radiological Health (“CDRH”) announced that it intended to reclassify most high-risk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510(k) and de novo submission processes are less burdensome than the PMA approval process. To obtain 510(k) clearance, a manufacturer must submit a premarket notification demonstrating that the proposed device is substantially equivalent to a legally marketed device, referred to as the predicate device. To be substantially equivalent, the proposed device must have the same intended use as the predicate device, and either have the same technological characteristics as the predicate device or have different technological characteristics and be shown to be equally safe and effective and not raise different questions of safety and effectiveness than the predicate device. The de novo classification process is used when there is no predicate device. In a de novo submission, the sponsor must demonstrate that the proposed device is of low or moderate risk and the benefits outweigh the risks. The type of data included in a de novo request is similar to the type of data included in a 510(k), although a larger proportion of de novo submissions require clinical data as compared to 510(k)s. The review time for a de novo request is longer as compared to the 510(k) process, and the outcome for de novo requests is more uncertain.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device is placed on the market, it remains subject to significant regulatory requirements. Medical devices may be marketed only for the uses and indications for which they are cleared, authorized, or approved. A modification that could significantly affect a device’s safety or effectiveness, or that would constitute a major change in its intended use, requires a new 510(k) clearance, de novo authorization, or could require a PMA approval.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QMSR,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Pediatric information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Pediatric Research Equity Act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product contains a new active ingredient and is a molecularly targeted cancer product intended for the treatment of an adult cancer and is directed at a molecular target that FDA has determined is substantially relevant to the growth or progression of a pediatric cancer.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Best Pharmaceuticals for Children Act (“BPCA”) provides a six-month extension of any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that fairly respond to the written request within the statutory timeframe. Applications under the BPCA are treated as priority applications, with all of the benefits that designation confers.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controls for biologics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Biosimilars and exclusivity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Care Act (the “ACA”), includes a subtitle called the Biologics Price Competition and Innovation Act of 2009 (“BPCIA”), which created an abbreviated approval pathway for biological products that are biosimilar to or interchangeable with an FDA-licensed reference biological product. The FDA has licensed many biosimilars under the BPCIA, and has issued several guidance documents outlining an approach to review and approval of biosimilars.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Biosimilarity, which requires that there be no differences in route of administration, dosage form, and strength, and no clinically meaningful differences between the proposed biosimilar biological product and the reference product in terms of safety, purity and potency, can be shown through analytical studies, an assessment of toxicity,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BPCIA, an application for a biosimilar product referencing an exclusivity-protected biological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biologic product submitted under the biosimilar abbreviated approval pathway that is determined to be interchangeable with the reference product has exclusivity against approval of an interchangeable biologic for the same condition of use for the earlier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 and extension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and procedures governing approval of medicinal products in the European Union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each European Union member state in which the clinical trial is to be conducted.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PRIME designation in the European Union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2016, the European Medicines Agency (the “EMA”) launched an initiative to facilitate development of product candidates of major interest from the point of view of public health and in particular from the point of view of therapeutic innovation. The PRIority MEdicines, (“PRIME”), scheme is intended to encourage drug development in areas of unmet medical need and provides accelerated assessment of products 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proof-of-concept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(“CHMP”), or Committee for Advanced Therapies in the case of an advanced therapy, are appointed early in the PRIME scheme to provide continuous support and help to build knowledge ahead of a MAA.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authorization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data protection in the European Union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extensions in the European Union and other jurisdictions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Periods of authorization and renewals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requirements after marketing authorization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good manufacturing practices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Orphan drug designation and exclusivity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orphan drug designation provides several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justify market exclusivity.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Data Protection Regulation (the “GDPR”)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reimbursement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U.S. healthcare laws and compliance requirements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biotechnology company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and the Office for Civil Rights), the U.S. Department of Justice (the “DOJ”),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(“HIPAA”), and similar state laws, each as amended, as applicable.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several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conditions of the Anti-Kickback Statute, a person or entity does not need to have actual knowledge of the statute or specific intent to violate it in order to have committed a violation.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many states have similar fraud and abuse statutes or regulations that apply to items and services reimbursed under Medicaid and other state programs, or, in several states, apply regardless of the payor.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and state data privacy and security laws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many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state laws govern the privacy and security of health information in specified circumstances, many of which differ from each other in significant ways and may not have the same effect, and often are not preempted by HIPAA, thus complicating compliance efforts. For example, the California Consumer Privacy Act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On November 3, 2020, California voters approved a new privacy law, the California Privacy Rights Act (the “CPRA”), which imposes additional obligations on covered companies and significantly modifies the CCPA, including by expanding consumers’ rights with respect to certain personal information and creating a new state agency to oversee implementation and enforcement efforts. The CCPA and CPRA provide for unlimited civil penalties for violations, as well as a private right of action for data breaches that is expected to increase data breach litigation. The CPRA took effect in most material respects on January 1, 2023. CCPA enforcement thus far has been limited; it has not been subject to significant litigation and judicial interpretation. As a result, it remains unclear how various provisions of the CCPA will be interpreted and enforced. State laws are changing rapidly and there is discussion in the U.S. of a new comprehensive federal data privacy law to which we would become subject if it is enacted.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reform</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Several healthcare reform proposals culminated in the enactment of the Inflation Reduction Act of 2022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took place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will be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and in November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several lawsuits brought by pharmaceutical manufacturers. Thus, while it is unclear how the IRA will be implemented, it will likely have a significant impact on the biopharmaceutical industry and the pricing of prescription drug products. Additional state and federal healthcare reform measures could be adopted in the future.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administration is pursuing executive and regulatory actions directing HHS to pursue most favored nation (“MFN”) pricing targets for prescription drugs and to evaluate other potential reforms including, for example, an executive order tasking the Center for Medicare and Medicaid Innovation (“CMMI”) to consider new payment and healthcare models to limit drug spending, and promote MFN drug pricing, among other directives. For example, on December 23, 2025, CMS issued proposed regulations to establish, under CMMI, two mandatory MFN demonstration models under Medicare Parts B and D, respectively. If these rules or other MFN pricing rules are finalized, they are likely to reduce prices of at least some drugs in the United States, if they are also sold in comparator countries.  Even if a company does not market drugs in such countries, the company could be indirectly affected if its drugs compete with drugs whose prices were reduced as a result of MFN pricing initiatives.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Management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Employees</w:t>
      </w:r>
      <w:r>
        <w:rPr>
          <w:rFonts w:ascii="Times New Roman;Times;Serif" w:hAnsi="Times New Roman;Times;Serif"/>
          <w:b w:val="false"/>
          <w:i w:val="false"/>
          <w:caps w:val="false"/>
          <w:smallCaps w:val="false"/>
          <w:sz w:val="20"/>
        </w:rPr>
        <w:t>. As of the date of this prospectus, we employed 10 employees. None of our employees are subject to a collective bargaining agreement. We consider our relationship with our employees to be good.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and Benefits Program</w:t>
      </w:r>
      <w:r>
        <w:rPr>
          <w:rFonts w:ascii="Times New Roman;Times;Serif" w:hAnsi="Times New Roman;Times;Serif"/>
          <w:b w:val="false"/>
          <w:i w:val="false"/>
          <w:caps w:val="false"/>
          <w:smallCaps w:val="false"/>
          <w:sz w:val="20"/>
        </w:rPr>
        <w:t>. 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flexible spending accounts for health and dependent care needs, paid time off, paid parental leave, participation in our Employee Stock Purchase Plan and a 401(k) plan. In addition to our benefits, we offer wellness and stress management support which includes an on-site gym, company-wide wellness activities, wellness resources that are shared with employees each month, an Employee Assistance Program with counseling, and flexible work arrangements.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Employee Communication and Engagement.</w:t>
      </w:r>
      <w:r>
        <w:rPr>
          <w:rFonts w:ascii="Times New Roman;Times;Serif" w:hAnsi="Times New Roman;Times;Serif"/>
          <w:b w:val="false"/>
          <w:i w:val="false"/>
          <w:caps w:val="false"/>
          <w:smallCaps w:val="false"/>
          <w:sz w:val="20"/>
        </w:rPr>
        <w:t xml:space="preserve"> We believe that our employees perform at their best when they understand how their contributions align with our overall strategy. To foster this connection, we prioritize open and transparent communication through several channels, including all hands meetings, company-wide updates and posts on our intranet. To maintain employee morale, we assess engagement through our managers who gather valuable feedback on career development, work environment and supervisor performance. Additionally, we track employee turnover rates to gauge satisfaction. The insights from this feedback are used to shape initiatives that aim to boost employee engagement and enhance the overall employee experience.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predecessor entity was founded in March 2007. In July 2020, we converted from a limited liability company into a Delaware corporation pursuant to a statutory conversion and changed our name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prospectus and should not be considered a part of this prospectus.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obtained a registered trademark for BioAtla® in the United States. This prospectus contains references to our trademarks and to trademarks belonging to other entities. Solely for convenience, trademarks and trade names referred to in this prospectus, including logos, artwork and other visual displays, may appear without the ® or </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(http://www.sec.gov) that contains reports, proxy and information statements, and other information regarding issuers that file electronically with the SEC.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center"/>
        <w:rPr>
          <w:rFonts w:ascii="Times New Roman;Times;Serif" w:hAnsi="Times New Roman;Times;Serif"/>
          <w:b/>
          <w:i w:val="false"/>
          <w:caps/>
          <w:sz w:val="20"/>
        </w:rPr>
      </w:pPr>
      <w:bookmarkStart w:id="30" w:name="b011"/>
      <w:bookmarkEnd w:id="30"/>
      <w:r>
        <w:rPr>
          <w:rFonts w:ascii="Times New Roman;Times;Serif" w:hAnsi="Times New Roman;Times;Serif"/>
          <w:b/>
          <w:i w:val="false"/>
          <w:caps/>
          <w:sz w:val="20"/>
        </w:rPr>
        <w:t>MANAGEMENT</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Board of Directors and their ages, occupations and lengths of service on our board of directors as of September 30, 2026 are provided in the table below and in the additional biographical descriptions set forth in the text below the table.</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2822"/>
        <w:gridCol w:w="60"/>
        <w:gridCol w:w="63"/>
        <w:gridCol w:w="242"/>
        <w:gridCol w:w="60"/>
        <w:gridCol w:w="60"/>
        <w:gridCol w:w="4094"/>
        <w:gridCol w:w="60"/>
        <w:gridCol w:w="1304"/>
      </w:tblGrid>
      <w:tr>
        <w:trPr/>
        <w:tc>
          <w:tcPr>
            <w:tcW w:w="282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Age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Director Since</w:t>
            </w:r>
          </w:p>
        </w:tc>
      </w:tr>
      <w:tr>
        <w:trPr/>
        <w:tc>
          <w:tcPr>
            <w:tcW w:w="2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Class I Director</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 </w:t>
            </w:r>
          </w:p>
        </w:tc>
      </w:tr>
      <w:tr>
        <w:trPr/>
        <w:tc>
          <w:tcPr>
            <w:tcW w:w="2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Sylvia McBrinn(1)(2)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June 2021</w:t>
            </w:r>
          </w:p>
        </w:tc>
      </w:tr>
      <w:tr>
        <w:trPr/>
        <w:tc>
          <w:tcPr>
            <w:tcW w:w="2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Class II Directors</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 </w:t>
            </w:r>
          </w:p>
        </w:tc>
      </w:tr>
      <w:tr>
        <w:trPr/>
        <w:tc>
          <w:tcPr>
            <w:tcW w:w="2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Ann Gray, Ph.D.(1)(3)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December 2020</w:t>
            </w:r>
          </w:p>
        </w:tc>
      </w:tr>
      <w:tr>
        <w:trPr/>
        <w:tc>
          <w:tcPr>
            <w:tcW w:w="2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Moran, M.D., M.S.C.E.(2)(3)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December 2020</w:t>
            </w:r>
          </w:p>
        </w:tc>
      </w:tr>
      <w:tr>
        <w:trPr/>
        <w:tc>
          <w:tcPr>
            <w:tcW w:w="2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Steinman, M.D.(2)(3)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Lead Independent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2020</w:t>
            </w:r>
          </w:p>
        </w:tc>
      </w:tr>
      <w:tr>
        <w:trPr/>
        <w:tc>
          <w:tcPr>
            <w:tcW w:w="2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Class III Directors</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 </w:t>
            </w:r>
          </w:p>
        </w:tc>
      </w:tr>
      <w:tr>
        <w:trPr/>
        <w:tc>
          <w:tcPr>
            <w:tcW w:w="2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Jay M. Short,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2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Chief Executive Officer and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2020</w:t>
            </w:r>
          </w:p>
        </w:tc>
      </w:tr>
      <w:tr>
        <w:trPr/>
        <w:tc>
          <w:tcPr>
            <w:tcW w:w="2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Williams(1)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December 2021</w:t>
            </w:r>
          </w:p>
        </w:tc>
      </w:tr>
    </w:tbl>
    <w:p>
      <w:pPr>
        <w:pStyle w:val="TextBody"/>
        <w:bidi w:val="0"/>
        <w:spacing w:before="720" w:after="720"/>
        <w:ind w:left="720" w:right="720" w:hanging="0"/>
        <w:jc w:val="left"/>
        <w:rPr/>
      </w:pPr>
      <w:r>
        <w:rPr/>
        <w:t> </w:t>
      </w:r>
    </w:p>
    <w:p>
      <w:pPr>
        <w:pStyle w:val="TextBody"/>
        <w:bidi w:val="0"/>
        <w:spacing w:before="60" w:after="60"/>
        <w:ind w:left="720" w:right="720" w:hanging="0"/>
        <w:jc w:val="left"/>
        <w:rPr>
          <w:bdr w:val="single" w:sz="8" w:space="1" w:color="000000"/>
        </w:rPr>
      </w:pPr>
      <w:r>
        <w:rPr>
          <w:bdr w:val="single" w:sz="8" w:space="1" w:color="000000"/>
        </w:rPr>
        <w:t> </w:t>
      </w:r>
    </w:p>
    <w:tbl>
      <w:tblPr>
        <w:tblW w:w="2478" w:type="dxa"/>
        <w:jc w:val="left"/>
        <w:tblInd w:w="720" w:type="dxa"/>
        <w:tblLayout w:type="fixed"/>
        <w:tblCellMar>
          <w:top w:w="0" w:type="dxa"/>
          <w:left w:w="0" w:type="dxa"/>
          <w:bottom w:w="0" w:type="dxa"/>
          <w:right w:w="0" w:type="dxa"/>
        </w:tblCellMar>
      </w:tblPr>
      <w:tblGrid>
        <w:gridCol w:w="38"/>
        <w:gridCol w:w="185"/>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225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Member of our audit committee</w:t>
            </w:r>
          </w:p>
        </w:tc>
      </w:tr>
    </w:tbl>
    <w:tbl>
      <w:tblPr>
        <w:tblW w:w="3093" w:type="dxa"/>
        <w:jc w:val="left"/>
        <w:tblInd w:w="720" w:type="dxa"/>
        <w:tblLayout w:type="fixed"/>
        <w:tblCellMar>
          <w:top w:w="0" w:type="dxa"/>
          <w:left w:w="0" w:type="dxa"/>
          <w:bottom w:w="0" w:type="dxa"/>
          <w:right w:w="0" w:type="dxa"/>
        </w:tblCellMar>
      </w:tblPr>
      <w:tblGrid>
        <w:gridCol w:w="38"/>
        <w:gridCol w:w="18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(2)</w:t>
            </w:r>
          </w:p>
        </w:tc>
        <w:tc>
          <w:tcPr>
            <w:tcW w:w="287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Member of our compensation committee</w:t>
            </w:r>
          </w:p>
        </w:tc>
      </w:tr>
    </w:tbl>
    <w:tbl>
      <w:tblPr>
        <w:tblW w:w="4788" w:type="dxa"/>
        <w:jc w:val="left"/>
        <w:tblInd w:w="720" w:type="dxa"/>
        <w:tblLayout w:type="fixed"/>
        <w:tblCellMar>
          <w:top w:w="0" w:type="dxa"/>
          <w:left w:w="0" w:type="dxa"/>
          <w:bottom w:w="0" w:type="dxa"/>
          <w:right w:w="0" w:type="dxa"/>
        </w:tblCellMar>
      </w:tblPr>
      <w:tblGrid>
        <w:gridCol w:w="38"/>
        <w:gridCol w:w="185"/>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(3)</w:t>
            </w:r>
          </w:p>
        </w:tc>
        <w:tc>
          <w:tcPr>
            <w:tcW w:w="45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Member of our nominating and corporate governance committee</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Sylvia McBrinn</w:t>
      </w:r>
      <w:r>
        <w:rPr>
          <w:rFonts w:ascii="Times New Roman;Times;Serif" w:hAnsi="Times New Roman;Times;Serif"/>
          <w:b w:val="false"/>
          <w:i w:val="false"/>
          <w:caps w:val="false"/>
          <w:smallCaps w:val="false"/>
          <w:sz w:val="20"/>
        </w:rPr>
        <w:t xml:space="preserve"> has more than 30 years of executive, operational and commercial leadership experience in the biopharmaceutical industry. Ms. McBrinn currently serves in various advisory roles, including as Entrepreneur in Residence at Yale University since March 2021, Strategic Advisor to Propel Bio Partners, a venture capital fund, since March 2022, and Member of the Life Science Council of Springboard Enterprises, a nonprofit organization whose mission is to accelerate the growth of entrepreneurial companies led by women, since 2014. Ms. McBrinn cofounded and was Chief Executive Officer of Axerion Therapeutics, Inc. (now known as ReNetX Bio, Inc.), a biotech company, from 2009 to 2012. Prior to that, from 2005 to 2008, she served as Head, U.S. Organization of Vernalis Pharmaceuticals, Inc., a biotechnology company, where she built and led its U.S. commercial organization, and from 2003 to 2004, she served as Executive Vice President and General Manager, Brand Pharmaceuticals of Andrx Laboratories, Inc., where she was responsible for leading its branded product division. Ms. McBrinn also held various positions at Pharmacia Corporation, a pharmaceutical company, from 1986 until it was acquired by Pfizer Inc. in 2003, including Vice President, Global and US Marketing, Bextra (Cox-2) from 2000 to 2003, Vice President, Global and US Marketing, Neurology from 1998 to 2000 and Vice President, Marketing, U.S. Marketing Company from 1997 to 1998. Ms. McBrinn received her B.S. in Biology from DeSales University and MBA from Widener University.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Ms. McBrinn’s extensive experience in the biopharmaceutical industry, including her experience in the commercialization and marketing of biopharma products across many therapeutic areas, as well as her expertise in commercial planning, marketing development, product launch and building commercial organizations, provide her with the qualifications and skills to serve on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Mary Ann Gray, Ph.D. </w:t>
      </w:r>
      <w:r>
        <w:rPr>
          <w:rFonts w:ascii="Times New Roman;Times;Serif" w:hAnsi="Times New Roman;Times;Serif"/>
          <w:b w:val="false"/>
          <w:i w:val="false"/>
          <w:caps w:val="false"/>
          <w:smallCaps w:val="false"/>
          <w:sz w:val="20"/>
        </w:rPr>
        <w:t>has been a board member of public biotechnology companies for over 15 years and has held positions of audit committee chair, compensation committee chair and lead independent director. She has served on the boards of Keros Therapeutics, Inc. since December 2020 and Compass Therapeutics, Inc. since April 2022. She also served on the boards of RAPT Therapeutics, Inc. from December 2019 to March 2026 and Palisade Bio, Inc. (formerly Seneca Biopharmaceuticals, Inc.) from April 2021 to March 2024. During her career as a board member, she has also served on several other boards including Dyax Corp. from November 2004 until January 2016, Juniper Pharmaceuticals from April 2016 to August 2018, Sarepta Therapeutics Inc. from December 2018 to June 2022, Senomyx from 2010 to December 2018, Galena Biopharma from April 2016 to December 2017, TetraLogic from November 2014 to November 2016 and Acadia Pharmaceuticals from 2005 to June 2016. Dr. Gray has been President of Gray Strategic Advisors, LLC since April 2004, a biotechnology strategic planning and advisory firm. Following an early career as a research scientist, she spent time in scientific positions at biotech and pharmaceutical companies. This was followed by over 7 years as a sell-side research analyst and over 4 years as a portfolio manager at the Federated Kaufmann Fund. Dr. Gray holds a B.S. in biology from University of South Carolina, a Ph.D. in pharmacology from the University of Vermont, and completed her post-doctoral work at Northwestern University Medical School and at the Yale University School of Medicine.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Dr. Gray’s expertise and experience in the life sciences industry, her experience as a director of other companies in our industry and her educational background provide her with the qualifications and skills to serve on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Susan Moran, M.D., M.S.C.E.</w:t>
      </w:r>
      <w:r>
        <w:rPr>
          <w:rFonts w:ascii="Times New Roman;Times;Serif" w:hAnsi="Times New Roman;Times;Serif"/>
          <w:b w:val="false"/>
          <w:i w:val="false"/>
          <w:caps w:val="false"/>
          <w:smallCaps w:val="false"/>
          <w:sz w:val="20"/>
        </w:rPr>
        <w:t xml:space="preserve"> has over 20 years of industry and academic experience, successfully leading programs through IND clearance to full regulatory approval. Dr. Moran has served on the board of directors of Tyra Biosciences, Inc. (Nasdaq: TYRA) since May 2024 and Crescent Biopharma since November 2024. From July 2021 to May 2024, Dr. Moran served as Chief Medical Officer of RayzeBio, Inc., a radiopharmaceutical therapeutics company previously listed on Nasdaq that was acquired by Bristol-Myers Squibb in February 2024. Prior to joining RayzeBio, Dr. Moran served as Chief Medical Officer at QED Therapeutics, Inc., a biotechnology company and subsidiary of BridgeBio Pharma, Inc. (Nasdaq: BBIO) from March 2018 to June 2021, where she oversaw clinical development of infigratinib, leading to approval of Truseltiq</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Prior to QED, Dr. Moran was at Puma Biotechnology, Inc. from 2014 to February 2018, contributing to the approval of Nerylnx®. She was Senior Medical Director until December 2016 when her role expanded to Vice President and Head of Clinical Development. Dr. Moran has played roles in the development, registration, and post-marketing support of products for breast, prostate, thyroid, bile duct, urothelial, lung, and neuroendocrine cancer, as well as multiple sclerosis, achondroplasia, and other disorders. She is a board-certified internist and has served on the faculty of the University of Pennsylvania School of Medicine and Harvard Medical School. Dr. Moran received her B.A. from the University of Virginia, M.D. from Duke University, and M.S. in Clinical Epidemiology from the University of Pennsylvania School of Medicine.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Dr. Moran’s expertise and experience in the life sciences industry and her educational background provide her with the qualifications and skills to serve on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Lawrence Steinman, M.D.</w:t>
      </w:r>
      <w:r>
        <w:rPr>
          <w:rFonts w:ascii="Times New Roman;Times;Serif" w:hAnsi="Times New Roman;Times;Serif"/>
          <w:b w:val="false"/>
          <w:i w:val="false"/>
          <w:caps w:val="false"/>
          <w:smallCaps w:val="false"/>
          <w:sz w:val="20"/>
        </w:rPr>
        <w:t xml:space="preserve"> is a professor of neurology and neurological sciences, pediatrics and genetics at Stanford University, where he has been a professor since 1980. Dr. Steinman’s research focuses on the causes of relapses and remissions in multiple sclerosis, or MS, the molecules that serve as a constraint on brain inflammation and the search for vaccines for autoimmune diseases. To date, Dr. Steinman has developed two antigen-specific therapies, using DNA vaccines, for MS and type 1 diabetes. Specifically, research in Dr. Steinman’s laboratory led to the development of the drug Tysabri (natalizumab), which is used to treat patients with Crohn’s Disease. He has received a host of awards for his research and has been elected to the National Academy of Sciences and the National Academy of Medicine. Since August 2020, Dr. Steinman has served as the non-employee Executive Chairman of the board of Pasithea Therapeutics Corp., a biotech company he co-founded in 2020. From November 2020 until May 2024, Dr. Steinman has served as the non-employee Executive Chairman of the board of 180 Life Sciences Corp., a biotech company he co-founded in 2013. Prior to starting his position as the non-employee Executive Chairman of 180 Life Sciences Corp., Dr. Steinman served as Co-Chairman. Dr. Steinman also served as a member of the board of directors of 180 Life Sciences Corp. from 2019 to August 2025. Dr. Steinman served as a member of the advisory board of BioAtla, LLC from April 2016 to July 2020 and served as a scientific advisor to BioAtla, LLC from April 2014 to May 2016. Dr. Steinman also served on the board of directors of Atreca, Inc., a biotechnology company focusing on developing novel therapeutics for applications in cancer treatment from January 2012 to August 2019. Dr. Steinman received his B.A. from Dartmouth College and his M.D. from Harvard University.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Dr. Steinman’s extensive scientific research and experience as a director of various biotechnology companies, combined with his world-renowned expertise in biological molecules and immunology, provide him with the qualifications and skills to serve on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Jay M. Short, Ph.D.</w:t>
      </w:r>
      <w:r>
        <w:rPr>
          <w:rFonts w:ascii="Times New Roman;Times;Serif" w:hAnsi="Times New Roman;Times;Serif"/>
          <w:b w:val="false"/>
          <w:i w:val="false"/>
          <w:caps w:val="false"/>
          <w:smallCaps w:val="false"/>
          <w:sz w:val="20"/>
        </w:rPr>
        <w:t xml:space="preserve"> cofounded BioAtla in March 2007 and has served as Chairman and Chief Executive Officer since that time. He founded the E.O. Wilson Biodiversity Foundation, a public charity, and served as its President and Chairman from its inception in October 2005 through July 2008. In 1994, Dr. Short co-founded Diversa Corporation (now BASF Corporation), a biotechnology company focusing on enzyme and antibody development. He served as Director and Chief Technology Officer throughout his eleven-year tenure. In 1998, he was named President, then Chief Executive Officer in February 1999 and led its initial public offering in 2000. From 1994 to 2008, Dr. Short also served as a director of Invitrogen (now Thermo Fisher Scientific). From its founding until 1994, Dr. Short served as President of Stratacyte Corporation, an antibody engineering company and subsidiary of Stratagene Cloning Systems, Inc. (now Agilent Technologies, Inc.), a biotechnology company. From 1985 through 1994, he also served in various roles including as Vice President of Research &amp; Development and Operations. In 2006, Dr. Short was shortlisted by the editors of Nature Biotechnology as a personality making the most significant contribution to biotech in the past decade. In 2001, Dr. Short received San Diego’s 2001 E&amp;Y Entrepreneur of the Year Award and was the recipient of the two first place awards granted by UCSD, Connect Innovative Product Program, for pioneering cloning of human antibodies in bacteria and transgenic genotoxicity assay systems. In 2023, Dr. Short was awarded the Lowell Thomas Award for Science Innovation. He has authored more than 100 peer reviewed publications and is named inventor of over 500 issued patents. Dr. Short received his Ph.D. in Biochemistry from Case Western Reserve University in Cleveland, Ohio and his B.A. with honors in Chemistry from Taylor University in Upland, Indiana. Dr. Short has also attended and received Director Certification from the UCLA Anderson School of Business.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Dr. Short’s perspective and experience as our co-founder and Chief Executive Officer and his broad experience in the biotechnology and biopharmaceutical industry, as well as his proven management experience in our industry, provide him with the qualifications and skills to serve on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Edward Williams</w:t>
      </w:r>
      <w:r>
        <w:rPr>
          <w:rFonts w:ascii="Times New Roman;Times;Serif" w:hAnsi="Times New Roman;Times;Serif"/>
          <w:b w:val="false"/>
          <w:i w:val="false"/>
          <w:caps w:val="false"/>
          <w:smallCaps w:val="false"/>
          <w:sz w:val="20"/>
        </w:rPr>
        <w:t xml:space="preserve"> has served on our board as a director since December 2021. He has served on the board of Boone Memorial Health since October 2023 and that of Innovative Hematology, Inc. since January 2024. Mr. Williams previously served on the board of BiomX, Inc. from October 2023 to February 2026 and the board of Catalyst Biosciences, Inc. from January 2018 to December 2022. Mr. Williams further served on the board of directors of the Biotechnology Innovation Organization (BIO). From March 2020 to September 2022, Mr. Williams served as Special Advisor to the CEO at Ascendis Pharma, a clinical stage and commercial biopharmaceutical company. Additionally, he served as interim US Chief Commercial Officer at Ascendis Pharma from August 2020 to May 2021, successfully preparing for Ascendis Pharma’s first commercial launch. From 2006 to his 2017 retirement, Mr. Williams served as Senior Vice President of Biopharmaceuticals at Novo Nordisk Inc., a global healthcare company, where he was responsible for the general management of Novo Nordisk’s biotechnology business and increased that sector’s revenue impressively in all three of its therapeutic areas including orphan biotech drugs and devices. He was recognized as Global General Manager of the Year, and he served on the global boards of strategy, commercial, marketing, management and business development. From 2003 to 2006, Mr. Williams was Vice President of Sales of the Respiratory and Dermatology business unit at Novartis Pharmaceuticals Corp. Mr. Williams began his career in biopharmaceuticals in 1980 with The Upjohn Company (Pharmacia, now Pfizer) in marketing and sales roles, rising to Regional Vice President of Sales for the Northeast Region in 2001–2003 and National Vice president of the acquired Searle Sales Force. Mr. Williams received his B.S. in biology and chemistry from Marshall University, and executive leadership certifications from Harvard Business School and the Wharton School of the University of Pennsylvania.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Mr. Williams’ valuable experience and insight in the pharmaceutical business provide him with the qualifications and skills to serve on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September 30, 2026 and positions with BioAtla are provided in the table below and in the additional biographical descriptions set forth in the text below the table.</w:t>
      </w:r>
    </w:p>
    <w:p>
      <w:pPr>
        <w:pStyle w:val="TextBody"/>
        <w:bidi w:val="0"/>
        <w:spacing w:before="0" w:after="0"/>
        <w:ind w:left="720" w:right="720" w:hanging="0"/>
        <w:jc w:val="both"/>
        <w:rPr>
          <w:caps w:val="false"/>
          <w:smallCaps w:val="false"/>
        </w:rPr>
      </w:pPr>
      <w:r>
        <w:rPr>
          <w:caps w:val="false"/>
          <w:smallCaps w:val="false"/>
        </w:rPr>
        <w:t> </w:t>
      </w:r>
    </w:p>
    <w:tbl>
      <w:tblPr>
        <w:tblW w:w="6225" w:type="dxa"/>
        <w:jc w:val="left"/>
        <w:tblInd w:w="720" w:type="dxa"/>
        <w:tblLayout w:type="fixed"/>
        <w:tblCellMar>
          <w:top w:w="0" w:type="dxa"/>
          <w:left w:w="0" w:type="dxa"/>
          <w:bottom w:w="28" w:type="dxa"/>
          <w:right w:w="0" w:type="dxa"/>
        </w:tblCellMar>
      </w:tblPr>
      <w:tblGrid>
        <w:gridCol w:w="1580"/>
        <w:gridCol w:w="60"/>
        <w:gridCol w:w="305"/>
        <w:gridCol w:w="60"/>
        <w:gridCol w:w="4220"/>
      </w:tblGrid>
      <w:tr>
        <w:trPr/>
        <w:tc>
          <w:tcPr>
            <w:tcW w:w="15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Position</w:t>
            </w:r>
          </w:p>
        </w:tc>
      </w:tr>
      <w:tr>
        <w:trPr/>
        <w:tc>
          <w:tcPr>
            <w:tcW w:w="158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Jay M. Short,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305"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CFF0FC" w:val="clear"/>
            <w:tcMar>
              <w:bottom w:w="0" w:type="dxa"/>
            </w:tcMar>
            <w:vAlign w:val="center"/>
          </w:tcPr>
          <w:p>
            <w:pPr>
              <w:pStyle w:val="TableContents"/>
              <w:bidi w:val="0"/>
              <w:spacing w:before="0" w:after="283"/>
              <w:jc w:val="left"/>
              <w:rPr/>
            </w:pPr>
            <w:r>
              <w:rPr/>
              <w:t> </w:t>
            </w:r>
          </w:p>
        </w:tc>
        <w:tc>
          <w:tcPr>
            <w:tcW w:w="4220" w:type="dxa"/>
            <w:tcBorders/>
            <w:shd w:fill="CFF0FC"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Co-founder, Chief Executive Officer and Chairman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Vasquez</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0" w:type="dxa"/>
            <w:tcBorders/>
            <w:shd w:fill="FFFF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Chief Financial Officer</w:t>
            </w:r>
          </w:p>
        </w:tc>
      </w:tr>
    </w:tbl>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chooses our executive officers, who then serve at the discretion of our board of directors.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Jay M. Short, Ph.D.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a brief biography of Dr. Short, please see the section above titled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Christian Vasquez</w:t>
      </w:r>
      <w:r>
        <w:rPr>
          <w:rFonts w:ascii="Times New Roman;Times;Serif" w:hAnsi="Times New Roman;Times;Serif"/>
          <w:b w:val="false"/>
          <w:i w:val="false"/>
          <w:caps w:val="false"/>
          <w:smallCaps w:val="false"/>
          <w:sz w:val="20"/>
        </w:rPr>
        <w:t xml:space="preserve"> has served as the Chief Financial Officer of BioAtla since 2026, as Chief Accounting Officer, Controller and Corporate Secretary of BioAtla since 2024, as Corporate Controller of BioAtla from 2015 to 2024, as Vice President of Finance and Secretary of BioAtla from 2020 to 2024 and as Senior Vice President of Finance of BioAtla from 2023 to 2024. Mr. Vasquez has over 20 years of finance and business experience working with both public and private companies. Prior to joining BioAtla, he spent seven years at Cricket Communications, from October 2008 to October 2015, through its acquisition by AT&amp;T, where his leadership role expanded to Associate Director of Accounting. He began his career with KPMG in their San Diego office’s audit practice. Mr. Vasquez received his BS degree in Accountancy from San Diego State University and is a Certified Public Accountant in the state of California.</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B</w:t>
      </w:r>
      <w:r>
        <w:rPr>
          <w:rFonts w:ascii="Times New Roman;Times;Serif" w:hAnsi="Times New Roman;Times;Serif"/>
          <w:b/>
          <w:i w:val="false"/>
          <w:caps w:val="false"/>
          <w:smallCaps w:val="false"/>
          <w:sz w:val="20"/>
        </w:rPr>
        <w:t>oard of Directors and Corporate Governance</w:t>
      </w:r>
    </w:p>
    <w:p>
      <w:pPr>
        <w:pStyle w:val="TextBody"/>
        <w:bidi w:val="0"/>
        <w:spacing w:before="0" w:after="0"/>
        <w:ind w:left="720" w:right="720" w:firstLine="245"/>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strong commitment to good corporate governance practices. These practices provide an important framework within which our board of directors, its committees and our management can pursue our strategic objectives in order to promote the interests of our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 Guidelines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our website, www.bioatla.com, in the website’s “Investors/Governance” section. Our Corporate Governance Guidelines are subject to modification from time to time by our board of directors pursuant to the recommendations of our nominating and corporate governance committee.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Leadership Structure and Risk Oversight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is currently chaired by Jay M. Short, Ph.D., who also serves as our Chief Executive Officer. Our board of directors does not have a policy regarding the separation of the roles of Chief Executive Officer and Chairman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Chairman is in the best interest of our stockholders at this time because of the efficiencies achieved in having the role of Chief Executive Officer and Chairman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t>
      </w:r>
      <w:r>
        <w:rPr>
          <w:rFonts w:ascii="Times New Roman;Times;Serif" w:hAnsi="Times New Roman;Times;Serif"/>
          <w:b w:val="false"/>
          <w:i w:val="false"/>
          <w:caps w:val="false"/>
          <w:smallCaps w:val="false"/>
          <w:color w:val="0C0C0E"/>
          <w:sz w:val="20"/>
        </w:rPr>
        <w:t>Our Corporate Governance Guidelines provide that if the Chairman of our board of directors is not an independent director, our independent directors will designate one of the independent directors to serve as Lead Independent Director. Because Dr. Jay M. Short is our Chairman and Chief Executive Officer, our board of directors, including the independent directors, has appointed Dr. Lawrence Steinman to serve as our Lead Independent Director. As Lead Independent Director, Dr. Steinman presides over regularly scheduled executive sessions of our independent directors, coordinates activities of the independent directors, and performs such additional duties as our board of directors otherwise determines and delegates.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does not have a standing risk management committee, it administers this oversight function directly through the board of directors as a whole as well as through its standing committees that address risks inherent in their respective areas of oversight. Our board of directors oversees the management of risks inherent in the operation of our business and the implementation of our business strategies. In connection with its reviews of our operations and corporate functions, our board of directors addresses the primary risks associated with those operations and corporate functions. Areas of focus include economic, operational, financial (accounting, credit, investment, liquidity and tax), competitive, legal, regulatory, cybersecurity, privacy, compliance and reputational, and environmental, social, and governance (“ESG”) risks. In addition, our board of directors reviews the risks associated with our business strategies periodically throughout the year as part of its consideration of undertaking any such business strategies.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our management’s risk mitigation strategies.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board committees also oversees the management of our risks that fall within the committee’s areas of responsibility. In performing this function, each committee has full access to management, as well as the ability to engage advisors. Our Chief Executive Officer and Chief Financial Officer report to the audit committee and are responsible for identifying, evaluating and implementing risk management controls and methodologies to address any identified risks. 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of directors in fulfilling its oversight responsibilities with respect to risk management, including risks related to cybersecurity matters. Our nominating and corporate governance committee assesses risks related to our corporate governance practices, ESG matters, the independence of our board of directors and monitors the effectiveness of our governance guidelines. Our compensation committee assesses and monitors whether any of our compensation policies and programs has the potential to encourage excessive risk-taking.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division of responsibilities is an effective approach for addressing the risks we face and that our board leadership structure supports this approach.</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Independence of Directors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rules, which we continue to follow,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conducts an annual review of the independence of our directors. Our board of directors has determined that none of the nominees and members of our board of directors other than Dr. Short has a relationship that would interfere with the exercise of independent judgment in carrying out the responsibilities of a director and that each of our nominees and the current members of our board of directors other than Dr. Short is “independent” as that term is defined under the rules of Nasdaq. Our board of directors has also determined that all members of our audit committee, compensation committee and nominating and corporate governance committee are independent and satisfy the relevant SEC and Nasdaq independence requirements for such committees.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The composition and responsibilities of each committee are described below. Each of these committees has a written charter approved by our board of directors. Copies of the charters for each committee are available on the Investors/Governance section of our website, which is located at www.bioatla.com. Members serve on these committees until (i) they resign from their respective committee, (ii) they no longer serve as a director or (iii) as otherwise determined by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currently composed of Mary Ann Gray, Ph.D., who is the chair of our audit committee, Sylvia McBrinn, and Edward Williams. The composition of our audit committee meets the requirements for independence under current Nasdaq listing standards and SEC rules and regulations. Each member of our audit committee is financially literate. In addition, our board of directors has determined that Dr. Gray qualifies as an audit committee financial expert within the meaning of Item 407(d) of Regulation S-K of the Securities Act of 1933, as amended, or the Securities Act. This designation does not impose any duties, obligations or liabilities that are greater than those generally imposed on members of our audit committee and our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its charter, our audit committee has responsibility for, among other things:</w:t>
      </w:r>
    </w:p>
    <w:p>
      <w:pPr>
        <w:pStyle w:val="TextBody"/>
        <w:bidi w:val="0"/>
        <w:spacing w:before="0" w:after="0"/>
        <w:ind w:left="720" w:right="720" w:firstLine="49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the performance, independence and qualifications of our independent auditors and determining whether to retain our existing independent auditors or engage new independent auditors;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the engagement of our independent auditors to perform audit services and any permissible non-audit services;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our annual and quarterly financial statements and reports, including the disclosures contained therein and discussing the statements and reports with our independent auditors and management;</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with our independent auditors and management significant issues that arise regarding accounting principles and financial statement presentation and matters concerning the scope, adequacy and effectiveness of our financial controls;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establishing procedures for the receipt, retention and treatment of complaints received by us regarding financial controls, accounting or auditing matters and other matters;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providing oversight of any related-person transactions in accordance with our related-person transaction policy and reviewing and monitoring compliance with legal and regulatory responsibilities, including our code of business conduct and ethics.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currently composed of Sylvia McBrinn, who is the chair of our compensation committee, Susan Moran, M.D., M.S.C.E. and Lawrence Steinman, M.D.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its charter, our compensation committee has responsibility for, among other things:</w:t>
      </w:r>
    </w:p>
    <w:p>
      <w:pPr>
        <w:pStyle w:val="TextBody"/>
        <w:bidi w:val="0"/>
        <w:spacing w:before="0" w:after="0"/>
        <w:ind w:left="720" w:right="720" w:firstLine="49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modifying and approving (or if it deems appropriate, making recommendations to the full board of directors regarding) our overall compensation strategy and policies;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(or if it deems appropriate, making recommendations to the full board of directors regarding) the compensation and other terms of employment of our executive officers;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(or if it deems appropriate, making recommendations to the full board of directors regarding) performance goals and objectives relevant to the compensation of our executive officers and assessing their performance against these goals and objectives;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risks associated with our compensation policies and practices and assessing whether risks arising from our compensation policies and practices for our employees are reasonably likely to have a material adverse effect on us;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making recommendations to the full board of directors regarding the type and amount of compensation to be paid or awarded to our non-employee board members;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administering our equity incentive plans and establishing policies with respect to equity compensation arrangements;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the competitiveness of our executive compensation programs and evaluating the effectiveness of our compensation policy and strategy in achieving expected benefits to us.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for each meeting is usually developed by the Chair of the compensation committee, in consultation with the Company's Senior Vice President: Human Resources and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authorized to select, engage, compensate and terminate compensation consultants, legal counsel and such other advisors, as it sees fit, to assist in carrying out their responsibilities and functions, including the oversight of our overall compensation philosophy, compensation plans and benefits programs and our executive compensation programs and related policies. In 2025, the compensation committee continued to retain the services of Aon's Talent Solutions practice, a division of Aon plc (“Aon”), which is part of the Rewards Solutions practice at Aon plc, to provide advice and recommendations on competitive market practices and to evaluate our executive and non-employee director compensation programs and practices and to provide advice and ongoing assistance on our equity programs. Aon provided no other services to the Company in 2025. The compensation committee has determined that none of the work performed by Aon during the fiscal year ended December 31, 2025 raised any conflict of interest.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board of directors created a board committee consisting solely of Dr. Short, the Company’s Chairman of the board of directors and CEO (the “Stock Plan Committee”), subject to annual terms and limitations adopted by the compensation committee. For 2025 and 2026, the compensation committee authorized the Stock Plan Committee to grant and determine the terms of stock options to newly hired employees or consultants under the 2020 Equity Incentive Plan and any successor plan, subject to certain limitations, including an aggregate maximum share limit.  The Stock Plan Committee does not have authority to award options to directors, officers, holders of more than 10% of the Company’s securities or the CEO’s direct reports.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compensation committee may establish and delegate authority to one or more subcommittees consisting of one or more of its members, when the compensation committee deems it appropriate to do so in order to carry out its responsibilities.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composed of Lawrence Steinman, M.D., who is the chair of our nominating and corporate governance committee, Susan Moran, M.D., M.S.C.E. and Mary Ann Gray, Ph.D. The composition of our nominating and corporate governance committee meets the requirements for independence under current Nasdaq listing standards and SEC rules and regulations.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its charter, our nominating and corporate governance committee has responsibility for, among other things: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identifying, reviewing and evaluating candidates to serve on our board of directors consistent with criteria approved by our board of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7503" w:type="dxa"/>
        <w:jc w:val="left"/>
        <w:tblInd w:w="72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determining the minimum qualifications for service on our board of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director performance on the board and applicable committees of the board and determining whether continued service on our board is appropriate;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nominating and recommending individuals for membership on our board of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nominations by stockholders of candidates for election to our board of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7968" w:type="dxa"/>
        <w:jc w:val="left"/>
        <w:tblInd w:w="72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considering and assessing the independence of members of our board of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developing a set of corporate governance policies and principles, including a code of business conduct and ethics, periodically reviewing and assessing these policies and principles and their application and recommending to our board of directors any changes to such policies and principles; and</w:t>
            </w:r>
          </w:p>
        </w:tc>
      </w:tr>
    </w:tbl>
    <w:p>
      <w:pPr>
        <w:pStyle w:val="TextBody"/>
        <w:bidi w:val="0"/>
        <w:spacing w:before="0" w:after="0"/>
        <w:ind w:left="720" w:right="720" w:hanging="0"/>
        <w:jc w:val="left"/>
        <w:rPr>
          <w:caps w:val="false"/>
          <w:smallCaps w:val="false"/>
        </w:rPr>
      </w:pPr>
      <w:r>
        <w:rPr>
          <w:caps w:val="false"/>
          <w:smallCaps w:val="false"/>
        </w:rPr>
        <w:t> </w:t>
      </w:r>
    </w:p>
    <w:tbl>
      <w:tblPr>
        <w:tblW w:w="8583" w:type="dxa"/>
        <w:jc w:val="left"/>
        <w:tblInd w:w="720" w:type="dxa"/>
        <w:tblLayout w:type="fixed"/>
        <w:tblCellMar>
          <w:top w:w="0" w:type="dxa"/>
          <w:left w:w="0" w:type="dxa"/>
          <w:bottom w:w="0" w:type="dxa"/>
          <w:right w:w="0" w:type="dxa"/>
        </w:tblCellMar>
      </w:tblPr>
      <w:tblGrid>
        <w:gridCol w:w="38"/>
        <w:gridCol w:w="17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considering questions of possible conflicts of interest of directors as such questions arise.</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during 2025 included Ms. McBrinn, Dr. Moran and Dr. Steinman. None of the members of our compensation committee in 2025 was at any time during 2025 or at any other time one of our officers or employees, and none had or have any relationships with us that are required to be disclosed under Item 404 of Regulation S-K. During 2025, none of our executive officers served as a member of the board of directors, or as a member of the compensation or similar committee, of any entity that has one or more executive officers who served on our board of directors or compensation committee.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to the Board of Directors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Candidates for nomination to our board of directors are selected by our board of directors based on the recommendation of our nominating and corporate governance committee in accordance with its charter, our amended and restated certificate of incorporation and amended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Qualifications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goal of developing a diverse, experienced and highly qualified board of directors, our nominating and corporate governance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of directors. Our nominating and corporate governance committee considers possible candidates from any source, including stockholders, for nominees for directors. All stockholder nominees for director will be considered by the nominating and corporate governance committee in the same manner as any other nominee. When considering nominees, our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Our board of directors does not have a formal policy with respect to diversity and inclusion; however, it affirms the value placed on diversity within our Company. Through the nomination process, our nominating and corporate governance committee seeks to promote board membership that reflects a diversity of business experience, expertise, viewpoints, personal backgrounds and other characteristics that are expected to contribute to our board of directors’ overall effectiveness. Further, our board of directors is committed to actively seeking highly qualified women and individuals from minority groups to include in the pool from which new candidates are selected.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sz w:val="20"/>
        </w:rPr>
      </w:pPr>
      <w:bookmarkStart w:id="31" w:name="b012"/>
      <w:bookmarkEnd w:id="31"/>
      <w:r>
        <w:rPr>
          <w:rFonts w:ascii="Times New Roman;Times;Serif" w:hAnsi="Times New Roman;Times;Serif"/>
          <w:b/>
          <w:i w:val="false"/>
          <w:caps/>
          <w:sz w:val="20"/>
        </w:rPr>
        <w:t>EXECUTIVE COMPENSATION</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overview explains the strategy, design, and decision-making related to our compensation programs and practices for our named executive officers, referred to as our “NEOs.” This overview is intended to provide perspective on the information contained in the tables that follow this discussion.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our NEOs were:</w:t>
      </w:r>
    </w:p>
    <w:p>
      <w:pPr>
        <w:pStyle w:val="TextBody"/>
        <w:bidi w:val="0"/>
        <w:spacing w:before="0" w:after="0"/>
        <w:ind w:left="720" w:right="720" w:firstLine="245"/>
        <w:jc w:val="left"/>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1787"/>
        <w:gridCol w:w="60"/>
        <w:gridCol w:w="6918"/>
      </w:tblGrid>
      <w:tr>
        <w:trPr/>
        <w:tc>
          <w:tcPr>
            <w:tcW w:w="178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1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Position</w:t>
            </w:r>
          </w:p>
        </w:tc>
      </w:tr>
      <w:tr>
        <w:trPr/>
        <w:tc>
          <w:tcPr>
            <w:tcW w:w="1787" w:type="dxa"/>
            <w:tcBorders/>
            <w:shd w:fill="CFF0FC"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Jay M. Short,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6918"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(“CEO”), Co-founder and Chairman of the Board of Directors</w:t>
            </w:r>
          </w:p>
        </w:tc>
      </w:tr>
      <w:tr>
        <w:trPr/>
        <w:tc>
          <w:tcPr>
            <w:tcW w:w="1787"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Richard A. Waldron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1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787"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Eric Sievers, M.D.</w:t>
            </w:r>
            <w:r>
              <w:rPr>
                <w:rFonts w:ascii="Times New Roman;Times;Serif" w:hAnsi="Times New Roman;Times;Serif"/>
                <w:sz w:val="20"/>
              </w:rPr>
              <w:t>(1)</w:t>
            </w:r>
          </w:p>
        </w:tc>
        <w:tc>
          <w:tcPr>
            <w:tcW w:w="60" w:type="dxa"/>
            <w:tcBorders/>
            <w:shd w:fill="CFF0FC" w:val="clear"/>
            <w:tcMar>
              <w:bottom w:w="0" w:type="dxa"/>
            </w:tcMar>
            <w:vAlign w:val="center"/>
          </w:tcPr>
          <w:p>
            <w:pPr>
              <w:pStyle w:val="TableContents"/>
              <w:bidi w:val="0"/>
              <w:spacing w:before="0" w:after="283"/>
              <w:jc w:val="left"/>
              <w:rPr/>
            </w:pPr>
            <w:r>
              <w:rPr/>
              <w:t> </w:t>
            </w:r>
          </w:p>
        </w:tc>
        <w:tc>
          <w:tcPr>
            <w:tcW w:w="6918"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Medical Officer</w:t>
            </w:r>
          </w:p>
        </w:tc>
      </w:tr>
    </w:tbl>
    <w:p>
      <w:pPr>
        <w:pStyle w:val="TextBody"/>
        <w:bidi w:val="0"/>
        <w:spacing w:before="720" w:after="720"/>
        <w:ind w:left="720" w:right="720" w:hanging="0"/>
        <w:jc w:val="left"/>
        <w:rPr/>
      </w:pPr>
      <w:r>
        <w:rPr/>
        <w:t> </w:t>
      </w:r>
    </w:p>
    <w:p>
      <w:pPr>
        <w:pStyle w:val="TextBody"/>
        <w:bidi w:val="0"/>
        <w:spacing w:before="60" w:after="60"/>
        <w:ind w:left="720" w:right="720" w:hanging="0"/>
        <w:jc w:val="left"/>
        <w:rPr>
          <w:bdr w:val="single" w:sz="8" w:space="1" w:color="000000"/>
        </w:rPr>
      </w:pPr>
      <w:r>
        <w:rPr>
          <w:bdr w:val="single" w:sz="8" w:space="1" w:color="000000"/>
        </w:rPr>
        <w:t> </w:t>
      </w:r>
    </w:p>
    <w:tbl>
      <w:tblPr>
        <w:tblW w:w="4878" w:type="dxa"/>
        <w:jc w:val="left"/>
        <w:tblInd w:w="720" w:type="dxa"/>
        <w:tblLayout w:type="fixed"/>
        <w:tblCellMar>
          <w:top w:w="0" w:type="dxa"/>
          <w:left w:w="0" w:type="dxa"/>
          <w:bottom w:w="0" w:type="dxa"/>
          <w:right w:w="0" w:type="dxa"/>
        </w:tblCellMar>
      </w:tblPr>
      <w:tblGrid>
        <w:gridCol w:w="38"/>
        <w:gridCol w:w="23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46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Mr. Sievers resigned as Chief Medical Officer in September 2026.</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Summary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2025 Business Highlights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Build the Vision for the Future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develop and commercialize innovative antibody-based therapeutics for the treatment of solid tumors that are designed to bind depending on the physical and chemical properties of tumors and their microenvironment. We believe that our proprietary technology and approach have the potential to transform cancer therapy by decreasing systemic toxicities and improving efficacy.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Say-On-Pay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Meeting of Stockholders, the Company’s stockholders voted to approve, on an advisory basis, the compensation of the Company’s NEOs, as described in the Company’s 2025 proxy statement. The Compensation Committee considered the voting results and feedback from stockholders and whether the program was effective in fiscal year 2025 and reflects stockholder interests. The Compensation Committee has not made any changes to the overall executive compensation program because it believes the current compensation framework, which focuses on pay for performance and long-term growth, is operating as intended. The Compensation Committee believes that the program is effectively aligning pay with individual and Company performance and properly incentivizing and retaining our NEOs in a highly competitive market. The Compensation Committee will continue to consider feedback from stockholders and to monitor trends and developments to ensure that the Company’s executive compensation programs remain competitively positioned for executive talent and aligned with the interests of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Philosophy and Objectives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and rapidly evolving market. Our ability to compete and succeed in our market is directly correlated to our ability to recruit, incentivize, and retain talented individuals in the areas of product development, and general and administrative functions. The market for skilled personnel in the biotechnology and biopharmaceutical industries is very competitive. Our Compensation Committee believes that the most effective compensation program is designed to attract and reward talented individuals who possess the skills necessary to support our business objectives and create long-term value for our stockholders, expand our business, and assist in the achievement of our strategic goals.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believes executive compensation packages provided to our executives, including the NEOs, should include both cash and stock-based compensation that achieve the following goals: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Recruit, motivate and retain highly qualified executive officers who possess the skills and leadership necessary to grow our long-term stockholder value;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Reward our executives for achieving or exceeding short-term individual and company goals that drive our growth;</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long-term retention and incentives to our executives that align their interests with the long-term interests of our Company and our stockholders, thereby incentivizing management to increase stockholder value;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compensation packages that are competitive, reasonable and fair relative to peers and the overall market.</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periodically reviews our compensation program design to ensure that it is aligned with the interests of our stockholders and our business goals, and that the total compensation paid to our employees and directors is fair, reasonable and competitive. Our Compensation Committee assesses market best practices in executive compensation to continually refine our programs, which have the following key features:</w:t>
      </w:r>
    </w:p>
    <w:p>
      <w:pPr>
        <w:pStyle w:val="TextBody"/>
        <w:bidi w:val="0"/>
        <w:spacing w:before="0" w:after="0"/>
        <w:ind w:left="720" w:right="720" w:hanging="0"/>
        <w:jc w:val="both"/>
        <w:rPr>
          <w:caps w:val="false"/>
          <w:smallCaps w:val="false"/>
        </w:rPr>
      </w:pPr>
      <w:r>
        <w:rPr>
          <w:caps w:val="false"/>
          <w:smallCaps w:val="false"/>
        </w:rPr>
        <w:t> </w:t>
      </w:r>
    </w:p>
    <w:tbl>
      <w:tblPr>
        <w:tblW w:w="2568" w:type="dxa"/>
        <w:jc w:val="left"/>
        <w:tblInd w:w="72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and retain key talent;</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 a total compensation program that flexibly adapts to changing economic, regulatory and organizational conditions, and takes into consideration the compensation practices of peer companies;</w:t>
            </w:r>
          </w:p>
        </w:tc>
      </w:tr>
    </w:tbl>
    <w:p>
      <w:pPr>
        <w:pStyle w:val="TextBody"/>
        <w:bidi w:val="0"/>
        <w:spacing w:before="0" w:after="0"/>
        <w:ind w:left="720" w:right="720" w:hanging="0"/>
        <w:jc w:val="left"/>
        <w:rPr>
          <w:caps w:val="false"/>
          <w:smallCaps w:val="false"/>
        </w:rPr>
      </w:pPr>
      <w:r>
        <w:rPr>
          <w:caps w:val="false"/>
          <w:smallCaps w:val="false"/>
        </w:rPr>
        <w:t> </w:t>
      </w:r>
    </w:p>
    <w:tbl>
      <w:tblPr>
        <w:tblW w:w="1923" w:type="dxa"/>
        <w:jc w:val="left"/>
        <w:tblInd w:w="72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for performance;</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a significant portion of compensation that is at-risk and tied to our financial performance, strategic objectives or stock price;</w:t>
            </w:r>
          </w:p>
        </w:tc>
      </w:tr>
    </w:tbl>
    <w:p>
      <w:pPr>
        <w:pStyle w:val="TextBody"/>
        <w:bidi w:val="0"/>
        <w:spacing w:before="0" w:after="0"/>
        <w:ind w:left="720" w:right="720" w:hanging="0"/>
        <w:jc w:val="left"/>
        <w:rPr>
          <w:caps w:val="false"/>
          <w:smallCaps w:val="false"/>
        </w:rPr>
      </w:pPr>
      <w:r>
        <w:rPr>
          <w:caps w:val="false"/>
          <w:smallCaps w:val="false"/>
        </w:rPr>
        <w:t> </w:t>
      </w:r>
    </w:p>
    <w:tbl>
      <w:tblPr>
        <w:tblW w:w="4473" w:type="dxa"/>
        <w:jc w:val="left"/>
        <w:tblInd w:w="72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Align executive interests with our stockholders;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significant portion of total compensation is either earned based on clinical development milestones, research and development goals, and strategic objectives, or varies based on our stock price, which contributes to value creation for our stockholders.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Governance Highlights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5470"/>
        <w:gridCol w:w="3295"/>
      </w:tblGrid>
      <w:tr>
        <w:trPr/>
        <w:tc>
          <w:tcPr>
            <w:tcW w:w="547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WHAT WE DO</w:t>
            </w:r>
            <w:r>
              <w:rPr>
                <w:rFonts w:ascii="Times New Roman;Times;Serif" w:hAnsi="Times New Roman;Times;Serif"/>
                <w:b w:val="false"/>
                <w:i w:val="false"/>
                <w:caps w:val="false"/>
                <w:smallCaps w:val="false"/>
                <w:sz w:val="16"/>
              </w:rPr>
              <w:t> </w:t>
            </w:r>
          </w:p>
        </w:tc>
        <w:tc>
          <w:tcPr>
            <w:tcW w:w="3295" w:type="dxa"/>
            <w:tcBorders/>
            <w:vAlign w:val="center"/>
          </w:tcPr>
          <w:p>
            <w:pPr>
              <w:pStyle w:val="TableContents"/>
              <w:pBdr>
                <w:bottom w:val="single" w:sz="4" w:space="1" w:color="000000"/>
              </w:pBdr>
              <w:bidi w:val="0"/>
              <w:spacing w:before="0" w:after="0"/>
              <w:ind w:left="0" w:right="0" w:hanging="43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WHAT WE DO NOT DO</w:t>
            </w:r>
            <w:r>
              <w:rPr>
                <w:rFonts w:ascii="Times New Roman;Times;Serif" w:hAnsi="Times New Roman;Times;Serif"/>
                <w:b w:val="false"/>
                <w:i w:val="false"/>
                <w:caps w:val="false"/>
                <w:smallCaps w:val="false"/>
                <w:sz w:val="16"/>
              </w:rPr>
              <w:t> </w:t>
            </w:r>
          </w:p>
        </w:tc>
      </w:tr>
      <w:tr>
        <w:trPr/>
        <w:tc>
          <w:tcPr>
            <w:tcW w:w="5470" w:type="dxa"/>
            <w:tcBorders/>
            <w:vAlign w:val="center"/>
          </w:tcPr>
          <w:p>
            <w:pPr>
              <w:pStyle w:val="TableContents"/>
              <w:bidi w:val="0"/>
              <w:spacing w:before="0" w:after="283"/>
              <w:ind w:left="0" w:right="0" w:hanging="430"/>
              <w:jc w:val="left"/>
              <w:rPr/>
            </w:pPr>
            <w:r>
              <w:rPr/>
              <w:t> </w:t>
            </w:r>
          </w:p>
        </w:tc>
        <w:tc>
          <w:tcPr>
            <w:tcW w:w="3295" w:type="dxa"/>
            <w:tcBorders/>
            <w:vAlign w:val="center"/>
          </w:tcPr>
          <w:p>
            <w:pPr>
              <w:pStyle w:val="TableContents"/>
              <w:bidi w:val="0"/>
              <w:spacing w:before="0" w:after="283"/>
              <w:ind w:left="0" w:right="0" w:hanging="430"/>
              <w:jc w:val="left"/>
              <w:rPr/>
            </w:pPr>
            <w:r>
              <w:rPr/>
              <w:t> </w:t>
            </w:r>
          </w:p>
        </w:tc>
      </w:tr>
      <w:tr>
        <w:trPr/>
        <w:tc>
          <w:tcPr>
            <w:tcW w:w="5470"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Link Pay for Performance</w:t>
            </w:r>
            <w:r>
              <w:rPr>
                <w:rFonts w:ascii="Times New Roman;Times;Serif" w:hAnsi="Times New Roman;Times;Serif"/>
                <w:sz w:val="20"/>
              </w:rPr>
              <w:t>: We link pay for performance and stockholder interests by weighting compensation toward short-term cash incentive awards and long-term equity awards which are tied to the value of our share price.</w:t>
            </w:r>
          </w:p>
        </w:tc>
        <w:tc>
          <w:tcPr>
            <w:tcW w:w="3295"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Single Trigger Acceleration</w:t>
            </w:r>
            <w:r>
              <w:rPr>
                <w:rFonts w:ascii="Times New Roman;Times;Serif" w:hAnsi="Times New Roman;Times;Serif"/>
                <w:sz w:val="20"/>
              </w:rPr>
              <w:t>: We do not provide for “single trigger” acceleration upon a change of control.</w:t>
            </w:r>
          </w:p>
        </w:tc>
      </w:tr>
      <w:tr>
        <w:trPr/>
        <w:tc>
          <w:tcPr>
            <w:tcW w:w="5470"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Incentivize a Strong Ownership Mentality</w:t>
            </w:r>
            <w:r>
              <w:rPr>
                <w:rFonts w:ascii="Times New Roman;Times;Serif" w:hAnsi="Times New Roman;Times;Serif"/>
                <w:sz w:val="20"/>
              </w:rPr>
              <w:t>: In February 2025, we granted equity awards to our executive officers, which we use to motivate long-term performance and strongly align the interests of our executives with those of our stockholders.</w:t>
            </w:r>
          </w:p>
        </w:tc>
        <w:tc>
          <w:tcPr>
            <w:tcW w:w="3295" w:type="dxa"/>
            <w:tcBorders/>
            <w:vAlign w:val="center"/>
          </w:tcPr>
          <w:p>
            <w:pPr>
              <w:pStyle w:val="TableContents"/>
              <w:bidi w:val="0"/>
              <w:spacing w:before="0" w:after="283"/>
              <w:jc w:val="left"/>
              <w:rPr/>
            </w:pPr>
            <w:r>
              <w:rPr/>
              <w:t>☒      </w:t>
            </w:r>
            <w:r>
              <w:rPr>
                <w:rFonts w:ascii="Times New Roman;Times;Serif" w:hAnsi="Times New Roman;Times;Serif"/>
                <w:i/>
                <w:sz w:val="20"/>
              </w:rPr>
              <w:t>Executive Perquisites</w:t>
            </w:r>
            <w:r>
              <w:rPr>
                <w:rFonts w:ascii="Times New Roman;Times;Serif" w:hAnsi="Times New Roman;Times;Serif"/>
                <w:sz w:val="20"/>
              </w:rPr>
              <w:t xml:space="preserve">: We do not maintain any executive-specific benefit or perquisite programs.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5535"/>
        <w:gridCol w:w="3230"/>
      </w:tblGrid>
      <w:tr>
        <w:trPr/>
        <w:tc>
          <w:tcPr>
            <w:tcW w:w="5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WHAT WE DO</w:t>
            </w:r>
            <w:r>
              <w:rPr>
                <w:rFonts w:ascii="Times New Roman;Times;Serif" w:hAnsi="Times New Roman;Times;Serif"/>
                <w:b w:val="false"/>
                <w:i w:val="false"/>
                <w:caps w:val="false"/>
                <w:smallCaps w:val="false"/>
                <w:sz w:val="16"/>
              </w:rPr>
              <w:t> </w:t>
            </w:r>
          </w:p>
        </w:tc>
        <w:tc>
          <w:tcPr>
            <w:tcW w:w="3230" w:type="dxa"/>
            <w:tcBorders/>
            <w:vAlign w:val="center"/>
          </w:tcPr>
          <w:p>
            <w:pPr>
              <w:pStyle w:val="TableContents"/>
              <w:pBdr>
                <w:bottom w:val="single" w:sz="4" w:space="1" w:color="000000"/>
              </w:pBdr>
              <w:bidi w:val="0"/>
              <w:spacing w:before="0" w:after="0"/>
              <w:ind w:left="0" w:right="0" w:hanging="43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WHAT WE DO NOT DO</w:t>
            </w:r>
            <w:r>
              <w:rPr>
                <w:rFonts w:ascii="Times New Roman;Times;Serif" w:hAnsi="Times New Roman;Times;Serif"/>
                <w:b w:val="false"/>
                <w:i w:val="false"/>
                <w:caps w:val="false"/>
                <w:smallCaps w:val="false"/>
                <w:sz w:val="16"/>
              </w:rPr>
              <w:t> </w:t>
            </w:r>
          </w:p>
        </w:tc>
      </w:tr>
      <w:tr>
        <w:trPr/>
        <w:tc>
          <w:tcPr>
            <w:tcW w:w="5535" w:type="dxa"/>
            <w:tcBorders/>
            <w:vAlign w:val="center"/>
          </w:tcPr>
          <w:p>
            <w:pPr>
              <w:pStyle w:val="TableContents"/>
              <w:bidi w:val="0"/>
              <w:spacing w:before="0" w:after="283"/>
              <w:ind w:left="0" w:right="0" w:hanging="430"/>
              <w:jc w:val="left"/>
              <w:rPr/>
            </w:pPr>
            <w:r>
              <w:rPr/>
              <w:t> </w:t>
            </w:r>
          </w:p>
        </w:tc>
        <w:tc>
          <w:tcPr>
            <w:tcW w:w="3230" w:type="dxa"/>
            <w:tcBorders/>
            <w:vAlign w:val="center"/>
          </w:tcPr>
          <w:p>
            <w:pPr>
              <w:pStyle w:val="TableContents"/>
              <w:bidi w:val="0"/>
              <w:spacing w:before="0" w:after="283"/>
              <w:ind w:left="0" w:right="0" w:hanging="430"/>
              <w:jc w:val="left"/>
              <w:rPr/>
            </w:pPr>
            <w:r>
              <w:rPr/>
              <w:t> </w:t>
            </w:r>
          </w:p>
        </w:tc>
      </w:tr>
      <w:tr>
        <w:trPr/>
        <w:tc>
          <w:tcPr>
            <w:tcW w:w="5535"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Corporate Strategy Alignment</w:t>
            </w:r>
            <w:r>
              <w:rPr>
                <w:rFonts w:ascii="Times New Roman;Times;Serif" w:hAnsi="Times New Roman;Times;Serif"/>
                <w:sz w:val="20"/>
              </w:rPr>
              <w:t>: Our Compensation Committee establishes incentive compensation programs based on metrics that are aligned with our corporate strategy and designed to grow stockholder value.</w:t>
            </w:r>
          </w:p>
        </w:tc>
        <w:tc>
          <w:tcPr>
            <w:tcW w:w="3230"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Tax Gross-Ups</w:t>
            </w:r>
            <w:r>
              <w:rPr>
                <w:rFonts w:ascii="Times New Roman;Times;Serif" w:hAnsi="Times New Roman;Times;Serif"/>
                <w:sz w:val="20"/>
              </w:rPr>
              <w:t>: We do not provide tax gross-ups for “excess parachute payments” or any other executive benefits.</w:t>
            </w:r>
          </w:p>
        </w:tc>
      </w:tr>
      <w:tr>
        <w:trPr/>
        <w:tc>
          <w:tcPr>
            <w:tcW w:w="5535"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Use an Independent Compensation Consultant</w:t>
            </w:r>
            <w:r>
              <w:rPr>
                <w:rFonts w:ascii="Times New Roman;Times;Serif" w:hAnsi="Times New Roman;Times;Serif"/>
                <w:sz w:val="20"/>
              </w:rPr>
              <w:t>: Our Compensation Committee retains an independent compensation consultant.</w:t>
            </w:r>
          </w:p>
        </w:tc>
        <w:tc>
          <w:tcPr>
            <w:tcW w:w="3230"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Excessive Executive Retirement Benefits</w:t>
            </w:r>
            <w:r>
              <w:rPr>
                <w:rFonts w:ascii="Times New Roman;Times;Serif" w:hAnsi="Times New Roman;Times;Serif"/>
                <w:sz w:val="20"/>
              </w:rPr>
              <w:t>: We do not maintain an executive pension plan or supplemental retirement plan.</w:t>
            </w:r>
          </w:p>
        </w:tc>
      </w:tr>
      <w:tr>
        <w:trPr/>
        <w:tc>
          <w:tcPr>
            <w:tcW w:w="5535"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Prohibit the Hedging or Pledging of Our Common Stock</w:t>
            </w:r>
            <w:r>
              <w:rPr>
                <w:rFonts w:ascii="Times New Roman;Times;Serif" w:hAnsi="Times New Roman;Times;Serif"/>
                <w:sz w:val="20"/>
              </w:rPr>
              <w:t>: Our Insider Trading Policy strictly prohibits hedging and pledging activities by executive officers, employees, and directors.</w:t>
            </w:r>
          </w:p>
        </w:tc>
        <w:tc>
          <w:tcPr>
            <w:tcW w:w="3230"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Excessive Cash Severance</w:t>
            </w:r>
            <w:r>
              <w:rPr>
                <w:rFonts w:ascii="Times New Roman;Times;Serif" w:hAnsi="Times New Roman;Times;Serif"/>
                <w:sz w:val="20"/>
              </w:rPr>
              <w:t>: Our offer letters containing severance provisions do not provide for excessive cash severance in the event of termination.</w:t>
            </w:r>
          </w:p>
        </w:tc>
      </w:tr>
      <w:tr>
        <w:trPr/>
        <w:tc>
          <w:tcPr>
            <w:tcW w:w="5535"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Stock Ownership Guidelines</w:t>
            </w:r>
            <w:r>
              <w:rPr>
                <w:rFonts w:ascii="Times New Roman;Times;Serif" w:hAnsi="Times New Roman;Times;Serif"/>
                <w:sz w:val="20"/>
              </w:rPr>
              <w:t xml:space="preserve">: We have implemented robust stock ownership guidelines for our executives. </w:t>
            </w:r>
          </w:p>
        </w:tc>
        <w:tc>
          <w:tcPr>
            <w:tcW w:w="3230"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Repricing</w:t>
            </w:r>
            <w:r>
              <w:rPr>
                <w:rFonts w:ascii="Times New Roman;Times;Serif" w:hAnsi="Times New Roman;Times;Serif"/>
                <w:sz w:val="20"/>
              </w:rPr>
              <w:t>: We prohibit repricing of underwater stock options without prior stockholder approval.</w:t>
            </w:r>
          </w:p>
        </w:tc>
      </w:tr>
      <w:tr>
        <w:trPr/>
        <w:tc>
          <w:tcPr>
            <w:tcW w:w="5535" w:type="dxa"/>
            <w:tcBorders/>
            <w:vAlign w:val="center"/>
          </w:tcPr>
          <w:p>
            <w:pPr>
              <w:pStyle w:val="TableContents"/>
              <w:bidi w:val="0"/>
              <w:spacing w:before="0" w:after="283"/>
              <w:ind w:left="0" w:right="0" w:hanging="430"/>
              <w:jc w:val="left"/>
              <w:rPr/>
            </w:pPr>
            <w:r>
              <w:rPr/>
              <w:t>☑      </w:t>
            </w:r>
            <w:r>
              <w:rPr>
                <w:rFonts w:ascii="Times New Roman;Times;Serif" w:hAnsi="Times New Roman;Times;Serif"/>
                <w:i/>
                <w:sz w:val="20"/>
              </w:rPr>
              <w:t>Compensation Clawback Policy</w:t>
            </w:r>
            <w:r>
              <w:rPr>
                <w:rFonts w:ascii="Times New Roman;Times;Serif" w:hAnsi="Times New Roman;Times;Serif"/>
                <w:sz w:val="20"/>
              </w:rPr>
              <w:t xml:space="preserve">: All incentive-based cash and equity awards are subject to recoupment in accordance with our compensation clawback policy, which requires the recovery of incentive-based compensation in the event of a restatement, and also allows for recovery in the event of non-restatement related miscalculations or legal and compliance violations. </w:t>
            </w:r>
          </w:p>
        </w:tc>
        <w:tc>
          <w:tcPr>
            <w:tcW w:w="3230" w:type="dxa"/>
            <w:tcBorders/>
            <w:vAlign w:val="center"/>
          </w:tcPr>
          <w:p>
            <w:pPr>
              <w:pStyle w:val="TableContents"/>
              <w:bidi w:val="0"/>
              <w:spacing w:before="0" w:after="283"/>
              <w:jc w:val="left"/>
              <w:rPr/>
            </w:pPr>
            <w:r>
              <w:rPr/>
              <w:t>☒      </w:t>
            </w:r>
            <w:r>
              <w:rPr>
                <w:rFonts w:ascii="Times New Roman;Times;Serif" w:hAnsi="Times New Roman;Times;Serif"/>
                <w:i/>
                <w:sz w:val="20"/>
              </w:rPr>
              <w:t>Fixed Employment Terms or Guaranteed Salary Increases</w:t>
            </w:r>
            <w:r>
              <w:rPr>
                <w:rFonts w:ascii="Times New Roman;Times;Serif" w:hAnsi="Times New Roman;Times;Serif"/>
                <w:sz w:val="20"/>
              </w:rPr>
              <w:t>: We do not enter into employment agreements that provide for fixed terms, automatic compensation increases or equity grants.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Executive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executive compensation program consists of three primary elements: base salaries, annual cash incentives, and long-term equity awards, as described below. The relative mix of these components is generally weighted more towards incentive rather than fixed compensation and towards long-term incentive compensation compared to short-term incentive compensation. We believe this relative weighting ensures that the interests of our executives are aligned with those of our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sz w:val="20"/>
        </w:rPr>
      </w:pPr>
      <w:r>
        <w:rPr>
          <w:rFonts w:ascii="Times New Roman;Times;Serif" w:hAnsi="Times New Roman;Times;Serif"/>
          <w:b/>
          <w:i w:val="false"/>
          <w:caps/>
          <w:sz w:val="20"/>
        </w:rPr>
        <w:t>2025 BASE SALARY</w:t>
      </w:r>
    </w:p>
    <w:p>
      <w:pPr>
        <w:pStyle w:val="TextBody"/>
        <w:bidi w:val="0"/>
        <w:spacing w:before="0" w:after="0"/>
        <w:ind w:left="720" w:right="720" w:hanging="0"/>
        <w:jc w:val="center"/>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2545"/>
        <w:gridCol w:w="60"/>
        <w:gridCol w:w="2663"/>
        <w:gridCol w:w="60"/>
        <w:gridCol w:w="3437"/>
      </w:tblGrid>
      <w:tr>
        <w:trPr/>
        <w:tc>
          <w:tcPr>
            <w:tcW w:w="25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Philosophy</w:t>
            </w:r>
          </w:p>
        </w:tc>
        <w:tc>
          <w:tcPr>
            <w:tcW w:w="60" w:type="dxa"/>
            <w:tcBorders/>
            <w:tcMar>
              <w:bottom w:w="0" w:type="dxa"/>
            </w:tcMar>
            <w:vAlign w:val="center"/>
          </w:tcPr>
          <w:p>
            <w:pPr>
              <w:pStyle w:val="TableContents"/>
              <w:bidi w:val="0"/>
              <w:spacing w:before="0" w:after="283"/>
              <w:jc w:val="center"/>
              <w:rPr/>
            </w:pPr>
            <w:r>
              <w:rPr/>
              <w:t> </w:t>
            </w:r>
          </w:p>
        </w:tc>
        <w:tc>
          <w:tcPr>
            <w:tcW w:w="266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Structure</w:t>
            </w:r>
          </w:p>
        </w:tc>
        <w:tc>
          <w:tcPr>
            <w:tcW w:w="60" w:type="dxa"/>
            <w:tcBorders/>
            <w:tcMar>
              <w:bottom w:w="0" w:type="dxa"/>
            </w:tcMar>
            <w:vAlign w:val="center"/>
          </w:tcPr>
          <w:p>
            <w:pPr>
              <w:pStyle w:val="TableContents"/>
              <w:bidi w:val="0"/>
              <w:spacing w:before="0" w:after="283"/>
              <w:jc w:val="center"/>
              <w:rPr/>
            </w:pPr>
            <w:r>
              <w:rPr/>
              <w:t> </w:t>
            </w:r>
          </w:p>
        </w:tc>
        <w:tc>
          <w:tcPr>
            <w:tcW w:w="343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Highlights</w:t>
            </w:r>
          </w:p>
        </w:tc>
      </w:tr>
      <w:tr>
        <w:trPr/>
        <w:tc>
          <w:tcPr>
            <w:tcW w:w="25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Attract and retain</w:t>
            </w:r>
            <w:r>
              <w:rPr>
                <w:rFonts w:ascii="Times New Roman;Times;Serif" w:hAnsi="Times New Roman;Times;Serif"/>
                <w:sz w:val="20"/>
              </w:rPr>
              <w:t>. Provide fixed compensation to attract, retain and motivate highly talented executives.</w:t>
            </w:r>
          </w:p>
        </w:tc>
        <w:tc>
          <w:tcPr>
            <w:tcW w:w="60" w:type="dxa"/>
            <w:tcBorders/>
            <w:tcMar>
              <w:bottom w:w="0" w:type="dxa"/>
            </w:tcMar>
            <w:vAlign w:val="center"/>
          </w:tcPr>
          <w:p>
            <w:pPr>
              <w:pStyle w:val="TableContents"/>
              <w:bidi w:val="0"/>
              <w:spacing w:before="0" w:after="283"/>
              <w:jc w:val="left"/>
              <w:rPr/>
            </w:pPr>
            <w:r>
              <w:rPr/>
              <w:t> </w:t>
            </w:r>
          </w:p>
        </w:tc>
        <w:tc>
          <w:tcPr>
            <w:tcW w:w="2663"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set to be competitive within our industry and are important in attracting and retaining talented executives.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43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not applied specific formulas to determine changes in base salary. Instead, when setting base salaries, the Compensation Committee employs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830"/>
        <w:gridCol w:w="60"/>
        <w:gridCol w:w="3000"/>
        <w:gridCol w:w="60"/>
        <w:gridCol w:w="4815"/>
      </w:tblGrid>
      <w:tr>
        <w:trPr/>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Philosophy</w:t>
            </w:r>
          </w:p>
        </w:tc>
        <w:tc>
          <w:tcPr>
            <w:tcW w:w="60" w:type="dxa"/>
            <w:tcBorders/>
            <w:tcMar>
              <w:bottom w:w="0" w:type="dxa"/>
            </w:tcMar>
            <w:vAlign w:val="center"/>
          </w:tcPr>
          <w:p>
            <w:pPr>
              <w:pStyle w:val="TableContents"/>
              <w:bidi w:val="0"/>
              <w:spacing w:before="0" w:after="283"/>
              <w:jc w:val="center"/>
              <w:rPr/>
            </w:pPr>
            <w:r>
              <w:rPr/>
              <w:t> </w:t>
            </w:r>
          </w:p>
        </w:tc>
        <w:tc>
          <w:tcPr>
            <w:tcW w:w="30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Structure</w:t>
            </w:r>
          </w:p>
        </w:tc>
        <w:tc>
          <w:tcPr>
            <w:tcW w:w="60" w:type="dxa"/>
            <w:tcBorders/>
            <w:tcMar>
              <w:bottom w:w="0" w:type="dxa"/>
            </w:tcMar>
            <w:vAlign w:val="center"/>
          </w:tcPr>
          <w:p>
            <w:pPr>
              <w:pStyle w:val="TableContents"/>
              <w:bidi w:val="0"/>
              <w:spacing w:before="0" w:after="283"/>
              <w:jc w:val="center"/>
              <w:rPr/>
            </w:pPr>
            <w:r>
              <w:rPr/>
              <w:t> </w:t>
            </w:r>
          </w:p>
        </w:tc>
        <w:tc>
          <w:tcPr>
            <w:tcW w:w="48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Highlights</w:t>
            </w:r>
          </w:p>
        </w:tc>
      </w:tr>
      <w:tr>
        <w:trPr/>
        <w:tc>
          <w:tcPr>
            <w:tcW w:w="83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300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fixed pay set with consideration for responsibilities, market data and individual contribution.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annually and adjusted when appropriate, based on scope of responsibility, performance, experience, and competitive market for executive talent.</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81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holistic review of numerous factors using its professional judgment and experience, emphasizing the following: individual contribution; roles and responsibilities; expected future contributions; peer and market salary data of similarly situated executives; and other business priorities of our 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2025 salaries for each NEO were increased from fiscal year 2024 to strengthen alignment with peer group market practices, to recognize performance and contribution to our overall business success, and to better align salaries with overall leadership responsibilities.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Compensation Committee, after considering the market practice survey data of our peer group provided by Aon, increased the base salaries for Mr. Waldron and Dr. Sievers based on individual merit and performance.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annual base salary rates of our NEOs at fiscal year-end 2025 compared to 2024.</w:t>
      </w:r>
    </w:p>
    <w:p>
      <w:pPr>
        <w:pStyle w:val="TextBody"/>
        <w:bidi w:val="0"/>
        <w:spacing w:before="0" w:after="0"/>
        <w:ind w:left="720" w:right="720" w:firstLine="490"/>
        <w:jc w:val="left"/>
        <w:rPr>
          <w:caps w:val="false"/>
          <w:smallCaps w:val="false"/>
        </w:rPr>
      </w:pPr>
      <w:r>
        <w:rPr>
          <w:caps w:val="false"/>
          <w:smallCaps w:val="false"/>
        </w:rPr>
        <w:t> </w:t>
      </w:r>
    </w:p>
    <w:tbl>
      <w:tblPr>
        <w:tblW w:w="6757" w:type="dxa"/>
        <w:jc w:val="left"/>
        <w:tblInd w:w="720" w:type="dxa"/>
        <w:tblLayout w:type="fixed"/>
        <w:tblCellMar>
          <w:top w:w="0" w:type="dxa"/>
          <w:left w:w="0" w:type="dxa"/>
          <w:bottom w:w="28" w:type="dxa"/>
          <w:right w:w="0" w:type="dxa"/>
        </w:tblCellMar>
      </w:tblPr>
      <w:tblGrid>
        <w:gridCol w:w="1655"/>
        <w:gridCol w:w="60"/>
        <w:gridCol w:w="195"/>
        <w:gridCol w:w="1084"/>
        <w:gridCol w:w="60"/>
        <w:gridCol w:w="60"/>
        <w:gridCol w:w="195"/>
        <w:gridCol w:w="1084"/>
        <w:gridCol w:w="60"/>
        <w:gridCol w:w="60"/>
        <w:gridCol w:w="366"/>
        <w:gridCol w:w="1678"/>
        <w:gridCol w:w="200"/>
      </w:tblGrid>
      <w:tr>
        <w:trPr/>
        <w:tc>
          <w:tcPr>
            <w:tcW w:w="165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Executive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2024 Base Salary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2025 Base Salary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Year-over-Year % Increase</w:t>
            </w:r>
          </w:p>
        </w:tc>
        <w:tc>
          <w:tcPr>
            <w:tcW w:w="200" w:type="dxa"/>
            <w:tcBorders/>
            <w:shd w:fill="FFFFFF" w:val="clear"/>
            <w:tcMar>
              <w:bottom w:w="0" w:type="dxa"/>
            </w:tcMar>
            <w:vAlign w:val="center"/>
          </w:tcPr>
          <w:p>
            <w:pPr>
              <w:pStyle w:val="TableContents"/>
              <w:bidi w:val="0"/>
              <w:spacing w:before="0" w:after="283"/>
              <w:jc w:val="center"/>
              <w:rPr/>
            </w:pPr>
            <w:r>
              <w:rPr/>
              <w:t> </w:t>
            </w:r>
          </w:p>
        </w:tc>
      </w:tr>
      <w:tr>
        <w:trPr/>
        <w:tc>
          <w:tcPr>
            <w:tcW w:w="165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Jay M. Short,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19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734,820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9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734,820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366" w:type="dxa"/>
            <w:tcBorders/>
            <w:shd w:fill="CFF0FC" w:val="clear"/>
            <w:tcMar>
              <w:bottom w:w="0" w:type="dxa"/>
            </w:tcMar>
            <w:vAlign w:val="center"/>
          </w:tcPr>
          <w:p>
            <w:pPr>
              <w:pStyle w:val="TableContents"/>
              <w:bidi w:val="0"/>
              <w:spacing w:before="0" w:after="283"/>
              <w:jc w:val="left"/>
              <w:rPr/>
            </w:pPr>
            <w:r>
              <w:rPr/>
              <w:t> </w:t>
            </w:r>
          </w:p>
        </w:tc>
        <w:tc>
          <w:tcPr>
            <w:tcW w:w="1678" w:type="dxa"/>
            <w:tcBorders/>
            <w:shd w:fill="CFF0FC" w:val="clear"/>
            <w:tcMar>
              <w:bottom w:w="0" w:type="dxa"/>
            </w:tcMar>
            <w:vAlign w:val="center"/>
          </w:tcPr>
          <w:p>
            <w:pPr>
              <w:pStyle w:val="TableContents"/>
              <w:bidi w:val="0"/>
              <w:spacing w:before="0" w:after="283"/>
              <w:jc w:val="right"/>
              <w:rPr/>
            </w:pPr>
            <w:r>
              <w:rPr/>
              <w:t>—</w:t>
            </w:r>
          </w:p>
        </w:tc>
        <w:tc>
          <w:tcPr>
            <w:tcW w:w="20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A. Waldron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5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Sievers, M.D.</w:t>
            </w:r>
          </w:p>
        </w:tc>
        <w:tc>
          <w:tcPr>
            <w:tcW w:w="60" w:type="dxa"/>
            <w:tcBorders/>
            <w:shd w:fill="CFF0FC" w:val="clear"/>
            <w:tcMar>
              <w:bottom w:w="0" w:type="dxa"/>
            </w:tcMar>
            <w:vAlign w:val="center"/>
          </w:tcPr>
          <w:p>
            <w:pPr>
              <w:pStyle w:val="TableContents"/>
              <w:bidi w:val="0"/>
              <w:spacing w:before="0" w:after="283"/>
              <w:jc w:val="left"/>
              <w:rPr/>
            </w:pPr>
            <w:r>
              <w:rPr/>
              <w:t> </w:t>
            </w:r>
          </w:p>
        </w:tc>
        <w:tc>
          <w:tcPr>
            <w:tcW w:w="19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510,220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9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530,630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366" w:type="dxa"/>
            <w:tcBorders/>
            <w:shd w:fill="CFF0FC" w:val="clear"/>
            <w:tcMar>
              <w:bottom w:w="0" w:type="dxa"/>
            </w:tcMar>
            <w:vAlign w:val="center"/>
          </w:tcPr>
          <w:p>
            <w:pPr>
              <w:pStyle w:val="TableContents"/>
              <w:bidi w:val="0"/>
              <w:spacing w:before="0" w:after="283"/>
              <w:jc w:val="left"/>
              <w:rPr/>
            </w:pPr>
            <w:r>
              <w:rPr/>
              <w:t> </w:t>
            </w:r>
          </w:p>
        </w:tc>
        <w:tc>
          <w:tcPr>
            <w:tcW w:w="1678"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20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Annual Cash Incentive Bonuses - </w:t>
      </w:r>
      <w:r>
        <w:rPr>
          <w:rFonts w:ascii="Times New Roman;Times;Serif" w:hAnsi="Times New Roman;Times;Serif"/>
          <w:b/>
          <w:i w:val="false"/>
          <w:caps/>
          <w:sz w:val="20"/>
        </w:rPr>
        <w:t xml:space="preserve">2025 </w:t>
      </w:r>
      <w:r>
        <w:rPr>
          <w:rFonts w:ascii="Times New Roman;Times;Serif" w:hAnsi="Times New Roman;Times;Serif"/>
          <w:b/>
          <w:i/>
          <w:caps w:val="false"/>
          <w:smallCaps w:val="false"/>
          <w:sz w:val="20"/>
        </w:rPr>
        <w:t>Corporate Goals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 Opportunities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Board of Directors approved certain corporate performance goals applicable for 2025, and in June 2025, the Compensation Committee approved the Corporate Bonus Plan (“Bonus Plan”). The corporate performance goals were established by the Compensation Committee, based on its assessment of the Company’s business environment, competitive position, and performance.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Plan provided our executives with the opportunity to earn an annual cash bonus that would be paid based on the achievement of pre-determined performance goals. Under the Bonus Plan, bonus targets were expressed as a percentage of base salary, with executives potentially earning a bonus based on actual achievement versus the corporate performance goals. For our NEOs, their bonus would be based solely on the achievement of corporate goals. Factors used to determine target amounts included: role, scope of responsibilities, internal equity and competitive market data.</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2025 targets under the Bonus Plan for each member of our management team. These bonus targets are reviewed annually by the Compensation Committee and adjusted if deemed appropriate by the Compensation Committee.</w:t>
      </w:r>
    </w:p>
    <w:p>
      <w:pPr>
        <w:pStyle w:val="TextBody"/>
        <w:bidi w:val="0"/>
        <w:spacing w:before="0" w:after="0"/>
        <w:ind w:left="720" w:right="720" w:hanging="0"/>
        <w:jc w:val="both"/>
        <w:rPr>
          <w:caps w:val="false"/>
          <w:smallCaps w:val="false"/>
        </w:rPr>
      </w:pPr>
      <w:r>
        <w:rPr>
          <w:caps w:val="false"/>
          <w:smallCaps w:val="false"/>
        </w:rPr>
        <w:t> </w:t>
      </w:r>
    </w:p>
    <w:tbl>
      <w:tblPr>
        <w:tblW w:w="5204" w:type="dxa"/>
        <w:jc w:val="left"/>
        <w:tblInd w:w="720" w:type="dxa"/>
        <w:tblLayout w:type="fixed"/>
        <w:tblCellMar>
          <w:top w:w="0" w:type="dxa"/>
          <w:left w:w="0" w:type="dxa"/>
          <w:bottom w:w="28" w:type="dxa"/>
          <w:right w:w="0" w:type="dxa"/>
        </w:tblCellMar>
      </w:tblPr>
      <w:tblGrid>
        <w:gridCol w:w="4025"/>
        <w:gridCol w:w="60"/>
        <w:gridCol w:w="189"/>
        <w:gridCol w:w="730"/>
        <w:gridCol w:w="200"/>
      </w:tblGrid>
      <w:tr>
        <w:trPr/>
        <w:tc>
          <w:tcPr>
            <w:tcW w:w="40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Function – Level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2025 Target</w:t>
            </w:r>
          </w:p>
        </w:tc>
        <w:tc>
          <w:tcPr>
            <w:tcW w:w="200" w:type="dxa"/>
            <w:tcBorders/>
            <w:shd w:fill="FFFFFF" w:val="clear"/>
            <w:tcMar>
              <w:bottom w:w="0" w:type="dxa"/>
            </w:tcMar>
            <w:vAlign w:val="center"/>
          </w:tcPr>
          <w:p>
            <w:pPr>
              <w:pStyle w:val="TableContents"/>
              <w:bidi w:val="0"/>
              <w:spacing w:before="0" w:after="283"/>
              <w:jc w:val="center"/>
              <w:rPr/>
            </w:pPr>
            <w:r>
              <w:rPr/>
              <w:t> </w:t>
            </w:r>
          </w:p>
        </w:tc>
      </w:tr>
      <w:tr>
        <w:trPr/>
        <w:tc>
          <w:tcPr>
            <w:tcW w:w="402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 (Jay M. Short,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9" w:type="dxa"/>
            <w:tcBorders/>
            <w:shd w:fill="CFF0FC" w:val="clear"/>
            <w:tcMar>
              <w:bottom w:w="0" w:type="dxa"/>
            </w:tcMar>
            <w:vAlign w:val="center"/>
          </w:tcPr>
          <w:p>
            <w:pPr>
              <w:pStyle w:val="TableContents"/>
              <w:bidi w:val="0"/>
              <w:spacing w:before="0" w:after="283"/>
              <w:jc w:val="left"/>
              <w:rPr/>
            </w:pPr>
            <w:r>
              <w:rPr/>
              <w:t> </w:t>
            </w:r>
          </w:p>
        </w:tc>
        <w:tc>
          <w:tcPr>
            <w:tcW w:w="730"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c>
          <w:tcPr>
            <w:tcW w:w="20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C-Level (Richard A. Waldron, Eric Sievers,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7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corporate performance goals consisted of certain business goals (10% weight), clinical development milestones (25% weight) and strategic and financial objectives (65% weight). The amount of annual bonus, if earned, would depend on whether the Company achieved the performance level for the applicable corporate performance goal. Each of the performance goals was measured independently of the other. Payment of cash bonuses was subject to attaining 50% threshold performance of the weighted combination of the corporate performance goals overall. Actual payouts could range from 50% to 125% of target, based on performance.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did not meet the 50% threshold corporate goal achievement, no annual bonuses were paid to our NEOs under the Bonus Plan for 2025.</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Equity Incentives - 2025 Equity Grants</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436"/>
        <w:gridCol w:w="3234"/>
        <w:gridCol w:w="2095"/>
      </w:tblGrid>
      <w:tr>
        <w:trPr/>
        <w:tc>
          <w:tcPr>
            <w:tcW w:w="343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Philosophy</w:t>
            </w:r>
            <w:r>
              <w:rPr>
                <w:rFonts w:ascii="Times New Roman;Times;Serif" w:hAnsi="Times New Roman;Times;Serif"/>
                <w:b w:val="false"/>
                <w:i w:val="false"/>
                <w:caps w:val="false"/>
                <w:smallCaps w:val="false"/>
                <w:sz w:val="16"/>
              </w:rPr>
              <w:t> </w:t>
            </w:r>
          </w:p>
        </w:tc>
        <w:tc>
          <w:tcPr>
            <w:tcW w:w="323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Considerations for Grant</w:t>
            </w:r>
            <w:r>
              <w:rPr>
                <w:rFonts w:ascii="Times New Roman;Times;Serif" w:hAnsi="Times New Roman;Times;Serif"/>
                <w:b w:val="false"/>
                <w:i w:val="false"/>
                <w:caps w:val="false"/>
                <w:smallCaps w:val="false"/>
                <w:sz w:val="16"/>
              </w:rPr>
              <w:t> </w:t>
            </w:r>
          </w:p>
        </w:tc>
        <w:tc>
          <w:tcPr>
            <w:tcW w:w="20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Vesting Provisions</w:t>
            </w:r>
            <w:r>
              <w:rPr>
                <w:rFonts w:ascii="Times New Roman;Times;Serif" w:hAnsi="Times New Roman;Times;Serif"/>
                <w:b w:val="false"/>
                <w:i w:val="false"/>
                <w:caps w:val="false"/>
                <w:smallCaps w:val="false"/>
                <w:sz w:val="16"/>
              </w:rPr>
              <w:t> </w:t>
            </w:r>
          </w:p>
        </w:tc>
      </w:tr>
      <w:tr>
        <w:trPr/>
        <w:tc>
          <w:tcPr>
            <w:tcW w:w="3436" w:type="dxa"/>
            <w:tcBorders/>
            <w:vAlign w:val="center"/>
          </w:tcPr>
          <w:p>
            <w:pPr>
              <w:pStyle w:val="TableContents"/>
              <w:bidi w:val="0"/>
              <w:spacing w:before="0" w:after="283"/>
              <w:jc w:val="left"/>
              <w:rPr/>
            </w:pPr>
            <w:r>
              <w:rPr/>
              <w:t> </w:t>
            </w:r>
          </w:p>
        </w:tc>
        <w:tc>
          <w:tcPr>
            <w:tcW w:w="3234" w:type="dxa"/>
            <w:tcBorders/>
            <w:vAlign w:val="center"/>
          </w:tcPr>
          <w:p>
            <w:pPr>
              <w:pStyle w:val="TableContents"/>
              <w:bidi w:val="0"/>
              <w:spacing w:before="0" w:after="283"/>
              <w:jc w:val="left"/>
              <w:rPr/>
            </w:pPr>
            <w:r>
              <w:rPr/>
              <w:t> </w:t>
            </w:r>
          </w:p>
        </w:tc>
        <w:tc>
          <w:tcPr>
            <w:tcW w:w="2095"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Attract and Retain Executives</w:t>
            </w:r>
            <w:r>
              <w:rPr>
                <w:rFonts w:ascii="Times New Roman;Times;Serif" w:hAnsi="Times New Roman;Times;Serif"/>
                <w:b w:val="false"/>
                <w:i w:val="false"/>
                <w:caps w:val="false"/>
                <w:smallCaps w:val="false"/>
                <w:sz w:val="20"/>
              </w:rPr>
              <w:t>:</w:t>
              <w:br/>
              <w:t>Designed to retain our executive officers and other employees and align their long-term interests with the creation of long-term value for our stockholders. By having a percentage of our executive officers’ target total direct compensation payable in the form of equity that vests over a number of years and, thus, subject to higher risk and longer vesting than cash compensation, our executive officers are motivated to remain employed with us and take actions that will benefit the Company and its stockholders over the long term.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Align Interests with Stockholders</w:t>
            </w:r>
            <w:r>
              <w:rPr>
                <w:rFonts w:ascii="Times New Roman;Times;Serif" w:hAnsi="Times New Roman;Times;Serif"/>
                <w:b w:val="false"/>
                <w:i w:val="false"/>
                <w:caps w:val="false"/>
                <w:smallCaps w:val="false"/>
                <w:sz w:val="20"/>
              </w:rPr>
              <w:t>:</w:t>
              <w:br/>
              <w:t>Align the interests of executives with those of stockholders by issuing equity awards for which the value is correlated to our stock price. </w:t>
            </w:r>
          </w:p>
        </w:tc>
        <w:tc>
          <w:tcPr>
            <w:tcW w:w="32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used to determine the size of grants include: (i) the responsibilities, past performance, and anticipated future contributions of the NEO; (ii) the competitiveness of the NEO’s overall compensation package with reference to competitive market data; (iii) the NEO’s existing equity holdings; (iv) the extent to which these holdings are vested; and (v) the recommendations of our CEO (other than with respect to his own grant).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Balancing retention while maintaining alignment to stock price and stockholder interests.</w:t>
            </w:r>
          </w:p>
          <w:p>
            <w:pPr>
              <w:pStyle w:val="TableContents"/>
              <w:bidi w:val="0"/>
              <w:spacing w:before="0" w:after="0"/>
              <w:ind w:left="0" w:right="0" w:hanging="0"/>
              <w:jc w:val="left"/>
              <w:rPr>
                <w:caps w:val="false"/>
                <w:smallCaps w:val="false"/>
              </w:rPr>
            </w:pPr>
            <w:r>
              <w:rPr>
                <w:caps w:val="false"/>
                <w:smallCaps w:val="false"/>
              </w:rPr>
              <w:t> </w:t>
            </w:r>
          </w:p>
        </w:tc>
        <w:tc>
          <w:tcPr>
            <w:tcW w:w="2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approved granting of restricted stock unit (RSU) awards to our NEOs in 2025 to ensure that a significant portion of our executive compensation consists of unvested long-term incentives.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granted to our current NEOs vest over four years (with a one-year cliff), subject to the executive’s continued service on each applicable vesting date.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is a key component of our executive compensation program. Historically, our executives have generally been awarded an initial new hire equity grant upon commencement of employment. Additional equity grants may occur periodically in order to specifically incentivize executives with respect to achieving certain corporate goals and/or to reward executives for exceptional performance. By having a significant percentage of our executive officers’ target total direct compensation payable in the form of equity that vests over a number of years and, thus, subject to higher risk and long-term vesting than cash compensation, our executive officers are motivated to remain employed with BioAtla and take actions that will benefit BioAtla and its stockholders over the long term.</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after carefully considering the performance of the Company and the executive team, our Compensation Committee granted RSUs to each of our NEOs. Dr. Short, Mr. Waldron, and Dr. Sievers were granted 8,620 RSUs, 2,000 RSUs, and 3,500 RSUs, respectively. 25% of the total number of shares subject to each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Arrangements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offer letter agreements or employment agreements with each of our current NEOs, pursuant to which their employment is “at-will” and may be terminated by the Company at any time and for any reason. For a description of the severance agreement that we have entered into with each NEO, please see the section titled “Potential Payments upon Termination or Change in Control” below.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Compensation Policies and Practices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Insider Trading, Hedging or Pledging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NEOs, employees, and directors are subject to our insider trading policy, which we believe is reasonably designed to promote compliance with insider trading laws, rules and regulations, as well as applicable listing standards. Under the terms of our insider trading policy, no employees, contractors, consultants and members of our Board of Directors (and their respective family members and any affiliated entities, such as venture capital funds) may engage in short sales or other hedging or monetization transactions involving our securities, such as exchange funds, prepaid variable forwards, equity swaps, puts, calls, collars, forwards and other derivative instruments. In addition, such persons may not hold our securities in a margin account or pledge our securities as collateral for a loan.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Ownership Guidelines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adopted stock ownership guidelines for our executives to better align the executives’ interests with those of our stockholders. Guidelines are determined as a multiple of the executive’s base salary. The CEO guidelines are established as three times the CEO’s base salary and guidelines for other executive officers are established as one times such executive’s base salary. The guideline ownership must be obtained within five years. Executive officer ownership is evaluated annually as of December 31 using the highest closing price of the Company’s common stock in the fiscal year of evaluation. Shares that count toward meeting the stock ownership guidelines include shares owned directly, full value awards (e.g., time-vested restricted stock and RSUs), vested stock options (spread value) and shares owned directly by the executive’s spouse, dependent children and/or trust. For fiscal year 2025, each NEO held the requisite number of shares and was accordingly in compliance with our stock ownership guidelines.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Compensation Clawback Policy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adopted the BioAtla, Inc. Compensation Recovery Policy, effective October 2, 2023, which is intended to comply with SEC and Nasdaq requirements providing for the recovery of erroneously awarded incentive-based compensation received by current or former executive officers. Under the Compensation Recovery Policy, which applies to all executive officers, recovery of compensation is required in the event of a restatement, and our Compensation Committee also has discretion to recover compensation in the event of non-restatement related miscalculations or legal and compliance violations committed by covered persons.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 Timing Policies and Practices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take material nonpublic information into account when determining the grant timing and terms of equity awards, and we do not time the release of material nonpublic information based on equity award grant dates or for the purpose of affecting the value of executive compensation. Although we do not have a formal policy with respect to the timing of our equity award grants, the Compensation Committee has historically granted such awards in the first quarter of each fiscal year. This timing was selected because it aligns with our evaluation of our performance against the goals we set for our executives for the prior year and the setting of such goals for the current year. We also grant equity awards on other dates to newly hired employees and periodically in connection with promotions or to improve competitiveness and to position employees appropriately to benchmarks. In fiscal year 2025, we did not grant new awards of stock options, stock appreciation rights, or similar option-like instruments to our NEOs.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 and Change in Control Benefits Summary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NEOs are employed at-will and may be terminated at any time, with or without formal cause. We have entered into arrangements with each of our NEOs which provide for certain severance benefits upon a termination of employment, subject to the executive’s execution of a release agreement acceptable to us. These severance benefits have been provided to our NEOs in order to assist us in recruiting and retaining talented individuals and to align the executives’ interests with the best interests of our stockholders. We believe these severance benefits are an essential element of our overall executive compensation package due to the competitive market for executive talent in our industry.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Short is entitled to certain cash benefits and equity acceleration upon any termination of his employment, following the occurrence of a change of control which occurred in 2020.</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a “double-trigger” severance agreement with Mr. Waldron, pursuant to which he would be entitled to certain cash benefits and accelerated vesting of equity awards in the event of a termination without cause or a resignation for good reason following a change in control, subject to the execution of a release agreement acceptable to us. Finally, pursuant to the BioAtla, Inc. Management Change of Control Severance Plan, Dr. Sievers is entitled to certain cash benefits and accelerated vesting of equity awards in the event of a termination without cause or a resignation for good reason following a change in control, subject to the execution of a release agreement acceptable to us. These arrangements are considered “double-trigger”, as they require both a change in control as well as a qualifying termination of employment. Our Compensation Committee believes that “double- trigger” provisions preserve morale and productivity, and encourage executive retention in the event of a change in control. These provisions are considered a typical component of a competitive executive compensation program for executives among our 2025 peer group.</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severance benefits provided under our executive officer arrangements is provided below under the heading “Potential Payments Upon Termination or Change in Control.”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Executive Benefits and Perquisites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benefits to our NEOs on the same basis as provided to all of our employees, including health, dental and vision insurance; life insurance; accidental death and dismemberment insurance; disability insurance; and a tax-qualified Section 401(k) plan. We do not maintain any executive-specific benefit or perquisite programs.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We Determine Executive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the Compensation Committee and Management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makes recommendations to our Board of Directors for approval regarding the compensation arrangements of our CEO and approves all compensation arrangements for our NEOs. Our Compensation Committee has numerous resources upon which it relies, including input from our Board of Directors, CEO and independent consultants. However, the ultimate decision-making authority rests with the Compensation Committee, subject to Board approval with respect to our CEO’s compensation. These decisions are based on a careful review of performance as well as the competitive market environment.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management and advisors and consultants may be invited to participate in meetings, but the Compensation Committee meets regularly in executive session. Our CEO is often present and participates in discussions regarding compensation of our other executive officers. Executives, including our CEO, are not present during deliberations regarding their own performance or compensation.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Compensation Consultant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the Compensation Committee has retained the services of Aon as its independent, external compensation consultant. Aon assists the Compensation Committee in its review of executive and director compensation practices, including the market competitiveness of compensation, executive compensation design, benchmarking with industry peers and other technical considerations including tax and accounting considerations.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compensation matters, Aon advised and assisted with the following:</w:t>
      </w:r>
    </w:p>
    <w:p>
      <w:pPr>
        <w:pStyle w:val="TextBody"/>
        <w:bidi w:val="0"/>
        <w:spacing w:before="0" w:after="0"/>
        <w:ind w:left="720" w:right="720" w:firstLine="490"/>
        <w:jc w:val="left"/>
        <w:rPr>
          <w:caps w:val="false"/>
          <w:smallCaps w:val="false"/>
        </w:rPr>
      </w:pPr>
      <w:r>
        <w:rPr>
          <w:caps w:val="false"/>
          <w:smallCaps w:val="false"/>
        </w:rPr>
        <w:t> </w:t>
      </w:r>
    </w:p>
    <w:tbl>
      <w:tblPr>
        <w:tblW w:w="5028" w:type="dxa"/>
        <w:jc w:val="left"/>
        <w:tblInd w:w="72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assessing executive and director pay relative to the market;</w:t>
            </w:r>
          </w:p>
        </w:tc>
      </w:tr>
    </w:tbl>
    <w:p>
      <w:pPr>
        <w:pStyle w:val="TextBody"/>
        <w:bidi w:val="0"/>
        <w:spacing w:before="0" w:after="0"/>
        <w:ind w:left="720" w:right="720" w:hanging="0"/>
        <w:jc w:val="left"/>
        <w:rPr>
          <w:caps w:val="false"/>
          <w:smallCaps w:val="false"/>
        </w:rPr>
      </w:pPr>
      <w:r>
        <w:rPr>
          <w:caps w:val="false"/>
          <w:smallCaps w:val="false"/>
        </w:rPr>
        <w:t> </w:t>
      </w:r>
    </w:p>
    <w:tbl>
      <w:tblPr>
        <w:tblW w:w="6048" w:type="dxa"/>
        <w:jc w:val="left"/>
        <w:tblInd w:w="72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reviewing and suggesting changes to the compensation peer group;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reviewing the “Compensation Overview” for use in our annual proxy statement, if required, and other proxy statement disclosures.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regularly evaluates the services Aon provides and has final authority to engage and terminate their services. Our Compensation Committee has assessed Aon’s independence consistent with Nasdaq listing standards and has concluded that the engagement of Aon does not raise any conflict of interest.</w:t>
      </w:r>
    </w:p>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720" w:right="720" w:hanging="0"/>
        <w:jc w:val="left"/>
        <w:rPr/>
      </w:pPr>
      <w:r>
        <w:rPr/>
        <w:t> </w:t>
      </w:r>
    </w:p>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Positioning and Compensation Peers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setting compensation, the Compensation Committee compares base salaries, annual incentive opportunities and long-term compensation for the NEOs to a peer group of similarly sized companies. A key objective of our executive compensation program is to ensure that the overall compensation packages we offer our executives are competitive with the packages offered by companies with which we compete for executive talent. The Compensation Committee consults with its independent compensation consultant to develop a peer group of companies to serve as the basis for comparing our executive compensation program to the market.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setting fiscal year 2025 compensation, our Compensation Committee considered competitive market practices when setting total pay levels. However, competitive market data is only one of several resources made available to the Compensation Committee to assist it in setting executive compensation levels. While referencing peer group compensation levels is helpful in determining market-competitive compensation for our NEOs, our Compensation Committee does not directly tie any pay elements to particular benchmarks within the peer group. Rather, peer data is one consideration, along with employee skills and experience, individual performance, scope of responsibilities, and other factors. The Compensation Committee does not use a formula to determine compensation or as a fixed target.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developing our peer group, which was approved in September 2024, the Compensation Committee considered the following key qualitative and quantitative criteria:</w:t>
      </w:r>
    </w:p>
    <w:p>
      <w:pPr>
        <w:pStyle w:val="TextBody"/>
        <w:bidi w:val="0"/>
        <w:spacing w:before="0" w:after="0"/>
        <w:ind w:left="720" w:right="720" w:hanging="0"/>
        <w:jc w:val="both"/>
        <w:rPr>
          <w:caps w:val="false"/>
          <w:smallCaps w:val="false"/>
        </w:rPr>
      </w:pPr>
      <w:r>
        <w:rPr>
          <w:caps w:val="false"/>
          <w:smallCaps w:val="false"/>
        </w:rPr>
        <w:t> </w:t>
      </w:r>
    </w:p>
    <w:tbl>
      <w:tblPr>
        <w:tblW w:w="6918" w:type="dxa"/>
        <w:jc w:val="left"/>
        <w:tblInd w:w="72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Sector &amp; Stage</w:t>
            </w:r>
            <w:r>
              <w:rPr>
                <w:rFonts w:ascii="Times New Roman;Times;Serif" w:hAnsi="Times New Roman;Times;Serif"/>
                <w:sz w:val="20"/>
              </w:rPr>
              <w:t>—US-based, public pre-commercial biopharmaceutical companies;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Stage of business</w:t>
            </w:r>
            <w:r>
              <w:rPr>
                <w:rFonts w:ascii="Times New Roman;Times;Serif" w:hAnsi="Times New Roman;Times;Serif"/>
                <w:sz w:val="20"/>
              </w:rPr>
              <w:t>—focus on companies in Phases 1 to 3 of clinical trials, preferably with a focus in oncology;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Market Capitalization</w:t>
            </w:r>
            <w:r>
              <w:rPr>
                <w:rFonts w:ascii="Times New Roman;Times;Serif" w:hAnsi="Times New Roman;Times;Serif"/>
                <w:sz w:val="20"/>
              </w:rPr>
              <w:t>—between approximately $50 million and $500 million (as of the date the peer group was determined) while maintaining some of the existing peers for year over year consistency; and</w:t>
            </w:r>
          </w:p>
        </w:tc>
      </w:tr>
    </w:tbl>
    <w:p>
      <w:pPr>
        <w:pStyle w:val="TextBody"/>
        <w:bidi w:val="0"/>
        <w:spacing w:before="0" w:after="0"/>
        <w:ind w:left="720" w:right="720" w:hanging="0"/>
        <w:jc w:val="left"/>
        <w:rPr>
          <w:caps w:val="false"/>
          <w:smallCaps w:val="false"/>
        </w:rPr>
      </w:pPr>
      <w:r>
        <w:rPr>
          <w:caps w:val="false"/>
          <w:smallCaps w:val="false"/>
        </w:rPr>
        <w:t> </w:t>
      </w:r>
    </w:p>
    <w:tbl>
      <w:tblPr>
        <w:tblW w:w="3948" w:type="dxa"/>
        <w:jc w:val="left"/>
        <w:tblInd w:w="72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Headcount</w:t>
            </w:r>
            <w:r>
              <w:rPr>
                <w:rFonts w:ascii="Times New Roman;Times;Serif" w:hAnsi="Times New Roman;Times;Serif"/>
                <w:sz w:val="20"/>
              </w:rPr>
              <w:t>—generally under 200 employees.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analysis, the Compensation Committee identified the following 24 companies as our peer group to be used as a reference for its executive compensation decisions in 2025.</w:t>
      </w:r>
    </w:p>
    <w:p>
      <w:pPr>
        <w:pStyle w:val="TextBody"/>
        <w:bidi w:val="0"/>
        <w:spacing w:before="0" w:after="0"/>
        <w:ind w:left="720" w:right="720" w:hanging="0"/>
        <w:jc w:val="both"/>
        <w:rPr>
          <w:caps w:val="false"/>
          <w:smallCaps w:val="false"/>
        </w:rPr>
      </w:pPr>
      <w:r>
        <w:rPr>
          <w:caps w:val="false"/>
          <w:smallCaps w:val="false"/>
        </w:rPr>
        <w:t> </w:t>
      </w:r>
    </w:p>
    <w:tbl>
      <w:tblPr>
        <w:tblW w:w="7680" w:type="dxa"/>
        <w:jc w:val="left"/>
        <w:tblInd w:w="720" w:type="dxa"/>
        <w:tblLayout w:type="fixed"/>
        <w:tblCellMar>
          <w:top w:w="0" w:type="dxa"/>
          <w:left w:w="0" w:type="dxa"/>
          <w:bottom w:w="0" w:type="dxa"/>
          <w:right w:w="0" w:type="dxa"/>
        </w:tblCellMar>
      </w:tblPr>
      <w:tblGrid>
        <w:gridCol w:w="2795"/>
        <w:gridCol w:w="2195"/>
        <w:gridCol w:w="2690"/>
      </w:tblGrid>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ALX Oncology Holdings,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Gritstone bio, Inc.</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PDS Biotechnology Corporation</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Aura Biosciences,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IGM Biosciences, Inc.</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PMV Pharmaceuticals, Inc.</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Black Diamond Therapeutics,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Ikena Oncology, Inc.</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Precision BioSciences, Inc.</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Boundless Bio,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Immuneering Corporation</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Pyxis Oncology, Inc.</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C4 Therapeutics,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Kezar Life Sciences, Inc.</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Sutro Biopharma, Inc.</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Compass Therapeutics,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Kronos Bio, Inc.</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Verastem, Inc.</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Corvus Pharmaceuticals,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Leap Therapeutics, Inc.</w:t>
            </w:r>
          </w:p>
        </w:tc>
        <w:tc>
          <w:tcPr>
            <w:tcW w:w="2690" w:type="dxa"/>
            <w:tcBorders/>
            <w:vAlign w:val="center"/>
          </w:tcPr>
          <w:p>
            <w:pPr>
              <w:pStyle w:val="TableContents"/>
              <w:bidi w:val="0"/>
              <w:spacing w:before="0" w:after="283"/>
              <w:jc w:val="center"/>
              <w:rPr/>
            </w:pPr>
            <w:r>
              <w:rPr/>
              <w:t> </w:t>
            </w:r>
            <w:r>
              <w:rPr>
                <w:rFonts w:ascii="Times New Roman;Times;Serif" w:hAnsi="Times New Roman;Times;Serif"/>
                <w:sz w:val="20"/>
              </w:rPr>
              <w:t>X4 Pharmaceuticals, Inc.</w:t>
            </w:r>
          </w:p>
        </w:tc>
      </w:tr>
      <w:tr>
        <w:trPr/>
        <w:tc>
          <w:tcPr>
            <w:tcW w:w="27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CytomX Therapeutics, Inc.</w:t>
            </w:r>
          </w:p>
        </w:tc>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Mersana Therapeutics, Inc.</w:t>
            </w:r>
          </w:p>
        </w:tc>
        <w:tc>
          <w:tcPr>
            <w:tcW w:w="26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Zentalis Pharmaceuticals, Inc.</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Tables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compensation earned or awarded by the Company to its NEOs for each of the last two fiscal years in which they were an NEO.</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1471"/>
        <w:gridCol w:w="60"/>
        <w:gridCol w:w="440"/>
        <w:gridCol w:w="60"/>
        <w:gridCol w:w="60"/>
        <w:gridCol w:w="695"/>
        <w:gridCol w:w="60"/>
        <w:gridCol w:w="60"/>
        <w:gridCol w:w="65"/>
        <w:gridCol w:w="762"/>
        <w:gridCol w:w="60"/>
        <w:gridCol w:w="60"/>
        <w:gridCol w:w="132"/>
        <w:gridCol w:w="581"/>
        <w:gridCol w:w="60"/>
        <w:gridCol w:w="60"/>
        <w:gridCol w:w="123"/>
        <w:gridCol w:w="1447"/>
        <w:gridCol w:w="60"/>
        <w:gridCol w:w="60"/>
        <w:gridCol w:w="239"/>
        <w:gridCol w:w="1045"/>
        <w:gridCol w:w="60"/>
        <w:gridCol w:w="60"/>
        <w:gridCol w:w="60"/>
        <w:gridCol w:w="845"/>
        <w:gridCol w:w="80"/>
      </w:tblGrid>
      <w:tr>
        <w:trPr/>
        <w:tc>
          <w:tcPr>
            <w:tcW w:w="147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 and Principal Position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Year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Salary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27"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Stock Awards </w:t>
              <w:b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13"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Option Awards </w:t>
              <w:b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7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Non-Equity Incentive Plan Compensation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All Other Compensation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w:t>
            </w:r>
          </w:p>
        </w:tc>
        <w:tc>
          <w:tcPr>
            <w:tcW w:w="80" w:type="dxa"/>
            <w:tcBorders/>
            <w:shd w:fill="FFFFFF" w:val="clear"/>
            <w:tcMar>
              <w:bottom w:w="0" w:type="dxa"/>
            </w:tcMar>
            <w:vAlign w:val="center"/>
          </w:tcPr>
          <w:p>
            <w:pPr>
              <w:pStyle w:val="TableContents"/>
              <w:bidi w:val="0"/>
              <w:spacing w:before="0" w:after="283"/>
              <w:jc w:val="center"/>
              <w:rPr/>
            </w:pPr>
            <w:r>
              <w:rPr/>
              <w:t> </w:t>
            </w:r>
          </w:p>
        </w:tc>
      </w:tr>
      <w:tr>
        <w:trPr/>
        <w:tc>
          <w:tcPr>
            <w:tcW w:w="1471"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Jay M. Short,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9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734,820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5" w:type="dxa"/>
            <w:tcBorders/>
            <w:shd w:fill="CFF0FC" w:val="clear"/>
            <w:tcMar>
              <w:bottom w:w="0" w:type="dxa"/>
            </w:tcMar>
            <w:vAlign w:val="center"/>
          </w:tcPr>
          <w:p>
            <w:pPr>
              <w:pStyle w:val="TableContents"/>
              <w:bidi w:val="0"/>
              <w:spacing w:before="0" w:after="283"/>
              <w:jc w:val="left"/>
              <w:rPr/>
            </w:pPr>
            <w:r>
              <w:rPr/>
              <w:t> </w:t>
            </w:r>
          </w:p>
        </w:tc>
        <w:tc>
          <w:tcPr>
            <w:tcW w:w="762"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144,428</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32" w:type="dxa"/>
            <w:tcBorders/>
            <w:shd w:fill="CFF0FC" w:val="clear"/>
            <w:tcMar>
              <w:bottom w:w="0" w:type="dxa"/>
            </w:tcMar>
            <w:vAlign w:val="center"/>
          </w:tcPr>
          <w:p>
            <w:pPr>
              <w:pStyle w:val="TableContents"/>
              <w:bidi w:val="0"/>
              <w:spacing w:before="0" w:after="283"/>
              <w:jc w:val="left"/>
              <w:rPr/>
            </w:pPr>
            <w:r>
              <w:rPr/>
              <w:t> </w:t>
            </w:r>
          </w:p>
        </w:tc>
        <w:tc>
          <w:tcPr>
            <w:tcW w:w="581"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3" w:type="dxa"/>
            <w:tcBorders/>
            <w:shd w:fill="CFF0FC" w:val="clear"/>
            <w:tcMar>
              <w:bottom w:w="0" w:type="dxa"/>
            </w:tcMar>
            <w:vAlign w:val="center"/>
          </w:tcPr>
          <w:p>
            <w:pPr>
              <w:pStyle w:val="TableContents"/>
              <w:bidi w:val="0"/>
              <w:spacing w:before="0" w:after="283"/>
              <w:jc w:val="left"/>
              <w:rPr/>
            </w:pPr>
            <w:r>
              <w:rPr/>
              <w:t> </w:t>
            </w:r>
          </w:p>
        </w:tc>
        <w:tc>
          <w:tcPr>
            <w:tcW w:w="1447"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9" w:type="dxa"/>
            <w:tcBorders/>
            <w:shd w:fill="CFF0FC" w:val="clear"/>
            <w:tcMar>
              <w:bottom w:w="0" w:type="dxa"/>
            </w:tcMar>
            <w:vAlign w:val="center"/>
          </w:tcPr>
          <w:p>
            <w:pPr>
              <w:pStyle w:val="TableContents"/>
              <w:bidi w:val="0"/>
              <w:spacing w:before="0" w:after="283"/>
              <w:jc w:val="left"/>
              <w:rPr/>
            </w:pPr>
            <w:r>
              <w:rPr/>
              <w:t> </w:t>
            </w:r>
          </w:p>
        </w:tc>
        <w:tc>
          <w:tcPr>
            <w:tcW w:w="1045"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4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879,248</w:t>
            </w:r>
          </w:p>
        </w:tc>
        <w:tc>
          <w:tcPr>
            <w:tcW w:w="80" w:type="dxa"/>
            <w:tcBorders/>
            <w:shd w:fill="CFF0FC" w:val="clear"/>
            <w:tcMar>
              <w:bottom w:w="0" w:type="dxa"/>
            </w:tcMar>
            <w:vAlign w:val="center"/>
          </w:tcPr>
          <w:p>
            <w:pPr>
              <w:pStyle w:val="TableContents"/>
              <w:bidi w:val="0"/>
              <w:spacing w:before="0" w:after="283"/>
              <w:jc w:val="left"/>
              <w:rPr/>
            </w:pPr>
            <w:r>
              <w:rPr/>
              <w:t> </w:t>
            </w:r>
          </w:p>
        </w:tc>
      </w:tr>
      <w:tr>
        <w:trPr/>
        <w:tc>
          <w:tcPr>
            <w:tcW w:w="1471" w:type="dxa"/>
            <w:tcBorders/>
            <w:shd w:fill="CFF0FC"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9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734,820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5" w:type="dxa"/>
            <w:tcBorders/>
            <w:shd w:fill="CFF0FC" w:val="clear"/>
            <w:tcMar>
              <w:bottom w:w="0" w:type="dxa"/>
            </w:tcMar>
            <w:vAlign w:val="center"/>
          </w:tcPr>
          <w:p>
            <w:pPr>
              <w:pStyle w:val="TableContents"/>
              <w:bidi w:val="0"/>
              <w:spacing w:before="0" w:after="283"/>
              <w:jc w:val="left"/>
              <w:rPr/>
            </w:pPr>
            <w:r>
              <w:rPr/>
              <w:t> </w:t>
            </w:r>
          </w:p>
        </w:tc>
        <w:tc>
          <w:tcPr>
            <w:tcW w:w="762"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942,420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32" w:type="dxa"/>
            <w:tcBorders/>
            <w:shd w:fill="CFF0FC" w:val="clear"/>
            <w:tcMar>
              <w:bottom w:w="0" w:type="dxa"/>
            </w:tcMar>
            <w:vAlign w:val="center"/>
          </w:tcPr>
          <w:p>
            <w:pPr>
              <w:pStyle w:val="TableContents"/>
              <w:bidi w:val="0"/>
              <w:spacing w:before="0" w:after="283"/>
              <w:jc w:val="left"/>
              <w:rPr/>
            </w:pPr>
            <w:r>
              <w:rPr/>
              <w:t> </w:t>
            </w:r>
          </w:p>
        </w:tc>
        <w:tc>
          <w:tcPr>
            <w:tcW w:w="581"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3" w:type="dxa"/>
            <w:tcBorders/>
            <w:shd w:fill="CFF0FC" w:val="clear"/>
            <w:tcMar>
              <w:bottom w:w="0" w:type="dxa"/>
            </w:tcMar>
            <w:vAlign w:val="center"/>
          </w:tcPr>
          <w:p>
            <w:pPr>
              <w:pStyle w:val="TableContents"/>
              <w:bidi w:val="0"/>
              <w:spacing w:before="0" w:after="283"/>
              <w:jc w:val="left"/>
              <w:rPr/>
            </w:pPr>
            <w:r>
              <w:rPr/>
              <w:t> </w:t>
            </w:r>
          </w:p>
        </w:tc>
        <w:tc>
          <w:tcPr>
            <w:tcW w:w="1447"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275,558</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9" w:type="dxa"/>
            <w:tcBorders/>
            <w:shd w:fill="CFF0FC" w:val="clear"/>
            <w:tcMar>
              <w:bottom w:w="0" w:type="dxa"/>
            </w:tcMar>
            <w:vAlign w:val="center"/>
          </w:tcPr>
          <w:p>
            <w:pPr>
              <w:pStyle w:val="TableContents"/>
              <w:bidi w:val="0"/>
              <w:spacing w:before="0" w:after="283"/>
              <w:jc w:val="left"/>
              <w:rPr/>
            </w:pPr>
            <w:r>
              <w:rPr/>
              <w:t> </w:t>
            </w:r>
          </w:p>
        </w:tc>
        <w:tc>
          <w:tcPr>
            <w:tcW w:w="1045"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4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1,952,798</w:t>
            </w:r>
          </w:p>
        </w:tc>
        <w:tc>
          <w:tcPr>
            <w:tcW w:w="80" w:type="dxa"/>
            <w:tcBorders/>
            <w:shd w:fill="CFF0FC" w:val="clear"/>
            <w:tcMar>
              <w:bottom w:w="0" w:type="dxa"/>
            </w:tcMar>
            <w:vAlign w:val="center"/>
          </w:tcPr>
          <w:p>
            <w:pPr>
              <w:pStyle w:val="TableContents"/>
              <w:bidi w:val="0"/>
              <w:spacing w:before="0" w:after="283"/>
              <w:jc w:val="left"/>
              <w:rPr/>
            </w:pPr>
            <w:r>
              <w:rPr/>
              <w:t> </w:t>
            </w:r>
          </w:p>
        </w:tc>
      </w:tr>
      <w:tr>
        <w:trPr/>
        <w:tc>
          <w:tcPr>
            <w:tcW w:w="1471" w:type="dxa"/>
            <w:tcBorders/>
            <w:shd w:fill="CFF0FC"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Co-founder, and</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55"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27"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13"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570"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84"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905" w:type="dxa"/>
            <w:gridSpan w:val="2"/>
            <w:tcBorders/>
            <w:shd w:fill="CFF0FC" w:val="clear"/>
            <w:tcMar>
              <w:bottom w:w="0" w:type="dxa"/>
            </w:tcMar>
            <w:vAlign w:val="center"/>
          </w:tcPr>
          <w:p>
            <w:pPr>
              <w:pStyle w:val="TableContents"/>
              <w:bidi w:val="0"/>
              <w:spacing w:before="0" w:after="283"/>
              <w:jc w:val="right"/>
              <w:rPr/>
            </w:pPr>
            <w:r>
              <w:rPr/>
              <w:t> </w:t>
            </w:r>
          </w:p>
        </w:tc>
        <w:tc>
          <w:tcPr>
            <w:tcW w:w="80" w:type="dxa"/>
            <w:tcBorders/>
            <w:shd w:fill="CFF0FC" w:val="clear"/>
            <w:tcMar>
              <w:bottom w:w="0" w:type="dxa"/>
            </w:tcMar>
            <w:vAlign w:val="center"/>
          </w:tcPr>
          <w:p>
            <w:pPr>
              <w:pStyle w:val="TableContents"/>
              <w:bidi w:val="0"/>
              <w:spacing w:before="0" w:after="283"/>
              <w:jc w:val="right"/>
              <w:rPr/>
            </w:pPr>
            <w:r>
              <w:rPr/>
              <w:t> </w:t>
            </w:r>
          </w:p>
        </w:tc>
      </w:tr>
      <w:tr>
        <w:trPr/>
        <w:tc>
          <w:tcPr>
            <w:tcW w:w="1471" w:type="dxa"/>
            <w:tcBorders/>
            <w:shd w:fill="CFF0FC"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 of Directors</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55"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27"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13"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570"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84"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905" w:type="dxa"/>
            <w:gridSpan w:val="2"/>
            <w:tcBorders/>
            <w:shd w:fill="CFF0FC" w:val="clear"/>
            <w:tcMar>
              <w:bottom w:w="0" w:type="dxa"/>
            </w:tcMar>
            <w:vAlign w:val="center"/>
          </w:tcPr>
          <w:p>
            <w:pPr>
              <w:pStyle w:val="TableContents"/>
              <w:bidi w:val="0"/>
              <w:spacing w:before="0" w:after="283"/>
              <w:jc w:val="right"/>
              <w:rPr/>
            </w:pPr>
            <w:r>
              <w:rPr/>
              <w:t> </w:t>
            </w:r>
          </w:p>
        </w:tc>
        <w:tc>
          <w:tcPr>
            <w:tcW w:w="80" w:type="dxa"/>
            <w:tcBorders/>
            <w:shd w:fill="CFF0FC" w:val="clear"/>
            <w:tcMar>
              <w:bottom w:w="0" w:type="dxa"/>
            </w:tcMar>
            <w:vAlign w:val="center"/>
          </w:tcPr>
          <w:p>
            <w:pPr>
              <w:pStyle w:val="TableContents"/>
              <w:bidi w:val="0"/>
              <w:spacing w:before="0" w:after="283"/>
              <w:jc w:val="right"/>
              <w:rPr/>
            </w:pPr>
            <w:r>
              <w:rPr/>
              <w:t> </w:t>
            </w:r>
          </w:p>
        </w:tc>
      </w:tr>
      <w:tr>
        <w:trPr/>
        <w:tc>
          <w:tcPr>
            <w:tcW w:w="1471"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55"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27"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13"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570"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84"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905" w:type="dxa"/>
            <w:gridSpan w:val="2"/>
            <w:tcBorders/>
            <w:shd w:fill="CFF0FC" w:val="clear"/>
            <w:tcMar>
              <w:bottom w:w="0" w:type="dxa"/>
            </w:tcMar>
            <w:vAlign w:val="center"/>
          </w:tcPr>
          <w:p>
            <w:pPr>
              <w:pStyle w:val="TableContents"/>
              <w:bidi w:val="0"/>
              <w:spacing w:before="0" w:after="283"/>
              <w:jc w:val="right"/>
              <w:rPr/>
            </w:pPr>
            <w:r>
              <w:rPr/>
              <w:t> </w:t>
            </w:r>
          </w:p>
        </w:tc>
        <w:tc>
          <w:tcPr>
            <w:tcW w:w="80" w:type="dxa"/>
            <w:tcBorders/>
            <w:shd w:fill="CFF0FC" w:val="clear"/>
            <w:tcMar>
              <w:bottom w:w="0" w:type="dxa"/>
            </w:tcMar>
            <w:vAlign w:val="center"/>
          </w:tcPr>
          <w:p>
            <w:pPr>
              <w:pStyle w:val="TableContents"/>
              <w:bidi w:val="0"/>
              <w:spacing w:before="0" w:after="283"/>
              <w:jc w:val="right"/>
              <w:rPr/>
            </w:pPr>
            <w:r>
              <w:rPr/>
              <w:t> </w:t>
            </w:r>
          </w:p>
        </w:tc>
      </w:tr>
      <w:tr>
        <w:trPr/>
        <w:tc>
          <w:tcPr>
            <w:tcW w:w="147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A. Waldron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7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516,180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471"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7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5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881,700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47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gridSpan w:val="2"/>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7" w:type="dxa"/>
            <w:gridSpan w:val="2"/>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3" w:type="dxa"/>
            <w:gridSpan w:val="2"/>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0" w:type="dxa"/>
            <w:gridSpan w:val="2"/>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4" w:type="dxa"/>
            <w:gridSpan w:val="2"/>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gridSpan w:val="2"/>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right"/>
              <w:rPr/>
            </w:pPr>
            <w:r>
              <w:rPr/>
              <w:t> </w:t>
            </w:r>
          </w:p>
        </w:tc>
      </w:tr>
      <w:tr>
        <w:trPr/>
        <w:tc>
          <w:tcPr>
            <w:tcW w:w="1471"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Sievers, M.D.</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9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530,630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5" w:type="dxa"/>
            <w:tcBorders/>
            <w:shd w:fill="CFF0FC" w:val="clear"/>
            <w:tcMar>
              <w:bottom w:w="0" w:type="dxa"/>
            </w:tcMar>
            <w:vAlign w:val="center"/>
          </w:tcPr>
          <w:p>
            <w:pPr>
              <w:pStyle w:val="TableContents"/>
              <w:bidi w:val="0"/>
              <w:spacing w:before="0" w:after="283"/>
              <w:jc w:val="left"/>
              <w:rPr/>
            </w:pPr>
            <w:r>
              <w:rPr/>
              <w:t> </w:t>
            </w:r>
          </w:p>
        </w:tc>
        <w:tc>
          <w:tcPr>
            <w:tcW w:w="762"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53,778</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32" w:type="dxa"/>
            <w:tcBorders/>
            <w:shd w:fill="CFF0FC" w:val="clear"/>
            <w:tcMar>
              <w:bottom w:w="0" w:type="dxa"/>
            </w:tcMar>
            <w:vAlign w:val="center"/>
          </w:tcPr>
          <w:p>
            <w:pPr>
              <w:pStyle w:val="TableContents"/>
              <w:bidi w:val="0"/>
              <w:spacing w:before="0" w:after="283"/>
              <w:jc w:val="left"/>
              <w:rPr/>
            </w:pPr>
            <w:r>
              <w:rPr/>
              <w:t> </w:t>
            </w:r>
          </w:p>
        </w:tc>
        <w:tc>
          <w:tcPr>
            <w:tcW w:w="581"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3" w:type="dxa"/>
            <w:tcBorders/>
            <w:shd w:fill="CFF0FC" w:val="clear"/>
            <w:tcMar>
              <w:bottom w:w="0" w:type="dxa"/>
            </w:tcMar>
            <w:vAlign w:val="center"/>
          </w:tcPr>
          <w:p>
            <w:pPr>
              <w:pStyle w:val="TableContents"/>
              <w:bidi w:val="0"/>
              <w:spacing w:before="0" w:after="283"/>
              <w:jc w:val="left"/>
              <w:rPr/>
            </w:pPr>
            <w:r>
              <w:rPr/>
              <w:t> </w:t>
            </w:r>
          </w:p>
        </w:tc>
        <w:tc>
          <w:tcPr>
            <w:tcW w:w="1447"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9" w:type="dxa"/>
            <w:tcBorders/>
            <w:shd w:fill="CFF0FC" w:val="clear"/>
            <w:tcMar>
              <w:bottom w:w="0" w:type="dxa"/>
            </w:tcMar>
            <w:vAlign w:val="center"/>
          </w:tcPr>
          <w:p>
            <w:pPr>
              <w:pStyle w:val="TableContents"/>
              <w:bidi w:val="0"/>
              <w:spacing w:before="0" w:after="283"/>
              <w:jc w:val="left"/>
              <w:rPr/>
            </w:pPr>
            <w:r>
              <w:rPr/>
              <w:t> </w:t>
            </w:r>
          </w:p>
        </w:tc>
        <w:tc>
          <w:tcPr>
            <w:tcW w:w="1045"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4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584,408</w:t>
            </w:r>
          </w:p>
        </w:tc>
        <w:tc>
          <w:tcPr>
            <w:tcW w:w="80" w:type="dxa"/>
            <w:tcBorders/>
            <w:shd w:fill="CFF0FC" w:val="clear"/>
            <w:tcMar>
              <w:bottom w:w="0" w:type="dxa"/>
            </w:tcMar>
            <w:vAlign w:val="center"/>
          </w:tcPr>
          <w:p>
            <w:pPr>
              <w:pStyle w:val="TableContents"/>
              <w:bidi w:val="0"/>
              <w:spacing w:before="0" w:after="283"/>
              <w:jc w:val="left"/>
              <w:rPr/>
            </w:pPr>
            <w:r>
              <w:rPr/>
              <w:t> </w:t>
            </w:r>
          </w:p>
        </w:tc>
      </w:tr>
      <w:tr>
        <w:trPr/>
        <w:tc>
          <w:tcPr>
            <w:tcW w:w="1471" w:type="dxa"/>
            <w:tcBorders/>
            <w:shd w:fill="CFF0FC"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Medical Officer</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9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510,220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5" w:type="dxa"/>
            <w:tcBorders/>
            <w:shd w:fill="CFF0FC" w:val="clear"/>
            <w:tcMar>
              <w:bottom w:w="0" w:type="dxa"/>
            </w:tcMar>
            <w:vAlign w:val="center"/>
          </w:tcPr>
          <w:p>
            <w:pPr>
              <w:pStyle w:val="TableContents"/>
              <w:bidi w:val="0"/>
              <w:spacing w:before="0" w:after="283"/>
              <w:jc w:val="left"/>
              <w:rPr/>
            </w:pPr>
            <w:r>
              <w:rPr/>
              <w:t> </w:t>
            </w:r>
          </w:p>
        </w:tc>
        <w:tc>
          <w:tcPr>
            <w:tcW w:w="762"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323,300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32" w:type="dxa"/>
            <w:tcBorders/>
            <w:shd w:fill="CFF0FC" w:val="clear"/>
            <w:tcMar>
              <w:bottom w:w="0" w:type="dxa"/>
            </w:tcMar>
            <w:vAlign w:val="center"/>
          </w:tcPr>
          <w:p>
            <w:pPr>
              <w:pStyle w:val="TableContents"/>
              <w:bidi w:val="0"/>
              <w:spacing w:before="0" w:after="283"/>
              <w:jc w:val="left"/>
              <w:rPr/>
            </w:pPr>
            <w:r>
              <w:rPr/>
              <w:t> </w:t>
            </w:r>
          </w:p>
        </w:tc>
        <w:tc>
          <w:tcPr>
            <w:tcW w:w="581"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3" w:type="dxa"/>
            <w:tcBorders/>
            <w:shd w:fill="CFF0FC" w:val="clear"/>
            <w:tcMar>
              <w:bottom w:w="0" w:type="dxa"/>
            </w:tcMar>
            <w:vAlign w:val="center"/>
          </w:tcPr>
          <w:p>
            <w:pPr>
              <w:pStyle w:val="TableContents"/>
              <w:bidi w:val="0"/>
              <w:spacing w:before="0" w:after="283"/>
              <w:jc w:val="left"/>
              <w:rPr/>
            </w:pPr>
            <w:r>
              <w:rPr/>
              <w:t> </w:t>
            </w:r>
          </w:p>
        </w:tc>
        <w:tc>
          <w:tcPr>
            <w:tcW w:w="1447"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127,555</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9" w:type="dxa"/>
            <w:tcBorders/>
            <w:shd w:fill="CFF0FC" w:val="clear"/>
            <w:tcMar>
              <w:bottom w:w="0" w:type="dxa"/>
            </w:tcMar>
            <w:vAlign w:val="center"/>
          </w:tcPr>
          <w:p>
            <w:pPr>
              <w:pStyle w:val="TableContents"/>
              <w:bidi w:val="0"/>
              <w:spacing w:before="0" w:after="283"/>
              <w:jc w:val="left"/>
              <w:rPr/>
            </w:pPr>
            <w:r>
              <w:rPr/>
              <w:t> </w:t>
            </w:r>
          </w:p>
        </w:tc>
        <w:tc>
          <w:tcPr>
            <w:tcW w:w="1045" w:type="dxa"/>
            <w:tcBorders/>
            <w:shd w:fill="CFF0FC" w:val="clear"/>
            <w:tcMar>
              <w:bottom w:w="0" w:type="dxa"/>
            </w:tcMar>
            <w:vAlign w:val="center"/>
          </w:tcPr>
          <w:p>
            <w:pPr>
              <w:pStyle w:val="TableContents"/>
              <w:bidi w:val="0"/>
              <w:spacing w:before="0" w:after="283"/>
              <w:jc w:val="right"/>
              <w:rPr/>
            </w:pPr>
            <w:r>
              <w:rPr/>
              <w:t>—</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4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961,075</w:t>
            </w:r>
          </w:p>
        </w:tc>
        <w:tc>
          <w:tcPr>
            <w:tcW w:w="80" w:type="dxa"/>
            <w:tcBorders/>
            <w:shd w:fill="CFF0FC" w:val="clear"/>
            <w:tcMar>
              <w:bottom w:w="0" w:type="dxa"/>
            </w:tcMar>
            <w:vAlign w:val="center"/>
          </w:tcPr>
          <w:p>
            <w:pPr>
              <w:pStyle w:val="TableContents"/>
              <w:bidi w:val="0"/>
              <w:spacing w:before="0" w:after="283"/>
              <w:jc w:val="left"/>
              <w:rPr/>
            </w:pPr>
            <w:r>
              <w:rPr/>
              <w:t> </w:t>
            </w:r>
          </w:p>
        </w:tc>
      </w:tr>
      <w:tr>
        <w:trPr/>
        <w:tc>
          <w:tcPr>
            <w:tcW w:w="1471"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44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55"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827"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713"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570"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284" w:type="dxa"/>
            <w:gridSpan w:val="2"/>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righ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905" w:type="dxa"/>
            <w:gridSpan w:val="2"/>
            <w:tcBorders/>
            <w:shd w:fill="CFF0FC" w:val="clear"/>
            <w:tcMar>
              <w:bottom w:w="0" w:type="dxa"/>
            </w:tcMar>
            <w:vAlign w:val="center"/>
          </w:tcPr>
          <w:p>
            <w:pPr>
              <w:pStyle w:val="TableContents"/>
              <w:bidi w:val="0"/>
              <w:spacing w:before="0" w:after="283"/>
              <w:jc w:val="right"/>
              <w:rPr/>
            </w:pPr>
            <w:r>
              <w:rPr/>
              <w:t> </w:t>
            </w:r>
          </w:p>
        </w:tc>
        <w:tc>
          <w:tcPr>
            <w:tcW w:w="80" w:type="dxa"/>
            <w:tcBorders/>
            <w:shd w:fill="CFF0FC" w:val="clear"/>
            <w:tcMar>
              <w:bottom w:w="0" w:type="dxa"/>
            </w:tcMar>
            <w:vAlign w:val="center"/>
          </w:tcPr>
          <w:p>
            <w:pPr>
              <w:pStyle w:val="TableContents"/>
              <w:bidi w:val="0"/>
              <w:spacing w:before="0" w:after="283"/>
              <w:jc w:val="right"/>
              <w:rPr/>
            </w:pPr>
            <w:r>
              <w:rPr/>
              <w:t> </w:t>
            </w:r>
          </w:p>
        </w:tc>
      </w:tr>
    </w:tbl>
    <w:p>
      <w:pPr>
        <w:pStyle w:val="TextBody"/>
        <w:bidi w:val="0"/>
        <w:spacing w:before="720" w:after="720"/>
        <w:ind w:left="720" w:right="720" w:hanging="0"/>
        <w:jc w:val="left"/>
        <w:rPr/>
      </w:pPr>
      <w:r>
        <w:rPr/>
        <w:t> </w:t>
      </w:r>
    </w:p>
    <w:p>
      <w:pPr>
        <w:pStyle w:val="TextBody"/>
        <w:bidi w:val="0"/>
        <w:spacing w:before="60" w:after="60"/>
        <w:ind w:left="720" w:right="720" w:hanging="0"/>
        <w:jc w:val="left"/>
        <w:rPr>
          <w:bdr w:val="single" w:sz="8" w:space="1" w:color="000000"/>
        </w:rPr>
      </w:pPr>
      <w:r>
        <w:rPr>
          <w:bdr w:val="single" w:sz="8" w:space="1" w:color="000000"/>
        </w:rPr>
        <w:t> </w:t>
      </w:r>
    </w:p>
    <w:tbl>
      <w:tblPr>
        <w:tblW w:w="8765" w:type="dxa"/>
        <w:jc w:val="left"/>
        <w:tblInd w:w="720" w:type="dxa"/>
        <w:tblLayout w:type="fixed"/>
        <w:tblCellMar>
          <w:top w:w="0" w:type="dxa"/>
          <w:left w:w="0" w:type="dxa"/>
          <w:bottom w:w="0" w:type="dxa"/>
          <w:right w:w="0" w:type="dxa"/>
        </w:tblCellMar>
      </w:tblPr>
      <w:tblGrid>
        <w:gridCol w:w="192"/>
        <w:gridCol w:w="8573"/>
      </w:tblGrid>
      <w:tr>
        <w:trPr/>
        <w:tc>
          <w:tcPr>
            <w:tcW w:w="1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573"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Amounts in this column reflect the aggregate grant date fair value of RSUs and stock options computed in accordance with FASB ASC Topic 718. The grant date fair value of the RSUs was determined by multiplying the number of RSUs by the closing price of a share of our common stock on the date of grant. The grant date fair value of the options was determined using the Black-Scholes option pricing model based on the fair market value on the date of grant. These amounts reflect our accounting expense for these stock awards and do not represent the actual economic value that may be realized by each NEO. There can be no assurance that these amounts will ever be realized. For information on the assumptions used in valuing these awards, see Note 8 to the financial statements included in the Company’s Original Form 10-K.</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Outstanding Equity Awards at Fiscal Year-End Table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each unexercised stock option or unvested stock award held by our NEOs as of December 31, 2025.</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1134"/>
        <w:gridCol w:w="60"/>
        <w:gridCol w:w="803"/>
        <w:gridCol w:w="60"/>
        <w:gridCol w:w="82"/>
        <w:gridCol w:w="808"/>
        <w:gridCol w:w="60"/>
        <w:gridCol w:w="60"/>
        <w:gridCol w:w="112"/>
        <w:gridCol w:w="913"/>
        <w:gridCol w:w="60"/>
        <w:gridCol w:w="60"/>
        <w:gridCol w:w="166"/>
        <w:gridCol w:w="724"/>
        <w:gridCol w:w="60"/>
        <w:gridCol w:w="60"/>
        <w:gridCol w:w="125"/>
        <w:gridCol w:w="590"/>
        <w:gridCol w:w="60"/>
        <w:gridCol w:w="60"/>
        <w:gridCol w:w="164"/>
        <w:gridCol w:w="712"/>
        <w:gridCol w:w="60"/>
        <w:gridCol w:w="60"/>
        <w:gridCol w:w="75"/>
        <w:gridCol w:w="619"/>
        <w:gridCol w:w="60"/>
        <w:gridCol w:w="60"/>
        <w:gridCol w:w="125"/>
        <w:gridCol w:w="695"/>
        <w:gridCol w:w="78"/>
      </w:tblGrid>
      <w:tr>
        <w:trPr/>
        <w:tc>
          <w:tcPr>
            <w:tcW w:w="11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876" w:type="dxa"/>
            <w:gridSpan w:val="18"/>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Option Awards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34"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Stock Awards</w:t>
            </w:r>
          </w:p>
        </w:tc>
        <w:tc>
          <w:tcPr>
            <w:tcW w:w="78" w:type="dxa"/>
            <w:tcBorders/>
            <w:shd w:fill="FFFFFF" w:val="clear"/>
            <w:vAlign w:val="center"/>
          </w:tcPr>
          <w:p>
            <w:pPr>
              <w:pStyle w:val="TableContents"/>
              <w:bidi w:val="0"/>
              <w:spacing w:before="0" w:after="283"/>
              <w:jc w:val="center"/>
              <w:rPr/>
            </w:pPr>
            <w:r>
              <w:rPr/>
              <w:t> </w:t>
            </w:r>
          </w:p>
        </w:tc>
      </w:tr>
      <w:tr>
        <w:trPr/>
        <w:tc>
          <w:tcPr>
            <w:tcW w:w="113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w:t>
            </w:r>
          </w:p>
        </w:tc>
        <w:tc>
          <w:tcPr>
            <w:tcW w:w="60" w:type="dxa"/>
            <w:tcBorders/>
            <w:shd w:fill="FFFFFF" w:val="clear"/>
            <w:vAlign w:val="center"/>
          </w:tcPr>
          <w:p>
            <w:pPr>
              <w:pStyle w:val="TableContents"/>
              <w:bidi w:val="0"/>
              <w:spacing w:before="0" w:after="283"/>
              <w:jc w:val="center"/>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Grant Date</w:t>
            </w:r>
          </w:p>
        </w:tc>
        <w:tc>
          <w:tcPr>
            <w:tcW w:w="60" w:type="dxa"/>
            <w:tcBorders/>
            <w:shd w:fill="FFFFFF" w:val="clear"/>
            <w:vAlign w:val="center"/>
          </w:tcPr>
          <w:p>
            <w:pPr>
              <w:pStyle w:val="TableContents"/>
              <w:bidi w:val="0"/>
              <w:spacing w:before="0" w:after="283"/>
              <w:jc w:val="center"/>
              <w:rPr/>
            </w:pPr>
            <w:r>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br/>
            </w:r>
            <w:r>
              <w:rPr>
                <w:rFonts w:ascii="Times New Roman;Times;Serif" w:hAnsi="Times New Roman;Times;Serif"/>
                <w:b/>
                <w:sz w:val="16"/>
              </w:rPr>
              <w:t>Securities</w:t>
            </w:r>
            <w:r>
              <w:rPr>
                <w:rFonts w:ascii="Times New Roman;Times;Serif" w:hAnsi="Times New Roman;Times;Serif"/>
                <w:sz w:val="16"/>
              </w:rPr>
              <w:br/>
            </w:r>
            <w:r>
              <w:rPr>
                <w:rFonts w:ascii="Times New Roman;Times;Serif" w:hAnsi="Times New Roman;Times;Serif"/>
                <w:b/>
                <w:sz w:val="16"/>
              </w:rPr>
              <w:t>Underlying</w:t>
            </w:r>
            <w:r>
              <w:rPr>
                <w:rFonts w:ascii="Times New Roman;Times;Serif" w:hAnsi="Times New Roman;Times;Serif"/>
                <w:sz w:val="16"/>
              </w:rPr>
              <w:br/>
            </w:r>
            <w:r>
              <w:rPr>
                <w:rFonts w:ascii="Times New Roman;Times;Serif" w:hAnsi="Times New Roman;Times;Serif"/>
                <w:b/>
                <w:sz w:val="16"/>
              </w:rPr>
              <w:t>Unexercised</w:t>
            </w:r>
            <w:r>
              <w:rPr>
                <w:rFonts w:ascii="Times New Roman;Times;Serif" w:hAnsi="Times New Roman;Times;Serif"/>
                <w:sz w:val="16"/>
              </w:rPr>
              <w:br/>
            </w:r>
            <w:r>
              <w:rPr>
                <w:rFonts w:ascii="Times New Roman;Times;Serif" w:hAnsi="Times New Roman;Times;Serif"/>
                <w:b/>
                <w:sz w:val="16"/>
              </w:rPr>
              <w:t>Options (#)</w:t>
            </w:r>
            <w:r>
              <w:rPr>
                <w:rFonts w:ascii="Times New Roman;Times;Serif" w:hAnsi="Times New Roman;Times;Serif"/>
                <w:sz w:val="16"/>
              </w:rPr>
              <w:br/>
            </w:r>
            <w:r>
              <w:rPr>
                <w:rFonts w:ascii="Times New Roman;Times;Serif" w:hAnsi="Times New Roman;Times;Serif"/>
                <w:b/>
                <w:sz w:val="16"/>
              </w:rPr>
              <w:t>Exercisable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2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br/>
            </w:r>
            <w:r>
              <w:rPr>
                <w:rFonts w:ascii="Times New Roman;Times;Serif" w:hAnsi="Times New Roman;Times;Serif"/>
                <w:b/>
                <w:sz w:val="16"/>
              </w:rPr>
              <w:t>Securities</w:t>
            </w:r>
            <w:r>
              <w:rPr>
                <w:rFonts w:ascii="Times New Roman;Times;Serif" w:hAnsi="Times New Roman;Times;Serif"/>
                <w:sz w:val="16"/>
              </w:rPr>
              <w:br/>
            </w:r>
            <w:r>
              <w:rPr>
                <w:rFonts w:ascii="Times New Roman;Times;Serif" w:hAnsi="Times New Roman;Times;Serif"/>
                <w:b/>
                <w:sz w:val="16"/>
              </w:rPr>
              <w:t>Underlying</w:t>
            </w:r>
            <w:r>
              <w:rPr>
                <w:rFonts w:ascii="Times New Roman;Times;Serif" w:hAnsi="Times New Roman;Times;Serif"/>
                <w:sz w:val="16"/>
              </w:rPr>
              <w:br/>
            </w:r>
            <w:r>
              <w:rPr>
                <w:rFonts w:ascii="Times New Roman;Times;Serif" w:hAnsi="Times New Roman;Times;Serif"/>
                <w:b/>
                <w:sz w:val="16"/>
              </w:rPr>
              <w:t>Unexercised</w:t>
            </w:r>
            <w:r>
              <w:rPr>
                <w:rFonts w:ascii="Times New Roman;Times;Serif" w:hAnsi="Times New Roman;Times;Serif"/>
                <w:sz w:val="16"/>
              </w:rPr>
              <w:br/>
            </w:r>
            <w:r>
              <w:rPr>
                <w:rFonts w:ascii="Times New Roman;Times;Serif" w:hAnsi="Times New Roman;Times;Serif"/>
                <w:b/>
                <w:sz w:val="16"/>
              </w:rPr>
              <w:t>Options (#)</w:t>
            </w:r>
            <w:r>
              <w:rPr>
                <w:rFonts w:ascii="Times New Roman;Times;Serif" w:hAnsi="Times New Roman;Times;Serif"/>
                <w:sz w:val="16"/>
              </w:rPr>
              <w:br/>
            </w:r>
            <w:r>
              <w:rPr>
                <w:rFonts w:ascii="Times New Roman;Times;Serif" w:hAnsi="Times New Roman;Times;Serif"/>
                <w:b/>
                <w:sz w:val="16"/>
              </w:rPr>
              <w:t>Unexercisable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Equity</w:t>
            </w:r>
            <w:r>
              <w:rPr>
                <w:rFonts w:ascii="Times New Roman;Times;Serif" w:hAnsi="Times New Roman;Times;Serif"/>
                <w:sz w:val="16"/>
              </w:rPr>
              <w:br/>
            </w:r>
            <w:r>
              <w:rPr>
                <w:rFonts w:ascii="Times New Roman;Times;Serif" w:hAnsi="Times New Roman;Times;Serif"/>
                <w:b/>
                <w:sz w:val="16"/>
              </w:rPr>
              <w:t>Incentive</w:t>
            </w:r>
            <w:r>
              <w:rPr>
                <w:rFonts w:ascii="Times New Roman;Times;Serif" w:hAnsi="Times New Roman;Times;Serif"/>
                <w:sz w:val="16"/>
              </w:rPr>
              <w:br/>
            </w:r>
            <w:r>
              <w:rPr>
                <w:rFonts w:ascii="Times New Roman;Times;Serif" w:hAnsi="Times New Roman;Times;Serif"/>
                <w:b/>
                <w:sz w:val="16"/>
              </w:rPr>
              <w:t>Plan</w:t>
            </w:r>
            <w:r>
              <w:rPr>
                <w:rFonts w:ascii="Times New Roman;Times;Serif" w:hAnsi="Times New Roman;Times;Serif"/>
                <w:sz w:val="16"/>
              </w:rPr>
              <w:br/>
            </w:r>
            <w:r>
              <w:rPr>
                <w:rFonts w:ascii="Times New Roman;Times;Serif" w:hAnsi="Times New Roman;Times;Serif"/>
                <w:b/>
                <w:sz w:val="16"/>
              </w:rPr>
              <w:t>Awards:</w:t>
            </w:r>
            <w:r>
              <w:rPr>
                <w:rFonts w:ascii="Times New Roman;Times;Serif" w:hAnsi="Times New Roman;Times;Serif"/>
                <w:sz w:val="16"/>
              </w:rPr>
              <w:br/>
            </w:r>
            <w:r>
              <w:rPr>
                <w:rFonts w:ascii="Times New Roman;Times;Serif" w:hAnsi="Times New Roman;Times;Serif"/>
                <w:b/>
                <w:sz w:val="16"/>
              </w:rPr>
              <w:t>Number of</w:t>
            </w:r>
            <w:r>
              <w:rPr>
                <w:rFonts w:ascii="Times New Roman;Times;Serif" w:hAnsi="Times New Roman;Times;Serif"/>
                <w:sz w:val="16"/>
              </w:rPr>
              <w:br/>
            </w:r>
            <w:r>
              <w:rPr>
                <w:rFonts w:ascii="Times New Roman;Times;Serif" w:hAnsi="Times New Roman;Times;Serif"/>
                <w:b/>
                <w:sz w:val="16"/>
              </w:rPr>
              <w:t>Securities</w:t>
            </w:r>
            <w:r>
              <w:rPr>
                <w:rFonts w:ascii="Times New Roman;Times;Serif" w:hAnsi="Times New Roman;Times;Serif"/>
                <w:sz w:val="16"/>
              </w:rPr>
              <w:br/>
            </w:r>
            <w:r>
              <w:rPr>
                <w:rFonts w:ascii="Times New Roman;Times;Serif" w:hAnsi="Times New Roman;Times;Serif"/>
                <w:b/>
                <w:sz w:val="16"/>
              </w:rPr>
              <w:t>Underlying</w:t>
            </w:r>
            <w:r>
              <w:rPr>
                <w:rFonts w:ascii="Times New Roman;Times;Serif" w:hAnsi="Times New Roman;Times;Serif"/>
                <w:sz w:val="16"/>
              </w:rPr>
              <w:br/>
            </w:r>
            <w:r>
              <w:rPr>
                <w:rFonts w:ascii="Times New Roman;Times;Serif" w:hAnsi="Times New Roman;Times;Serif"/>
                <w:b/>
                <w:sz w:val="16"/>
              </w:rPr>
              <w:t>Unexercised</w:t>
            </w:r>
            <w:r>
              <w:rPr>
                <w:rFonts w:ascii="Times New Roman;Times;Serif" w:hAnsi="Times New Roman;Times;Serif"/>
                <w:sz w:val="16"/>
              </w:rPr>
              <w:br/>
            </w:r>
            <w:r>
              <w:rPr>
                <w:rFonts w:ascii="Times New Roman;Times;Serif" w:hAnsi="Times New Roman;Times;Serif"/>
                <w:b/>
                <w:sz w:val="16"/>
              </w:rPr>
              <w:t>Unearned</w:t>
            </w:r>
            <w:r>
              <w:rPr>
                <w:rFonts w:ascii="Times New Roman;Times;Serif" w:hAnsi="Times New Roman;Times;Serif"/>
                <w:sz w:val="16"/>
              </w:rPr>
              <w:br/>
            </w:r>
            <w:r>
              <w:rPr>
                <w:rFonts w:ascii="Times New Roman;Times;Serif" w:hAnsi="Times New Roman;Times;Serif"/>
                <w:b/>
                <w:sz w:val="16"/>
              </w:rPr>
              <w:t>Options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Option</w:t>
            </w:r>
            <w:r>
              <w:rPr>
                <w:rFonts w:ascii="Times New Roman;Times;Serif" w:hAnsi="Times New Roman;Times;Serif"/>
                <w:sz w:val="16"/>
              </w:rPr>
              <w:br/>
            </w:r>
            <w:r>
              <w:rPr>
                <w:rFonts w:ascii="Times New Roman;Times;Serif" w:hAnsi="Times New Roman;Times;Serif"/>
                <w:b/>
                <w:sz w:val="16"/>
              </w:rPr>
              <w:t>Exercise</w:t>
            </w:r>
            <w:r>
              <w:rPr>
                <w:rFonts w:ascii="Times New Roman;Times;Serif" w:hAnsi="Times New Roman;Times;Serif"/>
                <w:sz w:val="16"/>
              </w:rPr>
              <w:br/>
            </w:r>
            <w:r>
              <w:rPr>
                <w:rFonts w:ascii="Times New Roman;Times;Serif" w:hAnsi="Times New Roman;Times;Serif"/>
                <w:b/>
                <w:sz w:val="16"/>
              </w:rPr>
              <w:t>Price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7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Option</w:t>
            </w:r>
            <w:r>
              <w:rPr>
                <w:rFonts w:ascii="Times New Roman;Times;Serif" w:hAnsi="Times New Roman;Times;Serif"/>
                <w:sz w:val="16"/>
              </w:rPr>
              <w:br/>
            </w:r>
            <w:r>
              <w:rPr>
                <w:rFonts w:ascii="Times New Roman;Times;Serif" w:hAnsi="Times New Roman;Times;Serif"/>
                <w:b/>
                <w:sz w:val="16"/>
              </w:rPr>
              <w:t>Expiration</w:t>
            </w:r>
            <w:r>
              <w:rPr>
                <w:rFonts w:ascii="Times New Roman;Times;Serif" w:hAnsi="Times New Roman;Times;Serif"/>
                <w:sz w:val="16"/>
              </w:rPr>
              <w:br/>
            </w:r>
            <w:r>
              <w:rPr>
                <w:rFonts w:ascii="Times New Roman;Times;Serif" w:hAnsi="Times New Roman;Times;Serif"/>
                <w:b/>
                <w:sz w:val="16"/>
              </w:rPr>
              <w:t>Date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9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br/>
            </w:r>
            <w:r>
              <w:rPr>
                <w:rFonts w:ascii="Times New Roman;Times;Serif" w:hAnsi="Times New Roman;Times;Serif"/>
                <w:b/>
                <w:sz w:val="16"/>
              </w:rPr>
              <w:t>Shares or</w:t>
            </w:r>
            <w:r>
              <w:rPr>
                <w:rFonts w:ascii="Times New Roman;Times;Serif" w:hAnsi="Times New Roman;Times;Serif"/>
                <w:sz w:val="16"/>
              </w:rPr>
              <w:br/>
            </w:r>
            <w:r>
              <w:rPr>
                <w:rFonts w:ascii="Times New Roman;Times;Serif" w:hAnsi="Times New Roman;Times;Serif"/>
                <w:b/>
                <w:sz w:val="16"/>
              </w:rPr>
              <w:t>Units of</w:t>
            </w:r>
            <w:r>
              <w:rPr>
                <w:rFonts w:ascii="Times New Roman;Times;Serif" w:hAnsi="Times New Roman;Times;Serif"/>
                <w:sz w:val="16"/>
              </w:rPr>
              <w:br/>
            </w:r>
            <w:r>
              <w:rPr>
                <w:rFonts w:ascii="Times New Roman;Times;Serif" w:hAnsi="Times New Roman;Times;Serif"/>
                <w:b/>
                <w:sz w:val="16"/>
              </w:rPr>
              <w:t>Stock That</w:t>
            </w:r>
            <w:r>
              <w:rPr>
                <w:rFonts w:ascii="Times New Roman;Times;Serif" w:hAnsi="Times New Roman;Times;Serif"/>
                <w:sz w:val="16"/>
              </w:rPr>
              <w:br/>
            </w:r>
            <w:r>
              <w:rPr>
                <w:rFonts w:ascii="Times New Roman;Times;Serif" w:hAnsi="Times New Roman;Times;Serif"/>
                <w:b/>
                <w:sz w:val="16"/>
              </w:rPr>
              <w:t>Have Not</w:t>
            </w:r>
            <w:r>
              <w:rPr>
                <w:rFonts w:ascii="Times New Roman;Times;Serif" w:hAnsi="Times New Roman;Times;Serif"/>
                <w:sz w:val="16"/>
              </w:rPr>
              <w:br/>
            </w:r>
            <w:r>
              <w:rPr>
                <w:rFonts w:ascii="Times New Roman;Times;Serif" w:hAnsi="Times New Roman;Times;Serif"/>
                <w:b/>
                <w:sz w:val="16"/>
              </w:rPr>
              <w:t>Vested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Market</w:t>
            </w:r>
            <w:r>
              <w:rPr>
                <w:rFonts w:ascii="Times New Roman;Times;Serif" w:hAnsi="Times New Roman;Times;Serif"/>
                <w:sz w:val="16"/>
              </w:rPr>
              <w:br/>
            </w:r>
            <w:r>
              <w:rPr>
                <w:rFonts w:ascii="Times New Roman;Times;Serif" w:hAnsi="Times New Roman;Times;Serif"/>
                <w:b/>
                <w:sz w:val="16"/>
              </w:rPr>
              <w:t>Value of</w:t>
            </w:r>
            <w:r>
              <w:rPr>
                <w:rFonts w:ascii="Times New Roman;Times;Serif" w:hAnsi="Times New Roman;Times;Serif"/>
                <w:sz w:val="16"/>
              </w:rPr>
              <w:br/>
            </w:r>
            <w:r>
              <w:rPr>
                <w:rFonts w:ascii="Times New Roman;Times;Serif" w:hAnsi="Times New Roman;Times;Serif"/>
                <w:b/>
                <w:sz w:val="16"/>
              </w:rPr>
              <w:t>Shares or</w:t>
            </w:r>
            <w:r>
              <w:rPr>
                <w:rFonts w:ascii="Times New Roman;Times;Serif" w:hAnsi="Times New Roman;Times;Serif"/>
                <w:sz w:val="16"/>
              </w:rPr>
              <w:br/>
            </w:r>
            <w:r>
              <w:rPr>
                <w:rFonts w:ascii="Times New Roman;Times;Serif" w:hAnsi="Times New Roman;Times;Serif"/>
                <w:b/>
                <w:sz w:val="16"/>
              </w:rPr>
              <w:t>Units of</w:t>
            </w:r>
            <w:r>
              <w:rPr>
                <w:rFonts w:ascii="Times New Roman;Times;Serif" w:hAnsi="Times New Roman;Times;Serif"/>
                <w:sz w:val="16"/>
              </w:rPr>
              <w:br/>
            </w:r>
            <w:r>
              <w:rPr>
                <w:rFonts w:ascii="Times New Roman;Times;Serif" w:hAnsi="Times New Roman;Times;Serif"/>
                <w:b/>
                <w:sz w:val="16"/>
              </w:rPr>
              <w:t>Stock That</w:t>
            </w:r>
            <w:r>
              <w:rPr>
                <w:rFonts w:ascii="Times New Roman;Times;Serif" w:hAnsi="Times New Roman;Times;Serif"/>
                <w:sz w:val="16"/>
              </w:rPr>
              <w:br/>
            </w:r>
            <w:r>
              <w:rPr>
                <w:rFonts w:ascii="Times New Roman;Times;Serif" w:hAnsi="Times New Roman;Times;Serif"/>
                <w:b/>
                <w:sz w:val="16"/>
              </w:rPr>
              <w:t>Have Not</w:t>
            </w:r>
            <w:r>
              <w:rPr>
                <w:rFonts w:ascii="Times New Roman;Times;Serif" w:hAnsi="Times New Roman;Times;Serif"/>
                <w:sz w:val="16"/>
              </w:rPr>
              <w:br/>
            </w:r>
            <w:r>
              <w:rPr>
                <w:rFonts w:ascii="Times New Roman;Times;Serif" w:hAnsi="Times New Roman;Times;Serif"/>
                <w:b/>
                <w:sz w:val="16"/>
              </w:rPr>
              <w:t>Vested(1)</w:t>
            </w:r>
          </w:p>
        </w:tc>
        <w:tc>
          <w:tcPr>
            <w:tcW w:w="78" w:type="dxa"/>
            <w:tcBorders/>
            <w:shd w:fill="FFFFFF" w:val="clear"/>
            <w:vAlign w:val="center"/>
          </w:tcPr>
          <w:p>
            <w:pPr>
              <w:pStyle w:val="TableContents"/>
              <w:bidi w:val="0"/>
              <w:spacing w:before="0" w:after="283"/>
              <w:jc w:val="center"/>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1025"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15"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694"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78" w:type="dxa"/>
            <w:tcBorders/>
            <w:shd w:fill="CFF0FC" w:val="clear"/>
            <w:vAlign w:val="center"/>
          </w:tcPr>
          <w:p>
            <w:pPr>
              <w:pStyle w:val="TableContents"/>
              <w:bidi w:val="0"/>
              <w:spacing w:before="0" w:after="283"/>
              <w:jc w:val="right"/>
              <w:rPr/>
            </w:pPr>
            <w:r>
              <w:rPr/>
              <w:t> </w:t>
            </w:r>
          </w:p>
        </w:tc>
      </w:tr>
      <w:tr>
        <w:trPr/>
        <w:tc>
          <w:tcPr>
            <w:tcW w:w="1134"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Jay M. Short, Ph.D.</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12/15/2020(2)</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619</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12/14/2030</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2/22/2022(3)</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6,459</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333.00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2/21/2032</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2/10/2023(3)</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12,042</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4,958</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182.50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2/9/2033</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2/16/2024(4)</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4,691</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133,154</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3/12/2025(4)</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244,679</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15"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A. Waldron</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12/15/2020(2)</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12/14/2030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2/21/2022(3)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2/20/2032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2/9/2023(3)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2/8/2033</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2/15/2024(4)</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33,835</w:t>
            </w:r>
          </w:p>
        </w:tc>
        <w:tc>
          <w:tcPr>
            <w:tcW w:w="78"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3/11/2025(4)</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56,770</w:t>
            </w:r>
          </w:p>
        </w:tc>
        <w:tc>
          <w:tcPr>
            <w:tcW w:w="78"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1025"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90"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15"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694" w:type="dxa"/>
            <w:gridSpan w:val="2"/>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820" w:type="dxa"/>
            <w:gridSpan w:val="2"/>
            <w:tcBorders/>
            <w:shd w:fill="CFF0FC" w:val="clear"/>
            <w:vAlign w:val="center"/>
          </w:tcPr>
          <w:p>
            <w:pPr>
              <w:pStyle w:val="TableContents"/>
              <w:bidi w:val="0"/>
              <w:spacing w:before="0" w:after="283"/>
              <w:jc w:val="right"/>
              <w:rPr/>
            </w:pPr>
            <w:r>
              <w:rPr/>
              <w:t> </w:t>
            </w:r>
          </w:p>
        </w:tc>
        <w:tc>
          <w:tcPr>
            <w:tcW w:w="78" w:type="dxa"/>
            <w:tcBorders/>
            <w:shd w:fill="CFF0FC" w:val="clear"/>
            <w:vAlign w:val="center"/>
          </w:tcPr>
          <w:p>
            <w:pPr>
              <w:pStyle w:val="TableContents"/>
              <w:bidi w:val="0"/>
              <w:spacing w:before="0" w:after="283"/>
              <w:jc w:val="right"/>
              <w:rPr/>
            </w:pPr>
            <w:r>
              <w:rPr/>
              <w:t> </w:t>
            </w:r>
          </w:p>
        </w:tc>
      </w:tr>
      <w:tr>
        <w:trPr/>
        <w:tc>
          <w:tcPr>
            <w:tcW w:w="1134"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Sievers, M.D.</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12/15/2020(2)</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12/14/2030</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2/21/2022(3)</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2,338</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337.50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2/20/2032</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2/9/2023(3)</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197.50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76" w:type="dxa"/>
            <w:gridSpan w:val="2"/>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2/8/2033</w:t>
            </w:r>
          </w:p>
        </w:tc>
        <w:tc>
          <w:tcPr>
            <w:tcW w:w="6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pPr>
            <w:r>
              <w:rPr/>
              <w:t>—</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2/15/2024(4)</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1,372</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38,944</w:t>
            </w:r>
          </w:p>
        </w:tc>
        <w:tc>
          <w:tcPr>
            <w:tcW w:w="78" w:type="dxa"/>
            <w:tcBorders/>
            <w:shd w:fill="CFF0FC"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3/11/2025(4)</w:t>
            </w:r>
          </w:p>
        </w:tc>
        <w:tc>
          <w:tcPr>
            <w:tcW w:w="60" w:type="dxa"/>
            <w:tcBorders/>
            <w:shd w:fill="CFF0FC" w:val="clear"/>
            <w:vAlign w:val="center"/>
          </w:tcPr>
          <w:p>
            <w:pPr>
              <w:pStyle w:val="TableContents"/>
              <w:bidi w:val="0"/>
              <w:spacing w:before="0" w:after="283"/>
              <w:jc w:val="left"/>
              <w:rPr/>
            </w:pPr>
            <w:r>
              <w:rPr/>
              <w:t> </w:t>
            </w:r>
          </w:p>
        </w:tc>
        <w:tc>
          <w:tcPr>
            <w:tcW w:w="82"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12"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pPr>
            <w:r>
              <w:rPr/>
              <w:t>—</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75"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6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99,348</w:t>
            </w:r>
          </w:p>
        </w:tc>
        <w:tc>
          <w:tcPr>
            <w:tcW w:w="78" w:type="dxa"/>
            <w:tcBorders/>
            <w:shd w:fill="CFF0FC" w:val="clear"/>
            <w:vAlign w:val="center"/>
          </w:tcPr>
          <w:p>
            <w:pPr>
              <w:pStyle w:val="TableContents"/>
              <w:bidi w:val="0"/>
              <w:spacing w:before="0" w:after="283"/>
              <w:jc w:val="left"/>
              <w:rPr/>
            </w:pPr>
            <w:r>
              <w:rPr/>
              <w:t> </w:t>
            </w:r>
          </w:p>
        </w:tc>
      </w:tr>
    </w:tbl>
    <w:p>
      <w:pPr>
        <w:pStyle w:val="TextBody"/>
        <w:bidi w:val="0"/>
        <w:spacing w:before="720" w:after="720"/>
        <w:ind w:left="720" w:right="720" w:hanging="0"/>
        <w:jc w:val="left"/>
        <w:rPr/>
      </w:pPr>
      <w:r>
        <w:rPr/>
        <w:t> </w:t>
      </w:r>
    </w:p>
    <w:p>
      <w:pPr>
        <w:pStyle w:val="TextBody"/>
        <w:bidi w:val="0"/>
        <w:spacing w:before="60" w:after="60"/>
        <w:ind w:left="720" w:right="720" w:hanging="0"/>
        <w:jc w:val="left"/>
        <w:rPr>
          <w:bdr w:val="single" w:sz="8" w:space="1" w:color="000000"/>
        </w:rPr>
      </w:pPr>
      <w:r>
        <w:rPr>
          <w:bdr w:val="single" w:sz="8" w:space="1" w:color="000000"/>
        </w:rPr>
        <w:t> </w:t>
      </w:r>
    </w:p>
    <w:tbl>
      <w:tblPr>
        <w:tblW w:w="8765" w:type="dxa"/>
        <w:jc w:val="left"/>
        <w:tblInd w:w="720" w:type="dxa"/>
        <w:tblLayout w:type="fixed"/>
        <w:tblCellMar>
          <w:top w:w="0" w:type="dxa"/>
          <w:left w:w="0" w:type="dxa"/>
          <w:bottom w:w="0" w:type="dxa"/>
          <w:right w:w="0" w:type="dxa"/>
        </w:tblCellMar>
      </w:tblPr>
      <w:tblGrid>
        <w:gridCol w:w="211"/>
        <w:gridCol w:w="8554"/>
      </w:tblGrid>
      <w:tr>
        <w:trPr/>
        <w:tc>
          <w:tcPr>
            <w:tcW w:w="2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554"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The market values of the RSUs that have not vested are calculated by multiplying the number of shares underlying the RSUs shown in the table by $28.3850, the closing market price of a share of our common stock on December 31, 2025, the last trading day of 2025.</w:t>
            </w:r>
          </w:p>
        </w:tc>
      </w:tr>
    </w:tbl>
    <w:tbl>
      <w:tblPr>
        <w:tblW w:w="4045" w:type="dxa"/>
        <w:jc w:val="left"/>
        <w:tblInd w:w="72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800"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The option was fully vested as of December 15, 2024.</w:t>
            </w:r>
          </w:p>
        </w:tc>
      </w:tr>
    </w:tbl>
    <w:tbl>
      <w:tblPr>
        <w:tblW w:w="8765" w:type="dxa"/>
        <w:jc w:val="left"/>
        <w:tblInd w:w="720" w:type="dxa"/>
        <w:tblLayout w:type="fixed"/>
        <w:tblCellMar>
          <w:top w:w="0" w:type="dxa"/>
          <w:left w:w="0" w:type="dxa"/>
          <w:bottom w:w="0" w:type="dxa"/>
          <w:right w:w="0" w:type="dxa"/>
        </w:tblCellMar>
      </w:tblPr>
      <w:tblGrid>
        <w:gridCol w:w="208"/>
        <w:gridCol w:w="8557"/>
      </w:tblGrid>
      <w:tr>
        <w:trPr/>
        <w:tc>
          <w:tcPr>
            <w:tcW w:w="2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557"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The option vests over a period of four years, with 25% of the shares underlying the option vested on the one-year anniversary of the grant date, and the remainder vesting in 36 substantially equal monthly installments thereafter, subject to continued service through each applicable vesting date.</w:t>
            </w:r>
          </w:p>
        </w:tc>
      </w:tr>
    </w:tbl>
    <w:tbl>
      <w:tblPr>
        <w:tblW w:w="8765" w:type="dxa"/>
        <w:jc w:val="left"/>
        <w:tblInd w:w="720" w:type="dxa"/>
        <w:tblLayout w:type="fixed"/>
        <w:tblCellMar>
          <w:top w:w="0" w:type="dxa"/>
          <w:left w:w="0" w:type="dxa"/>
          <w:bottom w:w="0" w:type="dxa"/>
          <w:right w:w="0" w:type="dxa"/>
        </w:tblCellMar>
      </w:tblPr>
      <w:tblGrid>
        <w:gridCol w:w="203"/>
        <w:gridCol w:w="8562"/>
      </w:tblGrid>
      <w:tr>
        <w:trPr/>
        <w:tc>
          <w:tcPr>
            <w:tcW w:w="20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8562"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25% of the total number of shares subject to the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in Control</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NEOs are employed at-will and may be terminated at any time, with or without formal cause. We have entered into arrangements with each of our current NEOs which provide for certain severance benefits upon a termination or change in control, subject to the executive’s execution of a release agreement acceptable to us, as described below.</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Individual Severance Arrangements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Short.</w:t>
      </w:r>
      <w:r>
        <w:rPr>
          <w:rFonts w:ascii="Times New Roman;Times;Serif" w:hAnsi="Times New Roman;Times;Serif"/>
          <w:b w:val="false"/>
          <w:i w:val="false"/>
          <w:caps w:val="false"/>
          <w:smallCaps w:val="false"/>
          <w:sz w:val="20"/>
        </w:rPr>
        <w:t xml:space="preserve"> In July 2018, we entered into a change in control severance agreement with Dr. Short which provides that, in the event his employment terminates for any reason at any time following a Change in Control (as defined in the severance agreement) then, subject to his execution of a release of claims in our favor, he will receive (i) a severance payment equal to 24 months of his then-current base salary; (ii) a pro-rated bonus payment equal to his target bonus for the year in which the termination occurred; (iii) if Dr. Short’s termination occurs prior to the date bonuses are paid for the immediately preceding year, an amount equal to his full target bonus; and (iv) accelerated vesting of any unvested time-based equity awards then held by him. The severance and bonus payments to Dr. Short are payable as a lump sum within 20 days of the effective date of his release or such later date as required under Section 409A of the Code. In 2020, an event constituting a Change in Control (as defined in the severance agreement) occurred and, accordingly, Dr. Short will be entitled to the severance benefits described above upon his termination of employment with the Company.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Waldron. </w:t>
      </w:r>
      <w:r>
        <w:rPr>
          <w:rFonts w:ascii="Times New Roman;Times;Serif" w:hAnsi="Times New Roman;Times;Serif"/>
          <w:b w:val="false"/>
          <w:i w:val="false"/>
          <w:caps w:val="false"/>
          <w:smallCaps w:val="false"/>
          <w:sz w:val="20"/>
        </w:rPr>
        <w:t>In July 2018, we entered into a change in control severance agreement with Mr. Waldron which provides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will receive (i) a severance payment equal to 12 months of his then-current base salary; (ii)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Waldron. The severance and bonus payments to Mr. Waldron are payable as a lump sum within 20 days of the effective date of his release. Mr. Waldron’s employment with the Company terminated in March 2026. Because his termination did not occur within the Change in Control protection period described above, Mr. Waldron is not entitled to any benefits under his change in control severance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Dr. Sievers. </w:t>
      </w:r>
      <w:r>
        <w:rPr>
          <w:rFonts w:ascii="Times New Roman;Times;Serif" w:hAnsi="Times New Roman;Times;Serif"/>
          <w:b w:val="false"/>
          <w:i w:val="false"/>
          <w:caps w:val="false"/>
          <w:smallCaps w:val="false"/>
          <w:sz w:val="20"/>
        </w:rPr>
        <w:t>In July 2019, we entered into an offer letter agreement with Dr. Sievers which provides that, in the event his employment is terminated by the Company without Cause (as defined in the offer letter), then subject to his execution of a release of claims in our favor, the Company will provide him with severance in a total amount equal to six months of his then-current base salary, payable in the form of salary continuation, and continued health insurance under the Consolidated Omnibus Budget Reconciliation Act (COBRA) for him and his eligible dependents during such period. Dr. Sievers resigned from the Company in September 2026 and, as a result, is not entitled to any severance benefits under his offer letter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Change of Control Severance Plan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Sievers</w:t>
      </w:r>
      <w:r>
        <w:rPr>
          <w:rFonts w:ascii="Times New Roman;Times;Serif" w:hAnsi="Times New Roman;Times;Serif"/>
          <w:b w:val="false"/>
          <w:i w:val="false"/>
          <w:caps w:val="false"/>
          <w:smallCaps w:val="false"/>
          <w:sz w:val="20"/>
        </w:rPr>
        <w:t>. On September 15, 2022, the Compensation Committee adopted the BioAtla, Inc. Management Change of Control Severance Plan (the “Severance Plan”). Dr. Sievers is eligible to participate in the Severance Plan. Dr. Sievers is eligible to receive the following payments and benefits in the event of a termination by the Company without Cause or a Resignation by the executive with Good Reason, in each case, during the 12-month period following a Change of Control (as such terms are defined in the Severance Plan): (i) a lump sum payment equal to 1.0 times his base salary; (ii) a prorated portion of his target bonus amount for the year of termination; and (iii) full vesting of his outstanding equity awards (assuming target achievement of any applicable performance-based vesting criteria to the extent the performance period has not yet been completed). Receipt of benefits under the Severance Plan is conditioned upon his execution of a general release of claims and compliance with certain restrictive covenants running in favor of the Company. The severance provisions of the Severance Plan will apply only with respect to a qualifying termination during the 12 months following a Change of Control, while the severance provisions of Dr. Sievers’ offer letter (described above) will apply only with respect to a qualifying termination outside of such period.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Compensation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compensation awarded to, earned by and paid to each person who served as a non-employee member of our Board of Directors during the fiscal year ended December 31, 2025.</w:t>
      </w:r>
    </w:p>
    <w:p>
      <w:pPr>
        <w:pStyle w:val="TextBody"/>
        <w:bidi w:val="0"/>
        <w:spacing w:before="0" w:after="0"/>
        <w:ind w:left="720" w:right="720" w:hanging="0"/>
        <w:jc w:val="left"/>
        <w:rPr>
          <w:caps w:val="false"/>
          <w:smallCaps w:val="false"/>
        </w:rPr>
      </w:pPr>
      <w:r>
        <w:rPr>
          <w:caps w:val="false"/>
          <w:smallCaps w:val="false"/>
        </w:rPr>
        <w:t> </w:t>
      </w:r>
    </w:p>
    <w:tbl>
      <w:tblPr>
        <w:tblW w:w="7397" w:type="dxa"/>
        <w:jc w:val="left"/>
        <w:tblInd w:w="720" w:type="dxa"/>
        <w:tblLayout w:type="fixed"/>
        <w:tblCellMar>
          <w:top w:w="0" w:type="dxa"/>
          <w:left w:w="0" w:type="dxa"/>
          <w:bottom w:w="28" w:type="dxa"/>
          <w:right w:w="0" w:type="dxa"/>
        </w:tblCellMar>
      </w:tblPr>
      <w:tblGrid>
        <w:gridCol w:w="2120"/>
        <w:gridCol w:w="60"/>
        <w:gridCol w:w="234"/>
        <w:gridCol w:w="2305"/>
        <w:gridCol w:w="60"/>
        <w:gridCol w:w="60"/>
        <w:gridCol w:w="186"/>
        <w:gridCol w:w="1513"/>
        <w:gridCol w:w="60"/>
        <w:gridCol w:w="60"/>
        <w:gridCol w:w="61"/>
        <w:gridCol w:w="603"/>
        <w:gridCol w:w="75"/>
      </w:tblGrid>
      <w:tr>
        <w:trPr/>
        <w:tc>
          <w:tcPr>
            <w:tcW w:w="21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Fees Earned or Paid in Cash ($)(2)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Stock Awards ($)(3)(4)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212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Steinman, M.D.</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4" w:type="dxa"/>
            <w:tcBorders/>
            <w:shd w:fill="CFF0FC" w:val="clear"/>
            <w:tcMar>
              <w:bottom w:w="0" w:type="dxa"/>
            </w:tcMar>
            <w:vAlign w:val="center"/>
          </w:tcPr>
          <w:p>
            <w:pPr>
              <w:pStyle w:val="TableContents"/>
              <w:bidi w:val="0"/>
              <w:spacing w:before="0" w:after="283"/>
              <w:jc w:val="left"/>
              <w:rPr/>
            </w:pPr>
            <w:r>
              <w:rPr/>
              <w:t> </w:t>
            </w:r>
          </w:p>
        </w:tc>
        <w:tc>
          <w:tcPr>
            <w:tcW w:w="230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78,000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6" w:type="dxa"/>
            <w:tcBorders/>
            <w:shd w:fill="CFF0FC" w:val="clear"/>
            <w:tcMar>
              <w:bottom w:w="0" w:type="dxa"/>
            </w:tcMar>
            <w:vAlign w:val="center"/>
          </w:tcPr>
          <w:p>
            <w:pPr>
              <w:pStyle w:val="TableContents"/>
              <w:bidi w:val="0"/>
              <w:spacing w:before="0" w:after="283"/>
              <w:jc w:val="left"/>
              <w:rPr/>
            </w:pPr>
            <w:r>
              <w:rPr/>
              <w:t> </w:t>
            </w:r>
          </w:p>
        </w:tc>
        <w:tc>
          <w:tcPr>
            <w:tcW w:w="151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1" w:type="dxa"/>
            <w:tcBorders/>
            <w:shd w:fill="CFF0FC" w:val="clear"/>
            <w:tcMar>
              <w:bottom w:w="0" w:type="dxa"/>
            </w:tcMar>
            <w:vAlign w:val="center"/>
          </w:tcPr>
          <w:p>
            <w:pPr>
              <w:pStyle w:val="TableContents"/>
              <w:bidi w:val="0"/>
              <w:spacing w:before="0" w:after="283"/>
              <w:jc w:val="left"/>
              <w:rPr/>
            </w:pPr>
            <w:r>
              <w:rPr/>
              <w:t> </w:t>
            </w:r>
          </w:p>
        </w:tc>
        <w:tc>
          <w:tcPr>
            <w:tcW w:w="60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87,365</w:t>
            </w:r>
          </w:p>
        </w:tc>
        <w:tc>
          <w:tcPr>
            <w:tcW w:w="75" w:type="dxa"/>
            <w:tcBorders/>
            <w:shd w:fill="CFF0FC"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Moran,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23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Ann Gray,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4" w:type="dxa"/>
            <w:tcBorders/>
            <w:shd w:fill="CFF0FC" w:val="clear"/>
            <w:tcMar>
              <w:bottom w:w="0" w:type="dxa"/>
            </w:tcMar>
            <w:vAlign w:val="center"/>
          </w:tcPr>
          <w:p>
            <w:pPr>
              <w:pStyle w:val="TableContents"/>
              <w:bidi w:val="0"/>
              <w:spacing w:before="0" w:after="283"/>
              <w:jc w:val="left"/>
              <w:rPr/>
            </w:pPr>
            <w:r>
              <w:rPr/>
              <w:t> </w:t>
            </w:r>
          </w:p>
        </w:tc>
        <w:tc>
          <w:tcPr>
            <w:tcW w:w="230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59,000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6" w:type="dxa"/>
            <w:tcBorders/>
            <w:shd w:fill="CFF0FC" w:val="clear"/>
            <w:tcMar>
              <w:bottom w:w="0" w:type="dxa"/>
            </w:tcMar>
            <w:vAlign w:val="center"/>
          </w:tcPr>
          <w:p>
            <w:pPr>
              <w:pStyle w:val="TableContents"/>
              <w:bidi w:val="0"/>
              <w:spacing w:before="0" w:after="283"/>
              <w:jc w:val="left"/>
              <w:rPr/>
            </w:pPr>
            <w:r>
              <w:rPr/>
              <w:t> </w:t>
            </w:r>
          </w:p>
        </w:tc>
        <w:tc>
          <w:tcPr>
            <w:tcW w:w="151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1" w:type="dxa"/>
            <w:tcBorders/>
            <w:shd w:fill="CFF0FC" w:val="clear"/>
            <w:tcMar>
              <w:bottom w:w="0" w:type="dxa"/>
            </w:tcMar>
            <w:vAlign w:val="center"/>
          </w:tcPr>
          <w:p>
            <w:pPr>
              <w:pStyle w:val="TableContents"/>
              <w:bidi w:val="0"/>
              <w:spacing w:before="0" w:after="283"/>
              <w:jc w:val="left"/>
              <w:rPr/>
            </w:pPr>
            <w:r>
              <w:rPr/>
              <w:t> </w:t>
            </w:r>
          </w:p>
        </w:tc>
        <w:tc>
          <w:tcPr>
            <w:tcW w:w="60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68,365</w:t>
            </w:r>
          </w:p>
        </w:tc>
        <w:tc>
          <w:tcPr>
            <w:tcW w:w="75" w:type="dxa"/>
            <w:tcBorders/>
            <w:shd w:fill="CFF0FC"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Sylvia McBrinn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23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Smith(5)</w:t>
            </w:r>
          </w:p>
        </w:tc>
        <w:tc>
          <w:tcPr>
            <w:tcW w:w="60" w:type="dxa"/>
            <w:tcBorders/>
            <w:shd w:fill="CFF0FC" w:val="clear"/>
            <w:tcMar>
              <w:bottom w:w="0" w:type="dxa"/>
            </w:tcMar>
            <w:vAlign w:val="center"/>
          </w:tcPr>
          <w:p>
            <w:pPr>
              <w:pStyle w:val="TableContents"/>
              <w:bidi w:val="0"/>
              <w:spacing w:before="0" w:after="283"/>
              <w:jc w:val="left"/>
              <w:rPr/>
            </w:pPr>
            <w:r>
              <w:rPr/>
              <w:t> </w:t>
            </w:r>
          </w:p>
        </w:tc>
        <w:tc>
          <w:tcPr>
            <w:tcW w:w="234" w:type="dxa"/>
            <w:tcBorders/>
            <w:shd w:fill="CFF0FC" w:val="clear"/>
            <w:tcMar>
              <w:bottom w:w="0" w:type="dxa"/>
            </w:tcMar>
            <w:vAlign w:val="center"/>
          </w:tcPr>
          <w:p>
            <w:pPr>
              <w:pStyle w:val="TableContents"/>
              <w:bidi w:val="0"/>
              <w:spacing w:before="0" w:after="283"/>
              <w:jc w:val="left"/>
              <w:rPr/>
            </w:pPr>
            <w:r>
              <w:rPr/>
              <w:t> </w:t>
            </w:r>
          </w:p>
        </w:tc>
        <w:tc>
          <w:tcPr>
            <w:tcW w:w="2305"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6" w:type="dxa"/>
            <w:tcBorders/>
            <w:shd w:fill="CFF0FC" w:val="clear"/>
            <w:tcMar>
              <w:bottom w:w="0" w:type="dxa"/>
            </w:tcMar>
            <w:vAlign w:val="center"/>
          </w:tcPr>
          <w:p>
            <w:pPr>
              <w:pStyle w:val="TableContents"/>
              <w:bidi w:val="0"/>
              <w:spacing w:before="0" w:after="283"/>
              <w:jc w:val="left"/>
              <w:rPr/>
            </w:pPr>
            <w:r>
              <w:rPr/>
              <w:t> </w:t>
            </w:r>
          </w:p>
        </w:tc>
        <w:tc>
          <w:tcPr>
            <w:tcW w:w="151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61" w:type="dxa"/>
            <w:tcBorders/>
            <w:shd w:fill="CFF0FC" w:val="clear"/>
            <w:tcMar>
              <w:bottom w:w="0" w:type="dxa"/>
            </w:tcMar>
            <w:vAlign w:val="center"/>
          </w:tcPr>
          <w:p>
            <w:pPr>
              <w:pStyle w:val="TableContents"/>
              <w:bidi w:val="0"/>
              <w:spacing w:before="0" w:after="283"/>
              <w:jc w:val="left"/>
              <w:rPr/>
            </w:pPr>
            <w:r>
              <w:rPr/>
              <w:t> </w:t>
            </w:r>
          </w:p>
        </w:tc>
        <w:tc>
          <w:tcPr>
            <w:tcW w:w="60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49,365</w:t>
            </w:r>
          </w:p>
        </w:tc>
        <w:tc>
          <w:tcPr>
            <w:tcW w:w="75" w:type="dxa"/>
            <w:tcBorders/>
            <w:shd w:fill="CFF0FC"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Williams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23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56,865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720" w:after="720"/>
        <w:ind w:left="720" w:right="720" w:hanging="0"/>
        <w:jc w:val="left"/>
        <w:rPr/>
      </w:pPr>
      <w:r>
        <w:rPr/>
        <w:t> </w:t>
      </w:r>
    </w:p>
    <w:p>
      <w:pPr>
        <w:pStyle w:val="TextBody"/>
        <w:bidi w:val="0"/>
        <w:spacing w:before="720" w:after="720"/>
        <w:ind w:left="720" w:right="720" w:hanging="0"/>
        <w:jc w:val="left"/>
        <w:rPr>
          <w:bdr w:val="single" w:sz="8" w:space="1" w:color="000000"/>
        </w:rPr>
      </w:pPr>
      <w:r>
        <w:rPr>
          <w:bdr w:val="single" w:sz="8" w:space="1" w:color="000000"/>
        </w:rPr>
        <w:t> </w:t>
      </w:r>
    </w:p>
    <w:tbl>
      <w:tblPr>
        <w:tblW w:w="8765" w:type="dxa"/>
        <w:jc w:val="left"/>
        <w:tblInd w:w="720" w:type="dxa"/>
        <w:tblLayout w:type="fixed"/>
        <w:tblCellMar>
          <w:top w:w="0" w:type="dxa"/>
          <w:left w:w="0" w:type="dxa"/>
          <w:bottom w:w="0" w:type="dxa"/>
          <w:right w:w="0" w:type="dxa"/>
        </w:tblCellMar>
      </w:tblPr>
      <w:tblGrid>
        <w:gridCol w:w="38"/>
        <w:gridCol w:w="210"/>
        <w:gridCol w:w="851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517"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Dr. Short is not included in this table because he was employed as our Chief Executive Officer and received no compensation for his service as a director in fiscal year 2025.</w:t>
            </w:r>
          </w:p>
        </w:tc>
      </w:tr>
    </w:tbl>
    <w:tbl>
      <w:tblPr>
        <w:tblW w:w="8765" w:type="dxa"/>
        <w:jc w:val="left"/>
        <w:tblInd w:w="720" w:type="dxa"/>
        <w:tblLayout w:type="fixed"/>
        <w:tblCellMar>
          <w:top w:w="0" w:type="dxa"/>
          <w:left w:w="0" w:type="dxa"/>
          <w:bottom w:w="0" w:type="dxa"/>
          <w:right w:w="0" w:type="dxa"/>
        </w:tblCellMar>
      </w:tblPr>
      <w:tblGrid>
        <w:gridCol w:w="38"/>
        <w:gridCol w:w="201"/>
        <w:gridCol w:w="852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526"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Our non-employee directors received an annual retainer fee plus any additional annual fees due for service on our committees in the amounts described under “Non-Employee Director Compensation Arrangements.”</w:t>
            </w:r>
          </w:p>
        </w:tc>
      </w:tr>
    </w:tbl>
    <w:tbl>
      <w:tblPr>
        <w:tblW w:w="8765" w:type="dxa"/>
        <w:jc w:val="left"/>
        <w:tblInd w:w="720" w:type="dxa"/>
        <w:tblLayout w:type="fixed"/>
        <w:tblCellMar>
          <w:top w:w="0" w:type="dxa"/>
          <w:left w:w="0" w:type="dxa"/>
          <w:bottom w:w="0" w:type="dxa"/>
          <w:right w:w="0" w:type="dxa"/>
        </w:tblCellMar>
      </w:tblPr>
      <w:tblGrid>
        <w:gridCol w:w="38"/>
        <w:gridCol w:w="186"/>
        <w:gridCol w:w="854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541"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On June 18, 2025, Messrs. Smith, Steinman and Williams and Mses. Moran, Gray, and McBrinn were each granted 23,500 restricted stock units (“RSUs”), pursuant to the Company’s 2020 Equity Incentive Plan, which vest on the earlier of the one-year anniversary of the grant date or the day before the next annual meeting of stockholders, subject to the director’s continued service through such vesting date.</w:t>
            </w:r>
          </w:p>
        </w:tc>
      </w:tr>
    </w:tbl>
    <w:tbl>
      <w:tblPr>
        <w:tblW w:w="8765" w:type="dxa"/>
        <w:jc w:val="left"/>
        <w:tblInd w:w="720" w:type="dxa"/>
        <w:tblLayout w:type="fixed"/>
        <w:tblCellMar>
          <w:top w:w="0" w:type="dxa"/>
          <w:left w:w="0" w:type="dxa"/>
          <w:bottom w:w="0" w:type="dxa"/>
          <w:right w:w="0" w:type="dxa"/>
        </w:tblCellMar>
      </w:tblPr>
      <w:tblGrid>
        <w:gridCol w:w="38"/>
        <w:gridCol w:w="192"/>
        <w:gridCol w:w="853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853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Our non-employee directors who served in 2025 held the following number of unexercised stock options and unvested RSUs as of December 31, 2025. Dr. Short is omitted from this table as his outstanding equity is reflected in “Executive Compensation—Outstanding Equity Awards Table” above.</w:t>
            </w:r>
          </w:p>
        </w:tc>
      </w:tr>
    </w:tbl>
    <w:tbl>
      <w:tblPr>
        <w:tblW w:w="3603" w:type="dxa"/>
        <w:jc w:val="left"/>
        <w:tblInd w:w="720" w:type="dxa"/>
        <w:tblLayout w:type="fixed"/>
        <w:tblCellMar>
          <w:top w:w="0" w:type="dxa"/>
          <w:left w:w="0" w:type="dxa"/>
          <w:bottom w:w="0" w:type="dxa"/>
          <w:right w:w="0" w:type="dxa"/>
        </w:tblCellMar>
      </w:tblPr>
      <w:tblGrid>
        <w:gridCol w:w="38"/>
        <w:gridCol w:w="23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333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Mr. Smith ceased being a director in July 2026.</w:t>
            </w:r>
          </w:p>
        </w:tc>
      </w:tr>
    </w:tbl>
    <w:p>
      <w:pPr>
        <w:pStyle w:val="TextBody"/>
        <w:bidi w:val="0"/>
        <w:spacing w:before="0" w:after="0"/>
        <w:ind w:left="720" w:right="720" w:hanging="0"/>
        <w:jc w:val="left"/>
        <w:rPr>
          <w:caps w:val="false"/>
          <w:smallCaps w:val="false"/>
        </w:rPr>
      </w:pPr>
      <w:r>
        <w:rPr>
          <w:caps w:val="false"/>
          <w:smallCaps w:val="false"/>
        </w:rPr>
        <w:t> </w:t>
      </w:r>
    </w:p>
    <w:tbl>
      <w:tblPr>
        <w:tblW w:w="6688" w:type="dxa"/>
        <w:jc w:val="left"/>
        <w:tblInd w:w="720" w:type="dxa"/>
        <w:tblLayout w:type="fixed"/>
        <w:tblCellMar>
          <w:top w:w="0" w:type="dxa"/>
          <w:left w:w="0" w:type="dxa"/>
          <w:bottom w:w="28" w:type="dxa"/>
          <w:right w:w="0" w:type="dxa"/>
        </w:tblCellMar>
      </w:tblPr>
      <w:tblGrid>
        <w:gridCol w:w="2120"/>
        <w:gridCol w:w="60"/>
        <w:gridCol w:w="181"/>
        <w:gridCol w:w="1803"/>
        <w:gridCol w:w="60"/>
        <w:gridCol w:w="60"/>
        <w:gridCol w:w="351"/>
        <w:gridCol w:w="1978"/>
        <w:gridCol w:w="75"/>
      </w:tblGrid>
      <w:tr>
        <w:trPr/>
        <w:tc>
          <w:tcPr>
            <w:tcW w:w="21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8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Stock Options Outstanding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2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Unvested Restricted Stock Units</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212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Steinman, M.D.</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1" w:type="dxa"/>
            <w:tcBorders/>
            <w:shd w:fill="CFF0FC" w:val="clear"/>
            <w:tcMar>
              <w:bottom w:w="0" w:type="dxa"/>
            </w:tcMar>
            <w:vAlign w:val="center"/>
          </w:tcPr>
          <w:p>
            <w:pPr>
              <w:pStyle w:val="TableContents"/>
              <w:bidi w:val="0"/>
              <w:spacing w:before="0" w:after="283"/>
              <w:jc w:val="left"/>
              <w:rPr/>
            </w:pPr>
            <w:r>
              <w:rPr/>
              <w:t> </w:t>
            </w:r>
          </w:p>
        </w:tc>
        <w:tc>
          <w:tcPr>
            <w:tcW w:w="180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351" w:type="dxa"/>
            <w:tcBorders/>
            <w:shd w:fill="CFF0FC" w:val="clear"/>
            <w:tcMar>
              <w:bottom w:w="0" w:type="dxa"/>
            </w:tcMar>
            <w:vAlign w:val="center"/>
          </w:tcPr>
          <w:p>
            <w:pPr>
              <w:pStyle w:val="TableContents"/>
              <w:bidi w:val="0"/>
              <w:spacing w:before="0" w:after="283"/>
              <w:jc w:val="left"/>
              <w:rPr/>
            </w:pPr>
            <w:r>
              <w:rPr/>
              <w:t> </w:t>
            </w:r>
          </w:p>
        </w:tc>
        <w:tc>
          <w:tcPr>
            <w:tcW w:w="1978"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75" w:type="dxa"/>
            <w:tcBorders/>
            <w:shd w:fill="CFF0FC"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Moran,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8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19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Ann Gray, Ph.D.</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1" w:type="dxa"/>
            <w:tcBorders/>
            <w:shd w:fill="CFF0FC" w:val="clear"/>
            <w:tcMar>
              <w:bottom w:w="0" w:type="dxa"/>
            </w:tcMar>
            <w:vAlign w:val="center"/>
          </w:tcPr>
          <w:p>
            <w:pPr>
              <w:pStyle w:val="TableContents"/>
              <w:bidi w:val="0"/>
              <w:spacing w:before="0" w:after="283"/>
              <w:jc w:val="left"/>
              <w:rPr/>
            </w:pPr>
            <w:r>
              <w:rPr/>
              <w:t> </w:t>
            </w:r>
          </w:p>
        </w:tc>
        <w:tc>
          <w:tcPr>
            <w:tcW w:w="180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1,646</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351" w:type="dxa"/>
            <w:tcBorders/>
            <w:shd w:fill="CFF0FC" w:val="clear"/>
            <w:tcMar>
              <w:bottom w:w="0" w:type="dxa"/>
            </w:tcMar>
            <w:vAlign w:val="center"/>
          </w:tcPr>
          <w:p>
            <w:pPr>
              <w:pStyle w:val="TableContents"/>
              <w:bidi w:val="0"/>
              <w:spacing w:before="0" w:after="283"/>
              <w:jc w:val="left"/>
              <w:rPr/>
            </w:pPr>
            <w:r>
              <w:rPr/>
              <w:t> </w:t>
            </w:r>
          </w:p>
        </w:tc>
        <w:tc>
          <w:tcPr>
            <w:tcW w:w="1978"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75" w:type="dxa"/>
            <w:tcBorders/>
            <w:shd w:fill="CFF0FC"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Sylvia McBrinn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8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19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Smith</w:t>
            </w:r>
          </w:p>
        </w:tc>
        <w:tc>
          <w:tcPr>
            <w:tcW w:w="60" w:type="dxa"/>
            <w:tcBorders/>
            <w:shd w:fill="CFF0FC" w:val="clear"/>
            <w:tcMar>
              <w:bottom w:w="0" w:type="dxa"/>
            </w:tcMar>
            <w:vAlign w:val="center"/>
          </w:tcPr>
          <w:p>
            <w:pPr>
              <w:pStyle w:val="TableContents"/>
              <w:bidi w:val="0"/>
              <w:spacing w:before="0" w:after="283"/>
              <w:jc w:val="left"/>
              <w:rPr/>
            </w:pPr>
            <w:r>
              <w:rPr/>
              <w:t> </w:t>
            </w:r>
          </w:p>
        </w:tc>
        <w:tc>
          <w:tcPr>
            <w:tcW w:w="181" w:type="dxa"/>
            <w:tcBorders/>
            <w:shd w:fill="CFF0FC" w:val="clear"/>
            <w:tcMar>
              <w:bottom w:w="0" w:type="dxa"/>
            </w:tcMar>
            <w:vAlign w:val="center"/>
          </w:tcPr>
          <w:p>
            <w:pPr>
              <w:pStyle w:val="TableContents"/>
              <w:bidi w:val="0"/>
              <w:spacing w:before="0" w:after="283"/>
              <w:jc w:val="left"/>
              <w:rPr/>
            </w:pPr>
            <w:r>
              <w:rPr/>
              <w:t> </w:t>
            </w:r>
          </w:p>
        </w:tc>
        <w:tc>
          <w:tcPr>
            <w:tcW w:w="1803"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15,216</w:t>
            </w:r>
          </w:p>
        </w:tc>
        <w:tc>
          <w:tcPr>
            <w:tcW w:w="60" w:type="dxa"/>
            <w:tcBorders/>
            <w:shd w:fill="CFF0FC" w:val="clear"/>
            <w:tcMar>
              <w:bottom w:w="0" w:type="dxa"/>
            </w:tcMar>
            <w:vAlign w:val="center"/>
          </w:tcPr>
          <w:p>
            <w:pPr>
              <w:pStyle w:val="TableContents"/>
              <w:bidi w:val="0"/>
              <w:spacing w:before="0" w:after="283"/>
              <w:jc w:val="left"/>
              <w:rPr/>
            </w:pPr>
            <w:r>
              <w:rPr/>
              <w:t> </w:t>
            </w:r>
          </w:p>
        </w:tc>
        <w:tc>
          <w:tcPr>
            <w:tcW w:w="60" w:type="dxa"/>
            <w:tcBorders/>
            <w:shd w:fill="CFF0FC" w:val="clear"/>
            <w:tcMar>
              <w:bottom w:w="0" w:type="dxa"/>
            </w:tcMar>
            <w:vAlign w:val="center"/>
          </w:tcPr>
          <w:p>
            <w:pPr>
              <w:pStyle w:val="TableContents"/>
              <w:bidi w:val="0"/>
              <w:spacing w:before="0" w:after="283"/>
              <w:jc w:val="left"/>
              <w:rPr/>
            </w:pPr>
            <w:r>
              <w:rPr/>
              <w:t> </w:t>
            </w:r>
          </w:p>
        </w:tc>
        <w:tc>
          <w:tcPr>
            <w:tcW w:w="351" w:type="dxa"/>
            <w:tcBorders/>
            <w:shd w:fill="CFF0FC" w:val="clear"/>
            <w:tcMar>
              <w:bottom w:w="0" w:type="dxa"/>
            </w:tcMar>
            <w:vAlign w:val="center"/>
          </w:tcPr>
          <w:p>
            <w:pPr>
              <w:pStyle w:val="TableContents"/>
              <w:bidi w:val="0"/>
              <w:spacing w:before="0" w:after="283"/>
              <w:jc w:val="left"/>
              <w:rPr/>
            </w:pPr>
            <w:r>
              <w:rPr/>
              <w:t> </w:t>
            </w:r>
          </w:p>
        </w:tc>
        <w:tc>
          <w:tcPr>
            <w:tcW w:w="1978" w:type="dxa"/>
            <w:tcBorders/>
            <w:shd w:fill="CFF0FC"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75" w:type="dxa"/>
            <w:tcBorders/>
            <w:shd w:fill="CFF0FC"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Williams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8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19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Arrangements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non-employee director compensation program which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 compensation policy, as amended and restated in June 2024, provides that each non-employee director will receive the following compensation for service on our Board of Directors:</w:t>
      </w:r>
    </w:p>
    <w:p>
      <w:pPr>
        <w:pStyle w:val="TextBody"/>
        <w:bidi w:val="0"/>
        <w:spacing w:before="0" w:after="0"/>
        <w:ind w:left="720" w:right="720" w:hanging="0"/>
        <w:jc w:val="left"/>
        <w:rPr>
          <w:caps w:val="false"/>
          <w:smallCaps w:val="false"/>
        </w:rPr>
      </w:pPr>
      <w:r>
        <w:rPr>
          <w:caps w:val="false"/>
          <w:smallCaps w:val="false"/>
        </w:rPr>
        <w:t> </w:t>
      </w:r>
    </w:p>
    <w:tbl>
      <w:tblPr>
        <w:tblW w:w="3093" w:type="dxa"/>
        <w:jc w:val="left"/>
        <w:tblInd w:w="72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annual cash retainer of $40,000;</w:t>
            </w:r>
          </w:p>
        </w:tc>
      </w:tr>
    </w:tbl>
    <w:p>
      <w:pPr>
        <w:pStyle w:val="TextBody"/>
        <w:bidi w:val="0"/>
        <w:spacing w:before="0" w:after="0"/>
        <w:ind w:left="720" w:right="720" w:hanging="0"/>
        <w:jc w:val="left"/>
        <w:rPr>
          <w:caps w:val="false"/>
          <w:smallCaps w:val="false"/>
        </w:rPr>
      </w:pPr>
      <w:r>
        <w:rPr>
          <w:caps w:val="false"/>
          <w:smallCaps w:val="false"/>
        </w:rPr>
        <w:t> </w:t>
      </w:r>
    </w:p>
    <w:tbl>
      <w:tblPr>
        <w:tblW w:w="8478" w:type="dxa"/>
        <w:jc w:val="left"/>
        <w:tblInd w:w="72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annual cash retainer of $25,000 for a non-employee director’s service as lead independent director;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additional annual cash retainer of $7,500, $5,000 and $4,000 for service as a member of each of the Audit Committee, Compensation Committee and the Nominating and Corporate Governance Committee, respectively; and</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additional annual cash retainer of $15,000, $10,000 and $8,000 for service as chairman of the Audit Committee, Compensation Committee and the Nominating and Corporate Governance Committee, respectively.</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non-employee directors are eligible to receive such equity awards under the Company’s 2020 Equity Incentive Plan, as amended, as may be approved from time to time by our Board of Directors subject to the recommendations of the Compensation Committee.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reimburse our directors for their reasonable out-of-pocket travel expenses in connection with attending meetings of our Board of Directors and committees.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Stock Ownership Guidelines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instituted the following stock ownership guidelines for its non-employee directors to better align our directors’ interests with those of our stockholders. Director guidelines are determined as a multiple of the annual cash retainer for board membership. The director guidelines are established as three times the director’s annual cash retainer. The guideline ownership must be obtained within five years. Director ownership is evaluated annually as of December 31 using the highest closing price of the Company’s common stock in the fiscal year of evaluation. Shares that count toward meeting the stock ownership guidelines include shares owned directly, full value awards (e.g., RSUs), vested stock options (spread value) and shares owned directly by the director’s spouse, dependent children and/or trust. For fiscal year 2025, all our non-employee directors have satisfied their ownership requirement.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32" w:name="b013"/>
      <w:bookmarkEnd w:id="32"/>
      <w:r>
        <w:rPr>
          <w:rFonts w:ascii="Times New Roman;Times;Serif" w:hAnsi="Times New Roman;Times;Serif"/>
          <w:b/>
          <w:i w:val="false"/>
          <w:caps/>
          <w:sz w:val="20"/>
        </w:rPr>
        <w:t>CERTAIN RELATIONSHIPS AND RELATED PARTY TRANSACTIONS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Transactions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executive officer and director compensation arrangements discussed above under “Executive Compensation” respectively, since January 1, 2023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 other than equity and other compensation, termination, change of control and other arrangements, which are described under “Executive Compensation.”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Himalaya Therapeutics SEZC</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Himalaya Therapeutics SEZC (“Himalaya”) is a related party as Dr. Short, our Chief Executive Officer and Chairman of the Board of Directors, and his spouse, Carolyn Anderson Short, serve as directors for Himalaya, and Carolyn Anderson Short also serves as an officer of such entity.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Services Agreement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entered into an amended Clinical Trial Services Agreement with Himalaya, which amends the Clinical Trial Agreement with Himalaya, dated April 8, 2022, pursuant to which Himalaya agreed to provide services related to the initiation of clinical trials for BA3011 in the People’s Republic of China. Under the amended agreement, BioAtla will pay Himalaya for the full-time use of two of its personnel and provide services related to the initiation of clinical trials for evalstotug in China for a period of twelve months.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Transaction Agreement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entered into a Global Transaction Agreement (the “Himalaya Agreement”) with Himalaya. BioAtla and Himalaya had previously entered into an Amended and Restated Exclusive Rights Agreement (the “Amended Rights Agreement”) in January 2020. Pursuant to the Amended Rights Agreement, Himalaya controls rights to develop, manufacture and commercialize certain assets in certain territories, including BA3362 which was licensed to Context Therapeutics Inc. in September 2024 (“Context”) (see Note 9 to the historical financial statements included in the Original Form 10-K). Pursuant to the Himalaya Agreement, Himalaya consented to BioAtla’s execution and performance of the Context License Agreement, and granted to BioAtla an exclusive, worldwide, sublicensable license for those impacted products and intellectual property. Further, as set forth in the Amended Rights Agreement and further clarified in the Himalaya Agreement, BioAtla agreed to pay Himalaya, subject to any applicable tax withholdings,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is the principal in the Context License Agreement and in the Himalaya Agreement and will record revenues and expenses on a gross basis given that BioAtla had full discretion in setting consideration pricing in the Context License Agreement. BioAtla will be primarily responsible for providing the License, and Himalaya has no obligation to be a part of any of the fulfillment activities.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$1.0 million in expense related to the transactions with Himalaya. For the three and six months ended June 30, 2025, the Company did not recognize any expense related to the transactions with Himalaya. As of June 30, 2026, the Company had $0.3 million due to Himalaya.Inversagen AI LLC.</w:t>
      </w:r>
    </w:p>
    <w:p>
      <w:pPr>
        <w:pStyle w:val="TextBody"/>
        <w:bidi w:val="0"/>
        <w:spacing w:before="0" w:after="0"/>
        <w:ind w:left="720" w:right="720" w:firstLine="245"/>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Agreement</w:t>
      </w:r>
    </w:p>
    <w:p>
      <w:pPr>
        <w:pStyle w:val="TextBody"/>
        <w:bidi w:val="0"/>
        <w:spacing w:before="0" w:after="0"/>
        <w:ind w:left="720" w:right="720" w:firstLine="245"/>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we entered into an Investment Agreement (the “Investment Agreement”) with Inversagen AI LLC, a Delaware limited liability company (“Inversagen AI”), and Alliance International Resources Corp., a Nevada corporation (“AIRC”). Inversagen AI is a related party of the Company, as the Company’s Chairman and Chief Executive Officer, Dr. Jay Short, and his spouse serve as managers of Inversagen AI.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 elimination therapy.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planned to use the gross proceeds received from the sale of the SPV common units to Inversagen AI for general operating expenses and clinical trial expenses to advance Oz-V in the Phase 3 Study. However, in connection with recent events, including the previously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Inversagen, LLC, a Delaware Limited Liability Company (“Inversagen LLC”) holds an exclusive license to CAB senescence and longevity technologies from the Company. Inversagen LLC subsequently contributed these rights to Inversagen AI. Inversagen, LLC is a related party of the Company, as Dr. Short and his spouse serve as managers of Inversagen LLC.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Agreements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Policies and Procedures for Transactions with Related Persons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compensation for services provided to us as an employee, consultant or director are not considered related-person transactions under this policy. A related person is any executive officer, director or a holder of more than 5% of our common stock, including any of their immediate family members and any entity owned or controlled by such persons.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the material facts, the direct and indirect interests of the related persons, the benefits of the transaction to us and whether any alternative transactions are available.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w:t>
      </w:r>
    </w:p>
    <w:p>
      <w:pPr>
        <w:pStyle w:val="TextBody"/>
        <w:bidi w:val="0"/>
        <w:spacing w:before="0" w:after="0"/>
        <w:ind w:left="720" w:right="720" w:hanging="0"/>
        <w:jc w:val="both"/>
        <w:rPr>
          <w:caps w:val="false"/>
          <w:smallCaps w:val="false"/>
        </w:rPr>
      </w:pPr>
      <w:r>
        <w:rPr>
          <w:caps w:val="false"/>
          <w:smallCaps w:val="false"/>
        </w:rPr>
        <w:t> </w:t>
      </w:r>
    </w:p>
    <w:tbl>
      <w:tblPr>
        <w:tblW w:w="2943" w:type="dxa"/>
        <w:jc w:val="left"/>
        <w:tblInd w:w="72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risks, costs and benefits to us;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720" w:right="720" w:hanging="0"/>
        <w:jc w:val="left"/>
        <w:rPr>
          <w:caps w:val="false"/>
          <w:smallCaps w:val="false"/>
        </w:rPr>
      </w:pPr>
      <w:r>
        <w:rPr>
          <w:caps w:val="false"/>
          <w:smallCaps w:val="false"/>
        </w:rPr>
        <w:t> </w:t>
      </w:r>
    </w:p>
    <w:tbl>
      <w:tblPr>
        <w:tblW w:w="2493" w:type="dxa"/>
        <w:jc w:val="left"/>
        <w:tblInd w:w="72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of the transaction;</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tbl>
      <w:tblPr>
        <w:tblW w:w="6123" w:type="dxa"/>
        <w:jc w:val="left"/>
        <w:tblInd w:w="72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available to or from, as the case may be, unrelated third parties or to or from our employees generally.</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director has an interest in the proposed transaction, the director must recuse himself or herself from the deliberations and approval.</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33" w:name="b014"/>
      <w:bookmarkEnd w:id="33"/>
      <w:r>
        <w:rPr>
          <w:rFonts w:ascii="Times New Roman;Times;Serif" w:hAnsi="Times New Roman;Times;Serif"/>
          <w:b/>
          <w:i w:val="false"/>
          <w:caps/>
          <w:sz w:val="20"/>
        </w:rPr>
        <w:t>SECURITY OWNERSHIP OF CERTAIN BENEFICIAL OWNERS AND MANAGEMENT</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September 30, 2026 by:</w:t>
      </w:r>
    </w:p>
    <w:p>
      <w:pPr>
        <w:pStyle w:val="TextBody"/>
        <w:bidi w:val="0"/>
        <w:spacing w:before="0" w:after="0"/>
        <w:ind w:left="720" w:right="720" w:hanging="0"/>
        <w:jc w:val="left"/>
        <w:rPr>
          <w:caps w:val="false"/>
          <w:smallCaps w:val="false"/>
        </w:rPr>
      </w:pPr>
      <w:r>
        <w:rPr>
          <w:caps w:val="false"/>
          <w:smallCaps w:val="false"/>
        </w:rPr>
        <w:t> </w:t>
      </w:r>
    </w:p>
    <w:tbl>
      <w:tblPr>
        <w:tblW w:w="8043" w:type="dxa"/>
        <w:jc w:val="left"/>
        <w:tblInd w:w="72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stockholder known by us to be the beneficial owner of more than 5% of our common stock;</w:t>
            </w:r>
          </w:p>
        </w:tc>
      </w:tr>
    </w:tbl>
    <w:p>
      <w:pPr>
        <w:pStyle w:val="TextBody"/>
        <w:bidi w:val="0"/>
        <w:spacing w:before="0" w:after="0"/>
        <w:ind w:left="720" w:right="720" w:hanging="0"/>
        <w:jc w:val="left"/>
        <w:rPr>
          <w:caps w:val="false"/>
          <w:smallCaps w:val="false"/>
        </w:rPr>
      </w:pPr>
      <w:r>
        <w:rPr>
          <w:caps w:val="false"/>
          <w:smallCaps w:val="false"/>
        </w:rPr>
        <w:t> </w:t>
      </w:r>
    </w:p>
    <w:tbl>
      <w:tblPr>
        <w:tblW w:w="1953" w:type="dxa"/>
        <w:jc w:val="left"/>
        <w:tblInd w:w="72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named executive officers; and 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September 30, 2026 and shares issuable upon the settlement of RSUs that will vest within 60 days of September 30, 2026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of our common stock is based on 1,668,261 shares of our common stock outstanding and 0 shares of Class B common stock outstanding on September 30, 2026. Unless otherwise indicated, the address of each of the individuals and entities named below is c/o BioAtla, Inc., 11085 Torreyana Road, San Diego, California 92121.</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28" w:type="dxa"/>
          <w:right w:w="0" w:type="dxa"/>
        </w:tblCellMar>
      </w:tblPr>
      <w:tblGrid>
        <w:gridCol w:w="3693"/>
        <w:gridCol w:w="60"/>
        <w:gridCol w:w="177"/>
        <w:gridCol w:w="2071"/>
        <w:gridCol w:w="60"/>
        <w:gridCol w:w="60"/>
        <w:gridCol w:w="331"/>
        <w:gridCol w:w="2110"/>
        <w:gridCol w:w="203"/>
      </w:tblGrid>
      <w:tr>
        <w:trPr/>
        <w:tc>
          <w:tcPr>
            <w:tcW w:w="369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of Beneficial Owner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 Shares Beneficially Owned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Percentage of Shares Beneficially Owned (%)</w:t>
            </w:r>
          </w:p>
        </w:tc>
        <w:tc>
          <w:tcPr>
            <w:tcW w:w="2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Highbridge Capital Management, LLC(1)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Anson Funds Management LP(2)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Acorn Bioventures, L.P.(3)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3" w:type="dxa"/>
            <w:tcBorders/>
            <w:shd w:fill="FFFF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Named Executive Officers and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8" w:type="dxa"/>
            <w:gridSpan w:val="2"/>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Ann Gray, Ph.D.(4)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Sylvia McBrinn(5)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Moran, M.D.(6)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Sievers, M.D.(7)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M. Short, Ph.D.(8)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Lawrence Steinman, M.D.(9)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A. Waldron(10)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Williams(11)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369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All executive officers and directors as a group (9 persons)</w:t>
            </w:r>
            <w:r>
              <w:rPr>
                <w:rFonts w:ascii="Times New Roman;Times;Serif" w:hAnsi="Times New Roman;Times;Serif"/>
                <w:b/>
                <w:i w:val="false"/>
                <w:caps w:val="false"/>
                <w:smallCaps w:val="false"/>
                <w:sz w:val="20"/>
              </w:rPr>
              <w:t>(12)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60" w:after="6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one percent of the outstanding shares of our common stock.</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8"/>
        <w:gridCol w:w="854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549"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Based on information contained in a Schedule 13G filed with the SEC on April 25, 2025. The amount of common stock beneficially owned consists of 96,790 shares of common stock issuable upon the exercise of warrants exercisable within 60 days of September 30,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277 Park Avenue, 23rd Floor, New York, New York 10172.</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8"/>
        <w:gridCol w:w="854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549"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Based on information provided by Anson Funds Management L.P. The amount of common stock beneficially owned consists of 96,791 shares of common stock issuable upon the exercise of warrants exercisable within 60 days of September 30,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Maples Corporate Services Limited, PO Box 309, Ugland House, Grand Cayman, KY1-1104, Cayman Islands.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7"/>
        <w:gridCol w:w="855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550"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Based on information contained in a Schedule 13G/A filed with the SEC on May 20, 2025, consisting of (i) 43,244 shares of common stock held by Acorn Bioventures, L.P. (“Acorn”) and (ii) 53,458 shares of common stock held by Acorn Bioventures 2, L.P. (“Acorn 2”). Acorn Capital Advisors GP, LLC (“Acorn GP”) is the sole general partner of Acorn and may be deemed to beneficially own the shares of common stock beneficially owned by Acorn. Acorn Capital Advisors GP 2, LLC (“Acorn GP 2”) is the sole general partner of Acorn 2 and may be deemed to beneficially own the shares of common stock beneficially owned by Acorn 2. Anders Hove is the manager of Acorn GP and Acorn GP 2 and may be deemed to beneficially own the shares of common stock beneficially owned by Acorn and Acorn 2. The address of these entities and Mr. Hove is 420 Lexington Avenue, Suite 2626, New York, New York 10170.</w:t>
            </w:r>
          </w:p>
        </w:tc>
      </w:tr>
    </w:tbl>
    <w:p>
      <w:pPr>
        <w:pStyle w:val="TextBody"/>
        <w:bidi w:val="0"/>
        <w:spacing w:before="0" w:after="0"/>
        <w:ind w:left="720" w:right="720" w:hanging="0"/>
        <w:jc w:val="left"/>
        <w:rPr>
          <w:caps w:val="false"/>
          <w:smallCaps w:val="false"/>
        </w:rPr>
      </w:pPr>
      <w:r>
        <w:rPr>
          <w:caps w:val="false"/>
          <w:smallCaps w:val="false"/>
        </w:rPr>
        <w:t> </w:t>
      </w:r>
    </w:p>
    <w:tbl>
      <w:tblPr>
        <w:tblW w:w="7233" w:type="dxa"/>
        <w:jc w:val="left"/>
        <w:tblInd w:w="720" w:type="dxa"/>
        <w:tblLayout w:type="fixed"/>
        <w:tblCellMar>
          <w:top w:w="0" w:type="dxa"/>
          <w:left w:w="0" w:type="dxa"/>
          <w:bottom w:w="0" w:type="dxa"/>
          <w:right w:w="0" w:type="dxa"/>
        </w:tblCellMar>
      </w:tblPr>
      <w:tblGrid>
        <w:gridCol w:w="38"/>
        <w:gridCol w:w="23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696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1,646 shares of common stock that are subject to options vested as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7233" w:type="dxa"/>
        <w:jc w:val="left"/>
        <w:tblInd w:w="720" w:type="dxa"/>
        <w:tblLayout w:type="fixed"/>
        <w:tblCellMar>
          <w:top w:w="0" w:type="dxa"/>
          <w:left w:w="0" w:type="dxa"/>
          <w:bottom w:w="0" w:type="dxa"/>
          <w:right w:w="0" w:type="dxa"/>
        </w:tblCellMar>
      </w:tblPr>
      <w:tblGrid>
        <w:gridCol w:w="38"/>
        <w:gridCol w:w="23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696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1,891 shares of common stock that are subject to options vested as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7233" w:type="dxa"/>
        <w:jc w:val="left"/>
        <w:tblInd w:w="720" w:type="dxa"/>
        <w:tblLayout w:type="fixed"/>
        <w:tblCellMar>
          <w:top w:w="0" w:type="dxa"/>
          <w:left w:w="0" w:type="dxa"/>
          <w:bottom w:w="0" w:type="dxa"/>
          <w:right w:w="0" w:type="dxa"/>
        </w:tblCellMar>
      </w:tblPr>
      <w:tblGrid>
        <w:gridCol w:w="38"/>
        <w:gridCol w:w="23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696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1,646 shares of common stock that are subject to options vested as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89"/>
        <w:gridCol w:w="853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8538"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(i) 8,289 shares of common stock that are subject to options vested as of September 30, (ii) 371 shares of common stock that are issuable upon vesting of restricted stock units within 60 days of September 30, 2026 and (iii) 200 shares of common stock that are issuable upon exercise of outstanding options within 60 days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4"/>
        <w:gridCol w:w="855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8553"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(i) 52,035 shares held by Dr. Short, which includes (a) 22,589 shares of common stock that are subject to options vested as of September 30, (b) 1,060 shares of common stock that are issuable upon vesting of restricted stock units within 60 days of September 30, 2026 and (c) 708 shares of common stock that are issuable upon exercise of outstanding options within 60 days of September 30, 2026; (ii) 5,174 shares held by Jay M. Short 2020 Irrevocable Gift Trust, which Dr. Short is the trustee of and holds sole voting and dispositive power with respect to the shares; (iii) 15,870 shares held by Dr. Short’s spouse, as to which Dr. Short disclaims beneficial ownership, except to the extent of his pecuniary interest therein, if any; (iv) 5,174 shares held by Carolyn Short 2020 Irrevocable Gift Trust, as to which Dr. Short disclaims beneficial ownership, except to the extent of his pecuniary interest therein, if any; (v) 6,046 shares held by Capia IP, LLC, which Dr. Short’s spouse is the managing member of and as to which Dr. Short disclaims beneficial ownership, except to the extent of his pecuniary interest therein; and (vi) 1 share held by Himalaya Parent LLC, which Dr. Short and Dr. Short’s spouse are the managers of and as to which Dr. Short disclaims beneficial ownership of except to the extent of his pecuniary interest therein.</w:t>
            </w:r>
          </w:p>
        </w:tc>
      </w:tr>
    </w:tbl>
    <w:p>
      <w:pPr>
        <w:pStyle w:val="TextBody"/>
        <w:bidi w:val="0"/>
        <w:spacing w:before="0" w:after="0"/>
        <w:ind w:left="720" w:right="720" w:hanging="0"/>
        <w:jc w:val="left"/>
        <w:rPr>
          <w:caps w:val="false"/>
          <w:smallCaps w:val="false"/>
        </w:rPr>
      </w:pPr>
      <w:r>
        <w:rPr>
          <w:caps w:val="false"/>
          <w:smallCaps w:val="false"/>
        </w:rPr>
        <w:t> </w:t>
      </w:r>
    </w:p>
    <w:tbl>
      <w:tblPr>
        <w:tblW w:w="7233" w:type="dxa"/>
        <w:jc w:val="left"/>
        <w:tblInd w:w="720" w:type="dxa"/>
        <w:tblLayout w:type="fixed"/>
        <w:tblCellMar>
          <w:top w:w="0" w:type="dxa"/>
          <w:left w:w="0" w:type="dxa"/>
          <w:bottom w:w="0" w:type="dxa"/>
          <w:right w:w="0" w:type="dxa"/>
        </w:tblCellMar>
      </w:tblPr>
      <w:tblGrid>
        <w:gridCol w:w="38"/>
        <w:gridCol w:w="23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w:t>
            </w:r>
          </w:p>
        </w:tc>
        <w:tc>
          <w:tcPr>
            <w:tcW w:w="696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1,646 shares of common stock that are subject to options vested as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7323" w:type="dxa"/>
        <w:jc w:val="left"/>
        <w:tblInd w:w="720" w:type="dxa"/>
        <w:tblLayout w:type="fixed"/>
        <w:tblCellMar>
          <w:top w:w="0" w:type="dxa"/>
          <w:left w:w="0" w:type="dxa"/>
          <w:bottom w:w="0" w:type="dxa"/>
          <w:right w:w="0" w:type="dxa"/>
        </w:tblCellMar>
      </w:tblPr>
      <w:tblGrid>
        <w:gridCol w:w="38"/>
        <w:gridCol w:w="32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w:t>
            </w:r>
          </w:p>
        </w:tc>
        <w:tc>
          <w:tcPr>
            <w:tcW w:w="696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6,075 shares of common stock that are subject to options vested as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7323" w:type="dxa"/>
        <w:jc w:val="left"/>
        <w:tblInd w:w="720" w:type="dxa"/>
        <w:tblLayout w:type="fixed"/>
        <w:tblCellMar>
          <w:top w:w="0" w:type="dxa"/>
          <w:left w:w="0" w:type="dxa"/>
          <w:bottom w:w="0" w:type="dxa"/>
          <w:right w:w="0" w:type="dxa"/>
        </w:tblCellMar>
      </w:tblPr>
      <w:tblGrid>
        <w:gridCol w:w="38"/>
        <w:gridCol w:w="32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w:t>
            </w:r>
          </w:p>
        </w:tc>
        <w:tc>
          <w:tcPr>
            <w:tcW w:w="6965"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1,900 shares of common stock that are subject to options vested as of September 30, 2026.</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275"/>
        <w:gridCol w:w="845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w:t>
            </w:r>
          </w:p>
        </w:tc>
        <w:tc>
          <w:tcPr>
            <w:tcW w:w="8452" w:type="dxa"/>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Includes (i) 63,221 shares of common stock that are subject to options vested as of September 30, 2026, (ii) 1,624 shares of common stock that are issuable upon vesting of restricted stock units within 60 days of September 30, 2026 and (iii) 1,020 shares of common stock that are issuable upon exercise of outstanding options within 60 days of September 30, 2026 held by all our executive officers and directors as a group.</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34" w:name="b015"/>
      <w:bookmarkEnd w:id="34"/>
      <w:r>
        <w:rPr>
          <w:rFonts w:ascii="Times New Roman;Times;Serif" w:hAnsi="Times New Roman;Times;Serif"/>
          <w:b/>
          <w:i w:val="false"/>
          <w:caps/>
          <w:sz w:val="20"/>
        </w:rPr>
        <w:t>DESCRIPTION OF SECURITIES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one class of securities registered under Section 12 of the Exchange Act: our common stock. The following summary of the terms of our common stock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the registration statement of which this prospectus forms a part. We encourage you to read our amended and restated certificate of incorporation, our amended and restated bylaws and the applicable provisions of the Delaware General Corporation Law for more information.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Common stock and class B common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authorized to issue up to a total of 350,000,000 shares of common stock, par value $0.0001 per share, and up to a total of 15,368,569 shares of Class B common stock, par value $0.0001 per share. No Class B common stock is outstanding as of June 30, 2026.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 (ii) 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Preferred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Warrants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2024 Warrants</w:t>
      </w:r>
    </w:p>
    <w:p>
      <w:pPr>
        <w:pStyle w:val="TextBody"/>
        <w:bidi w:val="0"/>
        <w:spacing w:before="0" w:after="0"/>
        <w:ind w:left="720" w:right="720" w:firstLine="72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 December 20, 2024, in connection with a registered direct offering, we issued warrants (the “2024 Warrants”) which may be exercised to acquire our common stock. As of June 30, 2026, the outstanding 2024 Warrants represent the rights to purchase up to an aggregate of 193,581 shares of common stock at an initial exercise price of $4.35 per share. The 2024 Warrants became exercisable on June 20, 2025 and will expire on June 20, 2025.</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2024 Warrant has an exercise price per share equal to $4.35. The exercise price is subject to adjustment in the event of stock dividends, stock splits, rights offerings or other distributions to holders of common stock, reorganizations or similar events affecting our common stock and the exercise price. In the event of a reverse stock split, the number of shares of common stock issuable upon the exercise of our outstanding Warrants and the exercise price of the 2024 Warrants will increase in proportion to the reverse stock split ratio. Furthermore, if the lowest volume weighted average price (“VWAP”) of the common stock during the eleven (11) trading days (the “Adjustment Period”) commencing five (5) trading days immediately preceding the reverse stock split and ending five (5) trading days immediately following the reverse stock split is less than the Warrant’s adjusted exercise price, then the exercise price of the 2024 Warrant will be reduced to match that lowest VWAP, as adjusted for the reverse stock split. This adjustment is applied retroactively to the first trading day of the Adjustment Period.</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holder (together with its affiliates) may not exercise any portion of such holder’s 2024 Warrant to the extent that the holder would own more than 9.99% of the outstanding shares of common stock immediately after exercise, as such percentage ownership is determined in accordance with the terms of the Warrants. If, at the time a holder exercises its 2024 Warrants, a registration statement registering the issuance of the shares of common stock underlying the 2024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2024 Warrants.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event of any fundamental transaction, as described in the 2024 Warrants and generally including any merger with or into another entity, sale of all or substantially all of our assets, tender offer or exchange offer, or reclassification of our shares of common stock, then upon any subsequent exercise of a 2024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of our company, if it is the surviving corporation, and any additional consideration receivable upon or as a result of such transaction by a holder of the number of shares of common stock for which the 2024 Warrant is exercisable immediately prior to such event.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Notwithstanding the foregoing, in the event of a fundamental transaction, the holders of the 2024 Warrants have the right to require us or a successor entity to redeem the Warrants for cash in the amount of the Black-Scholes Value (as defined in each Warrant) of the unexercised portion of the Warrants concurrently with or within 30 days following the consummation of a fundamental transaction. However, in the event of a fundamental transaction which is not in our control, including a fundamental transaction not approved by our board of directors, the holders of the 2024 Warrants will only be entitled to receive from us or our successor entity, as of the date of consummation of such fundamental transaction the same type or form of consideration (and in the same proportion), at the Black Scholes Value of the unexercised portion of the 2024 Warrant that is being offered and paid to the holders of our common stock in connection with the fundamental transaction, whether that consideration is in the form of cash, stock or any combination of cash and stock, or whether the holders of our common stock are given the choice to receive alternative forms of consideration in connection with the fundamental transaction.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There is no trading market available for the 2024 Warrants on any securities exchange or nationally recognized trading system. We do not plan on applying to list or quote the 2024 Warrants on the OTCQB, any national securities exchange or any other nationally recognized trading system.</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Under the securities purchase agreement entered into in connection with the December 2024 registered direct offering, we have agreed to use our best efforts to maintain the effectiveness of a registration statement covering the resale of the shares issuable upon exercise of the Warrants for as long as the holder continues to hold the Warrants or until the Warrants have expired.</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Commitment Fee Warrants</w:t>
      </w:r>
    </w:p>
    <w:p>
      <w:pPr>
        <w:pStyle w:val="TextBody"/>
        <w:bidi w:val="0"/>
        <w:spacing w:before="0" w:after="0"/>
        <w:ind w:left="720" w:right="720" w:firstLine="72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SEPA, we may elect to pay all or a portion of the Commitment Fee by issuing to Yorkville the Commitment Fee Warrants. On October 16, 2026, we issued Commitment Fee Warrants to Yorkville exercisable for up to 182,110 Commitment Shares in payment of the first installment of the Commitment Fee. The number of shares of common stock issuable upon exercise of each Commitment Fee Warrant is determined in accordance with the SEPA, and is subject to adjustment as described below. The Commitment Fee Warrants were issued in reliance on the exemption from registration provided by Section 4(a)(2) of the Securities Act.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Commitment Fee Warrants are exercisable at any time on or after their date of issuance, in whole or in part, and do not expire. The Commitment Fee Warrants have an exercise price of $0.0001 per share, subject to adjustment as described below. A holder may exercise a Commitment Fee Warrant by delivering an exercise notice to us and, within one business day thereafter, paying the aggregate exercise price in cash, unless the holder elects a cashless exercise. In lieu of a cash payment, a holder may elect at any time to exercise a Commitment Fee Warrant on a cashless basis and receive a net number of shares determined according to a formula set forth in the Commitment Fee Warrants. No fractional shares will be issued upon exercise of the Commitment Fee Warrants; instead, the number of shares to be issued will be rounded down to the nearest whole share.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required to deliver the shares issuable upon exercise within one trading day after receipt of the exercise notice. If we fail to timely deliver such shares, we may be required to pay the holder liquidated damages and, if the holder is required to purchase shares in the open market to satisfy a sale (a “buy-in”), to compensate the holder for the amount by which its purchase price exceeds the proceeds of the sale giving rise to the buy-in.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holder (together with its affiliates and certain related parties) may not exercise any portion of a Commitment Fee Warrant to the extent that the holder would beneficially own more than 4.99% of the outstanding shares of our common stock immediately after giving effect to such exercise, as such percentage ownership is determined in accordance with the terms of the Commitment Fee Warrants.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exercise price and the number of shares issuable upon exercise of the Commitment Fee Warrants are subject to proportionate adjustment in the event of stock dividends, stock splits, reverse stock splits or similar events affecting our common stock. In addition, holders of the Commitment Fee Warrants are entitled to participate in any pro rata distributions of assets and any pro rata grants of purchase rights to holders of our common stock as if they had fully exercised the Commitment Fee Warrants, subject to the beneficial ownership limitation described above. We may also, with the holder’s consent, voluntarily reduce the exercise price.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event of a fundamental transaction, as described in the Commitment Fee Warrants and generally including any merger or consolidation, sale of all or substantially all of our assets, completed tender or exchange offer accepted by holders of 50% or more of our common stock, reclassification of our common stock, or acquisition by a person or group of more than 50% of our common stock or voting power, then upon any subsequent exercise of a Commitment Fee Warrant, the holder will have the right to receive, for each share that would have been issuable upon such exercise immediately prior to the fundamental transaction, the same kind and amount of securities, cash or other property that a holder of one share of our common stock would have received in such transaction. Any successor entity will be required to assume our obligations under the Commitment Fee Warrants.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Subject to applicable securities laws, the Commitment Fee Warrants may be transferred without our consent. Except as otherwise provided in the Commitment Fee Warrants, a holder of a Commitment Fee Warrant does not have the rights or privileges of a holder of our common stock, including any voting rights or the right to receive dividends, until the holder exercises the Commitment Fee Warrant. There is no established trading market for the Commitment Fee Warrants, and we do not intend to apply to list or quote the Commitment Fee Warrants on the OTCQB, any national securities exchange or any other nationally recognized trading system.</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Anti-takeover effects of provisions of our certificate of incorporation, our bylaws and Delaware law</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Delaware anti-takeover law</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0" w:after="0"/>
        <w:ind w:left="720" w:right="720" w:hanging="0"/>
        <w:jc w:val="both"/>
        <w:rPr>
          <w:caps w:val="false"/>
          <w:smallCaps w:val="false"/>
          <w:color w:val="231F20"/>
        </w:rPr>
      </w:pPr>
      <w:r>
        <w:rPr>
          <w:caps w:val="false"/>
          <w:smallCaps w:val="false"/>
          <w:color w:val="231F20"/>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the board of directors of the corporation approved either the business combination or the transaction which resulted in the stockholder becoming an interested stockholder;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the voting stock of the corporation outstanding upon consummation of the transaction,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5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Section 203 defines a business combination to include:</w:t>
      </w:r>
    </w:p>
    <w:p>
      <w:pPr>
        <w:pStyle w:val="TextBody"/>
        <w:bidi w:val="0"/>
        <w:spacing w:before="0" w:after="0"/>
        <w:ind w:left="720" w:right="720" w:firstLine="50"/>
        <w:jc w:val="both"/>
        <w:rPr>
          <w:caps w:val="false"/>
          <w:smallCaps w:val="false"/>
          <w:color w:val="231F20"/>
        </w:rPr>
      </w:pPr>
      <w:r>
        <w:rPr>
          <w:caps w:val="false"/>
          <w:smallCaps w:val="false"/>
          <w:color w:val="231F20"/>
        </w:rPr>
        <w:t> </w:t>
      </w:r>
    </w:p>
    <w:tbl>
      <w:tblPr>
        <w:tblW w:w="7218" w:type="dxa"/>
        <w:jc w:val="left"/>
        <w:tblInd w:w="72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merger or consolidation involving the corporation and the interested stockholder;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sale, transfer, pledge or other disposition involving the interested stockholder of 10% or more of the assets of the corporation;</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exceptions, any transaction involving the corporation that has the effect of increasing the proportionate share of the stock of any class or series of the corporation beneficially owned by the interested stockholder;</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exceptions, any transaction that results in the issuance or transfer by the corporation of any stock of the corporation to the interested stockholder;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receipt by the interested stockholder of the benefit of any loans, advances, guarantees, pledges or other financial benefits provided by or through the corporation.</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Preferred stock</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Classified board</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Removal of directors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Director vacancies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Special meetings of stockholders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Advance notice procedures for director nominations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Action by written consent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and amended and restated bylaws require that any action to be taken by our stockholders must be effected at a duly called annual or special meeting of stockholders and not be taken by written consent.</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Cumulative voting</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Amending our certificate of incorporation and bylaws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72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Exclusive forum provision</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OTCQB</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common stock is quoted on the OTCQB under the symbol “BCAB.”</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Transfer agent and registrar</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transfer agent and registrar for our common stock and Class B common stock is Pacific Stock Transfer Company. The transfer agent and registrar’s address is 6725 Via Austi Pkwy, Suite 300, Las Vegas, NV 89119.</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35" w:name="b016"/>
      <w:bookmarkEnd w:id="35"/>
      <w:r>
        <w:rPr>
          <w:rFonts w:ascii="Times New Roman;Times;Serif" w:hAnsi="Times New Roman;Times;Serif"/>
          <w:b/>
          <w:i w:val="false"/>
          <w:caps/>
          <w:sz w:val="20"/>
        </w:rPr>
        <w:t>DETERMINATION OF OFFERING PRICE</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determine in advance the price or prices at which the shares of Common Stock may be sold by the Selling Stockholder under this prospectus.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36" w:name="b017"/>
      <w:bookmarkEnd w:id="36"/>
      <w:r>
        <w:rPr>
          <w:rFonts w:ascii="Times New Roman;Times;Serif" w:hAnsi="Times New Roman;Times;Serif"/>
          <w:b/>
          <w:i w:val="false"/>
          <w:caps/>
          <w:sz w:val="20"/>
        </w:rPr>
        <w:t>SELLING STOCKHOLDER</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by the Selling Stockholder of up to 8,182,110 shares of Common Stock that may be issued by us to the Selling Stockholder under SEPA. The shares of common stock being offered by the Selling Stockholder are those issuable to the Selling Stockholder pursuant to the SEPA and upon exercise of the Commitment Fee Warrants. We are registering the shares of common stock in order to permit the Selling Stockholder to offer the shares for resale from time to time. Except for the transactions contemplated by the SEPA, and as set forth in the section in this prospectus titled “Plan of Distribution,” the Selling Stockholder has not had any material relationship with us within the past three years.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regarding the Selling Stockholder and the shares of common stock that may be resold by the Selling Stockholder from time to time under this prospectus. This table is prepared based on information supplied to us by the Selling Stockholder and reflects holdings as of October 16, 2026. The number of shares in the column “</w:t>
      </w:r>
      <w:r>
        <w:rPr>
          <w:rFonts w:ascii="Times New Roman;Times;Serif" w:hAnsi="Times New Roman;Times;Serif"/>
          <w:b w:val="false"/>
          <w:i/>
          <w:caps w:val="false"/>
          <w:smallCaps w:val="false"/>
          <w:sz w:val="20"/>
        </w:rPr>
        <w:t>Maximum Number of Shares of Common Stock to be Offered</w:t>
      </w:r>
      <w:r>
        <w:rPr>
          <w:rFonts w:ascii="Times New Roman;Times;Serif" w:hAnsi="Times New Roman;Times;Serif"/>
          <w:b w:val="false"/>
          <w:i w:val="false"/>
          <w:caps w:val="false"/>
          <w:smallCaps w:val="false"/>
          <w:sz w:val="20"/>
        </w:rPr>
        <w:t>” represents all of the shares of Common Stock being offered for resale by the Selling Stockholder under this prospectus. The Selling Stockholder may sell some, all or none of the shares being offered for resale in this offering. We do not know how long the Selling Stockholder will hold the shares before selling them, and we are not aware of any existing arrangements between the Selling Stockholder and any other stockholder, broker, dealer, underwriter or agent relating to the sale or distribution of the shares of our common stock being offered for resale by this prospectus.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Stockholder has sole or shared voting and investment power. The percentage of shares of common stock beneficially owned by the Selling Stockholder prior to the offering shown in the table below is based on an aggregate of 1,668,261 shares of our common stock outstanding on October 16, 2026. Because the purchase price to be paid by the Selling Stockholder for shares of common stock, if any, that we may elect to sell to the Selling Stockholder in one or more advances from time to time under the SEPA will fluctuate based on the market prices of our common stock, the actual number of shares of common stock that we may sell to the Selling Stockholder under the SEPA may be fewer than the number of shares being offered for resale under this prospectus. The fourth column assumes the resale by the Selling Stockholder of all of the shares of common stock being offered for resale pursuant to this prospectus.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by the footnotes below, we believe, based on the information furnished to us, that the Selling Stockholder has sole voting and investment power with respect to all shares of common stock that it beneficially owns. Based on information furnished to us by the Selling Stockholder, the Selling Stockholder is not a registered broker-dealer but is affiliated with Yorkville Ives &amp; Co., LLC, a registered broker-dealer and member of the Financial Industry Regulatory Authority (“Yorkville Ives”). Yorkville Ives did not participate in the negotiation or placement of the securities under the SEPA, received no fees or other compensation in connection with that transaction, and will not participate in the resale of the securities offered by this prospectus.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1391"/>
        <w:gridCol w:w="1289"/>
        <w:gridCol w:w="1222"/>
        <w:gridCol w:w="2363"/>
        <w:gridCol w:w="1273"/>
        <w:gridCol w:w="1227"/>
      </w:tblGrid>
      <w:tr>
        <w:trPr/>
        <w:tc>
          <w:tcPr>
            <w:tcW w:w="1391" w:type="dxa"/>
            <w:vMerge w:val="restart"/>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Selling Stockholder</w:t>
            </w:r>
            <w:r>
              <w:rPr>
                <w:rFonts w:ascii="Times New Roman;Times;Serif" w:hAnsi="Times New Roman;Times;Serif"/>
                <w:b w:val="false"/>
                <w:i w:val="false"/>
                <w:caps w:val="false"/>
                <w:smallCaps w:val="false"/>
                <w:sz w:val="20"/>
              </w:rPr>
              <w:t> </w:t>
            </w:r>
          </w:p>
        </w:tc>
        <w:tc>
          <w:tcPr>
            <w:tcW w:w="2511" w:type="dxa"/>
            <w:gridSpan w:val="2"/>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Shares of Common Stock Beneficially Owned Prior to Offering</w:t>
            </w:r>
            <w:r>
              <w:rPr>
                <w:rFonts w:ascii="Times New Roman;Times;Serif" w:hAnsi="Times New Roman;Times;Serif"/>
                <w:b w:val="false"/>
                <w:i w:val="false"/>
                <w:caps w:val="false"/>
                <w:smallCaps w:val="false"/>
                <w:sz w:val="20"/>
              </w:rPr>
              <w:t> </w:t>
            </w:r>
          </w:p>
        </w:tc>
        <w:tc>
          <w:tcPr>
            <w:tcW w:w="2363" w:type="dxa"/>
            <w:vMerge w:val="restart"/>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Maximum Number of Shares of Common Stock to be Offered Pursuant to this Prospectus</w:t>
            </w:r>
            <w:r>
              <w:rPr>
                <w:rFonts w:ascii="Times New Roman;Times;Serif" w:hAnsi="Times New Roman;Times;Serif"/>
                <w:b w:val="false"/>
                <w:i w:val="false"/>
                <w:caps w:val="false"/>
                <w:smallCaps w:val="false"/>
                <w:sz w:val="20"/>
              </w:rPr>
              <w:t> </w:t>
            </w:r>
          </w:p>
        </w:tc>
        <w:tc>
          <w:tcPr>
            <w:tcW w:w="2500" w:type="dxa"/>
            <w:gridSpan w:val="2"/>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Shares of Common Stock Beneficially Owned After Offering</w:t>
            </w:r>
            <w:r>
              <w:rPr>
                <w:rFonts w:ascii="Times New Roman;Times;Serif" w:hAnsi="Times New Roman;Times;Serif"/>
                <w:b/>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r>
      <w:tr>
        <w:trPr/>
        <w:tc>
          <w:tcPr>
            <w:tcW w:w="1391" w:type="dxa"/>
            <w:vMerge w:val="continue"/>
            <w:tcBorders/>
            <w:vAlign w:val="center"/>
          </w:tcPr>
          <w:p>
            <w:pPr>
              <w:pStyle w:val="Normal"/>
              <w:bidi w:val="0"/>
              <w:jc w:val="left"/>
              <w:rPr/>
            </w:pPr>
            <w:r>
              <w:rPr/>
            </w:r>
          </w:p>
        </w:tc>
        <w:tc>
          <w:tcPr>
            <w:tcW w:w="128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122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2363" w:type="dxa"/>
            <w:vMerge w:val="continue"/>
            <w:tcBorders/>
            <w:vAlign w:val="center"/>
          </w:tcPr>
          <w:p>
            <w:pPr>
              <w:pStyle w:val="Normal"/>
              <w:bidi w:val="0"/>
              <w:jc w:val="left"/>
              <w:rPr/>
            </w:pPr>
            <w:r>
              <w:rPr/>
            </w:r>
          </w:p>
        </w:tc>
        <w:tc>
          <w:tcPr>
            <w:tcW w:w="127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t> </w:t>
            </w:r>
          </w:p>
        </w:tc>
        <w:tc>
          <w:tcPr>
            <w:tcW w:w="122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w:t>
            </w:r>
            <w:r>
              <w:rPr>
                <w:rFonts w:ascii="Times New Roman;Times;Serif" w:hAnsi="Times New Roman;Times;Serif"/>
                <w:b w:val="false"/>
                <w:i w:val="false"/>
                <w:caps w:val="false"/>
                <w:smallCaps w:val="false"/>
                <w:sz w:val="20"/>
              </w:rPr>
              <w:t> </w:t>
            </w:r>
          </w:p>
        </w:tc>
      </w:tr>
      <w:tr>
        <w:trPr/>
        <w:tc>
          <w:tcPr>
            <w:tcW w:w="1391" w:type="dxa"/>
            <w:tcBorders/>
            <w:shd w:fill="CCEEFF" w:val="clear"/>
            <w:vAlign w:val="center"/>
          </w:tcPr>
          <w:p>
            <w:pPr>
              <w:pStyle w:val="TableContents"/>
              <w:bidi w:val="0"/>
              <w:spacing w:before="0" w:after="283"/>
              <w:jc w:val="left"/>
              <w:rPr>
                <w:sz w:val="20"/>
              </w:rPr>
            </w:pPr>
            <w:r>
              <w:rPr>
                <w:sz w:val="20"/>
              </w:rPr>
              <w:t>YA II PN, Ltd.</w:t>
            </w:r>
            <w:r>
              <w:rPr>
                <w:position w:val="7"/>
                <w:sz w:val="16"/>
                <w:sz w:val="20"/>
              </w:rPr>
              <w:t>(4)</w:t>
            </w:r>
          </w:p>
        </w:tc>
        <w:tc>
          <w:tcPr>
            <w:tcW w:w="1289" w:type="dxa"/>
            <w:tcBorders/>
            <w:shd w:fill="CCEEFF" w:val="clear"/>
            <w:vAlign w:val="center"/>
          </w:tcPr>
          <w:p>
            <w:pPr>
              <w:pStyle w:val="TableContents"/>
              <w:bidi w:val="0"/>
              <w:spacing w:before="0" w:after="283"/>
              <w:jc w:val="center"/>
              <w:rPr>
                <w:sz w:val="20"/>
              </w:rPr>
            </w:pPr>
            <w:r>
              <w:rPr>
                <w:sz w:val="20"/>
              </w:rPr>
              <w:t>87,618</w:t>
            </w:r>
          </w:p>
        </w:tc>
        <w:tc>
          <w:tcPr>
            <w:tcW w:w="1222" w:type="dxa"/>
            <w:tcBorders/>
            <w:shd w:fill="CCEEFF" w:val="clear"/>
            <w:vAlign w:val="center"/>
          </w:tcPr>
          <w:p>
            <w:pPr>
              <w:pStyle w:val="TableContents"/>
              <w:bidi w:val="0"/>
              <w:spacing w:before="0" w:after="283"/>
              <w:jc w:val="center"/>
              <w:rPr>
                <w:sz w:val="20"/>
              </w:rPr>
            </w:pPr>
            <w:r>
              <w:rPr>
                <w:sz w:val="20"/>
              </w:rPr>
              <w:t>4.99%</w:t>
            </w:r>
          </w:p>
        </w:tc>
        <w:tc>
          <w:tcPr>
            <w:tcW w:w="2363" w:type="dxa"/>
            <w:tcBorders/>
            <w:shd w:fill="CCEEFF" w:val="clear"/>
            <w:vAlign w:val="center"/>
          </w:tcPr>
          <w:p>
            <w:pPr>
              <w:pStyle w:val="TableContents"/>
              <w:bidi w:val="0"/>
              <w:spacing w:before="0" w:after="283"/>
              <w:jc w:val="center"/>
              <w:rPr>
                <w:sz w:val="20"/>
              </w:rPr>
            </w:pPr>
            <w:r>
              <w:rPr>
                <w:sz w:val="20"/>
              </w:rPr>
              <w:t>8,182,110</w:t>
            </w:r>
          </w:p>
        </w:tc>
        <w:tc>
          <w:tcPr>
            <w:tcW w:w="1273" w:type="dxa"/>
            <w:tcBorders/>
            <w:shd w:fill="CCEEFF" w:val="clear"/>
            <w:vAlign w:val="center"/>
          </w:tcPr>
          <w:p>
            <w:pPr>
              <w:pStyle w:val="TableContents"/>
              <w:bidi w:val="0"/>
              <w:spacing w:before="0" w:after="283"/>
              <w:jc w:val="center"/>
              <w:rPr/>
            </w:pPr>
            <w:r>
              <w:rPr/>
              <w:t>—</w:t>
            </w:r>
          </w:p>
        </w:tc>
        <w:tc>
          <w:tcPr>
            <w:tcW w:w="1227" w:type="dxa"/>
            <w:tcBorders/>
            <w:shd w:fill="CCEEFF" w:val="clear"/>
            <w:vAlign w:val="center"/>
          </w:tcPr>
          <w:p>
            <w:pPr>
              <w:pStyle w:val="TableContents"/>
              <w:bidi w:val="0"/>
              <w:spacing w:before="0" w:after="283"/>
              <w:jc w:val="center"/>
              <w:rPr/>
            </w:pPr>
            <w:r>
              <w:rPr/>
              <w: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720" w:after="72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The shares of our Common Stock beneficially owned by the Selling Stockholder prior to this offering represent 87,618 shares of Common Stock that may be acquired by the Selling Stockholder pursuant to the Commitment Fee Warrants issued to the Selling Shareholder exercisable for up to 182,110 shares of Common Stock in payment of the first installment of the Commitment Fee. The Selling Stockholder (together with its affiliates and certain related parties) may not exercise any portion of a Commitment Fee Warrants to the extent that the Selling Stockholder would beneficially own more than 4.99% of the outstanding shares of our common stock immediately after giving effect to such exercise. In accordance with Rule 13d-3(d) under the Exchange Act, we have excluded from the number of shares beneficially owned prior to the offering all of the Advance Shares that Yorkville may be required to purchase under the SEPA, because the issuance of such shares is solely at our discretion and is subject to conditions contained in the SEPA, the satisfaction of which is entirely outside of Yorkville’s control, including the registration statement that includes this prospectus becoming and remaining effective. In addition, the SEPA prohibits us from selling Advance Shares to the extent such sale would cause Yorkville’s beneficial ownership to exceed the Ownership Limitation.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Applicable percentage ownership is based on 1,668,261 shares of our common stock outstanding as of October 16, 2026.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720" w:right="72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Assumes the sale of all shares of our common stock being offered for resale pursuant to this prospectus.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 YA II PN, Ltd. is a Cayman Islands exempt limited company. All investment decisions for YA II PN, Ltd. are made by Mr. Mark Angelo. The business address of YA II PN, Ltd. is 1012 Springfield Avenue, Mountainside, NJ 07092.</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720" w:right="720" w:hanging="0"/>
        <w:jc w:val="left"/>
        <w:rPr/>
      </w:pPr>
      <w:r>
        <w:rPr/>
        <w:t> </w:t>
      </w:r>
    </w:p>
    <w:p>
      <w:pPr>
        <w:pStyle w:val="TextBody"/>
        <w:bidi w:val="0"/>
        <w:spacing w:before="720" w:after="72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sz w:val="20"/>
        </w:rPr>
      </w:pPr>
      <w:bookmarkStart w:id="37" w:name="b018"/>
      <w:bookmarkEnd w:id="37"/>
      <w:r>
        <w:rPr>
          <w:rFonts w:ascii="Times New Roman;Times;Serif" w:hAnsi="Times New Roman;Times;Serif"/>
          <w:b/>
          <w:i w:val="false"/>
          <w:caps/>
          <w:sz w:val="20"/>
        </w:rPr>
        <w:t>PLAN OF DISTRIBUTION</w:t>
      </w:r>
    </w:p>
    <w:p>
      <w:pPr>
        <w:pStyle w:val="TextBody"/>
        <w:bidi w:val="0"/>
        <w:spacing w:before="0" w:after="0"/>
        <w:ind w:left="720" w:right="720" w:hanging="0"/>
        <w:jc w:val="center"/>
        <w:rPr>
          <w:caps/>
        </w:rPr>
      </w:pPr>
      <w:r>
        <w:rPr>
          <w:caps/>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are being offered by the Selling Stockholder. The Selling Stockholder will act independently of us in making decisions with respect to the timing, manner and size of each sale.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offered by this prospectus could be effected in one or more of the following methods:</w:t>
      </w:r>
    </w:p>
    <w:p>
      <w:pPr>
        <w:pStyle w:val="TextBody"/>
        <w:bidi w:val="0"/>
        <w:spacing w:before="0" w:after="0"/>
        <w:ind w:left="861" w:right="861"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ind w:left="720" w:right="720" w:hanging="0"/>
        <w:jc w:val="left"/>
        <w:rPr>
          <w:caps w:val="false"/>
          <w:smallCaps w:val="false"/>
        </w:rPr>
      </w:pPr>
      <w:r>
        <w:rPr>
          <w:caps w:val="false"/>
          <w:smallCaps w:val="false"/>
        </w:rPr>
        <w:t> </w:t>
      </w:r>
    </w:p>
    <w:tbl>
      <w:tblPr>
        <w:tblW w:w="2673" w:type="dxa"/>
        <w:jc w:val="left"/>
        <w:tblInd w:w="72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pPr>
            <w:r>
              <w:rPr/>
              <w:t>underwritten transactions;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pPr>
            <w:r>
              <w:rPr/>
              <w:t>block trades (which may involve a cross trade) in which the broker-dealer will attempt to sell the securities as agent but may position and resell a portion of the block as principal to facilitate the transaction;</w:t>
            </w:r>
          </w:p>
        </w:tc>
      </w:tr>
    </w:tbl>
    <w:p>
      <w:pPr>
        <w:pStyle w:val="TextBody"/>
        <w:bidi w:val="0"/>
        <w:spacing w:before="0" w:after="0"/>
        <w:ind w:left="720" w:right="720" w:hanging="0"/>
        <w:jc w:val="left"/>
        <w:rPr>
          <w:caps w:val="false"/>
          <w:smallCaps w:val="false"/>
        </w:rPr>
      </w:pPr>
      <w:r>
        <w:rPr>
          <w:caps w:val="false"/>
          <w:smallCaps w:val="false"/>
        </w:rPr>
        <w:t> </w:t>
      </w:r>
    </w:p>
    <w:tbl>
      <w:tblPr>
        <w:tblW w:w="8523" w:type="dxa"/>
        <w:jc w:val="left"/>
        <w:tblInd w:w="72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ind w:left="720" w:right="720" w:hanging="0"/>
        <w:jc w:val="left"/>
        <w:rPr>
          <w:caps w:val="false"/>
          <w:smallCaps w:val="false"/>
        </w:rPr>
      </w:pPr>
      <w:r>
        <w:rPr>
          <w:caps w:val="false"/>
          <w:smallCaps w:val="false"/>
        </w:rPr>
        <w:t>  </w:t>
      </w:r>
    </w:p>
    <w:tbl>
      <w:tblPr>
        <w:tblW w:w="3333" w:type="dxa"/>
        <w:jc w:val="left"/>
        <w:tblInd w:w="72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pPr>
            <w:r>
              <w:rPr/>
              <w:t>privately negotiated transactions;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pPr>
            <w:r>
              <w:rPr/>
              <w:t>in transactions through broker-dealers that agree with the Selling Stockholder to sell a specified number of such securities at a stipulated price per security;</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pPr>
            <w:r>
              <w:rPr/>
              <w:t>through the distribution of shares by any Selling Stockholder to its partners, members or stockholders;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170"/>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7"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ind w:left="720" w:right="720" w:hanging="0"/>
        <w:jc w:val="left"/>
        <w:rPr>
          <w:caps w:val="false"/>
          <w:smallCaps w:val="false"/>
        </w:rPr>
      </w:pPr>
      <w:r>
        <w:rPr>
          <w:caps w:val="false"/>
          <w:smallCaps w:val="false"/>
        </w:rPr>
        <w:t>  </w:t>
      </w:r>
    </w:p>
    <w:tbl>
      <w:tblPr>
        <w:tblW w:w="4578" w:type="dxa"/>
        <w:jc w:val="left"/>
        <w:tblInd w:w="72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pPr>
            <w:r>
              <w:rPr/>
              <w:t>a combination of any such methods of sale; or</w:t>
            </w:r>
          </w:p>
        </w:tc>
      </w:tr>
    </w:tbl>
    <w:p>
      <w:pPr>
        <w:pStyle w:val="TextBody"/>
        <w:bidi w:val="0"/>
        <w:spacing w:before="0" w:after="0"/>
        <w:ind w:left="720" w:right="720" w:hanging="0"/>
        <w:jc w:val="left"/>
        <w:rPr>
          <w:caps w:val="false"/>
          <w:smallCaps w:val="false"/>
        </w:rPr>
      </w:pPr>
      <w:r>
        <w:rPr>
          <w:caps w:val="false"/>
          <w:smallCaps w:val="false"/>
        </w:rPr>
        <w:t>  </w:t>
      </w:r>
    </w:p>
    <w:tbl>
      <w:tblPr>
        <w:tblW w:w="5433" w:type="dxa"/>
        <w:jc w:val="left"/>
        <w:tblInd w:w="72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by the Selling Stockholder. The Selling Stockholder may sell the securities at prices then prevailing, related to the then prevailing market price or at negotiated prices. The offering price of the securities from time to time will be determined by the Selling Stockholder and, at the time of the determination, may be higher or lower than the market price of our securities on OTCQB or any other market on which our common stock is then quoted or listed.</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an “underwriter” within the meaning of Section 2(a)(11) of the Securities Act. 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720" w:right="720" w:hanging="0"/>
        <w:jc w:val="left"/>
        <w:rPr/>
      </w:pPr>
      <w:r>
        <w:rPr/>
        <w:t> </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transactions contemplated by the SEPA and the Pre-Paid Advance Agreement (the “PPA”) and Standby Equity Purchase Agreement (the “2025 SEPA”) that we entered into with Yorkville on November 20, 2025, the Selling Stockholder has not had any material relationship with us within the past three years. As of March 2026, the entire balance of the PPA had been converted into shares of common stock and no amounts remain outstanding under the PPA. As of June 30, 2026, 48,092 shares had been sold under the 2025 SEPA, with gross proceeds to the Company totaling approximately $0.4 million. On October 15, 2026, we and Yorkville terminated the 2025 SEPA in accordance with the termination provisions thereof.</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and any other stockholder, broker, dealer, underwriter or agent relating to the sale or distribution of the shares offered by this prospectus.</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disclose, if and when required under the Securities Act, information relating to a particular sale of shares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 required to be disclosed under the Securities Act.</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covered by this prospectus by the Selling Stockholder.</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Yorkville’s commitment to purchase common stock at our direction pursuant to the SEPA, we agreed to pay Yorkville a $500,000 Commitment Fee, payable, at our election, in cash or in the form of Commitment Fee Warrants, as described under “</w:t>
      </w:r>
      <w:r>
        <w:rPr>
          <w:rFonts w:ascii="Times New Roman;Times;Serif" w:hAnsi="Times New Roman;Times;Serif"/>
          <w:b w:val="false"/>
          <w:i/>
          <w:caps w:val="false"/>
          <w:smallCaps w:val="false"/>
          <w:sz w:val="20"/>
        </w:rPr>
        <w:t>The Standby Equity Purchase Agreement—Commitment Fee</w:t>
      </w:r>
      <w:r>
        <w:rPr>
          <w:rFonts w:ascii="Times New Roman;Times;Serif" w:hAnsi="Times New Roman;Times;Serif"/>
          <w:b w:val="false"/>
          <w:i w:val="false"/>
          <w:caps w:val="false"/>
          <w:smallCaps w:val="false"/>
          <w:sz w:val="20"/>
        </w:rPr>
        <w:t>.”</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 and certain related persons against certain liabilities in connection with the offering of the shares offered hereby, including liabilities arising under the Securities Act, and the Selling Stockholder has agreed to indemnify us against certain liabilities under the Securities Act that may arise from written information furnished to us by the Selling Stockholder specifically for use in this prospectus.</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has represented to us that, during the period commencing September 17, 2026 and ending immediately prior to its execution of the SEPA, neither it nor any person acting on its behalf engaged in any transactions in our securities, including any short sales.</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subject to the applicable provisions of the Exchange Act and the rules and regulations thereunder, including Regulation M. With certain exceptions, Regulation M precludes the Selling Stockholder,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861" w:right="86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ind w:left="861" w:right="861" w:hanging="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center"/>
        <w:rPr>
          <w:rFonts w:ascii="Times New Roman;Times;Serif" w:hAnsi="Times New Roman;Times;Serif"/>
          <w:b/>
          <w:i w:val="false"/>
          <w:caps/>
          <w:sz w:val="20"/>
        </w:rPr>
      </w:pPr>
      <w:bookmarkStart w:id="38" w:name="b019"/>
      <w:bookmarkEnd w:id="38"/>
      <w:r>
        <w:rPr>
          <w:rFonts w:ascii="Times New Roman;Times;Serif" w:hAnsi="Times New Roman;Times;Serif"/>
          <w:b/>
          <w:i w:val="false"/>
          <w:caps/>
          <w:sz w:val="20"/>
        </w:rPr>
        <w:t>LEGAL MATTERS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validity of the securities offered by this prospectus will be passed upon for the Company by Orrick, Herrington &amp; Sutcliffe LLP.</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i w:val="false"/>
          <w:caps/>
          <w:sz w:val="20"/>
        </w:rPr>
      </w:pPr>
      <w:bookmarkStart w:id="39" w:name="b020"/>
      <w:bookmarkEnd w:id="39"/>
      <w:r>
        <w:rPr>
          <w:rFonts w:ascii="Times New Roman;Times;Serif" w:hAnsi="Times New Roman;Times;Serif"/>
          <w:b/>
          <w:i w:val="false"/>
          <w:caps/>
          <w:sz w:val="20"/>
        </w:rPr>
        <w:t>EXPERTS</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consolidated financial statements of BioAtla, Inc. as of December 31, 2025 and 2024, and for each of the years in the two-year period ended December 31, 2025,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 given on the authority of such firm as experts in accounting and auditing.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sz w:val="20"/>
        </w:rPr>
      </w:pPr>
      <w:bookmarkStart w:id="40" w:name="b021"/>
      <w:bookmarkEnd w:id="40"/>
      <w:r>
        <w:rPr>
          <w:rFonts w:ascii="Times New Roman;Times;Serif" w:hAnsi="Times New Roman;Times;Serif"/>
          <w:b/>
          <w:i w:val="false"/>
          <w:caps/>
          <w:sz w:val="20"/>
        </w:rPr>
        <w:t>WHERE YOU CAN FIND MORE INFORMATION</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may access our Annual Report on Form 10-K, Quarterly Reports on Form 10-Q, Current Reports on Form 8-K, proxy statement, and other information, if any, we file with or furnish to the SEC free of charge at the SEC’s website (www.sec.gov) or our website (www.bioatla.com) as soon as reasonably practicable after such material is electronically filed with, or furnished to, the SEC. The information contained in, or that can be accessed through, our website is not part of this prospectus.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may also request a copy of our SEC filings at no cost, by telephoning or writing us at the following telephone number or address:</w:t>
      </w:r>
    </w:p>
    <w:p>
      <w:pPr>
        <w:pStyle w:val="TextBody"/>
        <w:bidi w:val="0"/>
        <w:spacing w:before="0" w:after="0"/>
        <w:ind w:left="840" w:right="1488" w:hanging="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BioAtla, Inc.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11085 Torreyana Road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San Diego, California 92121 </w:t>
      </w:r>
    </w:p>
    <w:p>
      <w:pPr>
        <w:pStyle w:val="TextBody"/>
        <w:bidi w:val="0"/>
        <w:spacing w:before="0" w:after="0"/>
        <w:ind w:left="720" w:right="72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(858) 558-0708</w:t>
      </w:r>
    </w:p>
    <w:p>
      <w:pPr>
        <w:pStyle w:val="TextBody"/>
        <w:bidi w:val="0"/>
        <w:spacing w:before="0" w:after="0"/>
        <w:ind w:left="4460" w:right="4361" w:hanging="0"/>
        <w:jc w:val="center"/>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rPr>
      </w:pPr>
      <w:r>
        <w:rPr>
          <w:caps/>
        </w:rPr>
        <w:t> </w:t>
      </w:r>
    </w:p>
    <w:p>
      <w:pPr>
        <w:pStyle w:val="TextBody"/>
        <w:bidi w:val="0"/>
        <w:spacing w:before="0" w:after="0"/>
        <w:ind w:left="720" w:right="720" w:hanging="0"/>
        <w:jc w:val="center"/>
        <w:rPr>
          <w:rFonts w:ascii="Times New Roman;Times;Serif" w:hAnsi="Times New Roman;Times;Serif"/>
          <w:b/>
          <w:i w:val="false"/>
          <w:caps/>
          <w:sz w:val="20"/>
        </w:rPr>
      </w:pPr>
      <w:bookmarkStart w:id="41" w:name="b022"/>
      <w:bookmarkEnd w:id="41"/>
      <w:r>
        <w:rPr>
          <w:rFonts w:ascii="Times New Roman;Times;Serif" w:hAnsi="Times New Roman;Times;Serif"/>
          <w:b/>
          <w:i w:val="false"/>
          <w:caps/>
          <w:sz w:val="20"/>
        </w:rPr>
        <w:t>INDEX TO FINANCIAL STATEMENTS</w:t>
      </w:r>
    </w:p>
    <w:p>
      <w:pPr>
        <w:pStyle w:val="TextBody"/>
        <w:bidi w:val="0"/>
        <w:spacing w:before="0" w:after="0"/>
        <w:ind w:left="720" w:right="720" w:hanging="0"/>
        <w:jc w:val="center"/>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8360"/>
        <w:gridCol w:w="405"/>
      </w:tblGrid>
      <w:tr>
        <w:trPr/>
        <w:tc>
          <w:tcPr>
            <w:tcW w:w="83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Page</w:t>
            </w:r>
          </w:p>
        </w:tc>
      </w:tr>
      <w:tr>
        <w:trPr/>
        <w:tc>
          <w:tcPr>
            <w:tcW w:w="8360" w:type="dxa"/>
            <w:tcBorders/>
            <w:shd w:fill="CCEEFF" w:val="clear"/>
            <w:vAlign w:val="center"/>
          </w:tcPr>
          <w:p>
            <w:pPr>
              <w:pStyle w:val="TableContents"/>
              <w:bidi w:val="0"/>
              <w:spacing w:before="0" w:after="283"/>
              <w:jc w:val="left"/>
              <w:rPr/>
            </w:pPr>
            <w:hyperlink w:anchor="a001">
              <w:r>
                <w:rPr>
                  <w:rStyle w:val="InternetLink"/>
                  <w:rFonts w:ascii="Times New Roman;Times;Serif" w:hAnsi="Times New Roman;Times;Serif"/>
                  <w:sz w:val="20"/>
                </w:rPr>
                <w:t>Condensed Consolidated Balance Sheets as of June 30, 2026 (unaudited) and December 31, 2025</w:t>
              </w:r>
            </w:hyperlink>
          </w:p>
        </w:tc>
        <w:tc>
          <w:tcPr>
            <w:tcW w:w="4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8360" w:type="dxa"/>
            <w:tcBorders/>
            <w:shd w:fill="FFFFFF" w:val="clear"/>
            <w:vAlign w:val="center"/>
          </w:tcPr>
          <w:p>
            <w:pPr>
              <w:pStyle w:val="TableContents"/>
              <w:bidi w:val="0"/>
              <w:spacing w:before="0" w:after="283"/>
              <w:jc w:val="left"/>
              <w:rPr/>
            </w:pPr>
            <w:hyperlink w:anchor="a002">
              <w:r>
                <w:rPr>
                  <w:rStyle w:val="InternetLink"/>
                  <w:rFonts w:ascii="Times New Roman;Times;Serif" w:hAnsi="Times New Roman;Times;Serif"/>
                  <w:sz w:val="20"/>
                </w:rPr>
                <w:t>Condensed Consolidated Statements of Operations and Comprehensive Income (Loss) (unaudited) for the three and six months ended June 30, 2026 and 2025</w:t>
              </w:r>
            </w:hyperlink>
          </w:p>
        </w:tc>
        <w:tc>
          <w:tcPr>
            <w:tcW w:w="4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8360" w:type="dxa"/>
            <w:tcBorders/>
            <w:shd w:fill="CCEEFF" w:val="clear"/>
            <w:vAlign w:val="center"/>
          </w:tcPr>
          <w:p>
            <w:pPr>
              <w:pStyle w:val="TableContents"/>
              <w:bidi w:val="0"/>
              <w:spacing w:before="0" w:after="283"/>
              <w:jc w:val="left"/>
              <w:rPr/>
            </w:pPr>
            <w:hyperlink w:anchor="a003">
              <w:r>
                <w:rPr>
                  <w:rStyle w:val="InternetLink"/>
                  <w:rFonts w:ascii="Times New Roman;Times;Serif" w:hAnsi="Times New Roman;Times;Serif"/>
                  <w:sz w:val="20"/>
                </w:rPr>
                <w:t xml:space="preserve">Condensed Consolidated Statements of Stockholders’ Equity (Deficit) (unaudited) for the three and six months ended June 30, 2026 and 2025 </w:t>
              </w:r>
            </w:hyperlink>
          </w:p>
        </w:tc>
        <w:tc>
          <w:tcPr>
            <w:tcW w:w="4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8360" w:type="dxa"/>
            <w:tcBorders/>
            <w:shd w:fill="FFFFFF" w:val="clear"/>
            <w:vAlign w:val="center"/>
          </w:tcPr>
          <w:p>
            <w:pPr>
              <w:pStyle w:val="TableContents"/>
              <w:bidi w:val="0"/>
              <w:spacing w:before="0" w:after="283"/>
              <w:jc w:val="left"/>
              <w:rPr/>
            </w:pPr>
            <w:hyperlink w:anchor="a004">
              <w:r>
                <w:rPr>
                  <w:rStyle w:val="InternetLink"/>
                  <w:rFonts w:ascii="Times New Roman;Times;Serif" w:hAnsi="Times New Roman;Times;Serif"/>
                  <w:sz w:val="20"/>
                </w:rPr>
                <w:t>Condensed Consolidated Statements of Cash Flows (unaudited) for the six months ended June 30, 2026 and 2025</w:t>
              </w:r>
            </w:hyperlink>
          </w:p>
        </w:tc>
        <w:tc>
          <w:tcPr>
            <w:tcW w:w="4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8360" w:type="dxa"/>
            <w:tcBorders/>
            <w:shd w:fill="CCEEFF" w:val="clear"/>
            <w:vAlign w:val="center"/>
          </w:tcPr>
          <w:p>
            <w:pPr>
              <w:pStyle w:val="TableContents"/>
              <w:bidi w:val="0"/>
              <w:spacing w:before="0" w:after="283"/>
              <w:jc w:val="left"/>
              <w:rPr/>
            </w:pPr>
            <w:hyperlink w:anchor="a005">
              <w:r>
                <w:rPr>
                  <w:rStyle w:val="InternetLink"/>
                  <w:rFonts w:ascii="Times New Roman;Times;Serif" w:hAnsi="Times New Roman;Times;Serif"/>
                  <w:sz w:val="20"/>
                </w:rPr>
                <w:t>Notes to Condensed Consolidated Financial Statements (unaudited)</w:t>
              </w:r>
            </w:hyperlink>
          </w:p>
        </w:tc>
        <w:tc>
          <w:tcPr>
            <w:tcW w:w="4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r>
        <w:trPr/>
        <w:tc>
          <w:tcPr>
            <w:tcW w:w="83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center"/>
              <w:rPr/>
            </w:pPr>
            <w:r>
              <w:rPr/>
              <w:t> </w:t>
            </w:r>
          </w:p>
        </w:tc>
      </w:tr>
      <w:tr>
        <w:trPr/>
        <w:tc>
          <w:tcPr>
            <w:tcW w:w="8360" w:type="dxa"/>
            <w:tcBorders/>
            <w:shd w:fill="CCEEFF" w:val="clear"/>
            <w:vAlign w:val="center"/>
          </w:tcPr>
          <w:p>
            <w:pPr>
              <w:pStyle w:val="TableContents"/>
              <w:bidi w:val="0"/>
              <w:spacing w:before="0" w:after="283"/>
              <w:jc w:val="left"/>
              <w:rPr/>
            </w:pPr>
            <w:hyperlink w:anchor="a006">
              <w:r>
                <w:rPr>
                  <w:rStyle w:val="InternetLink"/>
                  <w:rFonts w:ascii="Times New Roman;Times;Serif" w:hAnsi="Times New Roman;Times;Serif"/>
                  <w:sz w:val="20"/>
                </w:rPr>
                <w:t>Report of Independent Registered Public Accounting Firm (PCAOB ID: 42)</w:t>
              </w:r>
            </w:hyperlink>
          </w:p>
        </w:tc>
        <w:tc>
          <w:tcPr>
            <w:tcW w:w="4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F-23</w:t>
            </w:r>
          </w:p>
        </w:tc>
      </w:tr>
      <w:tr>
        <w:trPr/>
        <w:tc>
          <w:tcPr>
            <w:tcW w:w="8360" w:type="dxa"/>
            <w:tcBorders/>
            <w:shd w:fill="FFFFFF" w:val="clear"/>
            <w:vAlign w:val="center"/>
          </w:tcPr>
          <w:p>
            <w:pPr>
              <w:pStyle w:val="TableContents"/>
              <w:bidi w:val="0"/>
              <w:spacing w:before="0" w:after="283"/>
              <w:jc w:val="left"/>
              <w:rPr/>
            </w:pPr>
            <w:hyperlink w:anchor="a007">
              <w:r>
                <w:rPr>
                  <w:rStyle w:val="InternetLink"/>
                  <w:rFonts w:ascii="Times New Roman;Times;Serif" w:hAnsi="Times New Roman;Times;Serif"/>
                  <w:sz w:val="20"/>
                </w:rPr>
                <w:t>Consolidated Balance Sheets as of December 31, 2025 and December 31, 2024</w:t>
              </w:r>
            </w:hyperlink>
          </w:p>
        </w:tc>
        <w:tc>
          <w:tcPr>
            <w:tcW w:w="4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F-25</w:t>
            </w:r>
          </w:p>
        </w:tc>
      </w:tr>
      <w:tr>
        <w:trPr/>
        <w:tc>
          <w:tcPr>
            <w:tcW w:w="8360" w:type="dxa"/>
            <w:tcBorders/>
            <w:shd w:fill="CCEEFF" w:val="clear"/>
            <w:vAlign w:val="center"/>
          </w:tcPr>
          <w:p>
            <w:pPr>
              <w:pStyle w:val="TableContents"/>
              <w:bidi w:val="0"/>
              <w:spacing w:before="0" w:after="283"/>
              <w:jc w:val="left"/>
              <w:rPr/>
            </w:pPr>
            <w:hyperlink w:anchor="a008">
              <w:r>
                <w:rPr>
                  <w:rStyle w:val="InternetLink"/>
                  <w:rFonts w:ascii="Times New Roman;Times;Serif" w:hAnsi="Times New Roman;Times;Serif"/>
                  <w:sz w:val="20"/>
                </w:rPr>
                <w:t>Consolidated Statements of Operations and Comprehensive Loss for the years ended December 31, 2025 and 2024</w:t>
              </w:r>
            </w:hyperlink>
          </w:p>
        </w:tc>
        <w:tc>
          <w:tcPr>
            <w:tcW w:w="4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F-26</w:t>
            </w:r>
          </w:p>
        </w:tc>
      </w:tr>
      <w:tr>
        <w:trPr/>
        <w:tc>
          <w:tcPr>
            <w:tcW w:w="8360" w:type="dxa"/>
            <w:tcBorders/>
            <w:shd w:fill="FFFFFF" w:val="clear"/>
            <w:vAlign w:val="center"/>
          </w:tcPr>
          <w:p>
            <w:pPr>
              <w:pStyle w:val="TableContents"/>
              <w:bidi w:val="0"/>
              <w:spacing w:before="0" w:after="283"/>
              <w:jc w:val="left"/>
              <w:rPr/>
            </w:pPr>
            <w:hyperlink w:anchor="a009">
              <w:r>
                <w:rPr>
                  <w:rStyle w:val="InternetLink"/>
                  <w:rFonts w:ascii="Times New Roman;Times;Serif" w:hAnsi="Times New Roman;Times;Serif"/>
                  <w:sz w:val="20"/>
                </w:rPr>
                <w:t>Consolidated Statements of Stockholders’ Equity (Deficit) for the years ended December 31, 2025 and 2024</w:t>
              </w:r>
            </w:hyperlink>
          </w:p>
        </w:tc>
        <w:tc>
          <w:tcPr>
            <w:tcW w:w="4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F-27</w:t>
            </w:r>
          </w:p>
        </w:tc>
      </w:tr>
      <w:tr>
        <w:trPr/>
        <w:tc>
          <w:tcPr>
            <w:tcW w:w="8360" w:type="dxa"/>
            <w:tcBorders/>
            <w:shd w:fill="CCEEFF" w:val="clear"/>
            <w:vAlign w:val="center"/>
          </w:tcPr>
          <w:p>
            <w:pPr>
              <w:pStyle w:val="TableContents"/>
              <w:bidi w:val="0"/>
              <w:spacing w:before="0" w:after="283"/>
              <w:jc w:val="left"/>
              <w:rPr/>
            </w:pPr>
            <w:hyperlink w:anchor="a010">
              <w:r>
                <w:rPr>
                  <w:rStyle w:val="InternetLink"/>
                  <w:rFonts w:ascii="Times New Roman;Times;Serif" w:hAnsi="Times New Roman;Times;Serif"/>
                  <w:sz w:val="20"/>
                </w:rPr>
                <w:t>Consolidated Statements of Cash Flows for the years ended December 31, 2025 and 2024</w:t>
              </w:r>
            </w:hyperlink>
          </w:p>
        </w:tc>
        <w:tc>
          <w:tcPr>
            <w:tcW w:w="4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F-28</w:t>
            </w:r>
          </w:p>
        </w:tc>
      </w:tr>
      <w:tr>
        <w:trPr/>
        <w:tc>
          <w:tcPr>
            <w:tcW w:w="8360" w:type="dxa"/>
            <w:tcBorders/>
            <w:shd w:fill="FFFFFF" w:val="clear"/>
            <w:vAlign w:val="center"/>
          </w:tcPr>
          <w:p>
            <w:pPr>
              <w:pStyle w:val="TableContents"/>
              <w:bidi w:val="0"/>
              <w:spacing w:before="0" w:after="283"/>
              <w:jc w:val="left"/>
              <w:rPr/>
            </w:pPr>
            <w:hyperlink w:anchor="a011">
              <w:r>
                <w:rPr>
                  <w:rStyle w:val="InternetLink"/>
                  <w:rFonts w:ascii="Times New Roman;Times;Serif" w:hAnsi="Times New Roman;Times;Serif"/>
                  <w:sz w:val="20"/>
                </w:rPr>
                <w:t>Notes to Consolidated Financial Statements</w:t>
              </w:r>
            </w:hyperlink>
          </w:p>
        </w:tc>
        <w:tc>
          <w:tcPr>
            <w:tcW w:w="40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F-29</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42" w:name="a001"/>
      <w:bookmarkEnd w:id="42"/>
      <w:r>
        <w:rPr>
          <w:rFonts w:ascii="Times New Roman;Times;Serif" w:hAnsi="Times New Roman;Times;Serif"/>
          <w:b/>
          <w:i w:val="false"/>
          <w:caps w:val="false"/>
          <w:smallCaps w:val="false"/>
          <w:sz w:val="20"/>
        </w:rPr>
        <w:t>Condensed Consolidated Balance Sheets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43" w:name="xdx_306_111_pn3n3_zm3wIuXn4xla"/>
      <w:bookmarkStart w:id="44" w:name="xdx_306_111_pn3n3_zm3wIuXn4xla"/>
      <w:bookmarkEnd w:id="44"/>
    </w:p>
    <w:tbl>
      <w:tblPr>
        <w:tblW w:w="8765" w:type="dxa"/>
        <w:jc w:val="left"/>
        <w:tblInd w:w="720" w:type="dxa"/>
        <w:tblLayout w:type="fixed"/>
        <w:tblCellMar>
          <w:top w:w="0" w:type="dxa"/>
          <w:left w:w="0" w:type="dxa"/>
          <w:bottom w:w="0" w:type="dxa"/>
          <w:right w:w="0" w:type="dxa"/>
        </w:tblCellMar>
      </w:tblPr>
      <w:tblGrid>
        <w:gridCol w:w="6580"/>
        <w:gridCol w:w="60"/>
        <w:gridCol w:w="125"/>
        <w:gridCol w:w="755"/>
        <w:gridCol w:w="80"/>
        <w:gridCol w:w="60"/>
        <w:gridCol w:w="143"/>
        <w:gridCol w:w="867"/>
        <w:gridCol w:w="95"/>
      </w:tblGrid>
      <w:tr>
        <w:trPr/>
        <w:tc>
          <w:tcPr>
            <w:tcW w:w="6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5" w:name="xdx_499_20260630_zbFOt9CRdETe"/>
            <w:bookmarkEnd w:id="45"/>
          </w:p>
        </w:tc>
        <w:tc>
          <w:tcPr>
            <w:tcW w:w="8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bookmarkStart w:id="46" w:name="xdx_492_20251231_zUs5guciNINl"/>
            <w:bookmarkEnd w:id="46"/>
          </w:p>
        </w:tc>
        <w:tc>
          <w:tcPr>
            <w:tcW w:w="1010"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right"/>
              <w:rPr/>
            </w:pPr>
            <w:r>
              <w:rPr/>
              <w:t> </w:t>
            </w:r>
          </w:p>
        </w:tc>
      </w:tr>
      <w:tr>
        <w:trPr/>
        <w:tc>
          <w:tcPr>
            <w:tcW w:w="65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June 30,</w:t>
            </w:r>
            <w:r>
              <w:rPr>
                <w:rFonts w:ascii="Times New Roman;Times;Serif" w:hAnsi="Times New Roman;Times;Serif"/>
                <w:sz w:val="16"/>
              </w:rPr>
              <w:br/>
            </w:r>
            <w:r>
              <w:rPr>
                <w:rFonts w:ascii="Times New Roman;Times;Serif" w:hAnsi="Times New Roman;Times;Serif"/>
                <w:b/>
                <w:sz w:val="16"/>
              </w:rPr>
              <w:t>2026</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December 31,</w:t>
            </w:r>
            <w:r>
              <w:rPr>
                <w:rFonts w:ascii="Times New Roman;Times;Serif" w:hAnsi="Times New Roman;Times;Serif"/>
                <w:sz w:val="16"/>
              </w:rPr>
              <w:br/>
            </w:r>
            <w:r>
              <w:rPr>
                <w:rFonts w:ascii="Times New Roman;Times;Serif" w:hAnsi="Times New Roman;Times;Serif"/>
                <w:b/>
                <w:sz w:val="16"/>
              </w:rPr>
              <w:t>2025</w:t>
            </w:r>
          </w:p>
        </w:tc>
        <w:tc>
          <w:tcPr>
            <w:tcW w:w="95" w:type="dxa"/>
            <w:tcBorders/>
            <w:shd w:fill="FFFFFF" w:val="clear"/>
            <w:vAlign w:val="center"/>
          </w:tcPr>
          <w:p>
            <w:pPr>
              <w:pStyle w:val="TableContents"/>
              <w:bidi w:val="0"/>
              <w:spacing w:before="0" w:after="283"/>
              <w:jc w:val="center"/>
              <w:rPr/>
            </w:pPr>
            <w:r>
              <w:rPr/>
              <w:t> </w:t>
            </w:r>
          </w:p>
        </w:tc>
      </w:tr>
      <w:tr>
        <w:trPr/>
        <w:tc>
          <w:tcPr>
            <w:tcW w:w="65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(unaudited)</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center"/>
              <w:rPr/>
            </w:pPr>
            <w:r>
              <w:rPr/>
              <w:t> </w:t>
            </w:r>
            <w:bookmarkStart w:id="47" w:name="xdx_407_eus-gaap--AssetsAbstract_iB_zpue"/>
            <w:bookmarkEnd w:id="47"/>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right"/>
              <w:rPr/>
            </w:pPr>
            <w:r>
              <w:rPr/>
              <w:t> </w:t>
            </w:r>
          </w:p>
        </w:tc>
        <w:tc>
          <w:tcPr>
            <w:tcW w:w="8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95" w:type="dxa"/>
            <w:tcBorders/>
            <w:shd w:fill="CFF0FC" w:val="clear"/>
            <w:vAlign w:val="center"/>
          </w:tcPr>
          <w:p>
            <w:pPr>
              <w:pStyle w:val="TableContents"/>
              <w:bidi w:val="0"/>
              <w:spacing w:before="0" w:after="283"/>
              <w:jc w:val="right"/>
              <w:rPr/>
            </w:pPr>
            <w:r>
              <w:rPr/>
              <w:t> </w:t>
            </w:r>
            <w:bookmarkStart w:id="48" w:name="xdx_407_eus-gaap--AssetsCurrentAbstract_"/>
            <w:bookmarkEnd w:id="4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right"/>
              <w:rPr/>
            </w:pPr>
            <w:r>
              <w:rPr/>
              <w:t> </w:t>
            </w:r>
            <w:bookmarkStart w:id="49" w:name="xdx_402_eus-gaap--CashAndCashEquivalents"/>
            <w:bookmarkEnd w:id="49"/>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7"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7,118</w:t>
            </w:r>
          </w:p>
        </w:tc>
        <w:tc>
          <w:tcPr>
            <w:tcW w:w="95" w:type="dxa"/>
            <w:tcBorders/>
            <w:shd w:fill="CFF0FC" w:val="clear"/>
            <w:vAlign w:val="center"/>
          </w:tcPr>
          <w:p>
            <w:pPr>
              <w:pStyle w:val="TableContents"/>
              <w:bidi w:val="0"/>
              <w:spacing w:before="0" w:after="283"/>
              <w:jc w:val="left"/>
              <w:rPr/>
            </w:pPr>
            <w:r>
              <w:rPr/>
              <w:t> </w:t>
            </w:r>
            <w:bookmarkStart w:id="50" w:name="xdx_40B_eus-gaap--AccountsReceivableNetC"/>
            <w:bookmarkEnd w:id="5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51" w:name="xdx_40F_eus-gaap--PrepaidExpenseAndOther"/>
            <w:bookmarkEnd w:id="51"/>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FF0FC" w:val="clear"/>
            <w:vAlign w:val="center"/>
          </w:tcPr>
          <w:p>
            <w:pPr>
              <w:pStyle w:val="TableContents"/>
              <w:bidi w:val="0"/>
              <w:spacing w:before="0" w:after="283"/>
              <w:jc w:val="left"/>
              <w:rPr/>
            </w:pPr>
            <w:r>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895</w:t>
            </w:r>
          </w:p>
        </w:tc>
        <w:tc>
          <w:tcPr>
            <w:tcW w:w="95" w:type="dxa"/>
            <w:tcBorders/>
            <w:shd w:fill="CFF0FC" w:val="clear"/>
            <w:vAlign w:val="center"/>
          </w:tcPr>
          <w:p>
            <w:pPr>
              <w:pStyle w:val="TableContents"/>
              <w:bidi w:val="0"/>
              <w:spacing w:before="0" w:after="283"/>
              <w:jc w:val="left"/>
              <w:rPr/>
            </w:pPr>
            <w:r>
              <w:rPr/>
              <w:t> </w:t>
            </w:r>
            <w:bookmarkStart w:id="52" w:name="xdx_40B_eus-gaap--AssetsCurrent_i01TI_mt"/>
            <w:bookmarkEnd w:id="5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8,013</w:t>
            </w:r>
          </w:p>
        </w:tc>
        <w:tc>
          <w:tcPr>
            <w:tcW w:w="95" w:type="dxa"/>
            <w:tcBorders/>
            <w:shd w:fill="FFFFFF" w:val="clear"/>
            <w:vAlign w:val="center"/>
          </w:tcPr>
          <w:p>
            <w:pPr>
              <w:pStyle w:val="TableContents"/>
              <w:bidi w:val="0"/>
              <w:spacing w:before="0" w:after="283"/>
              <w:jc w:val="left"/>
              <w:rPr/>
            </w:pPr>
            <w:r>
              <w:rPr/>
              <w:t> </w:t>
            </w:r>
            <w:bookmarkStart w:id="53" w:name="xdx_407_eus-gaap--PropertyPlantAndEquipm"/>
            <w:bookmarkEnd w:id="53"/>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pPr>
            <w:r>
              <w:rPr/>
              <w:t>—</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95" w:type="dxa"/>
            <w:tcBorders/>
            <w:shd w:fill="CFF0FC" w:val="clear"/>
            <w:vAlign w:val="center"/>
          </w:tcPr>
          <w:p>
            <w:pPr>
              <w:pStyle w:val="TableContents"/>
              <w:bidi w:val="0"/>
              <w:spacing w:before="0" w:after="283"/>
              <w:jc w:val="left"/>
              <w:rPr/>
            </w:pPr>
            <w:r>
              <w:rPr/>
              <w:t> </w:t>
            </w:r>
            <w:bookmarkStart w:id="54" w:name="xdx_409_eus-gaap--OperatingLeaseRightOfU"/>
            <w:bookmarkEnd w:id="5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5,532</w:t>
            </w:r>
          </w:p>
        </w:tc>
        <w:tc>
          <w:tcPr>
            <w:tcW w:w="95" w:type="dxa"/>
            <w:tcBorders/>
            <w:shd w:fill="FFFFFF" w:val="clear"/>
            <w:vAlign w:val="center"/>
          </w:tcPr>
          <w:p>
            <w:pPr>
              <w:pStyle w:val="TableContents"/>
              <w:bidi w:val="0"/>
              <w:spacing w:before="0" w:after="283"/>
              <w:jc w:val="left"/>
              <w:rPr/>
            </w:pPr>
            <w:r>
              <w:rPr/>
              <w:t> </w:t>
            </w:r>
            <w:bookmarkStart w:id="55" w:name="xdx_403_eus-gaap--OtherAssetsNoncurrent_"/>
            <w:bookmarkEnd w:id="55"/>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FF0FC" w:val="clear"/>
            <w:vAlign w:val="center"/>
          </w:tcPr>
          <w:p>
            <w:pPr>
              <w:pStyle w:val="TableContents"/>
              <w:bidi w:val="0"/>
              <w:spacing w:before="0" w:after="283"/>
              <w:jc w:val="left"/>
              <w:rPr/>
            </w:pPr>
            <w:r>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95" w:type="dxa"/>
            <w:tcBorders/>
            <w:shd w:fill="CFF0FC" w:val="clear"/>
            <w:vAlign w:val="center"/>
          </w:tcPr>
          <w:p>
            <w:pPr>
              <w:pStyle w:val="TableContents"/>
              <w:bidi w:val="0"/>
              <w:spacing w:before="0" w:after="283"/>
              <w:jc w:val="left"/>
              <w:rPr/>
            </w:pPr>
            <w:r>
              <w:rPr/>
              <w:t> </w:t>
            </w:r>
            <w:bookmarkStart w:id="56" w:name="xdx_40A_eus-gaap--Assets_i01TI_mtAziOi_z"/>
            <w:bookmarkEnd w:id="5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13,828</w:t>
            </w:r>
          </w:p>
        </w:tc>
        <w:tc>
          <w:tcPr>
            <w:tcW w:w="95" w:type="dxa"/>
            <w:tcBorders/>
            <w:shd w:fill="FFFFFF" w:val="clear"/>
            <w:vAlign w:val="center"/>
          </w:tcPr>
          <w:p>
            <w:pPr>
              <w:pStyle w:val="TableContents"/>
              <w:bidi w:val="0"/>
              <w:spacing w:before="0" w:after="283"/>
              <w:jc w:val="left"/>
              <w:rPr/>
            </w:pPr>
            <w:r>
              <w:rPr/>
              <w:t> </w:t>
            </w:r>
            <w:bookmarkStart w:id="57" w:name="xdx_406_eus-gaap--LiabilitiesAndStockhol"/>
            <w:bookmarkEnd w:id="57"/>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and Stockholders’ Equity (Deficit)</w:t>
            </w:r>
          </w:p>
        </w:tc>
        <w:tc>
          <w:tcPr>
            <w:tcW w:w="60"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left"/>
              <w:rPr/>
            </w:pPr>
            <w:r>
              <w:rPr/>
              <w:t> </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left"/>
              <w:rPr/>
            </w:pPr>
            <w:r>
              <w:rPr/>
              <w:t> </w:t>
            </w:r>
          </w:p>
        </w:tc>
        <w:tc>
          <w:tcPr>
            <w:tcW w:w="95" w:type="dxa"/>
            <w:tcBorders/>
            <w:shd w:fill="CFF0FC" w:val="clear"/>
            <w:vAlign w:val="center"/>
          </w:tcPr>
          <w:p>
            <w:pPr>
              <w:pStyle w:val="TableContents"/>
              <w:bidi w:val="0"/>
              <w:spacing w:before="0" w:after="283"/>
              <w:jc w:val="left"/>
              <w:rPr/>
            </w:pPr>
            <w:r>
              <w:rPr/>
              <w:t> </w:t>
            </w:r>
            <w:bookmarkStart w:id="58" w:name="xdx_40B_eus-gaap--LiabilitiesCurrentAbst"/>
            <w:bookmarkEnd w:id="5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right"/>
              <w:rPr/>
            </w:pPr>
            <w:r>
              <w:rPr/>
              <w:t> </w:t>
            </w:r>
            <w:bookmarkStart w:id="59" w:name="xdx_404_eus-gaap--AccountsPayableAndAccr"/>
            <w:bookmarkEnd w:id="59"/>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 (includes related party amounts of $</w:t>
            </w:r>
            <w:bookmarkStart w:id="60" w:name="xdx_901_eus-gaap--AccountsPayableOtherCu"/>
            <w:bookmarkEnd w:id="60"/>
            <w:r>
              <w:rPr>
                <w:rFonts w:ascii="Times New Roman;Times;Serif" w:hAnsi="Times New Roman;Times;Serif"/>
                <w:sz w:val="20"/>
              </w:rPr>
              <w:t>300 and $</w:t>
            </w:r>
            <w:bookmarkStart w:id="61" w:name="xdx_908_eus-gaap--AccountsPayableOtherCu"/>
            <w:bookmarkEnd w:id="61"/>
            <w:r>
              <w:rPr>
                <w:rFonts w:ascii="Times New Roman;Times;Serif" w:hAnsi="Times New Roman;Times;Serif"/>
                <w:sz w:val="20"/>
              </w:rPr>
              <w:t>0, respectively)</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19,451</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7"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16,353</w:t>
            </w:r>
          </w:p>
        </w:tc>
        <w:tc>
          <w:tcPr>
            <w:tcW w:w="95" w:type="dxa"/>
            <w:tcBorders/>
            <w:shd w:fill="CFF0FC" w:val="clear"/>
            <w:vAlign w:val="center"/>
          </w:tcPr>
          <w:p>
            <w:pPr>
              <w:pStyle w:val="TableContents"/>
              <w:bidi w:val="0"/>
              <w:spacing w:before="0" w:after="283"/>
              <w:jc w:val="left"/>
              <w:rPr/>
            </w:pPr>
            <w:r>
              <w:rPr/>
              <w:t> </w:t>
            </w:r>
            <w:bookmarkStart w:id="62" w:name="xdx_40F_eus-gaap--OperatingLeaseLiabilit"/>
            <w:bookmarkEnd w:id="6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1,427</w:t>
            </w:r>
          </w:p>
        </w:tc>
        <w:tc>
          <w:tcPr>
            <w:tcW w:w="95" w:type="dxa"/>
            <w:tcBorders/>
            <w:shd w:fill="FFFFFF" w:val="clear"/>
            <w:vAlign w:val="center"/>
          </w:tcPr>
          <w:p>
            <w:pPr>
              <w:pStyle w:val="TableContents"/>
              <w:bidi w:val="0"/>
              <w:spacing w:before="0" w:after="283"/>
              <w:jc w:val="left"/>
              <w:rPr/>
            </w:pPr>
            <w:r>
              <w:rPr/>
              <w:t> </w:t>
            </w:r>
            <w:bookmarkStart w:id="63" w:name="xdx_405_ecustom--PrePaidAdvanceAgreement"/>
            <w:bookmarkEnd w:id="63"/>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PPAs liability</w:t>
            </w:r>
          </w:p>
        </w:tc>
        <w:tc>
          <w:tcPr>
            <w:tcW w:w="60" w:type="dxa"/>
            <w:tcBorders/>
            <w:shd w:fill="CFF0FC" w:val="clear"/>
            <w:vAlign w:val="center"/>
          </w:tcPr>
          <w:p>
            <w:pPr>
              <w:pStyle w:val="TableContents"/>
              <w:bidi w:val="0"/>
              <w:spacing w:before="0" w:after="283"/>
              <w:jc w:val="left"/>
              <w:rPr/>
            </w:pPr>
            <w:r>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FF0FC" w:val="clear"/>
            <w:tcMar>
              <w:bottom w:w="28" w:type="dxa"/>
            </w:tcMar>
            <w:vAlign w:val="center"/>
          </w:tcPr>
          <w:p>
            <w:pPr>
              <w:pStyle w:val="TableContents"/>
              <w:bidi w:val="0"/>
              <w:spacing w:before="0" w:after="283"/>
              <w:jc w:val="right"/>
              <w:rPr/>
            </w:pPr>
            <w:r>
              <w:rPr/>
              <w:t>—</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4,142</w:t>
            </w:r>
          </w:p>
        </w:tc>
        <w:tc>
          <w:tcPr>
            <w:tcW w:w="95" w:type="dxa"/>
            <w:tcBorders/>
            <w:shd w:fill="CFF0FC" w:val="clear"/>
            <w:vAlign w:val="center"/>
          </w:tcPr>
          <w:p>
            <w:pPr>
              <w:pStyle w:val="TableContents"/>
              <w:bidi w:val="0"/>
              <w:spacing w:before="0" w:after="283"/>
              <w:jc w:val="left"/>
              <w:rPr/>
            </w:pPr>
            <w:r>
              <w:rPr/>
              <w:t> </w:t>
            </w:r>
            <w:bookmarkStart w:id="64" w:name="xdx_40E_eus-gaap--LiabilitiesCurrent_i01"/>
            <w:bookmarkEnd w:id="6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21,922</w:t>
            </w:r>
          </w:p>
        </w:tc>
        <w:tc>
          <w:tcPr>
            <w:tcW w:w="95" w:type="dxa"/>
            <w:tcBorders/>
            <w:shd w:fill="FFFFFF" w:val="clear"/>
            <w:vAlign w:val="center"/>
          </w:tcPr>
          <w:p>
            <w:pPr>
              <w:pStyle w:val="TableContents"/>
              <w:bidi w:val="0"/>
              <w:spacing w:before="0" w:after="283"/>
              <w:jc w:val="left"/>
              <w:rPr/>
            </w:pPr>
            <w:r>
              <w:rPr/>
              <w:t> </w:t>
            </w:r>
            <w:bookmarkStart w:id="65" w:name="xdx_404_eus-gaap--OperatingLeaseLiabilit"/>
            <w:bookmarkEnd w:id="65"/>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4,293</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4,773</w:t>
            </w:r>
          </w:p>
        </w:tc>
        <w:tc>
          <w:tcPr>
            <w:tcW w:w="95" w:type="dxa"/>
            <w:tcBorders/>
            <w:shd w:fill="CFF0FC" w:val="clear"/>
            <w:vAlign w:val="center"/>
          </w:tcPr>
          <w:p>
            <w:pPr>
              <w:pStyle w:val="TableContents"/>
              <w:bidi w:val="0"/>
              <w:spacing w:before="0" w:after="283"/>
              <w:jc w:val="left"/>
              <w:rPr/>
            </w:pPr>
            <w:r>
              <w:rPr/>
              <w:t> </w:t>
            </w:r>
            <w:bookmarkStart w:id="66" w:name="xdx_408_ecustom--LiabilityToLicensor_i01"/>
            <w:bookmarkEnd w:id="6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to licensor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19,806</w:t>
            </w:r>
          </w:p>
        </w:tc>
        <w:tc>
          <w:tcPr>
            <w:tcW w:w="95" w:type="dxa"/>
            <w:tcBorders/>
            <w:shd w:fill="FFFFFF" w:val="clear"/>
            <w:vAlign w:val="center"/>
          </w:tcPr>
          <w:p>
            <w:pPr>
              <w:pStyle w:val="TableContents"/>
              <w:bidi w:val="0"/>
              <w:spacing w:before="0" w:after="283"/>
              <w:jc w:val="left"/>
              <w:rPr/>
            </w:pPr>
            <w:r>
              <w:rPr/>
              <w:t> </w:t>
            </w:r>
            <w:bookmarkStart w:id="67" w:name="xdx_401_ecustom--WarrantLiability_i01I_m"/>
            <w:bookmarkEnd w:id="67"/>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liability</w:t>
            </w:r>
          </w:p>
        </w:tc>
        <w:tc>
          <w:tcPr>
            <w:tcW w:w="60" w:type="dxa"/>
            <w:tcBorders/>
            <w:shd w:fill="CFF0FC" w:val="clear"/>
            <w:vAlign w:val="center"/>
          </w:tcPr>
          <w:p>
            <w:pPr>
              <w:pStyle w:val="TableContents"/>
              <w:bidi w:val="0"/>
              <w:spacing w:before="0" w:after="283"/>
              <w:jc w:val="left"/>
              <w:rPr/>
            </w:pPr>
            <w:r>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622</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3,516</w:t>
            </w:r>
          </w:p>
        </w:tc>
        <w:tc>
          <w:tcPr>
            <w:tcW w:w="95" w:type="dxa"/>
            <w:tcBorders/>
            <w:shd w:fill="CFF0FC" w:val="clear"/>
            <w:vAlign w:val="center"/>
          </w:tcPr>
          <w:p>
            <w:pPr>
              <w:pStyle w:val="TableContents"/>
              <w:bidi w:val="0"/>
              <w:spacing w:before="0" w:after="283"/>
              <w:jc w:val="left"/>
              <w:rPr/>
            </w:pPr>
            <w:r>
              <w:rPr/>
              <w:t> </w:t>
            </w:r>
            <w:bookmarkStart w:id="68" w:name="xdx_40A_eus-gaap--Liabilities_i01TI_mtLz"/>
            <w:bookmarkEnd w:id="6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50,017</w:t>
            </w:r>
          </w:p>
        </w:tc>
        <w:tc>
          <w:tcPr>
            <w:tcW w:w="95" w:type="dxa"/>
            <w:tcBorders/>
            <w:shd w:fill="FFFFFF" w:val="clear"/>
            <w:vAlign w:val="center"/>
          </w:tcPr>
          <w:p>
            <w:pPr>
              <w:pStyle w:val="TableContents"/>
              <w:bidi w:val="0"/>
              <w:spacing w:before="0" w:after="283"/>
              <w:jc w:val="left"/>
              <w:rPr/>
            </w:pPr>
            <w:r>
              <w:rPr/>
              <w:t> </w:t>
            </w:r>
            <w:bookmarkStart w:id="69" w:name="xdx_40A_eus-gaap--CommitmentsAndContinge"/>
            <w:bookmarkEnd w:id="69"/>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 (Note 6)</w:t>
            </w:r>
          </w:p>
        </w:tc>
        <w:tc>
          <w:tcPr>
            <w:tcW w:w="60"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right"/>
              <w:rPr/>
            </w:pPr>
            <w:r>
              <w:rPr/>
              <w:t>— </w:t>
            </w:r>
          </w:p>
        </w:tc>
        <w:tc>
          <w:tcPr>
            <w:tcW w:w="80" w:type="dxa"/>
            <w:tcBorders/>
            <w:shd w:fill="CFF0FC" w:val="clear"/>
            <w:vAlign w:val="center"/>
          </w:tcPr>
          <w:p>
            <w:pPr>
              <w:pStyle w:val="TableContents"/>
              <w:bidi w:val="0"/>
              <w:spacing w:before="0" w:after="283"/>
              <w:jc w:val="right"/>
              <w:rPr/>
            </w:pPr>
            <w:r>
              <w:rPr/>
              <w:t> </w:t>
            </w:r>
          </w:p>
        </w:tc>
        <w:tc>
          <w:tcPr>
            <w:tcW w:w="60"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95" w:type="dxa"/>
            <w:tcBorders/>
            <w:shd w:fill="CFF0FC" w:val="clear"/>
            <w:vAlign w:val="center"/>
          </w:tcPr>
          <w:p>
            <w:pPr>
              <w:pStyle w:val="TableContents"/>
              <w:bidi w:val="0"/>
              <w:spacing w:before="0" w:after="283"/>
              <w:jc w:val="right"/>
              <w:rPr/>
            </w:pPr>
            <w:r>
              <w:rPr/>
              <w:t> </w:t>
            </w:r>
            <w:bookmarkStart w:id="70" w:name="xdx_402_eus-gaap--StockholdersEquityAbst"/>
            <w:bookmarkEnd w:id="7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 (deficit):</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right"/>
              <w:rPr/>
            </w:pPr>
            <w:r>
              <w:rPr/>
              <w:t> </w:t>
            </w:r>
            <w:bookmarkStart w:id="71" w:name="xdx_400_eus-gaap--PreferredStockValue_i0"/>
            <w:bookmarkEnd w:id="71"/>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w:t>
            </w:r>
            <w:bookmarkStart w:id="72" w:name="xdx_90F_eus-gaap--PreferredStockParOrSta"/>
            <w:bookmarkStart w:id="73" w:name="xdx_90C_eus-gaap--PreferredStockParOrSta"/>
            <w:bookmarkEnd w:id="72"/>
            <w:bookmarkEnd w:id="73"/>
            <w:r>
              <w:rPr>
                <w:rFonts w:ascii="Times New Roman;Times;Serif" w:hAnsi="Times New Roman;Times;Serif"/>
                <w:sz w:val="20"/>
              </w:rPr>
              <w:t xml:space="preserve">0.0001 par value; </w:t>
            </w:r>
            <w:bookmarkStart w:id="74" w:name="xdx_900_eus-gaap--PreferredStockSharesAu"/>
            <w:bookmarkStart w:id="75" w:name="xdx_90A_eus-gaap--PreferredStockSharesAu"/>
            <w:bookmarkEnd w:id="74"/>
            <w:bookmarkEnd w:id="75"/>
            <w:r>
              <w:rPr>
                <w:rFonts w:ascii="Times New Roman;Times;Serif" w:hAnsi="Times New Roman;Times;Serif"/>
                <w:sz w:val="20"/>
              </w:rPr>
              <w:t xml:space="preserve">200,000,000 shares authorized at June 30, 2026 and December 31, 2025; </w:t>
            </w:r>
            <w:bookmarkStart w:id="76" w:name="xdx_902_eus-gaap--PreferredStockSharesOu"/>
            <w:bookmarkStart w:id="77" w:name="xdx_908_eus-gaap--PreferredStockSharesIs"/>
            <w:bookmarkStart w:id="78" w:name="xdx_904_eus-gaap--PreferredStockSharesOu"/>
            <w:bookmarkStart w:id="79" w:name="xdx_908_eus-gaap--PreferredStockSharesIs"/>
            <w:bookmarkEnd w:id="76"/>
            <w:bookmarkEnd w:id="77"/>
            <w:bookmarkEnd w:id="78"/>
            <w:bookmarkEnd w:id="79"/>
            <w:r>
              <w:rPr>
                <w:rFonts w:ascii="Times New Roman;Times;Serif" w:hAnsi="Times New Roman;Times;Serif"/>
                <w:sz w:val="20"/>
              </w:rPr>
              <w:t>0 shares issued and outstanding at June 30, 2026 and December 31, 2025</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pPr>
            <w:r>
              <w:rPr/>
              <w:t>—</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pPr>
            <w:r>
              <w:rPr/>
              <w:t>—</w:t>
            </w:r>
          </w:p>
        </w:tc>
        <w:tc>
          <w:tcPr>
            <w:tcW w:w="95" w:type="dxa"/>
            <w:tcBorders/>
            <w:shd w:fill="CFF0FC" w:val="clear"/>
            <w:vAlign w:val="center"/>
          </w:tcPr>
          <w:p>
            <w:pPr>
              <w:pStyle w:val="TableContents"/>
              <w:bidi w:val="0"/>
              <w:spacing w:before="0" w:after="283"/>
              <w:ind w:left="0" w:right="0" w:hanging="200"/>
              <w:jc w:val="left"/>
              <w:rPr/>
            </w:pPr>
            <w:r>
              <w:rPr/>
              <w:t> </w:t>
            </w:r>
          </w:p>
        </w:tc>
      </w:tr>
      <w:tr>
        <w:trPr/>
        <w:tc>
          <w:tcPr>
            <w:tcW w:w="6580" w:type="dxa"/>
            <w:tcBorders/>
            <w:shd w:fill="FFFFFF" w:val="clear"/>
            <w:vAlign w:val="center"/>
          </w:tcPr>
          <w:p>
            <w:pPr>
              <w:pStyle w:val="TableContents"/>
              <w:bidi w:val="0"/>
              <w:spacing w:before="0" w:after="283"/>
              <w:jc w:val="left"/>
              <w:rPr/>
            </w:pPr>
            <w:r>
              <w:rPr>
                <w:rFonts w:ascii="Times New Roman;Times;Serif" w:hAnsi="Times New Roman;Times;Serif"/>
                <w:sz w:val="20"/>
              </w:rPr>
              <w:t>Common stock, $</w:t>
            </w:r>
            <w:bookmarkStart w:id="80" w:name="xdx_90B_eus-gaap--CommonStockParOrStated"/>
            <w:bookmarkStart w:id="81" w:name="xdx_90E_eus-gaap--CommonStockParOrStated"/>
            <w:bookmarkEnd w:id="80"/>
            <w:bookmarkEnd w:id="81"/>
            <w:r>
              <w:rPr>
                <w:rFonts w:ascii="Times New Roman;Times;Serif" w:hAnsi="Times New Roman;Times;Serif"/>
                <w:sz w:val="20"/>
              </w:rPr>
              <w:t>0.0001</w:t>
            </w:r>
            <w:r>
              <w:rPr/>
              <w:t xml:space="preserve"> </w:t>
            </w:r>
            <w:r>
              <w:rPr>
                <w:rFonts w:ascii="Times New Roman;Times;Serif" w:hAnsi="Times New Roman;Times;Serif"/>
                <w:sz w:val="20"/>
              </w:rPr>
              <w:t xml:space="preserve">par value; </w:t>
            </w:r>
            <w:bookmarkStart w:id="82" w:name="xdx_906_eus-gaap--CommonStockSharesAutho"/>
            <w:bookmarkStart w:id="83" w:name="xdx_90A_eus-gaap--CommonStockSharesAutho"/>
            <w:bookmarkEnd w:id="82"/>
            <w:bookmarkEnd w:id="83"/>
            <w:r>
              <w:rPr>
                <w:rFonts w:ascii="Times New Roman;Times;Serif" w:hAnsi="Times New Roman;Times;Serif"/>
                <w:sz w:val="20"/>
              </w:rPr>
              <w:t>350,000,000</w:t>
            </w:r>
            <w:r>
              <w:rPr/>
              <w:t xml:space="preserve"> </w:t>
            </w:r>
            <w:r>
              <w:rPr>
                <w:rFonts w:ascii="Times New Roman;Times;Serif" w:hAnsi="Times New Roman;Times;Serif"/>
                <w:sz w:val="20"/>
              </w:rPr>
              <w:t xml:space="preserve">shares authorized at June 30, 2026 and December 31, 2025; </w:t>
            </w:r>
            <w:bookmarkStart w:id="84" w:name="xdx_90F_eus-gaap--CommonStockSharesOutst"/>
            <w:bookmarkStart w:id="85" w:name="xdx_90A_eus-gaap--CommonStockSharesIssue"/>
            <w:bookmarkEnd w:id="84"/>
            <w:bookmarkEnd w:id="85"/>
            <w:r>
              <w:rPr>
                <w:rFonts w:ascii="Times New Roman;Times;Serif" w:hAnsi="Times New Roman;Times;Serif"/>
                <w:sz w:val="20"/>
              </w:rPr>
              <w:t>1,663,280</w:t>
            </w:r>
            <w:r>
              <w:rPr/>
              <w:t xml:space="preserve"> </w:t>
            </w:r>
            <w:r>
              <w:rPr>
                <w:rFonts w:ascii="Times New Roman;Times;Serif" w:hAnsi="Times New Roman;Times;Serif"/>
                <w:sz w:val="20"/>
              </w:rPr>
              <w:t xml:space="preserve">and </w:t>
            </w:r>
            <w:bookmarkStart w:id="86" w:name="xdx_90B_eus-gaap--CommonStockSharesOutst"/>
            <w:bookmarkStart w:id="87" w:name="xdx_901_eus-gaap--CommonStockSharesIssue"/>
            <w:bookmarkEnd w:id="86"/>
            <w:bookmarkEnd w:id="87"/>
            <w:r>
              <w:rPr>
                <w:rFonts w:ascii="Times New Roman;Times;Serif" w:hAnsi="Times New Roman;Times;Serif"/>
                <w:sz w:val="20"/>
              </w:rPr>
              <w:t>1,269,286</w:t>
            </w:r>
            <w:r>
              <w:rPr/>
              <w:t xml:space="preserve">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88" w:name="xdx_982_eus-gaap--CommonStockValue_i01I_"/>
            <w:bookmarkEnd w:id="88"/>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89" w:name="xdx_987_eus-gaap--CommonStockValue_i01I_"/>
            <w:bookmarkEnd w:id="89"/>
          </w:p>
        </w:tc>
        <w:tc>
          <w:tcPr>
            <w:tcW w:w="8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common stock, $</w:t>
            </w:r>
            <w:bookmarkStart w:id="90" w:name="xdx_902_eus-gaap--CommonStockParOrStated"/>
            <w:bookmarkStart w:id="91" w:name="xdx_903_eus-gaap--CommonStockParOrStated"/>
            <w:bookmarkEnd w:id="90"/>
            <w:bookmarkEnd w:id="91"/>
            <w:r>
              <w:rPr>
                <w:rFonts w:ascii="Times New Roman;Times;Serif" w:hAnsi="Times New Roman;Times;Serif"/>
                <w:sz w:val="20"/>
              </w:rPr>
              <w:t xml:space="preserve">0.0001 par value; </w:t>
            </w:r>
            <w:bookmarkStart w:id="92" w:name="xdx_903_eus-gaap--CommonStockSharesAutho"/>
            <w:bookmarkStart w:id="93" w:name="xdx_901_eus-gaap--CommonStockSharesAutho"/>
            <w:bookmarkEnd w:id="92"/>
            <w:bookmarkEnd w:id="93"/>
            <w:r>
              <w:rPr>
                <w:rFonts w:ascii="Times New Roman;Times;Serif" w:hAnsi="Times New Roman;Times;Serif"/>
                <w:sz w:val="20"/>
              </w:rPr>
              <w:t xml:space="preserve">15,368,569 shares authorized at June 30, 2026 and December 31, 2025; </w:t>
            </w:r>
            <w:bookmarkStart w:id="94" w:name="xdx_907_eus-gaap--CommonStockSharesOutst"/>
            <w:bookmarkStart w:id="95" w:name="xdx_90C_eus-gaap--CommonStockSharesIssue"/>
            <w:bookmarkStart w:id="96" w:name="xdx_90A_eus-gaap--CommonStockSharesOutst"/>
            <w:bookmarkStart w:id="97" w:name="xdx_90A_eus-gaap--CommonStockSharesIssue"/>
            <w:bookmarkEnd w:id="94"/>
            <w:bookmarkEnd w:id="95"/>
            <w:bookmarkEnd w:id="96"/>
            <w:bookmarkEnd w:id="97"/>
            <w:r>
              <w:rPr>
                <w:rFonts w:ascii="Times New Roman;Times;Serif" w:hAnsi="Times New Roman;Times;Serif"/>
                <w:sz w:val="20"/>
              </w:rPr>
              <w:t>0 shares issued and outstanding at June 30, 2026 and December 31, 2025</w:t>
            </w:r>
          </w:p>
        </w:tc>
        <w:tc>
          <w:tcPr>
            <w:tcW w:w="60" w:type="dxa"/>
            <w:tcBorders/>
            <w:shd w:fill="CFF0FC" w:val="clear"/>
            <w:vAlign w:val="center"/>
          </w:tcPr>
          <w:p>
            <w:pPr>
              <w:pStyle w:val="TableContents"/>
              <w:bidi w:val="0"/>
              <w:spacing w:before="0" w:after="283"/>
              <w:jc w:val="left"/>
              <w:rPr/>
            </w:pPr>
            <w:r>
              <w:rPr/>
              <w:t> </w:t>
            </w:r>
          </w:p>
        </w:tc>
        <w:tc>
          <w:tcPr>
            <w:tcW w:w="125" w:type="dxa"/>
            <w:tcBorders/>
            <w:shd w:fill="CFF0FC" w:val="clear"/>
            <w:vAlign w:val="center"/>
          </w:tcPr>
          <w:p>
            <w:pPr>
              <w:pStyle w:val="TableContents"/>
              <w:bidi w:val="0"/>
              <w:spacing w:before="0" w:after="283"/>
              <w:jc w:val="left"/>
              <w:rPr/>
            </w:pPr>
            <w:r>
              <w:rPr/>
              <w:t> </w:t>
            </w:r>
            <w:bookmarkStart w:id="98" w:name="xdx_981_eus-gaap--CommonStockValue_i01I_"/>
            <w:bookmarkEnd w:id="98"/>
          </w:p>
        </w:tc>
        <w:tc>
          <w:tcPr>
            <w:tcW w:w="755" w:type="dxa"/>
            <w:tcBorders/>
            <w:shd w:fill="CFF0FC" w:val="clear"/>
            <w:vAlign w:val="center"/>
          </w:tcPr>
          <w:p>
            <w:pPr>
              <w:pStyle w:val="TableContents"/>
              <w:bidi w:val="0"/>
              <w:spacing w:before="0" w:after="283"/>
              <w:jc w:val="right"/>
              <w:rPr/>
            </w:pPr>
            <w:r>
              <w:rPr/>
              <w:t>—</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shd w:fill="CFF0FC" w:val="clear"/>
            <w:vAlign w:val="center"/>
          </w:tcPr>
          <w:p>
            <w:pPr>
              <w:pStyle w:val="TableContents"/>
              <w:bidi w:val="0"/>
              <w:spacing w:before="0" w:after="283"/>
              <w:jc w:val="left"/>
              <w:rPr/>
            </w:pPr>
            <w:r>
              <w:rPr/>
              <w:t> </w:t>
            </w:r>
            <w:bookmarkStart w:id="99" w:name="xdx_980_eus-gaap--CommonStockValue_i01I_"/>
            <w:bookmarkEnd w:id="99"/>
          </w:p>
        </w:tc>
        <w:tc>
          <w:tcPr>
            <w:tcW w:w="867" w:type="dxa"/>
            <w:tcBorders/>
            <w:shd w:fill="CFF0FC" w:val="clear"/>
            <w:vAlign w:val="center"/>
          </w:tcPr>
          <w:p>
            <w:pPr>
              <w:pStyle w:val="TableContents"/>
              <w:bidi w:val="0"/>
              <w:spacing w:before="0" w:after="283"/>
              <w:jc w:val="right"/>
              <w:rPr/>
            </w:pPr>
            <w:r>
              <w:rPr/>
              <w:t>—</w:t>
            </w:r>
          </w:p>
        </w:tc>
        <w:tc>
          <w:tcPr>
            <w:tcW w:w="95" w:type="dxa"/>
            <w:tcBorders/>
            <w:shd w:fill="CFF0FC" w:val="clear"/>
            <w:vAlign w:val="center"/>
          </w:tcPr>
          <w:p>
            <w:pPr>
              <w:pStyle w:val="TableContents"/>
              <w:bidi w:val="0"/>
              <w:spacing w:before="0" w:after="283"/>
              <w:jc w:val="left"/>
              <w:rPr/>
            </w:pPr>
            <w:r>
              <w:rPr/>
              <w:t> </w:t>
            </w:r>
            <w:bookmarkStart w:id="100" w:name="xdx_404_eus-gaap--AdditionalPaidInCapita"/>
            <w:bookmarkEnd w:id="10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515,302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509,457</w:t>
            </w:r>
          </w:p>
        </w:tc>
        <w:tc>
          <w:tcPr>
            <w:tcW w:w="95" w:type="dxa"/>
            <w:tcBorders/>
            <w:shd w:fill="FFFFFF" w:val="clear"/>
            <w:vAlign w:val="center"/>
          </w:tcPr>
          <w:p>
            <w:pPr>
              <w:pStyle w:val="TableContents"/>
              <w:bidi w:val="0"/>
              <w:spacing w:before="0" w:after="283"/>
              <w:jc w:val="left"/>
              <w:rPr/>
            </w:pPr>
            <w:r>
              <w:rPr/>
              <w:t> </w:t>
            </w:r>
            <w:bookmarkStart w:id="101" w:name="xdx_40F_eus-gaap--RetainedEarningsAccumu"/>
            <w:bookmarkEnd w:id="101"/>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FF0FC" w:val="clear"/>
            <w:vAlign w:val="center"/>
          </w:tcPr>
          <w:p>
            <w:pPr>
              <w:pStyle w:val="TableContents"/>
              <w:bidi w:val="0"/>
              <w:spacing w:before="0" w:after="283"/>
              <w:jc w:val="left"/>
              <w:rPr/>
            </w:pPr>
            <w:r>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(551,538</w:t>
            </w:r>
          </w:p>
        </w:tc>
        <w:tc>
          <w:tcPr>
            <w:tcW w:w="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FF0FC" w:val="clear"/>
            <w:vAlign w:val="center"/>
          </w:tcPr>
          <w:p>
            <w:pPr>
              <w:pStyle w:val="TableContents"/>
              <w:bidi w:val="0"/>
              <w:spacing w:before="0" w:after="283"/>
              <w:jc w:val="left"/>
              <w:rPr/>
            </w:pPr>
            <w:r>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(545,646</w:t>
            </w:r>
          </w:p>
        </w:tc>
        <w:tc>
          <w:tcPr>
            <w:tcW w:w="95"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 w:name="xdx_404_eus-gaap--StockholdersEquity_i01"/>
            <w:bookmarkEnd w:id="10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 w:name="xdx_405_eus-gaap--LiabilitiesAndStockhol"/>
            <w:bookmarkEnd w:id="103"/>
          </w:p>
        </w:tc>
      </w:tr>
      <w:tr>
        <w:trPr/>
        <w:tc>
          <w:tcPr>
            <w:tcW w:w="6580" w:type="dxa"/>
            <w:tcBorders/>
            <w:shd w:fill="CFF0FC"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stockholders’ equity (deficit)</w:t>
            </w:r>
          </w:p>
        </w:tc>
        <w:tc>
          <w:tcPr>
            <w:tcW w:w="60" w:type="dxa"/>
            <w:tcBorders/>
            <w:shd w:fill="CFF0FC" w:val="clear"/>
            <w:vAlign w:val="center"/>
          </w:tcPr>
          <w:p>
            <w:pPr>
              <w:pStyle w:val="TableContents"/>
              <w:bidi w:val="0"/>
              <w:spacing w:before="0" w:after="283"/>
              <w:jc w:val="left"/>
              <w:rPr/>
            </w:pPr>
            <w:r>
              <w:rPr/>
              <w:t> </w:t>
            </w:r>
          </w:p>
        </w:tc>
        <w:tc>
          <w:tcPr>
            <w:tcW w:w="125"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9,506</w:t>
            </w:r>
          </w:p>
        </w:tc>
        <w:tc>
          <w:tcPr>
            <w:tcW w:w="80" w:type="dxa"/>
            <w:tcBorders/>
            <w:shd w:fill="CFF0FC" w:val="clear"/>
            <w:vAlign w:val="center"/>
          </w:tcPr>
          <w:p>
            <w:pPr>
              <w:pStyle w:val="TableContents"/>
              <w:bidi w:val="0"/>
              <w:spacing w:before="0" w:after="283"/>
              <w:jc w:val="left"/>
              <w:rPr/>
            </w:pPr>
            <w:r>
              <w:rPr/>
              <w:t> </w:t>
            </w:r>
          </w:p>
        </w:tc>
        <w:tc>
          <w:tcPr>
            <w:tcW w:w="60" w:type="dxa"/>
            <w:tcBorders/>
            <w:shd w:fill="CFF0FC" w:val="clear"/>
            <w:vAlign w:val="center"/>
          </w:tcPr>
          <w:p>
            <w:pPr>
              <w:pStyle w:val="TableContents"/>
              <w:bidi w:val="0"/>
              <w:spacing w:before="0" w:after="283"/>
              <w:jc w:val="left"/>
              <w:rPr/>
            </w:pPr>
            <w:r>
              <w:rPr/>
              <w:t> </w:t>
            </w:r>
          </w:p>
        </w:tc>
        <w:tc>
          <w:tcPr>
            <w:tcW w:w="143"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13,828</w:t>
            </w:r>
          </w:p>
        </w:tc>
        <w:tc>
          <w:tcPr>
            <w:tcW w:w="95" w:type="dxa"/>
            <w:tcBorders/>
            <w:shd w:fill="CFF0FC" w:val="clear"/>
            <w:vAlign w:val="center"/>
          </w:tcPr>
          <w:p>
            <w:pPr>
              <w:pStyle w:val="TableContents"/>
              <w:bidi w:val="0"/>
              <w:spacing w:before="0" w:after="283"/>
              <w:jc w:val="left"/>
              <w:rPr/>
            </w:pPr>
            <w:r>
              <w:rPr/>
              <w:t> </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See accompanying notes. </w:t>
      </w:r>
      <w:r>
        <w:rPr>
          <w:rFonts w:ascii="Times New Roman;Times;Serif" w:hAnsi="Times New Roman;Times;Serif"/>
          <w:b w:val="false"/>
          <w:i w:val="false"/>
          <w:caps w:val="false"/>
          <w:smallCaps w:val="false"/>
          <w:sz w:val="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BioAtla, Inc. </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104" w:name="a002"/>
      <w:bookmarkEnd w:id="104"/>
      <w:r>
        <w:rPr>
          <w:rFonts w:ascii="Times New Roman;Times;Serif" w:hAnsi="Times New Roman;Times;Serif"/>
          <w:b/>
          <w:i w:val="false"/>
          <w:caps w:val="false"/>
          <w:smallCaps w:val="false"/>
          <w:sz w:val="20"/>
        </w:rPr>
        <w:t>Unaudited Condensed Consolidated Statements of Operations and Comprehensive Income (Loss)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105" w:name="xdx_30B_113_pn3n3_zgKDAy1qKc5i"/>
      <w:bookmarkStart w:id="106" w:name="xdx_30B_113_pn3n3_zgKDAy1qKc5i"/>
      <w:bookmarkEnd w:id="106"/>
    </w:p>
    <w:tbl>
      <w:tblPr>
        <w:tblW w:w="8765" w:type="dxa"/>
        <w:jc w:val="left"/>
        <w:tblInd w:w="720" w:type="dxa"/>
        <w:tblLayout w:type="fixed"/>
        <w:tblCellMar>
          <w:top w:w="0" w:type="dxa"/>
          <w:left w:w="0" w:type="dxa"/>
          <w:bottom w:w="0" w:type="dxa"/>
          <w:right w:w="0" w:type="dxa"/>
        </w:tblCellMar>
      </w:tblPr>
      <w:tblGrid>
        <w:gridCol w:w="3650"/>
        <w:gridCol w:w="60"/>
        <w:gridCol w:w="140"/>
        <w:gridCol w:w="980"/>
        <w:gridCol w:w="95"/>
        <w:gridCol w:w="60"/>
        <w:gridCol w:w="140"/>
        <w:gridCol w:w="980"/>
        <w:gridCol w:w="95"/>
        <w:gridCol w:w="60"/>
        <w:gridCol w:w="140"/>
        <w:gridCol w:w="980"/>
        <w:gridCol w:w="95"/>
        <w:gridCol w:w="60"/>
        <w:gridCol w:w="140"/>
        <w:gridCol w:w="980"/>
        <w:gridCol w:w="11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7" w:name="xdx_491_20260401__20260630_z042bbn1e4r"/>
            <w:bookmarkEnd w:id="107"/>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8" w:name="xdx_497_20250401__20250630_zalOl9sUJmB5"/>
            <w:bookmarkEnd w:id="108"/>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9" w:name="xdx_498_20260101__20260630_zvli2xDLzJJ5"/>
            <w:bookmarkEnd w:id="109"/>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0" w:name="xdx_490_20250101__20250630_zpZo2bYTWbGk"/>
            <w:bookmarkEnd w:id="110"/>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11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110" w:type="dxa"/>
            <w:tcBorders/>
            <w:vAlign w:val="center"/>
          </w:tcPr>
          <w:p>
            <w:pPr>
              <w:pStyle w:val="TableContents"/>
              <w:bidi w:val="0"/>
              <w:spacing w:before="0" w:after="283"/>
              <w:jc w:val="left"/>
              <w:rPr/>
            </w:pPr>
            <w:r>
              <w:rPr/>
              <w:t> </w:t>
            </w:r>
            <w:bookmarkStart w:id="111" w:name="xdx_408_eus-gaap--RevenueFromCollaborati"/>
            <w:bookmarkEnd w:id="111"/>
          </w:p>
        </w:tc>
      </w:tr>
      <w:tr>
        <w:trPr/>
        <w:tc>
          <w:tcPr>
            <w:tcW w:w="3650"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2" w:name="xdx_40C_eus-gaap--OperatingExpensesAbstr"/>
            <w:bookmarkEnd w:id="112"/>
          </w:p>
        </w:tc>
      </w:tr>
      <w:tr>
        <w:trPr/>
        <w:tc>
          <w:tcPr>
            <w:tcW w:w="36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 w:name="xdx_402_eus-gaap--ResearchAndDevelopment"/>
            <w:bookmarkEnd w:id="113"/>
          </w:p>
        </w:tc>
      </w:tr>
      <w:tr>
        <w:trPr/>
        <w:tc>
          <w:tcPr>
            <w:tcW w:w="3650" w:type="dxa"/>
            <w:tcBorders/>
            <w:shd w:fill="CCEEFF" w:val="clear"/>
            <w:vAlign w:val="center"/>
          </w:tcPr>
          <w:p>
            <w:pPr>
              <w:pStyle w:val="TableContents"/>
              <w:bidi w:val="0"/>
              <w:spacing w:before="0" w:after="283"/>
              <w:jc w:val="left"/>
              <w:rPr/>
            </w:pPr>
            <w:r>
              <w:rPr/>
              <w:t>Research and development expense (includes related party amounts of $</w:t>
            </w:r>
            <w:bookmarkStart w:id="114" w:name="xdx_906_eus-gaap--RelatedPartyTransactio"/>
            <w:bookmarkStart w:id="115" w:name="xdx_90D_eus-gaap--RelatedPartyTransactio"/>
            <w:bookmarkEnd w:id="114"/>
            <w:bookmarkEnd w:id="115"/>
            <w:r>
              <w:rPr/>
              <w:t>975 for the three and six months ended June 30, 2026 and $</w:t>
            </w:r>
            <w:bookmarkStart w:id="116" w:name="xdx_90B_eus-gaap--RelatedPartyTransactio"/>
            <w:bookmarkStart w:id="117" w:name="xdx_90E_eus-gaap--RelatedPartyTransactio"/>
            <w:bookmarkEnd w:id="116"/>
            <w:bookmarkEnd w:id="117"/>
            <w:r>
              <w:rPr/>
              <w:t>0 for the three and six months ended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26,039</w:t>
            </w:r>
          </w:p>
        </w:tc>
        <w:tc>
          <w:tcPr>
            <w:tcW w:w="110" w:type="dxa"/>
            <w:tcBorders/>
            <w:shd w:fill="CCEEFF" w:val="clear"/>
            <w:vAlign w:val="center"/>
          </w:tcPr>
          <w:p>
            <w:pPr>
              <w:pStyle w:val="TableContents"/>
              <w:bidi w:val="0"/>
              <w:spacing w:before="0" w:after="283"/>
              <w:jc w:val="left"/>
              <w:rPr/>
            </w:pPr>
            <w:r>
              <w:rPr/>
              <w:t> </w:t>
            </w:r>
            <w:bookmarkStart w:id="118" w:name="xdx_40A_eus-gaap--GeneralAndAdministrati"/>
            <w:bookmarkEnd w:id="118"/>
          </w:p>
        </w:tc>
      </w:tr>
      <w:tr>
        <w:trPr/>
        <w:tc>
          <w:tcPr>
            <w:tcW w:w="365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10,222</w:t>
            </w:r>
          </w:p>
        </w:tc>
        <w:tc>
          <w:tcPr>
            <w:tcW w:w="110" w:type="dxa"/>
            <w:tcBorders/>
            <w:shd w:fill="FFFFFF" w:val="clear"/>
            <w:vAlign w:val="center"/>
          </w:tcPr>
          <w:p>
            <w:pPr>
              <w:pStyle w:val="TableContents"/>
              <w:bidi w:val="0"/>
              <w:spacing w:before="0" w:after="283"/>
              <w:jc w:val="left"/>
              <w:rPr/>
            </w:pPr>
            <w:r>
              <w:rPr/>
              <w:t> </w:t>
            </w:r>
            <w:bookmarkStart w:id="119" w:name="xdx_40D_eus-gaap--OperatingExpenses_iT_m"/>
            <w:bookmarkEnd w:id="119"/>
          </w:p>
        </w:tc>
      </w:tr>
      <w:tr>
        <w:trPr/>
        <w:tc>
          <w:tcPr>
            <w:tcW w:w="365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36,261</w:t>
            </w:r>
          </w:p>
        </w:tc>
        <w:tc>
          <w:tcPr>
            <w:tcW w:w="110" w:type="dxa"/>
            <w:tcBorders/>
            <w:shd w:fill="CCEEFF" w:val="clear"/>
            <w:vAlign w:val="center"/>
          </w:tcPr>
          <w:p>
            <w:pPr>
              <w:pStyle w:val="TableContents"/>
              <w:bidi w:val="0"/>
              <w:spacing w:before="0" w:after="283"/>
              <w:jc w:val="left"/>
              <w:rPr/>
            </w:pPr>
            <w:r>
              <w:rPr/>
              <w:t> </w:t>
            </w:r>
            <w:bookmarkStart w:id="120" w:name="xdx_407_eus-gaap--OperatingIncomeLoss_iT"/>
            <w:bookmarkEnd w:id="120"/>
          </w:p>
        </w:tc>
      </w:tr>
      <w:tr>
        <w:trPr/>
        <w:tc>
          <w:tcPr>
            <w:tcW w:w="3650"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(18,647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(36,261</w:t>
            </w:r>
          </w:p>
        </w:tc>
        <w:tc>
          <w:tcPr>
            <w:tcW w:w="110" w:type="dxa"/>
            <w:tcBorders/>
            <w:shd w:fill="FFFFFF" w:val="clear"/>
            <w:vAlign w:val="center"/>
          </w:tcPr>
          <w:p>
            <w:pPr>
              <w:pStyle w:val="TableContents"/>
              <w:bidi w:val="0"/>
              <w:spacing w:before="0" w:after="283"/>
              <w:jc w:val="left"/>
              <w:rPr/>
            </w:pPr>
            <w:r>
              <w:rPr/>
              <w:t>)</w:t>
            </w:r>
            <w:bookmarkStart w:id="121" w:name="xdx_404_eus-gaap--NonoperatingIncomeExpe"/>
            <w:bookmarkEnd w:id="121"/>
          </w:p>
        </w:tc>
      </w:tr>
      <w:tr>
        <w:trPr/>
        <w:tc>
          <w:tcPr>
            <w:tcW w:w="365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 w:name="xdx_40A_eus-gaap--InvestmentIncomeIntere"/>
            <w:bookmarkEnd w:id="122"/>
          </w:p>
        </w:tc>
      </w:tr>
      <w:tr>
        <w:trPr/>
        <w:tc>
          <w:tcPr>
            <w:tcW w:w="365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633</w:t>
            </w:r>
          </w:p>
        </w:tc>
        <w:tc>
          <w:tcPr>
            <w:tcW w:w="110" w:type="dxa"/>
            <w:tcBorders/>
            <w:shd w:fill="FFFFFF" w:val="clear"/>
            <w:vAlign w:val="center"/>
          </w:tcPr>
          <w:p>
            <w:pPr>
              <w:pStyle w:val="TableContents"/>
              <w:bidi w:val="0"/>
              <w:spacing w:before="0" w:after="283"/>
              <w:jc w:val="left"/>
              <w:rPr/>
            </w:pPr>
            <w:r>
              <w:rPr/>
              <w:t> </w:t>
            </w:r>
            <w:bookmarkStart w:id="123" w:name="xdx_409_ecustom--GainLossOnWarrantLiabil"/>
            <w:bookmarkEnd w:id="123"/>
          </w:p>
        </w:tc>
      </w:tr>
      <w:tr>
        <w:trPr/>
        <w:tc>
          <w:tcPr>
            <w:tcW w:w="3650" w:type="dxa"/>
            <w:tcBorders/>
            <w:shd w:fill="CCEEFF" w:val="clear"/>
            <w:vAlign w:val="center"/>
          </w:tcPr>
          <w:p>
            <w:pPr>
              <w:pStyle w:val="TableContents"/>
              <w:bidi w:val="0"/>
              <w:spacing w:before="0" w:after="283"/>
              <w:jc w:val="left"/>
              <w:rPr/>
            </w:pPr>
            <w:r>
              <w:rPr/>
              <w:t>Gain (loss) on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1,583</w:t>
            </w:r>
          </w:p>
        </w:tc>
        <w:tc>
          <w:tcPr>
            <w:tcW w:w="110" w:type="dxa"/>
            <w:tcBorders/>
            <w:shd w:fill="CCEEFF" w:val="clear"/>
            <w:vAlign w:val="center"/>
          </w:tcPr>
          <w:p>
            <w:pPr>
              <w:pStyle w:val="TableContents"/>
              <w:bidi w:val="0"/>
              <w:spacing w:before="0" w:after="283"/>
              <w:jc w:val="left"/>
              <w:rPr/>
            </w:pPr>
            <w:r>
              <w:rPr/>
              <w:t> </w:t>
            </w:r>
            <w:bookmarkStart w:id="124" w:name="xdx_40C_ecustom--GainLossOnPrePaidAdvanc"/>
            <w:bookmarkEnd w:id="124"/>
          </w:p>
        </w:tc>
      </w:tr>
      <w:tr>
        <w:trPr/>
        <w:tc>
          <w:tcPr>
            <w:tcW w:w="3650" w:type="dxa"/>
            <w:tcBorders/>
            <w:shd w:fill="FFFFFF" w:val="clear"/>
            <w:vAlign w:val="center"/>
          </w:tcPr>
          <w:p>
            <w:pPr>
              <w:pStyle w:val="TableContents"/>
              <w:bidi w:val="0"/>
              <w:spacing w:before="0" w:after="283"/>
              <w:jc w:val="left"/>
              <w:rPr/>
            </w:pPr>
            <w:r>
              <w:rPr/>
              <w:t>Gain on PPAs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5" w:name="xdx_408_eus-gaap--OtherExpenses_iN_di_ms"/>
            <w:bookmarkEnd w:id="125"/>
          </w:p>
        </w:tc>
      </w:tr>
      <w:tr>
        <w:trPr/>
        <w:tc>
          <w:tcPr>
            <w:tcW w:w="365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6" w:name="xdx_404_eus-gaap--OtherNonoperatingIncom"/>
            <w:bookmarkEnd w:id="126"/>
          </w:p>
        </w:tc>
      </w:tr>
      <w:tr>
        <w:trPr/>
        <w:tc>
          <w:tcPr>
            <w:tcW w:w="3650"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2,216</w:t>
            </w:r>
          </w:p>
        </w:tc>
        <w:tc>
          <w:tcPr>
            <w:tcW w:w="110" w:type="dxa"/>
            <w:tcBorders/>
            <w:shd w:fill="FFFFFF" w:val="clear"/>
            <w:vAlign w:val="center"/>
          </w:tcPr>
          <w:p>
            <w:pPr>
              <w:pStyle w:val="TableContents"/>
              <w:bidi w:val="0"/>
              <w:spacing w:before="0" w:after="283"/>
              <w:jc w:val="left"/>
              <w:rPr/>
            </w:pPr>
            <w:r>
              <w:rPr/>
              <w:t> </w:t>
            </w:r>
            <w:bookmarkStart w:id="127" w:name="xdx_405_eus-gaap--NetIncomeLoss_iT_mtNIL"/>
            <w:bookmarkEnd w:id="127"/>
          </w:p>
        </w:tc>
      </w:tr>
      <w:tr>
        <w:trPr/>
        <w:tc>
          <w:tcPr>
            <w:tcW w:w="3650" w:type="dxa"/>
            <w:tcBorders/>
            <w:shd w:fill="CCEEFF" w:val="clear"/>
            <w:vAlign w:val="center"/>
          </w:tcPr>
          <w:p>
            <w:pPr>
              <w:pStyle w:val="TableContents"/>
              <w:bidi w:val="0"/>
              <w:spacing w:before="0" w:after="283"/>
              <w:jc w:val="left"/>
              <w:rPr/>
            </w:pPr>
            <w:r>
              <w:rPr/>
              <w:t>Consolidated net income (loss) and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(18,711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(5,892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(34,045</w:t>
            </w:r>
          </w:p>
        </w:tc>
        <w:tc>
          <w:tcPr>
            <w:tcW w:w="110" w:type="dxa"/>
            <w:tcBorders/>
            <w:shd w:fill="CCEEFF" w:val="clear"/>
            <w:vAlign w:val="center"/>
          </w:tcPr>
          <w:p>
            <w:pPr>
              <w:pStyle w:val="TableContents"/>
              <w:bidi w:val="0"/>
              <w:spacing w:before="0" w:after="283"/>
              <w:jc w:val="left"/>
              <w:rPr/>
            </w:pPr>
            <w:r>
              <w:rPr/>
              <w:t>)</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8" w:name="xdx_401_eus-gaap--EarningsPerShareBasic_"/>
            <w:bookmarkEnd w:id="128"/>
          </w:p>
        </w:tc>
      </w:tr>
      <w:tr>
        <w:trPr/>
        <w:tc>
          <w:tcPr>
            <w:tcW w:w="3650" w:type="dxa"/>
            <w:tcBorders/>
            <w:shd w:fill="CCEEFF" w:val="clear"/>
            <w:vAlign w:val="center"/>
          </w:tcPr>
          <w:p>
            <w:pPr>
              <w:pStyle w:val="TableContents"/>
              <w:bidi w:val="0"/>
              <w:spacing w:before="0" w:after="283"/>
              <w:jc w:val="left"/>
              <w:rPr/>
            </w:pPr>
            <w:r>
              <w:rPr/>
              <w:t>Net income (loss) per common share,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w:t>
            </w:r>
            <w:bookmarkStart w:id="129" w:name="xdx_406_eus-gaap--EarningsPerShareDilute"/>
            <w:bookmarkEnd w:id="129"/>
          </w:p>
        </w:tc>
      </w:tr>
      <w:tr>
        <w:trPr/>
        <w:tc>
          <w:tcPr>
            <w:tcW w:w="3650" w:type="dxa"/>
            <w:tcBorders/>
            <w:shd w:fill="FFFFFF" w:val="clear"/>
            <w:vAlign w:val="center"/>
          </w:tcPr>
          <w:p>
            <w:pPr>
              <w:pStyle w:val="TableContents"/>
              <w:bidi w:val="0"/>
              <w:spacing w:before="0" w:after="283"/>
              <w:jc w:val="left"/>
              <w:rPr/>
            </w:pPr>
            <w:r>
              <w:rPr/>
              <w:t>Net income (loss) per common share,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w:t>
            </w:r>
            <w:bookmarkStart w:id="130" w:name="xdx_404_eus-gaap--WeightedAverageNumberO"/>
            <w:bookmarkEnd w:id="130"/>
          </w:p>
        </w:tc>
      </w:tr>
      <w:tr>
        <w:trPr/>
        <w:tc>
          <w:tcPr>
            <w:tcW w:w="3650" w:type="dxa"/>
            <w:tcBorders/>
            <w:shd w:fill="CCEEFF" w:val="clear"/>
            <w:vAlign w:val="center"/>
          </w:tcPr>
          <w:p>
            <w:pPr>
              <w:pStyle w:val="TableContents"/>
              <w:bidi w:val="0"/>
              <w:spacing w:before="0" w:after="283"/>
              <w:jc w:val="left"/>
              <w:rPr/>
            </w:pPr>
            <w:r>
              <w:rPr/>
              <w:t>Weighted-average shares of common stock outstanding,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1,660,586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1,170,087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1,581,554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1,167,550</w:t>
            </w:r>
          </w:p>
        </w:tc>
        <w:tc>
          <w:tcPr>
            <w:tcW w:w="110" w:type="dxa"/>
            <w:tcBorders/>
            <w:shd w:fill="CCEEFF" w:val="clear"/>
            <w:vAlign w:val="center"/>
          </w:tcPr>
          <w:p>
            <w:pPr>
              <w:pStyle w:val="TableContents"/>
              <w:bidi w:val="0"/>
              <w:spacing w:before="0" w:after="283"/>
              <w:jc w:val="left"/>
              <w:rPr/>
            </w:pPr>
            <w:r>
              <w:rPr/>
              <w:t> </w:t>
            </w:r>
            <w:bookmarkStart w:id="131" w:name="xdx_403_eus-gaap--WeightedAverageNumberO"/>
            <w:bookmarkEnd w:id="131"/>
          </w:p>
        </w:tc>
      </w:tr>
      <w:tr>
        <w:trPr/>
        <w:tc>
          <w:tcPr>
            <w:tcW w:w="3650" w:type="dxa"/>
            <w:tcBorders/>
            <w:shd w:fill="FFFFFF" w:val="clear"/>
            <w:vAlign w:val="center"/>
          </w:tcPr>
          <w:p>
            <w:pPr>
              <w:pStyle w:val="TableContents"/>
              <w:bidi w:val="0"/>
              <w:spacing w:before="0" w:after="283"/>
              <w:jc w:val="left"/>
              <w:rPr/>
            </w:pPr>
            <w:r>
              <w:rPr/>
              <w:t>Weighted-average shares of common stock outstanding,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1,661,709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1,170,087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1,581,554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1,167,550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BioAtla, Inc. </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132" w:name="a003"/>
      <w:bookmarkEnd w:id="132"/>
      <w:r>
        <w:rPr>
          <w:rFonts w:ascii="Times New Roman;Times;Serif" w:hAnsi="Times New Roman;Times;Serif"/>
          <w:b/>
          <w:i w:val="false"/>
          <w:caps w:val="false"/>
          <w:smallCaps w:val="false"/>
          <w:sz w:val="20"/>
        </w:rPr>
        <w:t>Unaudited Condensed Consolidated Statements of Stockholders’ Equity (Deficit)</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133" w:name="xdx_30D_114_pn3n3_zKUxf9V3uEf4"/>
      <w:bookmarkStart w:id="134" w:name="xdx_30D_114_pn3n3_zKUxf9V3uEf4"/>
      <w:bookmarkEnd w:id="134"/>
    </w:p>
    <w:tbl>
      <w:tblPr>
        <w:tblW w:w="8765" w:type="dxa"/>
        <w:jc w:val="left"/>
        <w:tblInd w:w="720" w:type="dxa"/>
        <w:tblLayout w:type="fixed"/>
        <w:tblCellMar>
          <w:top w:w="0" w:type="dxa"/>
          <w:left w:w="0" w:type="dxa"/>
          <w:bottom w:w="0" w:type="dxa"/>
          <w:right w:w="0" w:type="dxa"/>
        </w:tblCellMar>
      </w:tblPr>
      <w:tblGrid>
        <w:gridCol w:w="3436"/>
        <w:gridCol w:w="60"/>
        <w:gridCol w:w="60"/>
        <w:gridCol w:w="980"/>
        <w:gridCol w:w="60"/>
        <w:gridCol w:w="60"/>
        <w:gridCol w:w="211"/>
        <w:gridCol w:w="394"/>
        <w:gridCol w:w="60"/>
        <w:gridCol w:w="60"/>
        <w:gridCol w:w="140"/>
        <w:gridCol w:w="800"/>
        <w:gridCol w:w="95"/>
        <w:gridCol w:w="60"/>
        <w:gridCol w:w="140"/>
        <w:gridCol w:w="875"/>
        <w:gridCol w:w="95"/>
        <w:gridCol w:w="60"/>
        <w:gridCol w:w="157"/>
        <w:gridCol w:w="851"/>
        <w:gridCol w:w="111"/>
      </w:tblGrid>
      <w:tr>
        <w:trPr/>
        <w:tc>
          <w:tcPr>
            <w:tcW w:w="3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bookmarkStart w:id="135" w:name="xdx_4B3_us-gaap--StatementEquityComponen"/>
            <w:bookmarkEnd w:id="135"/>
          </w:p>
        </w:tc>
        <w:tc>
          <w:tcPr>
            <w:tcW w:w="3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6" w:name="xdx_4B3_us-gaap--StatementEquityComponen"/>
            <w:bookmarkEnd w:id="136"/>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7" w:name="xdx_4B1_us-gaap--StatementEquityComponen"/>
            <w:bookmarkEnd w:id="137"/>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138" w:name="xdx_4B7_zNF7gBKnu9i5"/>
            <w:bookmarkEnd w:id="138"/>
          </w:p>
        </w:tc>
        <w:tc>
          <w:tcPr>
            <w:tcW w:w="85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8"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 2026</w:t>
            </w:r>
          </w:p>
        </w:tc>
        <w:tc>
          <w:tcPr>
            <w:tcW w:w="111"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sz w:val="16"/>
              </w:rPr>
            </w:pPr>
            <w:r>
              <w:rPr>
                <w:b/>
                <w:sz w:val="16"/>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center"/>
              <w:rPr>
                <w:b/>
                <w:sz w:val="16"/>
              </w:rPr>
            </w:pPr>
            <w:r>
              <w:rPr>
                <w:b/>
                <w:sz w:val="16"/>
              </w:rPr>
              <w:t>Total</w:t>
              <w:br/>
              <w:t>Stockholders’</w:t>
            </w:r>
          </w:p>
        </w:tc>
        <w:tc>
          <w:tcPr>
            <w:tcW w:w="111"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111" w:type="dxa"/>
            <w:tcBorders/>
            <w:vAlign w:val="center"/>
          </w:tcPr>
          <w:p>
            <w:pPr>
              <w:pStyle w:val="TableContents"/>
              <w:bidi w:val="0"/>
              <w:spacing w:before="0" w:after="283"/>
              <w:jc w:val="left"/>
              <w:rPr/>
            </w:pPr>
            <w:r>
              <w:rPr/>
              <w:t> </w:t>
            </w:r>
            <w:bookmarkStart w:id="139" w:name="xdx_438_c20260401__20260630_eus-gaap--St"/>
            <w:bookmarkEnd w:id="139"/>
          </w:p>
        </w:tc>
      </w:tr>
      <w:tr>
        <w:trPr/>
        <w:tc>
          <w:tcPr>
            <w:tcW w:w="3436"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F_eus-gaap--SharesOutstanding_iS_p"/>
            <w:bookmarkEnd w:id="140"/>
          </w:p>
        </w:tc>
        <w:tc>
          <w:tcPr>
            <w:tcW w:w="980" w:type="dxa"/>
            <w:tcBorders/>
            <w:shd w:fill="CCEEFF" w:val="clear"/>
            <w:vAlign w:val="center"/>
          </w:tcPr>
          <w:p>
            <w:pPr>
              <w:pStyle w:val="TableContents"/>
              <w:bidi w:val="0"/>
              <w:spacing w:before="0" w:after="283"/>
              <w:jc w:val="right"/>
              <w:rPr/>
            </w:pPr>
            <w:r>
              <w:rPr/>
              <w:t>1,659,612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514,681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(551,990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(37,309</w:t>
            </w:r>
          </w:p>
        </w:tc>
        <w:tc>
          <w:tcPr>
            <w:tcW w:w="111" w:type="dxa"/>
            <w:tcBorders/>
            <w:shd w:fill="CCEEFF" w:val="clear"/>
            <w:vAlign w:val="center"/>
          </w:tcPr>
          <w:p>
            <w:pPr>
              <w:pStyle w:val="TableContents"/>
              <w:bidi w:val="0"/>
              <w:spacing w:before="0" w:after="283"/>
              <w:jc w:val="left"/>
              <w:rPr/>
            </w:pPr>
            <w:r>
              <w:rPr/>
              <w:t>)</w:t>
            </w:r>
            <w:bookmarkStart w:id="141" w:name="xdx_40E_eus-gaap--StockIssuedDuringPerio"/>
            <w:bookmarkEnd w:id="141"/>
          </w:p>
        </w:tc>
      </w:tr>
      <w:tr>
        <w:trPr/>
        <w:tc>
          <w:tcPr>
            <w:tcW w:w="3436" w:type="dxa"/>
            <w:tcBorders/>
            <w:shd w:fill="FFFFFF" w:val="clear"/>
            <w:vAlign w:val="center"/>
          </w:tcPr>
          <w:p>
            <w:pPr>
              <w:pStyle w:val="TableContents"/>
              <w:bidi w:val="0"/>
              <w:spacing w:before="0" w:after="283"/>
              <w:jc w:val="left"/>
              <w:rPr/>
            </w:pPr>
            <w:r>
              <w:rPr/>
              <w:t>Issuance of common stock under equity incentive plans,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2" w:name="xdx_982_eus-gaap--StockIssuedDuringPerio"/>
            <w:bookmarkEnd w:id="142"/>
          </w:p>
        </w:tc>
        <w:tc>
          <w:tcPr>
            <w:tcW w:w="980" w:type="dxa"/>
            <w:tcBorders/>
            <w:shd w:fill="FFFFFF" w:val="clear"/>
            <w:vAlign w:val="center"/>
          </w:tcPr>
          <w:p>
            <w:pPr>
              <w:pStyle w:val="TableContents"/>
              <w:bidi w:val="0"/>
              <w:spacing w:before="0" w:after="283"/>
              <w:jc w:val="right"/>
              <w:rPr/>
            </w:pPr>
            <w:r>
              <w:rPr/>
              <w:t>2,868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43" w:name="xdx_408_eus-gaap--StockIssuedDuringPerio"/>
            <w:bookmarkEnd w:id="143"/>
          </w:p>
        </w:tc>
      </w:tr>
      <w:tr>
        <w:trPr/>
        <w:tc>
          <w:tcPr>
            <w:tcW w:w="3436" w:type="dxa"/>
            <w:tcBorders/>
            <w:shd w:fill="CCEEFF" w:val="clear"/>
            <w:vAlign w:val="center"/>
          </w:tcPr>
          <w:p>
            <w:pPr>
              <w:pStyle w:val="TableContents"/>
              <w:bidi w:val="0"/>
              <w:spacing w:before="0" w:after="283"/>
              <w:jc w:val="left"/>
              <w:rPr/>
            </w:pPr>
            <w:r>
              <w:rPr/>
              <w:t>Issuance of common stock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8_eus-gaap--StockIssuedDuringPerio"/>
            <w:bookmarkEnd w:id="144"/>
          </w:p>
        </w:tc>
        <w:tc>
          <w:tcPr>
            <w:tcW w:w="980"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bookmarkStart w:id="145" w:name="xdx_400_ecustom--TaxesRelatedToNetShareS"/>
            <w:bookmarkEnd w:id="145"/>
          </w:p>
        </w:tc>
      </w:tr>
      <w:tr>
        <w:trPr/>
        <w:tc>
          <w:tcPr>
            <w:tcW w:w="3436" w:type="dxa"/>
            <w:tcBorders/>
            <w:shd w:fill="FFFFFF" w:val="clear"/>
            <w:vAlign w:val="center"/>
          </w:tcPr>
          <w:p>
            <w:pPr>
              <w:pStyle w:val="TableContents"/>
              <w:bidi w:val="0"/>
              <w:spacing w:before="0" w:after="283"/>
              <w:jc w:val="left"/>
              <w:rPr/>
            </w:pPr>
            <w:r>
              <w:rPr/>
              <w:t>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jc w:val="left"/>
              <w:rPr/>
            </w:pPr>
            <w:r>
              <w:rPr/>
              <w:t>)</w:t>
            </w:r>
            <w:bookmarkStart w:id="146" w:name="xdx_40D_eus-gaap--AdjustmentsToAdditiona"/>
            <w:bookmarkEnd w:id="146"/>
          </w:p>
        </w:tc>
      </w:tr>
      <w:tr>
        <w:trPr/>
        <w:tc>
          <w:tcPr>
            <w:tcW w:w="3436"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619</w:t>
            </w:r>
          </w:p>
        </w:tc>
        <w:tc>
          <w:tcPr>
            <w:tcW w:w="111" w:type="dxa"/>
            <w:tcBorders/>
            <w:shd w:fill="CCEEFF" w:val="clear"/>
            <w:vAlign w:val="center"/>
          </w:tcPr>
          <w:p>
            <w:pPr>
              <w:pStyle w:val="TableContents"/>
              <w:bidi w:val="0"/>
              <w:spacing w:before="0" w:after="283"/>
              <w:jc w:val="left"/>
              <w:rPr/>
            </w:pPr>
            <w:r>
              <w:rPr/>
              <w:t> </w:t>
            </w:r>
            <w:bookmarkStart w:id="147" w:name="xdx_408_eus-gaap--NetIncomeLoss_z5K676Xm"/>
            <w:bookmarkEnd w:id="147"/>
          </w:p>
        </w:tc>
      </w:tr>
      <w:tr>
        <w:trPr/>
        <w:tc>
          <w:tcPr>
            <w:tcW w:w="3436"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pPr>
            <w:r>
              <w:rPr/>
              <w:t>452</w:t>
            </w:r>
          </w:p>
        </w:tc>
        <w:tc>
          <w:tcPr>
            <w:tcW w:w="111" w:type="dxa"/>
            <w:tcBorders/>
            <w:shd w:fill="FFFFFF" w:val="clear"/>
            <w:vAlign w:val="center"/>
          </w:tcPr>
          <w:p>
            <w:pPr>
              <w:pStyle w:val="TableContents"/>
              <w:bidi w:val="0"/>
              <w:spacing w:before="0" w:after="283"/>
              <w:jc w:val="left"/>
              <w:rPr/>
            </w:pPr>
            <w:r>
              <w:rPr/>
              <w:t> </w:t>
            </w:r>
            <w:bookmarkStart w:id="148" w:name="xdx_43B_c20260401__20260630_eus-gaap--St"/>
            <w:bookmarkEnd w:id="148"/>
          </w:p>
        </w:tc>
      </w:tr>
      <w:tr>
        <w:trPr/>
        <w:tc>
          <w:tcPr>
            <w:tcW w:w="3436"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9" w:name="xdx_98E_eus-gaap--SharesOutstanding_iE_p"/>
            <w:bookmarkEnd w:id="14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1,663,280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515,302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(551,538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pPr>
            <w:r>
              <w:rPr/>
              <w:t>(36,236</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hanging="0"/>
        <w:jc w:val="center"/>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436"/>
        <w:gridCol w:w="60"/>
        <w:gridCol w:w="60"/>
        <w:gridCol w:w="980"/>
        <w:gridCol w:w="60"/>
        <w:gridCol w:w="60"/>
        <w:gridCol w:w="211"/>
        <w:gridCol w:w="394"/>
        <w:gridCol w:w="60"/>
        <w:gridCol w:w="60"/>
        <w:gridCol w:w="140"/>
        <w:gridCol w:w="800"/>
        <w:gridCol w:w="95"/>
        <w:gridCol w:w="60"/>
        <w:gridCol w:w="140"/>
        <w:gridCol w:w="875"/>
        <w:gridCol w:w="95"/>
        <w:gridCol w:w="60"/>
        <w:gridCol w:w="157"/>
        <w:gridCol w:w="851"/>
        <w:gridCol w:w="111"/>
      </w:tblGrid>
      <w:tr>
        <w:trPr/>
        <w:tc>
          <w:tcPr>
            <w:tcW w:w="34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8"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 2025</w:t>
            </w:r>
          </w:p>
        </w:tc>
        <w:tc>
          <w:tcPr>
            <w:tcW w:w="111"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sz w:val="16"/>
              </w:rPr>
            </w:pPr>
            <w:r>
              <w:rPr>
                <w:b/>
                <w:sz w:val="16"/>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center"/>
              <w:rPr>
                <w:b/>
                <w:sz w:val="16"/>
              </w:rPr>
            </w:pPr>
            <w:r>
              <w:rPr>
                <w:b/>
                <w:sz w:val="16"/>
              </w:rPr>
              <w:t>Total</w:t>
              <w:br/>
              <w:t>Stockholders’</w:t>
            </w:r>
          </w:p>
        </w:tc>
        <w:tc>
          <w:tcPr>
            <w:tcW w:w="111"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111" w:type="dxa"/>
            <w:tcBorders/>
            <w:vAlign w:val="center"/>
          </w:tcPr>
          <w:p>
            <w:pPr>
              <w:pStyle w:val="TableContents"/>
              <w:bidi w:val="0"/>
              <w:spacing w:before="0" w:after="283"/>
              <w:jc w:val="left"/>
              <w:rPr/>
            </w:pPr>
            <w:r>
              <w:rPr/>
              <w:t> </w:t>
            </w:r>
            <w:bookmarkStart w:id="150" w:name="xdx_436_c20250401__20250630_eus-gaap--St"/>
            <w:bookmarkEnd w:id="150"/>
          </w:p>
        </w:tc>
      </w:tr>
      <w:tr>
        <w:trPr/>
        <w:tc>
          <w:tcPr>
            <w:tcW w:w="3436" w:type="dxa"/>
            <w:tcBorders/>
            <w:shd w:fill="CCEEFF" w:val="clear"/>
            <w:vAlign w:val="center"/>
          </w:tcPr>
          <w:p>
            <w:pPr>
              <w:pStyle w:val="TableContents"/>
              <w:bidi w:val="0"/>
              <w:spacing w:before="0" w:after="283"/>
              <w:jc w:val="left"/>
              <w:rPr/>
            </w:pPr>
            <w:r>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1" w:name="xdx_986_eus-gaap--SharesOutstanding_iS_p"/>
            <w:bookmarkEnd w:id="151"/>
          </w:p>
        </w:tc>
        <w:tc>
          <w:tcPr>
            <w:tcW w:w="980" w:type="dxa"/>
            <w:tcBorders/>
            <w:shd w:fill="CCEEFF" w:val="clear"/>
            <w:vAlign w:val="center"/>
          </w:tcPr>
          <w:p>
            <w:pPr>
              <w:pStyle w:val="TableContents"/>
              <w:bidi w:val="0"/>
              <w:spacing w:before="0" w:after="283"/>
              <w:jc w:val="right"/>
              <w:rPr/>
            </w:pPr>
            <w:r>
              <w:rPr/>
              <w:t>1,168,022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501,920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(501,373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547</w:t>
            </w:r>
          </w:p>
        </w:tc>
        <w:tc>
          <w:tcPr>
            <w:tcW w:w="111" w:type="dxa"/>
            <w:tcBorders/>
            <w:shd w:fill="CCEEFF" w:val="clear"/>
            <w:vAlign w:val="center"/>
          </w:tcPr>
          <w:p>
            <w:pPr>
              <w:pStyle w:val="TableContents"/>
              <w:bidi w:val="0"/>
              <w:spacing w:before="0" w:after="283"/>
              <w:jc w:val="left"/>
              <w:rPr/>
            </w:pPr>
            <w:r>
              <w:rPr/>
              <w:t> </w:t>
            </w:r>
            <w:bookmarkStart w:id="152" w:name="xdx_40E_eus-gaap--StockIssuedDuringPerio"/>
            <w:bookmarkEnd w:id="152"/>
          </w:p>
        </w:tc>
      </w:tr>
      <w:tr>
        <w:trPr/>
        <w:tc>
          <w:tcPr>
            <w:tcW w:w="3436" w:type="dxa"/>
            <w:tcBorders/>
            <w:shd w:fill="FFFFFF" w:val="clear"/>
            <w:vAlign w:val="center"/>
          </w:tcPr>
          <w:p>
            <w:pPr>
              <w:pStyle w:val="TableContents"/>
              <w:bidi w:val="0"/>
              <w:spacing w:before="0" w:after="283"/>
              <w:jc w:val="left"/>
              <w:rPr/>
            </w:pPr>
            <w:r>
              <w:rPr/>
              <w:t>Issuance of common stock under equity incentive plans,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3" w:name="xdx_983_eus-gaap--StockIssuedDuringPerio"/>
            <w:bookmarkEnd w:id="153"/>
          </w:p>
        </w:tc>
        <w:tc>
          <w:tcPr>
            <w:tcW w:w="980" w:type="dxa"/>
            <w:tcBorders/>
            <w:shd w:fill="FFFFFF" w:val="clear"/>
            <w:vAlign w:val="center"/>
          </w:tcPr>
          <w:p>
            <w:pPr>
              <w:pStyle w:val="TableContents"/>
              <w:bidi w:val="0"/>
              <w:spacing w:before="0" w:after="283"/>
              <w:jc w:val="right"/>
              <w:rPr/>
            </w:pPr>
            <w:r>
              <w:rPr/>
              <w:t>3,700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154" w:name="xdx_408_eus-gaap--StockIssuedDuringPerio"/>
            <w:bookmarkEnd w:id="154"/>
          </w:p>
        </w:tc>
      </w:tr>
      <w:tr>
        <w:trPr/>
        <w:tc>
          <w:tcPr>
            <w:tcW w:w="3436" w:type="dxa"/>
            <w:tcBorders/>
            <w:shd w:fill="CCEEFF" w:val="clear"/>
            <w:vAlign w:val="center"/>
          </w:tcPr>
          <w:p>
            <w:pPr>
              <w:pStyle w:val="TableContents"/>
              <w:bidi w:val="0"/>
              <w:spacing w:before="0" w:after="283"/>
              <w:jc w:val="left"/>
              <w:rPr/>
            </w:pPr>
            <w:r>
              <w:rPr/>
              <w:t>Issuance of common stock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0_eus-gaap--StockIssuedDuringPerio"/>
            <w:bookmarkEnd w:id="155"/>
          </w:p>
        </w:tc>
        <w:tc>
          <w:tcPr>
            <w:tcW w:w="980" w:type="dxa"/>
            <w:tcBorders/>
            <w:shd w:fill="CCEEFF" w:val="clear"/>
            <w:vAlign w:val="center"/>
          </w:tcPr>
          <w:p>
            <w:pPr>
              <w:pStyle w:val="TableContents"/>
              <w:bidi w:val="0"/>
              <w:spacing w:before="0" w:after="283"/>
              <w:jc w:val="right"/>
              <w:rPr/>
            </w:pPr>
            <w:r>
              <w:rPr/>
              <w:t>2,709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47</w:t>
            </w:r>
          </w:p>
        </w:tc>
        <w:tc>
          <w:tcPr>
            <w:tcW w:w="111" w:type="dxa"/>
            <w:tcBorders/>
            <w:shd w:fill="CCEEFF" w:val="clear"/>
            <w:vAlign w:val="center"/>
          </w:tcPr>
          <w:p>
            <w:pPr>
              <w:pStyle w:val="TableContents"/>
              <w:bidi w:val="0"/>
              <w:spacing w:before="0" w:after="283"/>
              <w:jc w:val="left"/>
              <w:rPr/>
            </w:pPr>
            <w:r>
              <w:rPr/>
              <w:t> </w:t>
            </w:r>
            <w:bookmarkStart w:id="156" w:name="xdx_400_ecustom--TaxesRelatedToNetShareS"/>
            <w:bookmarkEnd w:id="156"/>
          </w:p>
        </w:tc>
      </w:tr>
      <w:tr>
        <w:trPr/>
        <w:tc>
          <w:tcPr>
            <w:tcW w:w="3436" w:type="dxa"/>
            <w:tcBorders/>
            <w:shd w:fill="FFFFFF" w:val="clear"/>
            <w:vAlign w:val="center"/>
          </w:tcPr>
          <w:p>
            <w:pPr>
              <w:pStyle w:val="TableContents"/>
              <w:bidi w:val="0"/>
              <w:spacing w:before="0" w:after="283"/>
              <w:jc w:val="left"/>
              <w:rPr/>
            </w:pPr>
            <w:r>
              <w:rPr/>
              <w:t>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(5</w:t>
            </w:r>
          </w:p>
        </w:tc>
        <w:tc>
          <w:tcPr>
            <w:tcW w:w="111" w:type="dxa"/>
            <w:tcBorders/>
            <w:shd w:fill="FFFFFF" w:val="clear"/>
            <w:vAlign w:val="center"/>
          </w:tcPr>
          <w:p>
            <w:pPr>
              <w:pStyle w:val="TableContents"/>
              <w:bidi w:val="0"/>
              <w:spacing w:before="0" w:after="283"/>
              <w:jc w:val="left"/>
              <w:rPr/>
            </w:pPr>
            <w:r>
              <w:rPr/>
              <w:t>)</w:t>
            </w:r>
            <w:bookmarkStart w:id="157" w:name="xdx_40D_eus-gaap--AdjustmentsToAdditiona"/>
            <w:bookmarkEnd w:id="157"/>
          </w:p>
        </w:tc>
      </w:tr>
      <w:tr>
        <w:trPr/>
        <w:tc>
          <w:tcPr>
            <w:tcW w:w="3436"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1,377</w:t>
            </w:r>
          </w:p>
        </w:tc>
        <w:tc>
          <w:tcPr>
            <w:tcW w:w="111" w:type="dxa"/>
            <w:tcBorders/>
            <w:shd w:fill="CCEEFF" w:val="clear"/>
            <w:vAlign w:val="center"/>
          </w:tcPr>
          <w:p>
            <w:pPr>
              <w:pStyle w:val="TableContents"/>
              <w:bidi w:val="0"/>
              <w:spacing w:before="0" w:after="283"/>
              <w:jc w:val="left"/>
              <w:rPr/>
            </w:pPr>
            <w:r>
              <w:rPr/>
              <w:t> </w:t>
            </w:r>
            <w:bookmarkStart w:id="158" w:name="xdx_408_eus-gaap--NetIncomeLoss_z8966KEk"/>
            <w:bookmarkEnd w:id="158"/>
          </w:p>
        </w:tc>
      </w:tr>
      <w:tr>
        <w:trPr/>
        <w:tc>
          <w:tcPr>
            <w:tcW w:w="343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pPr>
            <w:r>
              <w:rPr/>
              <w:t>(18,711</w:t>
            </w:r>
          </w:p>
        </w:tc>
        <w:tc>
          <w:tcPr>
            <w:tcW w:w="111" w:type="dxa"/>
            <w:tcBorders/>
            <w:shd w:fill="FFFFFF" w:val="clear"/>
            <w:vAlign w:val="center"/>
          </w:tcPr>
          <w:p>
            <w:pPr>
              <w:pStyle w:val="TableContents"/>
              <w:bidi w:val="0"/>
              <w:spacing w:before="0" w:after="283"/>
              <w:jc w:val="left"/>
              <w:rPr/>
            </w:pPr>
            <w:r>
              <w:rPr/>
              <w:t>)</w:t>
            </w:r>
            <w:bookmarkStart w:id="159" w:name="xdx_431_c20250401__20250630_eus-gaap--St"/>
            <w:bookmarkEnd w:id="159"/>
          </w:p>
        </w:tc>
      </w:tr>
      <w:tr>
        <w:trPr/>
        <w:tc>
          <w:tcPr>
            <w:tcW w:w="3436" w:type="dxa"/>
            <w:tcBorders/>
            <w:shd w:fill="CCEEFF" w:val="clear"/>
            <w:vAlign w:val="center"/>
          </w:tcPr>
          <w:p>
            <w:pPr>
              <w:pStyle w:val="TableContents"/>
              <w:bidi w:val="0"/>
              <w:spacing w:before="0" w:after="283"/>
              <w:jc w:val="left"/>
              <w:rPr/>
            </w:pPr>
            <w:r>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0" w:name="xdx_987_eus-gaap--SharesOutstanding_iE_p"/>
            <w:bookmarkEnd w:id="16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1,174,431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503,339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(520,084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pPr>
            <w:r>
              <w:rPr/>
              <w:t>(16,745</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BioAtla, Inc.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 (Deficit)</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720" w:right="720" w:hanging="0"/>
        <w:jc w:val="center"/>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437"/>
        <w:gridCol w:w="60"/>
        <w:gridCol w:w="60"/>
        <w:gridCol w:w="980"/>
        <w:gridCol w:w="60"/>
        <w:gridCol w:w="60"/>
        <w:gridCol w:w="211"/>
        <w:gridCol w:w="394"/>
        <w:gridCol w:w="60"/>
        <w:gridCol w:w="60"/>
        <w:gridCol w:w="140"/>
        <w:gridCol w:w="800"/>
        <w:gridCol w:w="95"/>
        <w:gridCol w:w="60"/>
        <w:gridCol w:w="140"/>
        <w:gridCol w:w="875"/>
        <w:gridCol w:w="95"/>
        <w:gridCol w:w="60"/>
        <w:gridCol w:w="156"/>
        <w:gridCol w:w="850"/>
        <w:gridCol w:w="112"/>
      </w:tblGrid>
      <w:tr>
        <w:trPr/>
        <w:tc>
          <w:tcPr>
            <w:tcW w:w="34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bookmarkStart w:id="161" w:name="xdx_4B3_us-gaap--StatementEquityComponen"/>
            <w:bookmarkEnd w:id="161"/>
          </w:p>
        </w:tc>
        <w:tc>
          <w:tcPr>
            <w:tcW w:w="3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2" w:name="xdx_4B3_us-gaap--StatementEquityComponen"/>
            <w:bookmarkEnd w:id="162"/>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63" w:name="xdx_4B1_us-gaap--StatementEquityComponen"/>
            <w:bookmarkEnd w:id="163"/>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bookmarkStart w:id="164" w:name="xdx_4B7_zAAWUUw0QZI6"/>
            <w:bookmarkEnd w:id="164"/>
          </w:p>
        </w:tc>
        <w:tc>
          <w:tcPr>
            <w:tcW w:w="85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6"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 2026</w:t>
            </w:r>
          </w:p>
        </w:tc>
        <w:tc>
          <w:tcPr>
            <w:tcW w:w="112" w:type="dxa"/>
            <w:tcBorders/>
            <w:vAlign w:val="center"/>
          </w:tcPr>
          <w:p>
            <w:pPr>
              <w:pStyle w:val="TableContents"/>
              <w:bidi w:val="0"/>
              <w:spacing w:before="0" w:after="283"/>
              <w:jc w:val="left"/>
              <w:rPr/>
            </w:pPr>
            <w:r>
              <w:rPr/>
              <w:t> </w:t>
            </w:r>
          </w:p>
        </w:tc>
      </w:tr>
      <w:tr>
        <w:trPr/>
        <w:tc>
          <w:tcPr>
            <w:tcW w:w="34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sz w:val="16"/>
              </w:rPr>
            </w:pPr>
            <w:r>
              <w:rPr>
                <w:b/>
                <w:sz w:val="16"/>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center"/>
              <w:rPr>
                <w:b/>
                <w:sz w:val="16"/>
              </w:rPr>
            </w:pPr>
            <w:r>
              <w:rPr>
                <w:b/>
                <w:sz w:val="16"/>
              </w:rPr>
              <w:t>Total</w:t>
              <w:br/>
              <w:t>Stockholders’</w:t>
            </w:r>
          </w:p>
        </w:tc>
        <w:tc>
          <w:tcPr>
            <w:tcW w:w="112" w:type="dxa"/>
            <w:tcBorders/>
            <w:vAlign w:val="center"/>
          </w:tcPr>
          <w:p>
            <w:pPr>
              <w:pStyle w:val="TableContents"/>
              <w:bidi w:val="0"/>
              <w:spacing w:before="0" w:after="283"/>
              <w:jc w:val="left"/>
              <w:rPr/>
            </w:pPr>
            <w:r>
              <w:rPr/>
              <w:t> </w:t>
            </w:r>
          </w:p>
        </w:tc>
      </w:tr>
      <w:tr>
        <w:trPr/>
        <w:tc>
          <w:tcPr>
            <w:tcW w:w="34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112" w:type="dxa"/>
            <w:tcBorders/>
            <w:vAlign w:val="center"/>
          </w:tcPr>
          <w:p>
            <w:pPr>
              <w:pStyle w:val="TableContents"/>
              <w:bidi w:val="0"/>
              <w:spacing w:before="0" w:after="283"/>
              <w:jc w:val="left"/>
              <w:rPr/>
            </w:pPr>
            <w:r>
              <w:rPr/>
              <w:t> </w:t>
            </w:r>
            <w:bookmarkStart w:id="165" w:name="xdx_433_c20260101__20260630_eus-gaap--St"/>
            <w:bookmarkEnd w:id="165"/>
          </w:p>
        </w:tc>
      </w:tr>
      <w:tr>
        <w:trPr/>
        <w:tc>
          <w:tcPr>
            <w:tcW w:w="3437"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A_eus-gaap--SharesOutstanding_iS_p"/>
            <w:bookmarkEnd w:id="166"/>
          </w:p>
        </w:tc>
        <w:tc>
          <w:tcPr>
            <w:tcW w:w="980" w:type="dxa"/>
            <w:tcBorders/>
            <w:shd w:fill="CCEEFF" w:val="clear"/>
            <w:vAlign w:val="center"/>
          </w:tcPr>
          <w:p>
            <w:pPr>
              <w:pStyle w:val="TableContents"/>
              <w:bidi w:val="0"/>
              <w:spacing w:before="0" w:after="283"/>
              <w:jc w:val="right"/>
              <w:rPr/>
            </w:pPr>
            <w:r>
              <w:rPr/>
              <w:t>1,269,286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509,457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(545,646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(36,189</w:t>
            </w:r>
          </w:p>
        </w:tc>
        <w:tc>
          <w:tcPr>
            <w:tcW w:w="112" w:type="dxa"/>
            <w:tcBorders/>
            <w:shd w:fill="CCEEFF" w:val="clear"/>
            <w:vAlign w:val="center"/>
          </w:tcPr>
          <w:p>
            <w:pPr>
              <w:pStyle w:val="TableContents"/>
              <w:bidi w:val="0"/>
              <w:spacing w:before="0" w:after="283"/>
              <w:jc w:val="left"/>
              <w:rPr/>
            </w:pPr>
            <w:r>
              <w:rPr/>
              <w:t>)</w:t>
            </w:r>
            <w:bookmarkStart w:id="167" w:name="xdx_40E_eus-gaap--StockIssuedDuringPerio"/>
            <w:bookmarkEnd w:id="167"/>
          </w:p>
        </w:tc>
      </w:tr>
      <w:tr>
        <w:trPr/>
        <w:tc>
          <w:tcPr>
            <w:tcW w:w="3437" w:type="dxa"/>
            <w:tcBorders/>
            <w:shd w:fill="FFFFFF" w:val="clear"/>
            <w:vAlign w:val="center"/>
          </w:tcPr>
          <w:p>
            <w:pPr>
              <w:pStyle w:val="TableContents"/>
              <w:bidi w:val="0"/>
              <w:spacing w:before="0" w:after="283"/>
              <w:jc w:val="left"/>
              <w:rPr/>
            </w:pPr>
            <w:r>
              <w:rPr/>
              <w:t>Issuance of common stock under equity incentive plans,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8_eus-gaap--StockIssuedDuringPerio"/>
            <w:bookmarkEnd w:id="168"/>
          </w:p>
        </w:tc>
        <w:tc>
          <w:tcPr>
            <w:tcW w:w="980" w:type="dxa"/>
            <w:tcBorders/>
            <w:shd w:fill="FFFFFF" w:val="clear"/>
            <w:vAlign w:val="center"/>
          </w:tcPr>
          <w:p>
            <w:pPr>
              <w:pStyle w:val="TableContents"/>
              <w:bidi w:val="0"/>
              <w:spacing w:before="0" w:after="283"/>
              <w:jc w:val="right"/>
              <w:rPr/>
            </w:pPr>
            <w:r>
              <w:rPr/>
              <w:t>10,958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69" w:name="xdx_408_eus-gaap--StockIssuedDuringPerio"/>
            <w:bookmarkEnd w:id="169"/>
          </w:p>
        </w:tc>
      </w:tr>
      <w:tr>
        <w:trPr/>
        <w:tc>
          <w:tcPr>
            <w:tcW w:w="3437" w:type="dxa"/>
            <w:tcBorders/>
            <w:shd w:fill="CCEEFF" w:val="clear"/>
            <w:vAlign w:val="center"/>
          </w:tcPr>
          <w:p>
            <w:pPr>
              <w:pStyle w:val="TableContents"/>
              <w:bidi w:val="0"/>
              <w:spacing w:before="0" w:after="283"/>
              <w:jc w:val="left"/>
              <w:rPr/>
            </w:pPr>
            <w:r>
              <w:rPr/>
              <w:t>Issuance of common stock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6_eus-gaap--StockIssuedDuringPerio"/>
            <w:bookmarkEnd w:id="170"/>
          </w:p>
        </w:tc>
        <w:tc>
          <w:tcPr>
            <w:tcW w:w="980"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 </w:t>
            </w:r>
            <w:bookmarkStart w:id="171" w:name="xdx_409_ecustom--IssuanceOfCommonStockUn"/>
            <w:bookmarkEnd w:id="171"/>
          </w:p>
        </w:tc>
      </w:tr>
      <w:tr>
        <w:trPr/>
        <w:tc>
          <w:tcPr>
            <w:tcW w:w="3437" w:type="dxa"/>
            <w:tcBorders/>
            <w:shd w:fill="FFFFFF" w:val="clear"/>
            <w:vAlign w:val="center"/>
          </w:tcPr>
          <w:p>
            <w:pPr>
              <w:pStyle w:val="TableContents"/>
              <w:bidi w:val="0"/>
              <w:spacing w:before="0" w:after="283"/>
              <w:jc w:val="left"/>
              <w:rPr/>
            </w:pPr>
            <w:r>
              <w:rPr/>
              <w:t>Issuance of common stock under PPAs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0_ecustom--IssuanceOfCommonStockUn"/>
            <w:bookmarkEnd w:id="172"/>
          </w:p>
        </w:tc>
        <w:tc>
          <w:tcPr>
            <w:tcW w:w="980" w:type="dxa"/>
            <w:tcBorders/>
            <w:shd w:fill="FFFFFF" w:val="clear"/>
            <w:vAlign w:val="center"/>
          </w:tcPr>
          <w:p>
            <w:pPr>
              <w:pStyle w:val="TableContents"/>
              <w:bidi w:val="0"/>
              <w:spacing w:before="0" w:after="283"/>
              <w:jc w:val="right"/>
              <w:rPr/>
            </w:pPr>
            <w:r>
              <w:rPr/>
              <w:t>334,144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3,869</w:t>
            </w:r>
          </w:p>
        </w:tc>
        <w:tc>
          <w:tcPr>
            <w:tcW w:w="112" w:type="dxa"/>
            <w:tcBorders/>
            <w:shd w:fill="FFFFFF" w:val="clear"/>
            <w:vAlign w:val="center"/>
          </w:tcPr>
          <w:p>
            <w:pPr>
              <w:pStyle w:val="TableContents"/>
              <w:bidi w:val="0"/>
              <w:spacing w:before="0" w:after="283"/>
              <w:jc w:val="left"/>
              <w:rPr/>
            </w:pPr>
            <w:r>
              <w:rPr/>
              <w:t> </w:t>
            </w:r>
            <w:bookmarkStart w:id="173" w:name="xdx_402_ecustom--IssuanceOfCommonStockUn"/>
            <w:bookmarkEnd w:id="173"/>
          </w:p>
        </w:tc>
      </w:tr>
      <w:tr>
        <w:trPr/>
        <w:tc>
          <w:tcPr>
            <w:tcW w:w="3437" w:type="dxa"/>
            <w:tcBorders/>
            <w:shd w:fill="CCEEFF" w:val="clear"/>
            <w:vAlign w:val="center"/>
          </w:tcPr>
          <w:p>
            <w:pPr>
              <w:pStyle w:val="TableContents"/>
              <w:bidi w:val="0"/>
              <w:spacing w:before="0" w:after="283"/>
              <w:jc w:val="left"/>
              <w:rPr/>
            </w:pPr>
            <w:r>
              <w:rPr/>
              <w:t>Issuance of common stock under SEPA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C_ecustom--IssuanceOfCommonStockUn"/>
            <w:bookmarkEnd w:id="174"/>
          </w:p>
        </w:tc>
        <w:tc>
          <w:tcPr>
            <w:tcW w:w="980" w:type="dxa"/>
            <w:tcBorders/>
            <w:shd w:fill="CCEEFF" w:val="clear"/>
            <w:vAlign w:val="center"/>
          </w:tcPr>
          <w:p>
            <w:pPr>
              <w:pStyle w:val="TableContents"/>
              <w:bidi w:val="0"/>
              <w:spacing w:before="0" w:after="283"/>
              <w:jc w:val="right"/>
              <w:rPr/>
            </w:pPr>
            <w:r>
              <w:rPr/>
              <w:t>48,092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413</w:t>
            </w:r>
          </w:p>
        </w:tc>
        <w:tc>
          <w:tcPr>
            <w:tcW w:w="112" w:type="dxa"/>
            <w:tcBorders/>
            <w:shd w:fill="CCEEFF" w:val="clear"/>
            <w:vAlign w:val="center"/>
          </w:tcPr>
          <w:p>
            <w:pPr>
              <w:pStyle w:val="TableContents"/>
              <w:bidi w:val="0"/>
              <w:spacing w:before="0" w:after="283"/>
              <w:jc w:val="left"/>
              <w:rPr/>
            </w:pPr>
            <w:r>
              <w:rPr/>
              <w:t> </w:t>
            </w:r>
            <w:bookmarkStart w:id="175" w:name="xdx_400_ecustom--TaxesRelatedToNetShareS"/>
            <w:bookmarkEnd w:id="175"/>
          </w:p>
        </w:tc>
      </w:tr>
      <w:tr>
        <w:trPr/>
        <w:tc>
          <w:tcPr>
            <w:tcW w:w="3437" w:type="dxa"/>
            <w:tcBorders/>
            <w:shd w:fill="FFFFFF" w:val="clear"/>
            <w:vAlign w:val="center"/>
          </w:tcPr>
          <w:p>
            <w:pPr>
              <w:pStyle w:val="TableContents"/>
              <w:bidi w:val="0"/>
              <w:spacing w:before="0" w:after="283"/>
              <w:jc w:val="left"/>
              <w:rPr/>
            </w:pPr>
            <w:r>
              <w:rPr/>
              <w:t>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(15</w:t>
            </w:r>
          </w:p>
        </w:tc>
        <w:tc>
          <w:tcPr>
            <w:tcW w:w="112" w:type="dxa"/>
            <w:tcBorders/>
            <w:shd w:fill="FFFFFF" w:val="clear"/>
            <w:vAlign w:val="center"/>
          </w:tcPr>
          <w:p>
            <w:pPr>
              <w:pStyle w:val="TableContents"/>
              <w:bidi w:val="0"/>
              <w:spacing w:before="0" w:after="283"/>
              <w:jc w:val="left"/>
              <w:rPr/>
            </w:pPr>
            <w:r>
              <w:rPr/>
              <w:t>)</w:t>
            </w:r>
            <w:bookmarkStart w:id="176" w:name="xdx_40D_eus-gaap--AdjustmentsToAdditiona"/>
            <w:bookmarkEnd w:id="176"/>
          </w:p>
        </w:tc>
      </w:tr>
      <w:tr>
        <w:trPr/>
        <w:tc>
          <w:tcPr>
            <w:tcW w:w="3437"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1,575</w:t>
            </w:r>
          </w:p>
        </w:tc>
        <w:tc>
          <w:tcPr>
            <w:tcW w:w="112" w:type="dxa"/>
            <w:tcBorders/>
            <w:shd w:fill="CCEEFF" w:val="clear"/>
            <w:vAlign w:val="center"/>
          </w:tcPr>
          <w:p>
            <w:pPr>
              <w:pStyle w:val="TableContents"/>
              <w:bidi w:val="0"/>
              <w:spacing w:before="0" w:after="283"/>
              <w:jc w:val="left"/>
              <w:rPr/>
            </w:pPr>
            <w:r>
              <w:rPr/>
              <w:t> </w:t>
            </w:r>
            <w:bookmarkStart w:id="177" w:name="xdx_408_eus-gaap--NetIncomeLoss_zmfnuk8W"/>
            <w:bookmarkEnd w:id="177"/>
          </w:p>
        </w:tc>
      </w:tr>
      <w:tr>
        <w:trPr/>
        <w:tc>
          <w:tcPr>
            <w:tcW w:w="343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(5,892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(5,892</w:t>
            </w:r>
          </w:p>
        </w:tc>
        <w:tc>
          <w:tcPr>
            <w:tcW w:w="112" w:type="dxa"/>
            <w:tcBorders/>
            <w:shd w:fill="FFFFFF" w:val="clear"/>
            <w:vAlign w:val="center"/>
          </w:tcPr>
          <w:p>
            <w:pPr>
              <w:pStyle w:val="TableContents"/>
              <w:bidi w:val="0"/>
              <w:spacing w:before="0" w:after="283"/>
              <w:jc w:val="left"/>
              <w:rPr/>
            </w:pPr>
            <w:r>
              <w:rPr/>
              <w:t>)</w:t>
            </w:r>
            <w:bookmarkStart w:id="178" w:name="xdx_439_c20260101__20260630_eus-gaap--St"/>
            <w:bookmarkEnd w:id="178"/>
          </w:p>
        </w:tc>
      </w:tr>
      <w:tr>
        <w:trPr/>
        <w:tc>
          <w:tcPr>
            <w:tcW w:w="3437"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9" w:name="xdx_983_eus-gaap--SharesOutstanding_iE_p"/>
            <w:bookmarkEnd w:id="17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1,663,280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515,302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(551,538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(36,236</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hanging="0"/>
        <w:jc w:val="center"/>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437"/>
        <w:gridCol w:w="60"/>
        <w:gridCol w:w="60"/>
        <w:gridCol w:w="980"/>
        <w:gridCol w:w="60"/>
        <w:gridCol w:w="60"/>
        <w:gridCol w:w="211"/>
        <w:gridCol w:w="394"/>
        <w:gridCol w:w="60"/>
        <w:gridCol w:w="60"/>
        <w:gridCol w:w="140"/>
        <w:gridCol w:w="800"/>
        <w:gridCol w:w="95"/>
        <w:gridCol w:w="60"/>
        <w:gridCol w:w="140"/>
        <w:gridCol w:w="875"/>
        <w:gridCol w:w="95"/>
        <w:gridCol w:w="60"/>
        <w:gridCol w:w="156"/>
        <w:gridCol w:w="850"/>
        <w:gridCol w:w="112"/>
      </w:tblGrid>
      <w:tr>
        <w:trPr/>
        <w:tc>
          <w:tcPr>
            <w:tcW w:w="3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6" w:type="dxa"/>
            <w:gridSpan w:val="18"/>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 2025</w:t>
            </w:r>
          </w:p>
        </w:tc>
        <w:tc>
          <w:tcPr>
            <w:tcW w:w="112" w:type="dxa"/>
            <w:tcBorders/>
            <w:vAlign w:val="center"/>
          </w:tcPr>
          <w:p>
            <w:pPr>
              <w:pStyle w:val="TableContents"/>
              <w:bidi w:val="0"/>
              <w:spacing w:before="0" w:after="283"/>
              <w:jc w:val="left"/>
              <w:rPr/>
            </w:pPr>
            <w:r>
              <w:rPr/>
              <w:t> </w:t>
            </w:r>
          </w:p>
        </w:tc>
      </w:tr>
      <w:tr>
        <w:trPr/>
        <w:tc>
          <w:tcPr>
            <w:tcW w:w="34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sz w:val="16"/>
              </w:rPr>
            </w:pPr>
            <w:r>
              <w:rPr>
                <w:b/>
                <w:sz w:val="16"/>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center"/>
              <w:rPr>
                <w:b/>
                <w:sz w:val="16"/>
              </w:rPr>
            </w:pPr>
            <w:r>
              <w:rPr>
                <w:b/>
                <w:sz w:val="16"/>
              </w:rPr>
              <w:t>Total</w:t>
              <w:br/>
              <w:t>Stockholders’</w:t>
            </w:r>
          </w:p>
        </w:tc>
        <w:tc>
          <w:tcPr>
            <w:tcW w:w="112" w:type="dxa"/>
            <w:tcBorders/>
            <w:vAlign w:val="center"/>
          </w:tcPr>
          <w:p>
            <w:pPr>
              <w:pStyle w:val="TableContents"/>
              <w:bidi w:val="0"/>
              <w:spacing w:before="0" w:after="283"/>
              <w:jc w:val="left"/>
              <w:rPr/>
            </w:pPr>
            <w:r>
              <w:rPr/>
              <w:t> </w:t>
            </w:r>
          </w:p>
        </w:tc>
      </w:tr>
      <w:tr>
        <w:trPr/>
        <w:tc>
          <w:tcPr>
            <w:tcW w:w="34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112" w:type="dxa"/>
            <w:tcBorders/>
            <w:vAlign w:val="center"/>
          </w:tcPr>
          <w:p>
            <w:pPr>
              <w:pStyle w:val="TableContents"/>
              <w:bidi w:val="0"/>
              <w:spacing w:before="0" w:after="283"/>
              <w:jc w:val="left"/>
              <w:rPr/>
            </w:pPr>
            <w:r>
              <w:rPr/>
              <w:t> </w:t>
            </w:r>
            <w:bookmarkStart w:id="180" w:name="xdx_431_c20250101__20250630_eus-gaap--St"/>
            <w:bookmarkEnd w:id="180"/>
          </w:p>
        </w:tc>
      </w:tr>
      <w:tr>
        <w:trPr/>
        <w:tc>
          <w:tcPr>
            <w:tcW w:w="3437"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5_eus-gaap--SharesOutstanding_iS_p"/>
            <w:bookmarkEnd w:id="181"/>
          </w:p>
        </w:tc>
        <w:tc>
          <w:tcPr>
            <w:tcW w:w="980" w:type="dxa"/>
            <w:tcBorders/>
            <w:shd w:fill="CCEEFF" w:val="clear"/>
            <w:vAlign w:val="center"/>
          </w:tcPr>
          <w:p>
            <w:pPr>
              <w:pStyle w:val="TableContents"/>
              <w:bidi w:val="0"/>
              <w:spacing w:before="0" w:after="283"/>
              <w:jc w:val="right"/>
              <w:rPr/>
            </w:pPr>
            <w:r>
              <w:rPr/>
              <w:t>1,161,983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(486,039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14,265</w:t>
            </w:r>
          </w:p>
        </w:tc>
        <w:tc>
          <w:tcPr>
            <w:tcW w:w="112" w:type="dxa"/>
            <w:tcBorders/>
            <w:shd w:fill="CCEEFF" w:val="clear"/>
            <w:vAlign w:val="center"/>
          </w:tcPr>
          <w:p>
            <w:pPr>
              <w:pStyle w:val="TableContents"/>
              <w:bidi w:val="0"/>
              <w:spacing w:before="0" w:after="283"/>
              <w:jc w:val="left"/>
              <w:rPr/>
            </w:pPr>
            <w:r>
              <w:rPr/>
              <w:t> </w:t>
            </w:r>
            <w:bookmarkStart w:id="182" w:name="xdx_40E_eus-gaap--StockIssuedDuringPerio"/>
            <w:bookmarkEnd w:id="182"/>
          </w:p>
        </w:tc>
      </w:tr>
      <w:tr>
        <w:trPr/>
        <w:tc>
          <w:tcPr>
            <w:tcW w:w="3437" w:type="dxa"/>
            <w:tcBorders/>
            <w:shd w:fill="FFFFFF" w:val="clear"/>
            <w:vAlign w:val="center"/>
          </w:tcPr>
          <w:p>
            <w:pPr>
              <w:pStyle w:val="TableContents"/>
              <w:bidi w:val="0"/>
              <w:spacing w:before="0" w:after="283"/>
              <w:jc w:val="left"/>
              <w:rPr/>
            </w:pPr>
            <w:r>
              <w:rPr/>
              <w:t>Issuance of common stock under equity incentive plans,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9_eus-gaap--StockIssuedDuringPerio"/>
            <w:bookmarkEnd w:id="183"/>
          </w:p>
        </w:tc>
        <w:tc>
          <w:tcPr>
            <w:tcW w:w="980" w:type="dxa"/>
            <w:tcBorders/>
            <w:shd w:fill="FFFFFF" w:val="clear"/>
            <w:vAlign w:val="center"/>
          </w:tcPr>
          <w:p>
            <w:pPr>
              <w:pStyle w:val="TableContents"/>
              <w:bidi w:val="0"/>
              <w:spacing w:before="0" w:after="283"/>
              <w:jc w:val="right"/>
              <w:rPr/>
            </w:pPr>
            <w:r>
              <w:rPr/>
              <w:t>9,739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84" w:name="xdx_408_eus-gaap--StockIssuedDuringPerio"/>
            <w:bookmarkEnd w:id="184"/>
          </w:p>
        </w:tc>
      </w:tr>
      <w:tr>
        <w:trPr/>
        <w:tc>
          <w:tcPr>
            <w:tcW w:w="3437" w:type="dxa"/>
            <w:tcBorders/>
            <w:shd w:fill="CCEEFF" w:val="clear"/>
            <w:vAlign w:val="center"/>
          </w:tcPr>
          <w:p>
            <w:pPr>
              <w:pStyle w:val="TableContents"/>
              <w:bidi w:val="0"/>
              <w:spacing w:before="0" w:after="283"/>
              <w:jc w:val="left"/>
              <w:rPr/>
            </w:pPr>
            <w:r>
              <w:rPr/>
              <w:t>Issuance of common stock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A_eus-gaap--StockIssuedDuringPerio"/>
            <w:bookmarkEnd w:id="185"/>
          </w:p>
        </w:tc>
        <w:tc>
          <w:tcPr>
            <w:tcW w:w="980" w:type="dxa"/>
            <w:tcBorders/>
            <w:shd w:fill="CCEEFF" w:val="clear"/>
            <w:vAlign w:val="center"/>
          </w:tcPr>
          <w:p>
            <w:pPr>
              <w:pStyle w:val="TableContents"/>
              <w:bidi w:val="0"/>
              <w:spacing w:before="0" w:after="283"/>
              <w:jc w:val="right"/>
              <w:rPr/>
            </w:pPr>
            <w:r>
              <w:rPr/>
              <w:t>2,709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47</w:t>
            </w:r>
          </w:p>
        </w:tc>
        <w:tc>
          <w:tcPr>
            <w:tcW w:w="112" w:type="dxa"/>
            <w:tcBorders/>
            <w:shd w:fill="CCEEFF" w:val="clear"/>
            <w:vAlign w:val="center"/>
          </w:tcPr>
          <w:p>
            <w:pPr>
              <w:pStyle w:val="TableContents"/>
              <w:bidi w:val="0"/>
              <w:spacing w:before="0" w:after="283"/>
              <w:jc w:val="left"/>
              <w:rPr/>
            </w:pPr>
            <w:r>
              <w:rPr/>
              <w:t> </w:t>
            </w:r>
            <w:bookmarkStart w:id="186" w:name="xdx_400_ecustom--TaxesRelatedToNetShareS"/>
            <w:bookmarkEnd w:id="186"/>
          </w:p>
        </w:tc>
      </w:tr>
      <w:tr>
        <w:trPr/>
        <w:tc>
          <w:tcPr>
            <w:tcW w:w="3437" w:type="dxa"/>
            <w:tcBorders/>
            <w:shd w:fill="FFFFFF" w:val="clear"/>
            <w:vAlign w:val="center"/>
          </w:tcPr>
          <w:p>
            <w:pPr>
              <w:pStyle w:val="TableContents"/>
              <w:bidi w:val="0"/>
              <w:spacing w:before="0" w:after="283"/>
              <w:jc w:val="left"/>
              <w:rPr/>
            </w:pPr>
            <w:r>
              <w:rPr/>
              <w:t>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(34</w:t>
            </w:r>
          </w:p>
        </w:tc>
        <w:tc>
          <w:tcPr>
            <w:tcW w:w="112" w:type="dxa"/>
            <w:tcBorders/>
            <w:shd w:fill="FFFFFF" w:val="clear"/>
            <w:vAlign w:val="center"/>
          </w:tcPr>
          <w:p>
            <w:pPr>
              <w:pStyle w:val="TableContents"/>
              <w:bidi w:val="0"/>
              <w:spacing w:before="0" w:after="283"/>
              <w:jc w:val="left"/>
              <w:rPr/>
            </w:pPr>
            <w:r>
              <w:rPr/>
              <w:t>)</w:t>
            </w:r>
            <w:bookmarkStart w:id="187" w:name="xdx_40D_eus-gaap--AdjustmentsToAdditiona"/>
            <w:bookmarkEnd w:id="187"/>
          </w:p>
        </w:tc>
      </w:tr>
      <w:tr>
        <w:trPr/>
        <w:tc>
          <w:tcPr>
            <w:tcW w:w="3437"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3,022</w:t>
            </w:r>
          </w:p>
        </w:tc>
        <w:tc>
          <w:tcPr>
            <w:tcW w:w="112" w:type="dxa"/>
            <w:tcBorders/>
            <w:shd w:fill="CCEEFF" w:val="clear"/>
            <w:vAlign w:val="center"/>
          </w:tcPr>
          <w:p>
            <w:pPr>
              <w:pStyle w:val="TableContents"/>
              <w:bidi w:val="0"/>
              <w:spacing w:before="0" w:after="283"/>
              <w:jc w:val="left"/>
              <w:rPr/>
            </w:pPr>
            <w:r>
              <w:rPr/>
              <w:t> </w:t>
            </w:r>
            <w:bookmarkStart w:id="188" w:name="xdx_408_eus-gaap--NetIncomeLoss_zUAwTo1V"/>
            <w:bookmarkEnd w:id="188"/>
          </w:p>
        </w:tc>
      </w:tr>
      <w:tr>
        <w:trPr/>
        <w:tc>
          <w:tcPr>
            <w:tcW w:w="3437"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(34,045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(34,045</w:t>
            </w:r>
          </w:p>
        </w:tc>
        <w:tc>
          <w:tcPr>
            <w:tcW w:w="112" w:type="dxa"/>
            <w:tcBorders/>
            <w:shd w:fill="FFFFFF" w:val="clear"/>
            <w:vAlign w:val="center"/>
          </w:tcPr>
          <w:p>
            <w:pPr>
              <w:pStyle w:val="TableContents"/>
              <w:bidi w:val="0"/>
              <w:spacing w:before="0" w:after="283"/>
              <w:jc w:val="left"/>
              <w:rPr/>
            </w:pPr>
            <w:r>
              <w:rPr/>
              <w:t>)</w:t>
            </w:r>
            <w:bookmarkStart w:id="189" w:name="xdx_431_c20250101__20250630_eus-gaap--St"/>
            <w:bookmarkEnd w:id="189"/>
          </w:p>
        </w:tc>
      </w:tr>
      <w:tr>
        <w:trPr/>
        <w:tc>
          <w:tcPr>
            <w:tcW w:w="3437" w:type="dxa"/>
            <w:tcBorders/>
            <w:shd w:fill="CCEEFF" w:val="clear"/>
            <w:vAlign w:val="center"/>
          </w:tcPr>
          <w:p>
            <w:pPr>
              <w:pStyle w:val="TableContents"/>
              <w:bidi w:val="0"/>
              <w:spacing w:before="0" w:after="283"/>
              <w:jc w:val="left"/>
              <w:rPr/>
            </w:pPr>
            <w:r>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0" w:name="xdx_98F_eus-gaap--SharesOutstanding_iE_p"/>
            <w:bookmarkEnd w:id="19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1,174,431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503,339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(520,084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(16,745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F-5</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BioAtla, Inc. </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191" w:name="a004"/>
      <w:bookmarkEnd w:id="191"/>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192" w:name="xdx_307_112_pn3n3_zT3nnNdZ2qGe"/>
      <w:bookmarkStart w:id="193" w:name="xdx_307_112_pn3n3_zT3nnNdZ2qGe"/>
      <w:bookmarkEnd w:id="193"/>
    </w:p>
    <w:tbl>
      <w:tblPr>
        <w:tblW w:w="8765" w:type="dxa"/>
        <w:jc w:val="left"/>
        <w:tblInd w:w="720" w:type="dxa"/>
        <w:tblLayout w:type="fixed"/>
        <w:tblCellMar>
          <w:top w:w="0" w:type="dxa"/>
          <w:left w:w="0" w:type="dxa"/>
          <w:bottom w:w="0" w:type="dxa"/>
          <w:right w:w="0" w:type="dxa"/>
        </w:tblCellMar>
      </w:tblPr>
      <w:tblGrid>
        <w:gridCol w:w="6661"/>
        <w:gridCol w:w="60"/>
        <w:gridCol w:w="148"/>
        <w:gridCol w:w="672"/>
        <w:gridCol w:w="100"/>
        <w:gridCol w:w="63"/>
        <w:gridCol w:w="148"/>
        <w:gridCol w:w="800"/>
        <w:gridCol w:w="113"/>
      </w:tblGrid>
      <w:tr>
        <w:trPr/>
        <w:tc>
          <w:tcPr>
            <w:tcW w:w="6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194" w:name="xdx_492_20260101__20260630_zB9U5arX0po7"/>
            <w:bookmarkEnd w:id="194"/>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195" w:name="xdx_497_20250101__20250630_zXR1O2G2IMuk"/>
            <w:bookmarkEnd w:id="195"/>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31"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113"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113" w:type="dxa"/>
            <w:tcBorders/>
            <w:vAlign w:val="center"/>
          </w:tcPr>
          <w:p>
            <w:pPr>
              <w:pStyle w:val="TableContents"/>
              <w:bidi w:val="0"/>
              <w:spacing w:before="0" w:after="283"/>
              <w:jc w:val="left"/>
              <w:rPr/>
            </w:pPr>
            <w:r>
              <w:rPr/>
              <w:t> </w:t>
            </w:r>
            <w:bookmarkStart w:id="196" w:name="xdx_40C_eus-gaap--NetCashProvidedByUsedI"/>
            <w:bookmarkEnd w:id="196"/>
          </w:p>
        </w:tc>
      </w:tr>
      <w:tr>
        <w:trPr/>
        <w:tc>
          <w:tcPr>
            <w:tcW w:w="666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7" w:name="xdx_403_eus-gaap--NetIncomeLoss_i01_maNC"/>
            <w:bookmarkEnd w:id="197"/>
          </w:p>
        </w:tc>
      </w:tr>
      <w:tr>
        <w:trPr/>
        <w:tc>
          <w:tcPr>
            <w:tcW w:w="666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672" w:type="dxa"/>
            <w:tcBorders/>
            <w:shd w:fill="FFFFFF" w:val="clear"/>
            <w:vAlign w:val="center"/>
          </w:tcPr>
          <w:p>
            <w:pPr>
              <w:pStyle w:val="TableContents"/>
              <w:bidi w:val="0"/>
              <w:spacing w:before="0" w:after="283"/>
              <w:jc w:val="right"/>
              <w:rPr/>
            </w:pPr>
            <w:r>
              <w:rPr/>
              <w:t>(5,892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(34,045</w:t>
            </w:r>
          </w:p>
        </w:tc>
        <w:tc>
          <w:tcPr>
            <w:tcW w:w="113" w:type="dxa"/>
            <w:tcBorders/>
            <w:shd w:fill="FFFFFF" w:val="clear"/>
            <w:vAlign w:val="center"/>
          </w:tcPr>
          <w:p>
            <w:pPr>
              <w:pStyle w:val="TableContents"/>
              <w:bidi w:val="0"/>
              <w:spacing w:before="0" w:after="283"/>
              <w:jc w:val="left"/>
              <w:rPr/>
            </w:pPr>
            <w:r>
              <w:rPr/>
              <w:t>)</w:t>
            </w:r>
            <w:bookmarkStart w:id="198" w:name="xdx_40F_eus-gaap--AdjustmentsNoncashItem"/>
            <w:bookmarkEnd w:id="198"/>
          </w:p>
        </w:tc>
      </w:tr>
      <w:tr>
        <w:trPr/>
        <w:tc>
          <w:tcPr>
            <w:tcW w:w="6661"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9" w:name="xdx_40C_eus-gaap--DepreciationDepletionA"/>
            <w:bookmarkEnd w:id="199"/>
          </w:p>
        </w:tc>
      </w:tr>
      <w:tr>
        <w:trPr/>
        <w:tc>
          <w:tcPr>
            <w:tcW w:w="6661"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120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298</w:t>
            </w:r>
          </w:p>
        </w:tc>
        <w:tc>
          <w:tcPr>
            <w:tcW w:w="113" w:type="dxa"/>
            <w:tcBorders/>
            <w:shd w:fill="FFFFFF" w:val="clear"/>
            <w:vAlign w:val="center"/>
          </w:tcPr>
          <w:p>
            <w:pPr>
              <w:pStyle w:val="TableContents"/>
              <w:bidi w:val="0"/>
              <w:spacing w:before="0" w:after="283"/>
              <w:jc w:val="left"/>
              <w:rPr/>
            </w:pPr>
            <w:r>
              <w:rPr/>
              <w:t> </w:t>
            </w:r>
            <w:bookmarkStart w:id="200" w:name="xdx_40D_eus-gaap--FairValueAdjustmentOfW"/>
            <w:bookmarkEnd w:id="200"/>
          </w:p>
        </w:tc>
      </w:tr>
      <w:tr>
        <w:trPr/>
        <w:tc>
          <w:tcPr>
            <w:tcW w:w="6661"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(2,894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(1,583</w:t>
            </w:r>
          </w:p>
        </w:tc>
        <w:tc>
          <w:tcPr>
            <w:tcW w:w="113" w:type="dxa"/>
            <w:tcBorders/>
            <w:shd w:fill="CCEEFF" w:val="clear"/>
            <w:vAlign w:val="center"/>
          </w:tcPr>
          <w:p>
            <w:pPr>
              <w:pStyle w:val="TableContents"/>
              <w:bidi w:val="0"/>
              <w:spacing w:before="0" w:after="283"/>
              <w:jc w:val="left"/>
              <w:rPr/>
            </w:pPr>
            <w:r>
              <w:rPr/>
              <w:t>)</w:t>
            </w:r>
            <w:bookmarkStart w:id="201" w:name="xdx_406_ecustom--ChangeInFairValueOfPreP"/>
            <w:bookmarkEnd w:id="201"/>
          </w:p>
        </w:tc>
      </w:tr>
      <w:tr>
        <w:trPr/>
        <w:tc>
          <w:tcPr>
            <w:tcW w:w="6661" w:type="dxa"/>
            <w:tcBorders/>
            <w:shd w:fill="FFFFFF" w:val="clear"/>
            <w:vAlign w:val="center"/>
          </w:tcPr>
          <w:p>
            <w:pPr>
              <w:pStyle w:val="TableContents"/>
              <w:bidi w:val="0"/>
              <w:spacing w:before="0" w:after="283"/>
              <w:jc w:val="left"/>
              <w:rPr/>
            </w:pPr>
            <w:r>
              <w:rPr/>
              <w:t>Change in fair value of PPAs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(273</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2" w:name="xdx_406_eus-gaap--ShareBasedCompensation"/>
            <w:bookmarkEnd w:id="202"/>
          </w:p>
        </w:tc>
      </w:tr>
      <w:tr>
        <w:trPr/>
        <w:tc>
          <w:tcPr>
            <w:tcW w:w="666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1,575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3,022</w:t>
            </w:r>
          </w:p>
        </w:tc>
        <w:tc>
          <w:tcPr>
            <w:tcW w:w="113" w:type="dxa"/>
            <w:tcBorders/>
            <w:shd w:fill="CCEEFF" w:val="clear"/>
            <w:vAlign w:val="center"/>
          </w:tcPr>
          <w:p>
            <w:pPr>
              <w:pStyle w:val="TableContents"/>
              <w:bidi w:val="0"/>
              <w:spacing w:before="0" w:after="283"/>
              <w:jc w:val="left"/>
              <w:rPr/>
            </w:pPr>
            <w:r>
              <w:rPr/>
              <w:t> </w:t>
            </w:r>
            <w:bookmarkStart w:id="203" w:name="xdx_40A_eus-gaap--IncreaseDecreaseInOthe"/>
            <w:bookmarkEnd w:id="203"/>
          </w:p>
        </w:tc>
      </w:tr>
      <w:tr>
        <w:trPr/>
        <w:tc>
          <w:tcPr>
            <w:tcW w:w="6661"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4" w:name="xdx_409_eus-gaap--IncreaseDecreaseInAcco"/>
            <w:bookmarkEnd w:id="204"/>
          </w:p>
        </w:tc>
      </w:tr>
      <w:tr>
        <w:trPr/>
        <w:tc>
          <w:tcPr>
            <w:tcW w:w="6661"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(2,000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05" w:name="xdx_40F_eus-gaap--IncreaseDecreaseInPrep"/>
            <w:bookmarkEnd w:id="205"/>
          </w:p>
        </w:tc>
      </w:tr>
      <w:tr>
        <w:trPr/>
        <w:tc>
          <w:tcPr>
            <w:tcW w:w="6661"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181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(383</w:t>
            </w:r>
          </w:p>
        </w:tc>
        <w:tc>
          <w:tcPr>
            <w:tcW w:w="113" w:type="dxa"/>
            <w:tcBorders/>
            <w:shd w:fill="FFFFFF" w:val="clear"/>
            <w:vAlign w:val="center"/>
          </w:tcPr>
          <w:p>
            <w:pPr>
              <w:pStyle w:val="TableContents"/>
              <w:bidi w:val="0"/>
              <w:spacing w:before="0" w:after="283"/>
              <w:jc w:val="left"/>
              <w:rPr/>
            </w:pPr>
            <w:r>
              <w:rPr/>
              <w:t>)</w:t>
            </w:r>
            <w:bookmarkStart w:id="206" w:name="xdx_402_eus-gaap--IncreaseDecreaseInAcco"/>
            <w:bookmarkEnd w:id="206"/>
          </w:p>
        </w:tc>
      </w:tr>
      <w:tr>
        <w:trPr/>
        <w:tc>
          <w:tcPr>
            <w:tcW w:w="6661"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3,087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2,535</w:t>
            </w:r>
          </w:p>
        </w:tc>
        <w:tc>
          <w:tcPr>
            <w:tcW w:w="113" w:type="dxa"/>
            <w:tcBorders/>
            <w:shd w:fill="CCEEFF" w:val="clear"/>
            <w:vAlign w:val="center"/>
          </w:tcPr>
          <w:p>
            <w:pPr>
              <w:pStyle w:val="TableContents"/>
              <w:bidi w:val="0"/>
              <w:spacing w:before="0" w:after="283"/>
              <w:jc w:val="left"/>
              <w:rPr/>
            </w:pPr>
            <w:r>
              <w:rPr/>
              <w:t> </w:t>
            </w:r>
            <w:bookmarkStart w:id="207" w:name="xdx_40E_eus-gaap--IncreaseDecreaseInAcco"/>
            <w:bookmarkEnd w:id="207"/>
          </w:p>
        </w:tc>
      </w:tr>
      <w:tr>
        <w:trPr/>
        <w:tc>
          <w:tcPr>
            <w:tcW w:w="6661" w:type="dxa"/>
            <w:tcBorders/>
            <w:shd w:fill="FFFFFF" w:val="clear"/>
            <w:vAlign w:val="center"/>
          </w:tcPr>
          <w:p>
            <w:pPr>
              <w:pStyle w:val="TableContents"/>
              <w:bidi w:val="0"/>
              <w:spacing w:before="0" w:after="283"/>
              <w:jc w:val="left"/>
              <w:rPr/>
            </w:pPr>
            <w:r>
              <w:rPr/>
              <w:t>Accounts payable and accrued expenses - related parties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300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8" w:name="xdx_408_eus-gaap--IncreaseDecreaseInOper"/>
            <w:bookmarkEnd w:id="208"/>
          </w:p>
        </w:tc>
      </w:tr>
      <w:tr>
        <w:trPr/>
        <w:tc>
          <w:tcPr>
            <w:tcW w:w="6661" w:type="dxa"/>
            <w:tcBorders/>
            <w:shd w:fill="CCEEFF" w:val="clear"/>
            <w:vAlign w:val="center"/>
          </w:tcPr>
          <w:p>
            <w:pPr>
              <w:pStyle w:val="TableContents"/>
              <w:bidi w:val="0"/>
              <w:spacing w:before="0" w:after="283"/>
              <w:jc w:val="left"/>
              <w:rPr/>
            </w:pPr>
            <w:r>
              <w:rPr/>
              <w:t>Right-of-use assets and lease liabilities, net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pPr>
            <w:r>
              <w:rPr/>
              <w:t>110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(252</w:t>
            </w:r>
          </w:p>
        </w:tc>
        <w:tc>
          <w:tcPr>
            <w:tcW w:w="113" w:type="dxa"/>
            <w:tcBorders/>
            <w:shd w:fill="CCEEFF" w:val="clear"/>
            <w:vAlign w:val="center"/>
          </w:tcPr>
          <w:p>
            <w:pPr>
              <w:pStyle w:val="TableContents"/>
              <w:bidi w:val="0"/>
              <w:spacing w:before="0" w:after="283"/>
              <w:jc w:val="left"/>
              <w:rPr/>
            </w:pPr>
            <w:r>
              <w:rPr/>
              <w:t>)</w:t>
            </w:r>
            <w:bookmarkStart w:id="209" w:name="xdx_404_eus-gaap--NetCashProvidedByUsedI"/>
            <w:bookmarkEnd w:id="209"/>
          </w:p>
        </w:tc>
      </w:tr>
      <w:tr>
        <w:trPr/>
        <w:tc>
          <w:tcPr>
            <w:tcW w:w="6661"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(5,686</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(30,408</w:t>
            </w:r>
          </w:p>
        </w:tc>
        <w:tc>
          <w:tcPr>
            <w:tcW w:w="113" w:type="dxa"/>
            <w:tcBorders/>
            <w:shd w:fill="FFFFFF" w:val="clear"/>
            <w:vAlign w:val="center"/>
          </w:tcPr>
          <w:p>
            <w:pPr>
              <w:pStyle w:val="TableContents"/>
              <w:bidi w:val="0"/>
              <w:spacing w:before="0" w:after="283"/>
              <w:jc w:val="left"/>
              <w:rPr/>
            </w:pPr>
            <w:r>
              <w:rPr/>
              <w:t>)</w:t>
            </w:r>
            <w:bookmarkStart w:id="210" w:name="xdx_406_eus-gaap--NetCashProvidedByUsedI"/>
            <w:bookmarkEnd w:id="210"/>
          </w:p>
        </w:tc>
      </w:tr>
      <w:tr>
        <w:trPr/>
        <w:tc>
          <w:tcPr>
            <w:tcW w:w="6661"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1" w:name="xdx_402_ecustom--ProceedsFromIssuanceOfC"/>
            <w:bookmarkEnd w:id="211"/>
          </w:p>
        </w:tc>
      </w:tr>
      <w:tr>
        <w:trPr/>
        <w:tc>
          <w:tcPr>
            <w:tcW w:w="6661" w:type="dxa"/>
            <w:tcBorders/>
            <w:shd w:fill="FFFFFF" w:val="clear"/>
            <w:vAlign w:val="center"/>
          </w:tcPr>
          <w:p>
            <w:pPr>
              <w:pStyle w:val="TableContents"/>
              <w:bidi w:val="0"/>
              <w:spacing w:before="0" w:after="283"/>
              <w:jc w:val="left"/>
              <w:rPr/>
            </w:pPr>
            <w:r>
              <w:rPr/>
              <w:t>Proceeds from issuance of common stock under SEPA</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413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12" w:name="xdx_402_eus-gaap--PaymentsOfFinancingCos"/>
            <w:bookmarkEnd w:id="212"/>
          </w:p>
        </w:tc>
      </w:tr>
      <w:tr>
        <w:trPr/>
        <w:tc>
          <w:tcPr>
            <w:tcW w:w="6661" w:type="dxa"/>
            <w:tcBorders/>
            <w:shd w:fill="CCEEFF" w:val="clear"/>
            <w:vAlign w:val="center"/>
          </w:tcPr>
          <w:p>
            <w:pPr>
              <w:pStyle w:val="TableContents"/>
              <w:bidi w:val="0"/>
              <w:spacing w:before="0" w:after="283"/>
              <w:jc w:val="left"/>
              <w:rPr/>
            </w:pPr>
            <w:r>
              <w:rPr/>
              <w:t>Payment of financing costs related to issuance of common stock, PPAs and SEPA</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(289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(444</w:t>
            </w:r>
          </w:p>
        </w:tc>
        <w:tc>
          <w:tcPr>
            <w:tcW w:w="113" w:type="dxa"/>
            <w:tcBorders/>
            <w:shd w:fill="CCEEFF" w:val="clear"/>
            <w:vAlign w:val="center"/>
          </w:tcPr>
          <w:p>
            <w:pPr>
              <w:pStyle w:val="TableContents"/>
              <w:bidi w:val="0"/>
              <w:spacing w:before="0" w:after="283"/>
              <w:jc w:val="left"/>
              <w:rPr/>
            </w:pPr>
            <w:r>
              <w:rPr/>
              <w:t>)</w:t>
            </w:r>
            <w:bookmarkStart w:id="213" w:name="xdx_40E_eus-gaap--ProceedsFromIssuanceOf"/>
            <w:bookmarkEnd w:id="213"/>
          </w:p>
        </w:tc>
      </w:tr>
      <w:tr>
        <w:trPr/>
        <w:tc>
          <w:tcPr>
            <w:tcW w:w="6661" w:type="dxa"/>
            <w:tcBorders/>
            <w:shd w:fill="FFFFFF" w:val="clear"/>
            <w:vAlign w:val="center"/>
          </w:tcPr>
          <w:p>
            <w:pPr>
              <w:pStyle w:val="TableContents"/>
              <w:bidi w:val="0"/>
              <w:spacing w:before="0" w:after="283"/>
              <w:jc w:val="left"/>
              <w:rPr/>
            </w:pPr>
            <w:r>
              <w:rPr/>
              <w:t>Proceeds from 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w:t>
            </w:r>
          </w:p>
        </w:tc>
        <w:tc>
          <w:tcPr>
            <w:tcW w:w="113" w:type="dxa"/>
            <w:tcBorders/>
            <w:shd w:fill="FFFFFF" w:val="clear"/>
            <w:vAlign w:val="center"/>
          </w:tcPr>
          <w:p>
            <w:pPr>
              <w:pStyle w:val="TableContents"/>
              <w:bidi w:val="0"/>
              <w:spacing w:before="0" w:after="283"/>
              <w:jc w:val="left"/>
              <w:rPr/>
            </w:pPr>
            <w:r>
              <w:rPr/>
              <w:t> </w:t>
            </w:r>
            <w:bookmarkStart w:id="214" w:name="xdx_402_ecustom--PaymentsForTaxesRelated"/>
            <w:bookmarkEnd w:id="214"/>
          </w:p>
        </w:tc>
      </w:tr>
      <w:tr>
        <w:trPr/>
        <w:tc>
          <w:tcPr>
            <w:tcW w:w="6661" w:type="dxa"/>
            <w:tcBorders/>
            <w:shd w:fill="CCEEFF" w:val="clear"/>
            <w:vAlign w:val="center"/>
          </w:tcPr>
          <w:p>
            <w:pPr>
              <w:pStyle w:val="TableContents"/>
              <w:bidi w:val="0"/>
              <w:spacing w:before="0" w:after="283"/>
              <w:jc w:val="left"/>
              <w:rPr/>
            </w:pPr>
            <w:r>
              <w:rPr/>
              <w:t>Payments for taxes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13" w:type="dxa"/>
            <w:tcBorders/>
            <w:shd w:fill="CCEEFF" w:val="clear"/>
            <w:vAlign w:val="center"/>
          </w:tcPr>
          <w:p>
            <w:pPr>
              <w:pStyle w:val="TableContents"/>
              <w:bidi w:val="0"/>
              <w:spacing w:before="0" w:after="283"/>
              <w:jc w:val="left"/>
              <w:rPr/>
            </w:pPr>
            <w:r>
              <w:rPr/>
              <w:t>)</w:t>
            </w:r>
            <w:bookmarkStart w:id="215" w:name="xdx_40E_eus-gaap--NetCashProvidedByUsedI"/>
            <w:bookmarkEnd w:id="215"/>
          </w:p>
        </w:tc>
      </w:tr>
      <w:tr>
        <w:trPr/>
        <w:tc>
          <w:tcPr>
            <w:tcW w:w="6661"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pPr>
            <w:r>
              <w:rPr/>
              <w:t>112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(431</w:t>
            </w:r>
          </w:p>
        </w:tc>
        <w:tc>
          <w:tcPr>
            <w:tcW w:w="113" w:type="dxa"/>
            <w:tcBorders/>
            <w:shd w:fill="FFFFFF" w:val="clear"/>
            <w:vAlign w:val="center"/>
          </w:tcPr>
          <w:p>
            <w:pPr>
              <w:pStyle w:val="TableContents"/>
              <w:bidi w:val="0"/>
              <w:spacing w:before="0" w:after="283"/>
              <w:jc w:val="left"/>
              <w:rPr/>
            </w:pPr>
            <w:r>
              <w:rPr/>
              <w:t>)</w:t>
            </w:r>
            <w:bookmarkStart w:id="216" w:name="xdx_401_eus-gaap--CashCashEquivalentsRes"/>
            <w:bookmarkEnd w:id="216"/>
          </w:p>
        </w:tc>
      </w:tr>
      <w:tr>
        <w:trPr/>
        <w:tc>
          <w:tcPr>
            <w:tcW w:w="6661"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(5,574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(30,839</w:t>
            </w:r>
          </w:p>
        </w:tc>
        <w:tc>
          <w:tcPr>
            <w:tcW w:w="113" w:type="dxa"/>
            <w:tcBorders/>
            <w:shd w:fill="CCEEFF" w:val="clear"/>
            <w:vAlign w:val="center"/>
          </w:tcPr>
          <w:p>
            <w:pPr>
              <w:pStyle w:val="TableContents"/>
              <w:bidi w:val="0"/>
              <w:spacing w:before="0" w:after="283"/>
              <w:jc w:val="left"/>
              <w:rPr/>
            </w:pPr>
            <w:r>
              <w:rPr/>
              <w:t>)</w:t>
            </w:r>
            <w:bookmarkStart w:id="217" w:name="xdx_405_eus-gaap--CashCashEquivalentsRes"/>
            <w:bookmarkEnd w:id="217"/>
          </w:p>
        </w:tc>
      </w:tr>
      <w:tr>
        <w:trPr/>
        <w:tc>
          <w:tcPr>
            <w:tcW w:w="6661"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pPr>
            <w:r>
              <w:rPr/>
              <w:t>7,118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49,046</w:t>
            </w:r>
          </w:p>
        </w:tc>
        <w:tc>
          <w:tcPr>
            <w:tcW w:w="113" w:type="dxa"/>
            <w:tcBorders/>
            <w:shd w:fill="FFFFFF" w:val="clear"/>
            <w:vAlign w:val="center"/>
          </w:tcPr>
          <w:p>
            <w:pPr>
              <w:pStyle w:val="TableContents"/>
              <w:bidi w:val="0"/>
              <w:spacing w:before="0" w:after="283"/>
              <w:jc w:val="left"/>
              <w:rPr/>
            </w:pPr>
            <w:r>
              <w:rPr/>
              <w:t> </w:t>
            </w:r>
            <w:bookmarkStart w:id="218" w:name="xdx_400_eus-gaap--CashCashEquivalentsRes"/>
            <w:bookmarkEnd w:id="218"/>
          </w:p>
        </w:tc>
      </w:tr>
      <w:tr>
        <w:trPr/>
        <w:tc>
          <w:tcPr>
            <w:tcW w:w="6661"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jc w:val="right"/>
              <w:rPr/>
            </w:pPr>
            <w:r>
              <w:rPr/>
              <w:t>1,544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18,207</w:t>
            </w:r>
          </w:p>
        </w:tc>
        <w:tc>
          <w:tcPr>
            <w:tcW w:w="113" w:type="dxa"/>
            <w:tcBorders/>
            <w:shd w:fill="CCEEFF" w:val="clear"/>
            <w:vAlign w:val="center"/>
          </w:tcPr>
          <w:p>
            <w:pPr>
              <w:pStyle w:val="TableContents"/>
              <w:bidi w:val="0"/>
              <w:spacing w:before="0" w:after="283"/>
              <w:jc w:val="left"/>
              <w:rPr/>
            </w:pPr>
            <w:r>
              <w:rPr/>
              <w:t> </w:t>
            </w:r>
            <w:bookmarkStart w:id="219" w:name="xdx_40D_eus-gaap--NoncashInvestingAndFin"/>
            <w:bookmarkEnd w:id="219"/>
          </w:p>
        </w:tc>
      </w:tr>
      <w:tr>
        <w:trPr/>
        <w:tc>
          <w:tcPr>
            <w:tcW w:w="6661"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0" w:name="xdx_40F_ecustom--FairValueOfCommonStockR"/>
            <w:bookmarkEnd w:id="220"/>
          </w:p>
        </w:tc>
      </w:tr>
      <w:tr>
        <w:trPr/>
        <w:tc>
          <w:tcPr>
            <w:tcW w:w="6661" w:type="dxa"/>
            <w:tcBorders/>
            <w:shd w:fill="CCEEFF" w:val="clear"/>
            <w:vAlign w:val="center"/>
          </w:tcPr>
          <w:p>
            <w:pPr>
              <w:pStyle w:val="TableContents"/>
              <w:bidi w:val="0"/>
              <w:spacing w:before="0" w:after="283"/>
              <w:jc w:val="left"/>
              <w:rPr/>
            </w:pPr>
            <w:r>
              <w:rPr/>
              <w:t>Fair value of common stock issued in satisfaction of PPAs liability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jc w:val="right"/>
              <w:rPr/>
            </w:pPr>
            <w:r>
              <w:rPr/>
              <w:t>3,869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21" w:name="xdx_40E_ecustom--IncreaseInRightOfUseAss"/>
            <w:bookmarkEnd w:id="221"/>
          </w:p>
        </w:tc>
      </w:tr>
      <w:tr>
        <w:trPr/>
        <w:tc>
          <w:tcPr>
            <w:tcW w:w="6661" w:type="dxa"/>
            <w:tcBorders/>
            <w:shd w:fill="FFFFFF" w:val="clear"/>
            <w:vAlign w:val="center"/>
          </w:tcPr>
          <w:p>
            <w:pPr>
              <w:pStyle w:val="TableContents"/>
              <w:bidi w:val="0"/>
              <w:spacing w:before="0" w:after="283"/>
              <w:jc w:val="left"/>
              <w:rPr/>
            </w:pPr>
            <w:r>
              <w:rPr/>
              <w:t>Increase in right-of-use assets and operating lease liabilities resulting from contract modification</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5,999</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i/>
          <w:sz w:val="20"/>
        </w:rPr>
      </w:pPr>
      <w:r>
        <w:rPr>
          <w:rFonts w:ascii="Times New Roman;Times;Serif" w:hAnsi="Times New Roman;Times;Serif"/>
          <w:i/>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F-6</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222" w:name="a005"/>
      <w:bookmarkEnd w:id="222"/>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2026</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223" w:name="xdx_80B_eus-gaap--OrganizationConsolidat"/>
      <w:bookmarkEnd w:id="223"/>
      <w:r>
        <w:rPr>
          <w:rFonts w:ascii="Times New Roman;Times;Serif" w:hAnsi="Times New Roman;Times;Serif"/>
          <w:b/>
          <w:i w:val="false"/>
          <w:caps w:val="false"/>
          <w:smallCaps w:val="false"/>
          <w:sz w:val="20"/>
        </w:rPr>
        <w:t xml:space="preserve">1. </w:t>
      </w:r>
      <w:bookmarkStart w:id="224" w:name="xdx_829_z5Kb1mDvRbDh"/>
      <w:bookmarkEnd w:id="224"/>
      <w:r>
        <w:rPr>
          <w:rFonts w:ascii="Times New Roman;Times;Serif" w:hAnsi="Times New Roman;Times;Serif"/>
          <w:b/>
          <w:i w:val="false"/>
          <w:caps w:val="false"/>
          <w:smallCaps w:val="false"/>
          <w:sz w:val="20"/>
        </w:rPr>
        <w:t>Organization and Summary of Significant Accounting Policies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25" w:name="xdx_865_zOWwSlr45NK4"/>
      <w:bookmarkStart w:id="226" w:name="xdx_84F_ecustom--OrganizationPolicyTextB"/>
      <w:bookmarkEnd w:id="225"/>
      <w:bookmarkEnd w:id="226"/>
      <w:r>
        <w:rPr>
          <w:rFonts w:ascii="Times New Roman;Times;Serif" w:hAnsi="Times New Roman;Times;Serif"/>
          <w:b/>
          <w:i/>
          <w:caps w:val="false"/>
          <w:smallCaps w:val="false"/>
          <w:sz w:val="20"/>
        </w:rPr>
        <w:t>Organization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BioAtla, LLC was formed in Delaware in </w:t>
      </w:r>
      <w:bookmarkStart w:id="227" w:name="xdx_90D_ecustom--CompanyFormationDate_c2"/>
      <w:bookmarkStart w:id="228" w:name="xdx_904_ecustom--CompanyFormationDate_c2"/>
      <w:bookmarkStart w:id="229" w:name="xdx_902_ecustom--CompanyFormationDate_c2"/>
      <w:bookmarkStart w:id="230" w:name="xdx_909_ecustom--CompanyFormationDate_c2"/>
      <w:bookmarkEnd w:id="227"/>
      <w:bookmarkEnd w:id="228"/>
      <w:bookmarkEnd w:id="229"/>
      <w:bookmarkEnd w:id="230"/>
      <w:r>
        <w:rPr>
          <w:rFonts w:ascii="Times New Roman;Times;Serif" w:hAnsi="Times New Roman;Times;Serif"/>
          <w:b w:val="false"/>
          <w:i w:val="false"/>
          <w:caps w:val="false"/>
          <w:smallCaps w:val="false"/>
          <w:sz w:val="20"/>
        </w:rPr>
        <w:t>March 2007 and was converted to a Delaware corporation in July 2020 and renamed BioAtla, Inc. (the “Company”). BioAtla, Inc. is a single legal entity with one consolidated variable interest entity (“VIE”), BA 3021 SPV LLC (see Note 10). The Company has a proprietary platform for creating biologics, including its conditionally active biologics (“CAB” or “CABs”). CABs have been designed to be active only under certain conditions found in diseased tissue, while remaining inactive in normal tissue. The Company has developed several CAB drug candidates through Phase 2 clinical trials including: two CAB antibody drug conjugates (“CAB ADC”), mecbotamab vedotin (BA3011), a CAB ADC targeting AXL, and ozuriftamab vedotin (BA3021), a CAB ADC targeting ROR2; and evalstotug (BA3071), a CAB anti-CTLA-4 antibody. The Company has an ongoing Phase 1 trial for BA3182 (CAB-EpCAM x CAB-CD3), a CAB bispecific antibody targeting EpCAM.</w:t>
      </w:r>
    </w:p>
    <w:p>
      <w:pPr>
        <w:pStyle w:val="TextBody"/>
        <w:bidi w:val="0"/>
        <w:spacing w:before="0" w:after="0"/>
        <w:ind w:left="720" w:right="720" w:firstLine="490"/>
        <w:jc w:val="both"/>
        <w:rPr>
          <w:caps w:val="false"/>
          <w:smallCaps w:val="false"/>
        </w:rPr>
      </w:pPr>
      <w:bookmarkStart w:id="231" w:name="xdx_85B_zO5GYVNBobTf"/>
      <w:bookmarkEnd w:id="231"/>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32" w:name="xdx_868_z8JPD99RE5td"/>
      <w:bookmarkStart w:id="233" w:name="xdx_842_ecustom--MergerAndRelatedShareCo"/>
      <w:bookmarkEnd w:id="232"/>
      <w:bookmarkEnd w:id="233"/>
      <w:r>
        <w:rPr>
          <w:rFonts w:ascii="Times New Roman;Times;Serif" w:hAnsi="Times New Roman;Times;Serif"/>
          <w:b/>
          <w:i/>
          <w:caps w:val="false"/>
          <w:smallCaps w:val="false"/>
          <w:sz w:val="20"/>
        </w:rPr>
        <w:t>Merger and Related Share Consolidation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Company’s stockholders approved the Agreement and Plan of Merger, as amended from time to time, including pursuant to Amendment No. 1 to Agreement and Plan of Merger, pursuant to which (i) a wholly owned subsidiary (the “Merger Sub”) of the Company would merge with and into the Company, with the Company surviving (the “Merger”), and (ii) every fifty (50) shares of common stock of the Company issued and outstanding, or held as treasury stock, would be converted into one (1) share of common stock of the surviving corporation, which would be the Company (the “Share Consolidation”). The effective date of the Merger and the related Share Consolidation was April 6, 2026. The Share Consolidation did not change the par value or the number of authorized shares of the Company’s common stock. The Company’s condensed consolidated financial statements and notes to the condensed consolidated financial statements present the retroactive effect of the Share Consolidation on the Company’s common stock share and per share data, and exercise price data for applicable common stock equivalents, for all periods presented prior to the effective date of the Share Consolidation.</w:t>
      </w:r>
    </w:p>
    <w:p>
      <w:pPr>
        <w:pStyle w:val="TextBody"/>
        <w:bidi w:val="0"/>
        <w:spacing w:before="0" w:after="0"/>
        <w:ind w:left="720" w:right="720" w:firstLine="490"/>
        <w:jc w:val="both"/>
        <w:rPr>
          <w:caps w:val="false"/>
          <w:smallCaps w:val="false"/>
        </w:rPr>
      </w:pPr>
      <w:bookmarkStart w:id="234" w:name="xdx_852_zP9mdEVooz7"/>
      <w:bookmarkEnd w:id="234"/>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35" w:name="xdx_86B_z9L9gcHoPNNi"/>
      <w:bookmarkStart w:id="236" w:name="xdx_840_eus-gaap--OrganizationConsolidat"/>
      <w:bookmarkEnd w:id="235"/>
      <w:bookmarkEnd w:id="236"/>
      <w:r>
        <w:rPr>
          <w:rFonts w:ascii="Times New Roman;Times;Serif" w:hAnsi="Times New Roman;Times;Serif"/>
          <w:b/>
          <w:i/>
          <w:caps w:val="false"/>
          <w:smallCaps w:val="false"/>
          <w:sz w:val="20"/>
        </w:rPr>
        <w:t>Basis of Presentation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as of June 30, 2026, and for the three and six months ended June 30, 2026 and 2025,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consolidated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consolidated financial statements for the year ended December 31, 2025, included in its Annual Report on Form 10-K filed with the SEC on March 31, 2026, as amended by Amendment No. 1 to the Annual Report on Form 10-K/A filed with the SEC on April 29, 2026.</w:t>
      </w:r>
    </w:p>
    <w:p>
      <w:pPr>
        <w:pStyle w:val="TextBody"/>
        <w:bidi w:val="0"/>
        <w:spacing w:before="0" w:after="0"/>
        <w:ind w:left="720" w:right="720" w:firstLine="490"/>
        <w:jc w:val="both"/>
        <w:rPr>
          <w:caps w:val="false"/>
          <w:smallCaps w:val="false"/>
        </w:rPr>
      </w:pPr>
      <w:bookmarkStart w:id="237" w:name="xdx_851_znszX6VHzxGh"/>
      <w:bookmarkEnd w:id="237"/>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38" w:name="xdx_866_zBnih7SUO0ff"/>
      <w:bookmarkStart w:id="239" w:name="xdx_849_ecustom--LiquidityAndGoingConcer"/>
      <w:bookmarkEnd w:id="238"/>
      <w:bookmarkEnd w:id="239"/>
      <w:r>
        <w:rPr>
          <w:rFonts w:ascii="Times New Roman;Times;Serif" w:hAnsi="Times New Roman;Times;Serif"/>
          <w:b/>
          <w:i/>
          <w:caps w:val="false"/>
          <w:smallCaps w:val="false"/>
          <w:sz w:val="20"/>
        </w:rPr>
        <w:t>Liquidity and Going Concern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cumulative operating losses and negative cash flows from operations since its inception and expects to continue to incur significant expenses and operating losses for the foreseeable future as it continues development of its product candidate BA3182. As of June 30, 2026, the Company had an accumulated deficit of $</w:t>
      </w:r>
      <w:bookmarkStart w:id="240" w:name="xdx_908_eus-gaap--RetainedEarningsAccumu"/>
      <w:bookmarkEnd w:id="240"/>
      <w:r>
        <w:rPr>
          <w:rFonts w:ascii="Times New Roman;Times;Serif" w:hAnsi="Times New Roman;Times;Serif"/>
          <w:b w:val="false"/>
          <w:i w:val="false"/>
          <w:caps w:val="false"/>
          <w:smallCaps w:val="false"/>
          <w:sz w:val="20"/>
        </w:rPr>
        <w:t>551.5 million.</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the Standby Equity Purchase Agreement (the “SEPA”) with YA II PN, Ltd. (“Yorkville”) pursuant to which the Company has the right to sell to Yorkville up to $</w:t>
      </w:r>
      <w:bookmarkStart w:id="241" w:name="xdx_900_eus-gaap--CommonStockValue_iI_pn"/>
      <w:bookmarkStart w:id="242" w:name="xdx_90C_eus-gaap--CommonStockValue_iI_pn"/>
      <w:bookmarkEnd w:id="241"/>
      <w:bookmarkEnd w:id="242"/>
      <w:r>
        <w:rPr>
          <w:rFonts w:ascii="Times New Roman;Times;Serif" w:hAnsi="Times New Roman;Times;Serif"/>
          <w:b w:val="false"/>
          <w:i w:val="false"/>
          <w:caps w:val="false"/>
          <w:smallCaps w:val="false"/>
          <w:sz w:val="20"/>
        </w:rPr>
        <w:t xml:space="preserve">15.0 million of shares of common stock (the “Commitment Amount”), subject to certain limitations and conditions set forth in the SEPA, during the 36 months beginning November 20, 2025 (such shares, the “SEPA Shares”). As of June 30, 2026, </w:t>
      </w:r>
      <w:bookmarkStart w:id="243" w:name="xdx_907_eus-gaap--SaleOfStockNumberOfSha"/>
      <w:bookmarkStart w:id="244" w:name="xdx_902_eus-gaap--SaleOfStockNumberOfSha"/>
      <w:bookmarkEnd w:id="243"/>
      <w:bookmarkEnd w:id="244"/>
      <w:r>
        <w:rPr>
          <w:rFonts w:ascii="Times New Roman;Times;Serif" w:hAnsi="Times New Roman;Times;Serif"/>
          <w:b w:val="false"/>
          <w:i w:val="false"/>
          <w:caps w:val="false"/>
          <w:smallCaps w:val="false"/>
          <w:sz w:val="20"/>
        </w:rPr>
        <w:t>48,092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 Shares had been sold under the SEPA, with gross proceeds to the Company totaling approximately $</w:t>
      </w:r>
      <w:bookmarkStart w:id="245" w:name="xdx_909_eus-gaap--ProceedsFromIssuanceOr"/>
      <w:bookmarkStart w:id="246" w:name="xdx_90B_eus-gaap--ProceedsFromIssuanceOr"/>
      <w:bookmarkEnd w:id="245"/>
      <w:bookmarkEnd w:id="246"/>
      <w:r>
        <w:rPr>
          <w:rFonts w:ascii="Times New Roman;Times;Serif" w:hAnsi="Times New Roman;Times;Serif"/>
          <w:b w:val="false"/>
          <w:i w:val="false"/>
          <w:caps w:val="false"/>
          <w:smallCaps w:val="false"/>
          <w:sz w:val="20"/>
        </w:rPr>
        <w:t>0.4 million. Additional sales of the SEPA Shares to Yorkville and the timing of any such sales, if elected to be utilized by the Company at a future date, are at the Company’s option.</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the Company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 As part of this process, the Company paused further enrollment in its ongoing Phase 1 study of BA3182 (CAB-EpCAM x CAB-CD3), while continuing treatment and follow-up of patients, including obtaining new scans in the study.</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condensed consolidated financial statements.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its condensed consolidated financial statements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pStyle w:val="TextBody"/>
        <w:bidi w:val="0"/>
        <w:spacing w:before="0" w:after="0"/>
        <w:ind w:left="720" w:right="720" w:firstLine="490"/>
        <w:jc w:val="both"/>
        <w:rPr>
          <w:caps w:val="false"/>
          <w:smallCaps w:val="false"/>
        </w:rPr>
      </w:pPr>
      <w:bookmarkStart w:id="247" w:name="xdx_852_zpAAH6PBbXSd"/>
      <w:bookmarkEnd w:id="247"/>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48" w:name="xdx_868_zIjILuo1AfIh"/>
      <w:bookmarkStart w:id="249" w:name="xdx_84C_eus-gaap--ConsolidationVariableI"/>
      <w:bookmarkEnd w:id="248"/>
      <w:bookmarkEnd w:id="249"/>
      <w:r>
        <w:rPr>
          <w:rFonts w:ascii="Times New Roman;Times;Serif" w:hAnsi="Times New Roman;Times;Serif"/>
          <w:b/>
          <w:i/>
          <w:caps w:val="false"/>
          <w:smallCaps w:val="false"/>
          <w:sz w:val="20"/>
        </w:rPr>
        <w:t>Variable Interest Entities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w:t>
      </w:r>
    </w:p>
    <w:p>
      <w:pPr>
        <w:pStyle w:val="TextBody"/>
        <w:bidi w:val="0"/>
        <w:spacing w:before="0" w:after="0"/>
        <w:ind w:left="720" w:right="720" w:firstLine="490"/>
        <w:jc w:val="both"/>
        <w:rPr>
          <w:caps w:val="false"/>
          <w:smallCaps w:val="false"/>
        </w:rPr>
      </w:pPr>
      <w:bookmarkStart w:id="250" w:name="xdx_85A_zjRp96i5be0f"/>
      <w:bookmarkEnd w:id="250"/>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51" w:name="xdx_86B_ziZ3ZoxBolwc"/>
      <w:bookmarkStart w:id="252" w:name="xdx_848_eus-gaap--UseOfEstimates_zLuU5eQ"/>
      <w:bookmarkEnd w:id="251"/>
      <w:bookmarkEnd w:id="252"/>
      <w:r>
        <w:rPr>
          <w:rFonts w:ascii="Times New Roman;Times;Serif" w:hAnsi="Times New Roman;Times;Serif"/>
          <w:b/>
          <w:i/>
          <w:caps w:val="false"/>
          <w:smallCaps w:val="false"/>
          <w:sz w:val="20"/>
        </w:rPr>
        <w:t>Use of Estimates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accruals for research and development costs, equity-based compensation, and fair value measurements related to the Warrant Liability (as defined in Note 4). These estimates and assumptions are based on current facts, historical experience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0" w:after="0"/>
        <w:ind w:left="720" w:right="720" w:firstLine="490"/>
        <w:jc w:val="both"/>
        <w:rPr>
          <w:caps w:val="false"/>
          <w:smallCaps w:val="false"/>
        </w:rPr>
      </w:pPr>
      <w:bookmarkStart w:id="253" w:name="xdx_854_zBKPTtjOvZ9i"/>
      <w:bookmarkEnd w:id="253"/>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54" w:name="xdx_863_zUfG69ySRnKf"/>
      <w:bookmarkStart w:id="255" w:name="xdx_848_eus-gaap--CashAndCashEquivalents"/>
      <w:bookmarkEnd w:id="254"/>
      <w:bookmarkEnd w:id="255"/>
      <w:r>
        <w:rPr>
          <w:rFonts w:ascii="Times New Roman;Times;Serif" w:hAnsi="Times New Roman;Times;Serif"/>
          <w:b/>
          <w:i/>
          <w:caps w:val="false"/>
          <w:smallCaps w:val="false"/>
          <w:sz w:val="20"/>
        </w:rPr>
        <w:t>Cash and Cash Equivalents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0" w:after="0"/>
        <w:ind w:left="720" w:right="720" w:firstLine="490"/>
        <w:jc w:val="both"/>
        <w:rPr>
          <w:caps w:val="false"/>
          <w:smallCaps w:val="false"/>
        </w:rPr>
      </w:pPr>
      <w:bookmarkStart w:id="256" w:name="xdx_858_zUhI7AccyQY1"/>
      <w:bookmarkEnd w:id="256"/>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57" w:name="xdx_862_zxm07sEJivx3"/>
      <w:bookmarkStart w:id="258" w:name="xdx_84F_eus-gaap--ShareBasedCompensation"/>
      <w:bookmarkEnd w:id="257"/>
      <w:bookmarkEnd w:id="258"/>
      <w:r>
        <w:rPr>
          <w:rFonts w:ascii="Times New Roman;Times;Serif" w:hAnsi="Times New Roman;Times;Serif"/>
          <w:b/>
          <w:i/>
          <w:caps w:val="false"/>
          <w:smallCaps w:val="false"/>
          <w:sz w:val="20"/>
        </w:rPr>
        <w:t>Stock-Based Compensation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pStyle w:val="TextBody"/>
        <w:bidi w:val="0"/>
        <w:spacing w:before="0" w:after="0"/>
        <w:ind w:left="720" w:right="720" w:firstLine="490"/>
        <w:jc w:val="both"/>
        <w:rPr>
          <w:caps w:val="false"/>
          <w:smallCaps w:val="false"/>
        </w:rPr>
      </w:pPr>
      <w:bookmarkStart w:id="259" w:name="xdx_85F_z3orTx5fD158"/>
      <w:bookmarkEnd w:id="259"/>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60" w:name="xdx_865_zdQ0KS5cNv5a"/>
      <w:bookmarkStart w:id="261" w:name="xdx_84F_eus-gaap--LesseeLeasesPolicyText"/>
      <w:bookmarkEnd w:id="260"/>
      <w:bookmarkEnd w:id="261"/>
      <w:r>
        <w:rPr>
          <w:rFonts w:ascii="Times New Roman;Times;Serif" w:hAnsi="Times New Roman;Times;Serif"/>
          <w:b/>
          <w:i/>
          <w:caps w:val="false"/>
          <w:smallCaps w:val="false"/>
          <w:sz w:val="20"/>
        </w:rPr>
        <w:t>Leases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included in operating lease right-of-use assets, operating lease liabilities, and operating lease liabilities, non-current on the Company’s condensed consolidated balance sheets. The Company does not have any finance leases.</w:t>
      </w:r>
    </w:p>
    <w:p>
      <w:pPr>
        <w:pStyle w:val="TextBody"/>
        <w:bidi w:val="0"/>
        <w:spacing w:before="0" w:after="0"/>
        <w:ind w:left="720" w:right="720" w:firstLine="490"/>
        <w:jc w:val="both"/>
        <w:rPr>
          <w:caps w:val="false"/>
          <w:smallCaps w:val="false"/>
        </w:rPr>
      </w:pPr>
      <w:bookmarkStart w:id="262" w:name="xdx_858_zDK27NWJyhn3"/>
      <w:bookmarkEnd w:id="262"/>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63" w:name="xdx_868_znCgqo2DpxE8"/>
      <w:bookmarkStart w:id="264" w:name="xdx_84D_eus-gaap--FairValueMeasurementPo"/>
      <w:bookmarkEnd w:id="263"/>
      <w:bookmarkEnd w:id="264"/>
      <w:r>
        <w:rPr>
          <w:rFonts w:ascii="Times New Roman;Times;Serif" w:hAnsi="Times New Roman;Times;Serif"/>
          <w:b/>
          <w:i/>
          <w:caps w:val="false"/>
          <w:smallCaps w:val="false"/>
          <w:sz w:val="20"/>
        </w:rPr>
        <w:t xml:space="preserve">Fair Value Option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ASC 825, Financial Instruments (“ASC 825”), the Company has the irrevocable option to report certain financial assets and financial liabilities at fair value on an instrument-by-instrument basis. Under the Pre-Paid Advance Agreements (the “PPAs”) entered into in November 2025, pre-paid advances having an aggregate principal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w:t>
      </w:r>
      <w:bookmarkStart w:id="265" w:name="xdx_90C_ecustom--PrePaidAdvancePrincipal"/>
      <w:bookmarkEnd w:id="265"/>
      <w:r>
        <w:rPr>
          <w:rFonts w:ascii="Times New Roman;Times;Serif" w:hAnsi="Times New Roman;Times;Serif"/>
          <w:b w:val="false"/>
          <w:i w:val="false"/>
          <w:caps w:val="false"/>
          <w:smallCaps w:val="false"/>
          <w:sz w:val="20"/>
        </w:rPr>
        <w:t>7.5 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Advance was initially recorded at fair value at issuance, which was determined to be equal to the transaction price of $</w:t>
      </w:r>
      <w:bookmarkStart w:id="266" w:name="xdx_905_ecustom--PrepaidAdvanceTransacti"/>
      <w:bookmarkEnd w:id="266"/>
      <w:r>
        <w:rPr>
          <w:rFonts w:ascii="Times New Roman;Times;Serif" w:hAnsi="Times New Roman;Times;Serif"/>
          <w:b w:val="false"/>
          <w:i w:val="false"/>
          <w:caps w:val="false"/>
          <w:smallCaps w:val="false"/>
          <w:sz w:val="20"/>
        </w:rPr>
        <w:t>7.15 million. Issuance costs incurred in connection with the Pre-Paid Advance were expensed as incurred, consistent with the requirements applicable to instruments measured at fair value under ASC 825. Subsequent to initial recognition, the Company remeasured the Pre-Paid Advance to fair value at each reporting date, with changes in fair value recognized in earnings within the gain on PPAs liability on the condensed consolidated statements of operations and comprehensive income (loss). The change in fair value related to accrued interest is presented with the total change in fair value of the Pre-Paid Advance as a single line within the gain on PPAs liability on the condensed consolidated statements of operations and comprehensive income (loss).</w:t>
      </w:r>
    </w:p>
    <w:p>
      <w:pPr>
        <w:pStyle w:val="TextBody"/>
        <w:bidi w:val="0"/>
        <w:spacing w:before="0" w:after="0"/>
        <w:ind w:left="720" w:right="720" w:firstLine="490"/>
        <w:jc w:val="both"/>
        <w:rPr>
          <w:caps w:val="false"/>
          <w:smallCaps w:val="false"/>
        </w:rPr>
      </w:pPr>
      <w:bookmarkStart w:id="267" w:name="xdx_859_zuqQ3li3ZIvf"/>
      <w:bookmarkEnd w:id="267"/>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68" w:name="xdx_861_zN7tGNhnyX91"/>
      <w:bookmarkStart w:id="269" w:name="xdx_843_eus-gaap--ComprehensiveIncomePol"/>
      <w:bookmarkEnd w:id="268"/>
      <w:bookmarkEnd w:id="269"/>
      <w:r>
        <w:rPr>
          <w:rFonts w:ascii="Times New Roman;Times;Serif" w:hAnsi="Times New Roman;Times;Serif"/>
          <w:b/>
          <w:i/>
          <w:caps w:val="false"/>
          <w:smallCaps w:val="false"/>
          <w:sz w:val="20"/>
        </w:rPr>
        <w:t>Comprehensive Income (Loss)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is defined as a change in equity during a period from transactions and other events and circumstances from non-owner sources, and consists of net income (loss) and other comprehensive gain (loss). There have been no items qualifying as other comprehensive income (loss) and, therefore, for all periods presented, the Company’s comprehensive income (loss) was the same as its reported net income (loss).</w:t>
      </w:r>
    </w:p>
    <w:p>
      <w:pPr>
        <w:pStyle w:val="TextBody"/>
        <w:bidi w:val="0"/>
        <w:spacing w:before="0" w:after="0"/>
        <w:ind w:left="720" w:right="720" w:firstLine="490"/>
        <w:jc w:val="both"/>
        <w:rPr>
          <w:caps w:val="false"/>
          <w:smallCaps w:val="false"/>
        </w:rPr>
      </w:pPr>
      <w:bookmarkStart w:id="270" w:name="xdx_85D_zx5Ayi6Xi9s1"/>
      <w:bookmarkEnd w:id="270"/>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271" w:name="xdx_863_zsk41WSAxhNl"/>
      <w:bookmarkStart w:id="272" w:name="xdx_846_eus-gaap--EarningsPerSharePolicy"/>
      <w:bookmarkEnd w:id="271"/>
      <w:bookmarkEnd w:id="272"/>
      <w:r>
        <w:rPr>
          <w:rFonts w:ascii="Times New Roman;Times;Serif" w:hAnsi="Times New Roman;Times;Serif"/>
          <w:b/>
          <w:i/>
          <w:caps w:val="false"/>
          <w:smallCaps w:val="false"/>
          <w:sz w:val="20"/>
        </w:rPr>
        <w:t>Net Income (Loss) Per Share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common share is computed by dividing the net income (loss) by the weighted-average number of common shares outstanding for the period, without consideration for potentially dilutive securities. Diluted net income (loss) per share is computed by dividing the net income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and contingently issuable shares under the BioAtla, Inc. Employee Stock Purchase Plan (the “ESPP”).</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273" w:name="xdx_89D_eus-gaap--ScheduleOfEarningsPerS"/>
      <w:bookmarkEnd w:id="273"/>
      <w:r>
        <w:rPr>
          <w:rFonts w:ascii="Times New Roman;Times;Serif" w:hAnsi="Times New Roman;Times;Serif"/>
          <w:b w:val="false"/>
          <w:i w:val="false"/>
          <w:caps w:val="false"/>
          <w:smallCaps w:val="false"/>
          <w:sz w:val="20"/>
        </w:rPr>
        <w:t>The following table sets forth the computation of basic and diluted net income (loss) per share (in thousands, except share and per share data):</w:t>
      </w:r>
    </w:p>
    <w:p>
      <w:pPr>
        <w:pStyle w:val="TextBody"/>
        <w:bidi w:val="0"/>
        <w:spacing w:before="0" w:after="0"/>
        <w:ind w:left="720" w:right="720" w:firstLine="490"/>
        <w:jc w:val="both"/>
        <w:rPr>
          <w:caps w:val="false"/>
          <w:smallCaps w:val="false"/>
        </w:rPr>
      </w:pPr>
      <w:r>
        <w:rPr>
          <w:caps w:val="false"/>
          <w:smallCaps w:val="false"/>
        </w:rPr>
        <w:t> </w:t>
      </w:r>
      <w:bookmarkStart w:id="274" w:name="xdx_8BC_zymFSbbxnmy4"/>
      <w:bookmarkEnd w:id="274"/>
      <w:r>
        <w:rPr>
          <w:rFonts w:ascii="Times New Roman;Times;Serif" w:hAnsi="Times New Roman;Times;Serif"/>
          <w:b w:val="false"/>
          <w:i w:val="false"/>
          <w:caps w:val="false"/>
          <w:smallCaps w:val="false"/>
          <w:sz w:val="20"/>
        </w:rPr>
        <w:t>Schedule of basic and diluted net income loss per share</w:t>
      </w:r>
    </w:p>
    <w:tbl>
      <w:tblPr>
        <w:tblW w:w="8765" w:type="dxa"/>
        <w:jc w:val="left"/>
        <w:tblInd w:w="720" w:type="dxa"/>
        <w:tblLayout w:type="fixed"/>
        <w:tblCellMar>
          <w:top w:w="0" w:type="dxa"/>
          <w:left w:w="0" w:type="dxa"/>
          <w:bottom w:w="0" w:type="dxa"/>
          <w:right w:w="0" w:type="dxa"/>
        </w:tblCellMar>
      </w:tblPr>
      <w:tblGrid>
        <w:gridCol w:w="3685"/>
        <w:gridCol w:w="60"/>
        <w:gridCol w:w="140"/>
        <w:gridCol w:w="980"/>
        <w:gridCol w:w="60"/>
        <w:gridCol w:w="60"/>
        <w:gridCol w:w="140"/>
        <w:gridCol w:w="980"/>
        <w:gridCol w:w="95"/>
        <w:gridCol w:w="60"/>
        <w:gridCol w:w="140"/>
        <w:gridCol w:w="980"/>
        <w:gridCol w:w="95"/>
        <w:gridCol w:w="60"/>
        <w:gridCol w:w="140"/>
        <w:gridCol w:w="980"/>
        <w:gridCol w:w="110"/>
      </w:tblGrid>
      <w:tr>
        <w:trPr/>
        <w:tc>
          <w:tcPr>
            <w:tcW w:w="3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275" w:name="xdx_497_20260401__20260630_zJN3wniqPoRf"/>
            <w:bookmarkEnd w:id="275"/>
          </w:p>
        </w:tc>
        <w:tc>
          <w:tcPr>
            <w:tcW w:w="9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276" w:name="xdx_49A_20250401__20250630_zbN1sGrobpC1"/>
            <w:bookmarkEnd w:id="276"/>
          </w:p>
        </w:tc>
        <w:tc>
          <w:tcPr>
            <w:tcW w:w="9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277" w:name="xdx_493_20260101__20260630_zXtTVhmutuGl"/>
            <w:bookmarkEnd w:id="277"/>
          </w:p>
        </w:tc>
        <w:tc>
          <w:tcPr>
            <w:tcW w:w="9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278" w:name="xdx_494_20250101__20250630_zuTHsu8IWRE2"/>
            <w:bookmarkEnd w:id="278"/>
          </w:p>
        </w:tc>
        <w:tc>
          <w:tcPr>
            <w:tcW w:w="9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110" w:type="dxa"/>
            <w:tcBorders/>
            <w:vAlign w:val="center"/>
          </w:tcPr>
          <w:p>
            <w:pPr>
              <w:pStyle w:val="TableContents"/>
              <w:bidi w:val="0"/>
              <w:spacing w:before="0" w:after="283"/>
              <w:jc w:val="left"/>
              <w:rPr/>
            </w:pPr>
            <w:r>
              <w:rPr/>
              <w:t> </w:t>
            </w:r>
          </w:p>
        </w:tc>
      </w:tr>
      <w:tr>
        <w:trPr/>
        <w:tc>
          <w:tcPr>
            <w:tcW w:w="3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110" w:type="dxa"/>
            <w:tcBorders/>
            <w:vAlign w:val="center"/>
          </w:tcPr>
          <w:p>
            <w:pPr>
              <w:pStyle w:val="TableContents"/>
              <w:bidi w:val="0"/>
              <w:spacing w:before="0" w:after="283"/>
              <w:jc w:val="left"/>
              <w:rPr/>
            </w:pPr>
            <w:r>
              <w:rPr/>
              <w:t> </w:t>
            </w:r>
            <w:bookmarkStart w:id="279" w:name="xdx_403_eus-gaap--EarningsPerShareBasicA"/>
            <w:bookmarkEnd w:id="279"/>
          </w:p>
        </w:tc>
      </w:tr>
      <w:tr>
        <w:trPr/>
        <w:tc>
          <w:tcPr>
            <w:tcW w:w="3685"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0" w:name="xdx_406_eus-gaap--NetIncomeLoss_pn3n3_zw"/>
            <w:bookmarkEnd w:id="280"/>
          </w:p>
        </w:tc>
      </w:tr>
      <w:tr>
        <w:trPr/>
        <w:tc>
          <w:tcPr>
            <w:tcW w:w="3685" w:type="dxa"/>
            <w:tcBorders/>
            <w:shd w:fill="FFFFFF" w:val="clear"/>
            <w:vAlign w:val="center"/>
          </w:tcPr>
          <w:p>
            <w:pPr>
              <w:pStyle w:val="TableContents"/>
              <w:bidi w:val="0"/>
              <w:spacing w:before="0" w:after="283"/>
              <w:jc w:val="left"/>
              <w:rPr/>
            </w:pPr>
            <w:r>
              <w:rPr/>
              <w:t>Consolidated 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(5,892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(34,045</w:t>
            </w:r>
          </w:p>
        </w:tc>
        <w:tc>
          <w:tcPr>
            <w:tcW w:w="110" w:type="dxa"/>
            <w:tcBorders/>
            <w:shd w:fill="FFFFFF" w:val="clear"/>
            <w:vAlign w:val="center"/>
          </w:tcPr>
          <w:p>
            <w:pPr>
              <w:pStyle w:val="TableContents"/>
              <w:bidi w:val="0"/>
              <w:spacing w:before="0" w:after="283"/>
              <w:jc w:val="left"/>
              <w:rPr/>
            </w:pPr>
            <w:r>
              <w:rPr/>
              <w:t>)</w:t>
            </w:r>
            <w:bookmarkStart w:id="281" w:name="xdx_406_eus-gaap--EarningsPerShareBasicO"/>
            <w:bookmarkEnd w:id="281"/>
          </w:p>
        </w:tc>
      </w:tr>
      <w:tr>
        <w:trPr/>
        <w:tc>
          <w:tcPr>
            <w:tcW w:w="3685"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2" w:name="xdx_404_eus-gaap--WeightedAverageNumberO"/>
            <w:bookmarkEnd w:id="282"/>
          </w:p>
        </w:tc>
      </w:tr>
      <w:tr>
        <w:trPr/>
        <w:tc>
          <w:tcPr>
            <w:tcW w:w="3685" w:type="dxa"/>
            <w:tcBorders/>
            <w:shd w:fill="FFFFFF" w:val="clear"/>
            <w:vAlign w:val="center"/>
          </w:tcPr>
          <w:p>
            <w:pPr>
              <w:pStyle w:val="TableContents"/>
              <w:bidi w:val="0"/>
              <w:spacing w:before="0" w:after="283"/>
              <w:jc w:val="left"/>
              <w:rPr/>
            </w:pPr>
            <w:r>
              <w:rPr/>
              <w:t>Denominator for basic net income (loss) per share - weighted-average common stock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1,660,586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1,170,087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1,581,554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1,167,550</w:t>
            </w:r>
          </w:p>
        </w:tc>
        <w:tc>
          <w:tcPr>
            <w:tcW w:w="110" w:type="dxa"/>
            <w:tcBorders/>
            <w:shd w:fill="FFFFFF" w:val="clear"/>
            <w:vAlign w:val="center"/>
          </w:tcPr>
          <w:p>
            <w:pPr>
              <w:pStyle w:val="TableContents"/>
              <w:bidi w:val="0"/>
              <w:spacing w:before="0" w:after="283"/>
              <w:jc w:val="left"/>
              <w:rPr/>
            </w:pPr>
            <w:r>
              <w:rPr/>
              <w:t> </w:t>
            </w:r>
            <w:bookmarkStart w:id="283" w:name="xdx_40E_eus-gaap--EarningsPerShareDilute"/>
            <w:bookmarkEnd w:id="283"/>
          </w:p>
        </w:tc>
      </w:tr>
      <w:tr>
        <w:trPr/>
        <w:tc>
          <w:tcPr>
            <w:tcW w:w="3685" w:type="dxa"/>
            <w:tcBorders/>
            <w:shd w:fill="CCEEFF" w:val="clear"/>
            <w:vAlign w:val="center"/>
          </w:tcPr>
          <w:p>
            <w:pPr>
              <w:pStyle w:val="TableContents"/>
              <w:bidi w:val="0"/>
              <w:spacing w:before="0" w:after="283"/>
              <w:jc w:val="left"/>
              <w:rPr/>
            </w:pPr>
            <w:r>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4" w:name="xdx_40A_eus-gaap--IncrementalCommonShare"/>
            <w:bookmarkEnd w:id="284"/>
          </w:p>
        </w:tc>
      </w:tr>
      <w:tr>
        <w:trPr/>
        <w:tc>
          <w:tcPr>
            <w:tcW w:w="368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5" w:name="xdx_405_eus-gaap--WeightedAverageNumberO"/>
            <w:bookmarkEnd w:id="285"/>
          </w:p>
        </w:tc>
      </w:tr>
      <w:tr>
        <w:trPr/>
        <w:tc>
          <w:tcPr>
            <w:tcW w:w="3685" w:type="dxa"/>
            <w:tcBorders/>
            <w:shd w:fill="CCEEFF" w:val="clear"/>
            <w:vAlign w:val="center"/>
          </w:tcPr>
          <w:p>
            <w:pPr>
              <w:pStyle w:val="TableContents"/>
              <w:bidi w:val="0"/>
              <w:spacing w:before="0" w:after="283"/>
              <w:jc w:val="left"/>
              <w:rPr/>
            </w:pPr>
            <w:r>
              <w:rPr/>
              <w:t>Denominator for diluted net income (loss) per share - adjusted weighted-average common stock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1,661,709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1,170,087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1,581,554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1,167,550</w:t>
            </w:r>
          </w:p>
        </w:tc>
        <w:tc>
          <w:tcPr>
            <w:tcW w:w="110" w:type="dxa"/>
            <w:tcBorders/>
            <w:shd w:fill="CCEEFF" w:val="clear"/>
            <w:vAlign w:val="center"/>
          </w:tcPr>
          <w:p>
            <w:pPr>
              <w:pStyle w:val="TableContents"/>
              <w:bidi w:val="0"/>
              <w:spacing w:before="0" w:after="283"/>
              <w:jc w:val="left"/>
              <w:rPr/>
            </w:pPr>
            <w:r>
              <w:rPr/>
              <w:t> </w:t>
            </w:r>
            <w:bookmarkStart w:id="286" w:name="xdx_408_eus-gaap--EarningsPerShareBasic_"/>
            <w:bookmarkEnd w:id="286"/>
          </w:p>
        </w:tc>
      </w:tr>
      <w:tr>
        <w:trPr/>
        <w:tc>
          <w:tcPr>
            <w:tcW w:w="3685" w:type="dxa"/>
            <w:tcBorders/>
            <w:shd w:fill="FFFFFF" w:val="clear"/>
            <w:vAlign w:val="center"/>
          </w:tcPr>
          <w:p>
            <w:pPr>
              <w:pStyle w:val="TableContents"/>
              <w:bidi w:val="0"/>
              <w:spacing w:before="0" w:after="283"/>
              <w:jc w:val="left"/>
              <w:rPr/>
            </w:pPr>
            <w:r>
              <w:rPr/>
              <w:t>Basic net income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w:t>
            </w:r>
            <w:bookmarkStart w:id="287" w:name="xdx_40A_eus-gaap--EarningsPerShareDilute"/>
            <w:bookmarkEnd w:id="287"/>
          </w:p>
        </w:tc>
      </w:tr>
      <w:tr>
        <w:trPr/>
        <w:tc>
          <w:tcPr>
            <w:tcW w:w="3685" w:type="dxa"/>
            <w:tcBorders/>
            <w:shd w:fill="CCEEFF" w:val="clear"/>
            <w:vAlign w:val="center"/>
          </w:tcPr>
          <w:p>
            <w:pPr>
              <w:pStyle w:val="TableContents"/>
              <w:bidi w:val="0"/>
              <w:spacing w:before="0" w:after="283"/>
              <w:jc w:val="left"/>
              <w:rPr/>
            </w:pPr>
            <w:r>
              <w:rPr/>
              <w:t>Diluted net 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288" w:name="xdx_898_eus-gaap--ScheduleOfAntidilutive"/>
      <w:bookmarkEnd w:id="288"/>
      <w:r>
        <w:rPr>
          <w:rFonts w:ascii="Times New Roman;Times;Serif" w:hAnsi="Times New Roman;Times;Serif"/>
          <w:b w:val="false"/>
          <w:i w:val="false"/>
          <w:caps w:val="false"/>
          <w:smallCaps w:val="false"/>
          <w:sz w:val="20"/>
        </w:rPr>
        <w:t>Potentially dilutive securities not included in the calculation of diluted net income (loss) per common share because to do so would be anti-dilutive are as follows (in common stock equivalents):</w:t>
      </w:r>
    </w:p>
    <w:p>
      <w:pPr>
        <w:pStyle w:val="TextBody"/>
        <w:bidi w:val="0"/>
        <w:spacing w:before="0" w:after="0"/>
        <w:ind w:left="720" w:right="720" w:firstLine="490"/>
        <w:jc w:val="left"/>
        <w:rPr>
          <w:caps w:val="false"/>
          <w:smallCaps w:val="false"/>
        </w:rPr>
      </w:pPr>
      <w:r>
        <w:rPr>
          <w:caps w:val="false"/>
          <w:smallCaps w:val="false"/>
        </w:rPr>
        <w:t> </w:t>
      </w:r>
      <w:bookmarkStart w:id="289" w:name="xdx_8B7_zIv7AOaVCUde"/>
      <w:bookmarkEnd w:id="289"/>
      <w:r>
        <w:rPr>
          <w:rFonts w:ascii="Times New Roman;Times;Serif" w:hAnsi="Times New Roman;Times;Serif"/>
          <w:b w:val="false"/>
          <w:i w:val="false"/>
          <w:caps w:val="false"/>
          <w:smallCaps w:val="false"/>
          <w:sz w:val="20"/>
        </w:rPr>
        <w:t>Schedule of anti-dilutive securities excluded from calculation of diluted net loss per share</w:t>
      </w:r>
    </w:p>
    <w:tbl>
      <w:tblPr>
        <w:tblW w:w="4320" w:type="dxa"/>
        <w:jc w:val="left"/>
        <w:tblInd w:w="720" w:type="dxa"/>
        <w:tblLayout w:type="fixed"/>
        <w:tblCellMar>
          <w:top w:w="0" w:type="dxa"/>
          <w:left w:w="0" w:type="dxa"/>
          <w:bottom w:w="0" w:type="dxa"/>
          <w:right w:w="0" w:type="dxa"/>
        </w:tblCellMar>
      </w:tblPr>
      <w:tblGrid>
        <w:gridCol w:w="2345"/>
        <w:gridCol w:w="60"/>
        <w:gridCol w:w="60"/>
        <w:gridCol w:w="800"/>
        <w:gridCol w:w="60"/>
        <w:gridCol w:w="60"/>
        <w:gridCol w:w="60"/>
        <w:gridCol w:w="800"/>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290" w:name="xdx_49E_20260101__20260630_zD9xMTdeb81d"/>
            <w:bookmarkEnd w:id="290"/>
          </w:p>
        </w:tc>
        <w:tc>
          <w:tcPr>
            <w:tcW w:w="80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291" w:name="xdx_495_20250101__20250630_z1slJqUBLnj1"/>
            <w:bookmarkEnd w:id="291"/>
          </w:p>
        </w:tc>
        <w:tc>
          <w:tcPr>
            <w:tcW w:w="80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As of June 30,</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5" w:type="dxa"/>
            <w:tcBorders/>
            <w:vAlign w:val="center"/>
          </w:tcPr>
          <w:p>
            <w:pPr>
              <w:pStyle w:val="TableContents"/>
              <w:bidi w:val="0"/>
              <w:spacing w:before="0" w:after="283"/>
              <w:jc w:val="left"/>
              <w:rPr/>
            </w:pPr>
            <w:r>
              <w:rPr/>
              <w:t> </w:t>
            </w:r>
            <w:bookmarkStart w:id="292" w:name="xdx_403_eus-gaap--AntidilutiveSecurities"/>
            <w:bookmarkEnd w:id="292"/>
          </w:p>
        </w:tc>
      </w:tr>
      <w:tr>
        <w:trPr/>
        <w:tc>
          <w:tcPr>
            <w:tcW w:w="234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193,581</w:t>
            </w:r>
          </w:p>
        </w:tc>
        <w:tc>
          <w:tcPr>
            <w:tcW w:w="75" w:type="dxa"/>
            <w:tcBorders/>
            <w:shd w:fill="CCEEFF" w:val="clear"/>
            <w:vAlign w:val="center"/>
          </w:tcPr>
          <w:p>
            <w:pPr>
              <w:pStyle w:val="TableContents"/>
              <w:bidi w:val="0"/>
              <w:spacing w:before="0" w:after="283"/>
              <w:jc w:val="left"/>
              <w:rPr/>
            </w:pPr>
            <w:r>
              <w:rPr/>
              <w:t> </w:t>
            </w:r>
            <w:bookmarkStart w:id="293" w:name="xdx_407_eus-gaap--AntidilutiveSecurities"/>
            <w:bookmarkEnd w:id="293"/>
          </w:p>
        </w:tc>
      </w:tr>
      <w:tr>
        <w:trPr/>
        <w:tc>
          <w:tcPr>
            <w:tcW w:w="2345" w:type="dxa"/>
            <w:tcBorders/>
            <w:shd w:fill="FFFFFF" w:val="clear"/>
            <w:vAlign w:val="center"/>
          </w:tcPr>
          <w:p>
            <w:pPr>
              <w:pStyle w:val="TableContents"/>
              <w:bidi w:val="0"/>
              <w:spacing w:before="0" w:after="283"/>
              <w:jc w:val="left"/>
              <w:rPr/>
            </w:pPr>
            <w:r>
              <w:rPr/>
              <w:t>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114,059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118,249</w:t>
            </w:r>
          </w:p>
        </w:tc>
        <w:tc>
          <w:tcPr>
            <w:tcW w:w="75" w:type="dxa"/>
            <w:tcBorders/>
            <w:shd w:fill="FFFFFF" w:val="clear"/>
            <w:vAlign w:val="center"/>
          </w:tcPr>
          <w:p>
            <w:pPr>
              <w:pStyle w:val="TableContents"/>
              <w:bidi w:val="0"/>
              <w:spacing w:before="0" w:after="283"/>
              <w:jc w:val="left"/>
              <w:rPr/>
            </w:pPr>
            <w:r>
              <w:rPr/>
              <w:t> </w:t>
            </w:r>
            <w:bookmarkStart w:id="294" w:name="xdx_40A_eus-gaap--AntidilutiveSecurities"/>
            <w:bookmarkEnd w:id="294"/>
          </w:p>
        </w:tc>
      </w:tr>
      <w:tr>
        <w:trPr/>
        <w:tc>
          <w:tcPr>
            <w:tcW w:w="2345" w:type="dxa"/>
            <w:tcBorders/>
            <w:shd w:fill="CCEEFF" w:val="clear"/>
            <w:vAlign w:val="center"/>
          </w:tcPr>
          <w:p>
            <w:pPr>
              <w:pStyle w:val="TableContents"/>
              <w:bidi w:val="0"/>
              <w:spacing w:before="0" w:after="283"/>
              <w:jc w:val="left"/>
              <w:rPr/>
            </w:pPr>
            <w:r>
              <w:rPr/>
              <w:t>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52,130</w:t>
            </w:r>
          </w:p>
        </w:tc>
        <w:tc>
          <w:tcPr>
            <w:tcW w:w="75" w:type="dxa"/>
            <w:tcBorders/>
            <w:shd w:fill="CCEEFF" w:val="clear"/>
            <w:vAlign w:val="center"/>
          </w:tcPr>
          <w:p>
            <w:pPr>
              <w:pStyle w:val="TableContents"/>
              <w:bidi w:val="0"/>
              <w:spacing w:before="0" w:after="283"/>
              <w:jc w:val="left"/>
              <w:rPr/>
            </w:pPr>
            <w:r>
              <w:rPr/>
              <w:t> </w:t>
            </w:r>
            <w:bookmarkStart w:id="295" w:name="xdx_40E_eus-gaap--AntidilutiveSecurities"/>
            <w:bookmarkEnd w:id="295"/>
          </w:p>
        </w:tc>
      </w:tr>
      <w:tr>
        <w:trPr/>
        <w:tc>
          <w:tcPr>
            <w:tcW w:w="2345" w:type="dxa"/>
            <w:tcBorders/>
            <w:shd w:fill="FFFFFF" w:val="clear"/>
            <w:vAlign w:val="center"/>
          </w:tcPr>
          <w:p>
            <w:pPr>
              <w:pStyle w:val="TableContents"/>
              <w:bidi w:val="0"/>
              <w:spacing w:before="0" w:after="283"/>
              <w:jc w:val="left"/>
              <w:rPr/>
            </w:pPr>
            <w:r>
              <w:rPr/>
              <w:t>ESPP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1,374</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96" w:name="xdx_98F_eus-gaap--AntidilutiveSecurities"/>
            <w:bookmarkEnd w:id="29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365,424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97" w:name="xdx_989_eus-gaap--AntidilutiveSecurities"/>
            <w:bookmarkEnd w:id="297"/>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365,334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bookmarkStart w:id="298" w:name="xdx_854_zHICeBF0Of76"/>
      <w:bookmarkStart w:id="299" w:name="xdx_8AD_zb6jRYjxGt5j"/>
      <w:bookmarkEnd w:id="298"/>
      <w:bookmarkEnd w:id="299"/>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bookmarkStart w:id="300" w:name="xdx_862_z78nX5eVX62b"/>
      <w:bookmarkStart w:id="301" w:name="xdx_849_eus-gaap--NewAccountingPronounce"/>
      <w:bookmarkEnd w:id="300"/>
      <w:bookmarkEnd w:id="301"/>
      <w:r>
        <w:rPr>
          <w:rFonts w:ascii="Times New Roman;Times;Serif" w:hAnsi="Times New Roman;Times;Serif"/>
          <w:b/>
          <w:i/>
          <w:caps w:val="false"/>
          <w:smallCaps w:val="false"/>
          <w:sz w:val="20"/>
        </w:rPr>
        <w:t>Recent Accounting Pronouncements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pStyle w:val="TextBody"/>
        <w:bidi w:val="0"/>
        <w:spacing w:before="0" w:after="0"/>
        <w:ind w:left="720" w:right="720" w:firstLine="490"/>
        <w:jc w:val="both"/>
        <w:rPr>
          <w:caps w:val="false"/>
          <w:smallCaps w:val="false"/>
        </w:rPr>
      </w:pPr>
      <w:bookmarkStart w:id="302" w:name="xdx_816_zce328uomj75"/>
      <w:bookmarkStart w:id="303" w:name="xdx_852_zmnr24yTJf7c"/>
      <w:bookmarkEnd w:id="302"/>
      <w:bookmarkEnd w:id="303"/>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304" w:name="xdx_800_eus-gaap--SupplementalBalanceShe"/>
      <w:bookmarkEnd w:id="304"/>
      <w:r>
        <w:rPr>
          <w:rFonts w:ascii="Times New Roman;Times;Serif" w:hAnsi="Times New Roman;Times;Serif"/>
          <w:b/>
          <w:i w:val="false"/>
          <w:caps w:val="false"/>
          <w:smallCaps w:val="false"/>
          <w:sz w:val="20"/>
        </w:rPr>
        <w:t xml:space="preserve">2. </w:t>
      </w:r>
      <w:bookmarkStart w:id="305" w:name="xdx_82B_zeGfZfvzhkxa"/>
      <w:bookmarkEnd w:id="305"/>
      <w:r>
        <w:rPr>
          <w:rFonts w:ascii="Times New Roman;Times;Serif" w:hAnsi="Times New Roman;Times;Serif"/>
          <w:b/>
          <w:i w:val="false"/>
          <w:caps w:val="false"/>
          <w:smallCaps w:val="false"/>
          <w:sz w:val="20"/>
        </w:rPr>
        <w:t>Balance Sheet Details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bookmarkStart w:id="306" w:name="xdx_893_ecustom--ScheduleOfPrepaidExpens"/>
      <w:bookmarkEnd w:id="306"/>
      <w:r>
        <w:rPr>
          <w:rFonts w:ascii="Times New Roman;Times;Serif" w:hAnsi="Times New Roman;Times;Serif"/>
          <w:b w:val="false"/>
          <w:i w:val="false"/>
          <w:caps w:val="false"/>
          <w:smallCaps w:val="false"/>
          <w:sz w:val="20"/>
        </w:rPr>
        <w:t>Prepaid expenses and other current assets consist of the following (in thousands):</w:t>
      </w:r>
    </w:p>
    <w:p>
      <w:pPr>
        <w:pStyle w:val="TextBody"/>
        <w:bidi w:val="0"/>
        <w:spacing w:before="0" w:after="0"/>
        <w:ind w:left="720" w:right="720" w:firstLine="490"/>
        <w:jc w:val="left"/>
        <w:rPr>
          <w:caps w:val="false"/>
          <w:smallCaps w:val="false"/>
        </w:rPr>
      </w:pPr>
      <w:r>
        <w:rPr>
          <w:caps w:val="false"/>
          <w:smallCaps w:val="false"/>
        </w:rPr>
        <w:t> </w:t>
      </w:r>
      <w:bookmarkStart w:id="307" w:name="xdx_8BE_zzLUdzib6SK1"/>
      <w:bookmarkEnd w:id="307"/>
      <w:r>
        <w:rPr>
          <w:rFonts w:ascii="Times New Roman;Times;Serif" w:hAnsi="Times New Roman;Times;Serif"/>
          <w:b w:val="false"/>
          <w:i w:val="false"/>
          <w:caps w:val="false"/>
          <w:smallCaps w:val="false"/>
          <w:sz w:val="20"/>
        </w:rPr>
        <w:t>Schedule of prepaid expenses other current assets</w:t>
      </w:r>
    </w:p>
    <w:tbl>
      <w:tblPr>
        <w:tblW w:w="5880" w:type="dxa"/>
        <w:jc w:val="left"/>
        <w:tblInd w:w="720" w:type="dxa"/>
        <w:tblLayout w:type="fixed"/>
        <w:tblCellMar>
          <w:top w:w="0" w:type="dxa"/>
          <w:left w:w="0" w:type="dxa"/>
          <w:bottom w:w="0" w:type="dxa"/>
          <w:right w:w="0" w:type="dxa"/>
        </w:tblCellMar>
      </w:tblPr>
      <w:tblGrid>
        <w:gridCol w:w="3980"/>
        <w:gridCol w:w="60"/>
        <w:gridCol w:w="170"/>
        <w:gridCol w:w="465"/>
        <w:gridCol w:w="60"/>
        <w:gridCol w:w="60"/>
        <w:gridCol w:w="271"/>
        <w:gridCol w:w="739"/>
        <w:gridCol w:w="75"/>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8" w:name="xdx_496_20260630_z0nyVz3iDra9"/>
            <w:bookmarkEnd w:id="308"/>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 w:name="xdx_495_20251231_zsMdlWbH0Ije"/>
            <w:bookmarkEnd w:id="309"/>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bookmarkStart w:id="310" w:name="xdx_405_ecustom--PrepaidResearchAndDevel"/>
            <w:bookmarkEnd w:id="310"/>
          </w:p>
        </w:tc>
      </w:tr>
      <w:tr>
        <w:trPr/>
        <w:tc>
          <w:tcPr>
            <w:tcW w:w="3980" w:type="dxa"/>
            <w:tcBorders/>
            <w:shd w:fill="CCEEFF" w:val="clear"/>
            <w:vAlign w:val="center"/>
          </w:tcPr>
          <w:p>
            <w:pPr>
              <w:pStyle w:val="TableContents"/>
              <w:bidi w:val="0"/>
              <w:spacing w:before="0" w:after="283"/>
              <w:jc w:val="left"/>
              <w:rPr/>
            </w:pPr>
            <w:r>
              <w:rPr/>
              <w:t>Prepaid research and development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65" w:type="dxa"/>
            <w:tcBorders/>
            <w:shd w:fill="CCEEFF" w:val="clear"/>
            <w:vAlign w:val="center"/>
          </w:tcPr>
          <w:p>
            <w:pPr>
              <w:pStyle w:val="TableContents"/>
              <w:bidi w:val="0"/>
              <w:spacing w:before="0" w:after="283"/>
              <w:jc w:val="right"/>
              <w:rPr/>
            </w:pPr>
            <w:r>
              <w:rPr/>
              <w:t>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663</w:t>
            </w:r>
          </w:p>
        </w:tc>
        <w:tc>
          <w:tcPr>
            <w:tcW w:w="75" w:type="dxa"/>
            <w:tcBorders/>
            <w:shd w:fill="CCEEFF" w:val="clear"/>
            <w:vAlign w:val="center"/>
          </w:tcPr>
          <w:p>
            <w:pPr>
              <w:pStyle w:val="TableContents"/>
              <w:bidi w:val="0"/>
              <w:spacing w:before="0" w:after="283"/>
              <w:jc w:val="left"/>
              <w:rPr/>
            </w:pPr>
            <w:r>
              <w:rPr/>
              <w:t> </w:t>
            </w:r>
            <w:bookmarkStart w:id="311" w:name="xdx_40A_eus-gaap--PrepaidInsurance_iI_pn"/>
            <w:bookmarkEnd w:id="311"/>
          </w:p>
        </w:tc>
      </w:tr>
      <w:tr>
        <w:trPr/>
        <w:tc>
          <w:tcPr>
            <w:tcW w:w="3980" w:type="dxa"/>
            <w:tcBorders/>
            <w:shd w:fill="FFFFFF" w:val="clear"/>
            <w:vAlign w:val="center"/>
          </w:tcPr>
          <w:p>
            <w:pPr>
              <w:pStyle w:val="TableContents"/>
              <w:bidi w:val="0"/>
              <w:spacing w:before="0" w:after="283"/>
              <w:jc w:val="left"/>
              <w:rPr/>
            </w:pPr>
            <w:r>
              <w:rPr/>
              <w:t>Prepaid insurance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28</w:t>
            </w:r>
          </w:p>
        </w:tc>
        <w:tc>
          <w:tcPr>
            <w:tcW w:w="75" w:type="dxa"/>
            <w:tcBorders/>
            <w:shd w:fill="FFFFFF" w:val="clear"/>
            <w:vAlign w:val="center"/>
          </w:tcPr>
          <w:p>
            <w:pPr>
              <w:pStyle w:val="TableContents"/>
              <w:bidi w:val="0"/>
              <w:spacing w:before="0" w:after="283"/>
              <w:jc w:val="left"/>
              <w:rPr/>
            </w:pPr>
            <w:r>
              <w:rPr/>
              <w:t> </w:t>
            </w:r>
            <w:bookmarkStart w:id="312" w:name="xdx_400_ecustom--OtherPrepaidExpensesAnd"/>
            <w:bookmarkEnd w:id="312"/>
          </w:p>
        </w:tc>
      </w:tr>
      <w:tr>
        <w:trPr/>
        <w:tc>
          <w:tcPr>
            <w:tcW w:w="3980" w:type="dxa"/>
            <w:tcBorders/>
            <w:shd w:fill="CCEEFF" w:val="clear"/>
            <w:vAlign w:val="center"/>
          </w:tcPr>
          <w:p>
            <w:pPr>
              <w:pStyle w:val="TableContents"/>
              <w:bidi w:val="0"/>
              <w:spacing w:before="0" w:after="283"/>
              <w:jc w:val="left"/>
              <w:rPr/>
            </w:pPr>
            <w:r>
              <w:rPr/>
              <w:t>Other prepaid expenses and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65"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pPr>
            <w:r>
              <w:rPr/>
              <w:t>204</w:t>
            </w:r>
          </w:p>
        </w:tc>
        <w:tc>
          <w:tcPr>
            <w:tcW w:w="75" w:type="dxa"/>
            <w:tcBorders/>
            <w:shd w:fill="CCEEFF" w:val="clear"/>
            <w:vAlign w:val="center"/>
          </w:tcPr>
          <w:p>
            <w:pPr>
              <w:pStyle w:val="TableContents"/>
              <w:bidi w:val="0"/>
              <w:spacing w:before="0" w:after="283"/>
              <w:jc w:val="left"/>
              <w:rPr/>
            </w:pPr>
            <w:r>
              <w:rPr/>
              <w:t> </w:t>
            </w:r>
            <w:bookmarkStart w:id="313" w:name="xdx_40B_eus-gaap--PrepaidExpenseAndOther"/>
            <w:bookmarkEnd w:id="313"/>
          </w:p>
        </w:tc>
      </w:tr>
      <w:tr>
        <w:trPr/>
        <w:tc>
          <w:tcPr>
            <w:tcW w:w="398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65" w:type="dxa"/>
            <w:tcBorders>
              <w:bottom w:val="double" w:sz="6" w:space="0" w:color="000000"/>
            </w:tcBorders>
            <w:shd w:fill="FFFFFF" w:val="clear"/>
            <w:tcMar>
              <w:bottom w:w="28" w:type="dxa"/>
            </w:tcMar>
            <w:vAlign w:val="center"/>
          </w:tcPr>
          <w:p>
            <w:pPr>
              <w:pStyle w:val="TableContents"/>
              <w:bidi w:val="0"/>
              <w:spacing w:before="0" w:after="283"/>
              <w:jc w:val="right"/>
              <w:rPr/>
            </w:pPr>
            <w:r>
              <w:rPr/>
              <w:t>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pPr>
            <w:r>
              <w:rPr/>
              <w:t>895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bookmarkStart w:id="314" w:name="xdx_8A9_zhSMfweAQH2d"/>
      <w:bookmarkEnd w:id="314"/>
      <w:r>
        <w:rPr>
          <w:rFonts w:ascii="Times New Roman;Times;Serif" w:hAnsi="Times New Roman;Times;Serif"/>
          <w:b w:val="false"/>
          <w:i w:val="false"/>
          <w:caps w:val="false"/>
          <w:smallCaps w:val="false"/>
          <w:sz w:val="20"/>
          <w:bdr w:val="single" w:sz="8" w:space="1" w:color="000000"/>
        </w:rPr>
        <w:t>F-11</w:t>
      </w:r>
    </w:p>
    <w:p>
      <w:pPr>
        <w:pStyle w:val="TextBody"/>
        <w:bidi w:val="0"/>
        <w:spacing w:before="0" w:after="0"/>
        <w:ind w:left="720" w:right="720" w:hanging="0"/>
        <w:jc w:val="left"/>
        <w:rPr/>
      </w:pPr>
      <w:r>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bookmarkStart w:id="315" w:name="xdx_896_eus-gaap--PropertyPlantAndEquipm"/>
      <w:bookmarkEnd w:id="315"/>
      <w:r>
        <w:rPr>
          <w:rFonts w:ascii="Times New Roman;Times;Serif" w:hAnsi="Times New Roman;Times;Serif"/>
          <w:b w:val="false"/>
          <w:i w:val="false"/>
          <w:caps w:val="false"/>
          <w:smallCaps w:val="false"/>
          <w:sz w:val="20"/>
        </w:rPr>
        <w:t>Property and equipment consist of the following (in thousands):</w:t>
      </w:r>
    </w:p>
    <w:p>
      <w:pPr>
        <w:pStyle w:val="TextBody"/>
        <w:bidi w:val="0"/>
        <w:spacing w:before="0" w:after="0"/>
        <w:ind w:left="720" w:right="720" w:firstLine="490"/>
        <w:jc w:val="left"/>
        <w:rPr>
          <w:caps w:val="false"/>
          <w:smallCaps w:val="false"/>
        </w:rPr>
      </w:pPr>
      <w:r>
        <w:rPr>
          <w:caps w:val="false"/>
          <w:smallCaps w:val="false"/>
        </w:rPr>
        <w:t> </w:t>
      </w:r>
      <w:bookmarkStart w:id="316" w:name="xdx_8B5_zgOczVnR8kse"/>
      <w:bookmarkEnd w:id="316"/>
      <w:r>
        <w:rPr>
          <w:rFonts w:ascii="Times New Roman;Times;Serif" w:hAnsi="Times New Roman;Times;Serif"/>
          <w:b w:val="false"/>
          <w:i w:val="false"/>
          <w:caps w:val="false"/>
          <w:smallCaps w:val="false"/>
          <w:sz w:val="20"/>
        </w:rPr>
        <w:t>Schedule of property and equipment</w:t>
      </w:r>
    </w:p>
    <w:tbl>
      <w:tblPr>
        <w:tblW w:w="7535" w:type="dxa"/>
        <w:jc w:val="left"/>
        <w:tblInd w:w="720" w:type="dxa"/>
        <w:tblLayout w:type="fixed"/>
        <w:tblCellMar>
          <w:top w:w="0" w:type="dxa"/>
          <w:left w:w="0" w:type="dxa"/>
          <w:bottom w:w="0" w:type="dxa"/>
          <w:right w:w="0" w:type="dxa"/>
        </w:tblCellMar>
      </w:tblPr>
      <w:tblGrid>
        <w:gridCol w:w="4565"/>
        <w:gridCol w:w="60"/>
        <w:gridCol w:w="740"/>
        <w:gridCol w:w="60"/>
        <w:gridCol w:w="60"/>
        <w:gridCol w:w="140"/>
        <w:gridCol w:w="635"/>
        <w:gridCol w:w="95"/>
        <w:gridCol w:w="60"/>
        <w:gridCol w:w="182"/>
        <w:gridCol w:w="828"/>
        <w:gridCol w:w="110"/>
      </w:tblGrid>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Useful life</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7" w:name="xdx_499_20260630_zg8lAErxAKU9"/>
            <w:bookmarkEnd w:id="317"/>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D_20251231_zE6maSrJJTxc"/>
            <w:bookmarkEnd w:id="318"/>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110" w:type="dxa"/>
            <w:tcBorders/>
            <w:vAlign w:val="center"/>
          </w:tcPr>
          <w:p>
            <w:pPr>
              <w:pStyle w:val="TableContents"/>
              <w:bidi w:val="0"/>
              <w:spacing w:before="0" w:after="283"/>
              <w:jc w:val="left"/>
              <w:rPr/>
            </w:pPr>
            <w:r>
              <w:rPr/>
              <w:t> </w:t>
            </w:r>
            <w:bookmarkStart w:id="319" w:name="xdx_405_eus-gaap--PropertyPlantAndEquipm"/>
            <w:bookmarkEnd w:id="319"/>
          </w:p>
        </w:tc>
      </w:tr>
      <w:tr>
        <w:trPr/>
        <w:tc>
          <w:tcPr>
            <w:tcW w:w="4565" w:type="dxa"/>
            <w:tcBorders/>
            <w:shd w:fill="CCEEFF" w:val="clear"/>
            <w:vAlign w:val="center"/>
          </w:tcPr>
          <w:p>
            <w:pPr>
              <w:pStyle w:val="TableContents"/>
              <w:bidi w:val="0"/>
              <w:spacing w:before="0" w:after="283"/>
              <w:jc w:val="left"/>
              <w:rPr/>
            </w:pPr>
            <w:r>
              <w:rPr/>
              <w:t>Furniture, fixtures and office equipment</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bookmarkStart w:id="320" w:name="xdx_90B_eus-gaap--PropertyPlantAndEquipm"/>
            <w:bookmarkEnd w:id="320"/>
            <w:r>
              <w:rPr>
                <w:rFonts w:ascii="Times New Roman;Times;Serif" w:hAnsi="Times New Roman;Times;Serif"/>
                <w:sz w:val="20"/>
              </w:rPr>
              <w:t xml:space="preserve">3 - </w:t>
            </w:r>
            <w:bookmarkStart w:id="321" w:name="xdx_904_eus-gaap--PropertyPlantAndEquipm"/>
            <w:bookmarkEnd w:id="321"/>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1,101</w:t>
            </w:r>
          </w:p>
        </w:tc>
        <w:tc>
          <w:tcPr>
            <w:tcW w:w="110" w:type="dxa"/>
            <w:tcBorders/>
            <w:shd w:fill="CCEEFF" w:val="clear"/>
            <w:vAlign w:val="center"/>
          </w:tcPr>
          <w:p>
            <w:pPr>
              <w:pStyle w:val="TableContents"/>
              <w:bidi w:val="0"/>
              <w:spacing w:before="0" w:after="283"/>
              <w:jc w:val="left"/>
              <w:rPr/>
            </w:pPr>
            <w:r>
              <w:rPr/>
              <w:t> </w:t>
            </w:r>
            <w:bookmarkStart w:id="322" w:name="xdx_400_eus-gaap--PropertyPlantAndEquipm"/>
            <w:bookmarkEnd w:id="322"/>
          </w:p>
        </w:tc>
      </w:tr>
      <w:tr>
        <w:trPr/>
        <w:tc>
          <w:tcPr>
            <w:tcW w:w="456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bookmarkStart w:id="323" w:name="xdx_90C_eus-gaap--PropertyPlantAndEquipm"/>
            <w:bookmarkEnd w:id="323"/>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1,829</w:t>
            </w:r>
          </w:p>
        </w:tc>
        <w:tc>
          <w:tcPr>
            <w:tcW w:w="110" w:type="dxa"/>
            <w:tcBorders/>
            <w:shd w:fill="FFFFFF" w:val="clear"/>
            <w:vAlign w:val="center"/>
          </w:tcPr>
          <w:p>
            <w:pPr>
              <w:pStyle w:val="TableContents"/>
              <w:bidi w:val="0"/>
              <w:spacing w:before="0" w:after="283"/>
              <w:jc w:val="left"/>
              <w:rPr/>
            </w:pPr>
            <w:r>
              <w:rPr/>
              <w:t> </w:t>
            </w:r>
            <w:bookmarkStart w:id="324" w:name="xdx_402_eus-gaap--PropertyPlantAndEquipm"/>
            <w:bookmarkEnd w:id="324"/>
          </w:p>
        </w:tc>
      </w:tr>
      <w:tr>
        <w:trPr/>
        <w:tc>
          <w:tcPr>
            <w:tcW w:w="45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bookmarkStart w:id="325" w:name="xdx_90A_eus-gaap--PropertyPlantAndEquipm"/>
            <w:bookmarkEnd w:id="325"/>
            <w:r>
              <w:rPr>
                <w:rFonts w:ascii="Times New Roman;Times;Serif" w:hAnsi="Times New Roman;Times;Serif"/>
                <w:sz w:val="20"/>
              </w:rPr>
              <w:t xml:space="preserve">2 - </w:t>
            </w:r>
            <w:bookmarkStart w:id="326" w:name="xdx_903_eus-gaap--PropertyPlantAndEquipm"/>
            <w:bookmarkEnd w:id="326"/>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2,498</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27" w:name="xdx_989_eus-gaap--PropertyPlantAndEquipm"/>
            <w:bookmarkEnd w:id="327"/>
          </w:p>
        </w:tc>
        <w:tc>
          <w:tcPr>
            <w:tcW w:w="635" w:type="dxa"/>
            <w:tcBorders/>
            <w:shd w:fill="FFFFFF" w:val="clear"/>
            <w:vAlign w:val="center"/>
          </w:tcPr>
          <w:p>
            <w:pPr>
              <w:pStyle w:val="TableContents"/>
              <w:bidi w:val="0"/>
              <w:spacing w:before="0" w:after="283"/>
              <w:jc w:val="right"/>
              <w:rPr/>
            </w:pPr>
            <w:r>
              <w:rPr/>
              <w:t>5,428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bookmarkStart w:id="328" w:name="xdx_985_eus-gaap--PropertyPlantAndEquipm"/>
            <w:bookmarkEnd w:id="328"/>
          </w:p>
        </w:tc>
        <w:tc>
          <w:tcPr>
            <w:tcW w:w="828" w:type="dxa"/>
            <w:tcBorders/>
            <w:shd w:fill="FFFFFF" w:val="clear"/>
            <w:vAlign w:val="center"/>
          </w:tcPr>
          <w:p>
            <w:pPr>
              <w:pStyle w:val="TableContents"/>
              <w:bidi w:val="0"/>
              <w:spacing w:before="0" w:after="283"/>
              <w:jc w:val="right"/>
              <w:rPr/>
            </w:pPr>
            <w:r>
              <w:rPr/>
              <w:t>5,428</w:t>
            </w:r>
          </w:p>
        </w:tc>
        <w:tc>
          <w:tcPr>
            <w:tcW w:w="110" w:type="dxa"/>
            <w:tcBorders/>
            <w:shd w:fill="FFFFFF" w:val="clear"/>
            <w:vAlign w:val="center"/>
          </w:tcPr>
          <w:p>
            <w:pPr>
              <w:pStyle w:val="TableContents"/>
              <w:bidi w:val="0"/>
              <w:spacing w:before="0" w:after="283"/>
              <w:jc w:val="left"/>
              <w:rPr/>
            </w:pPr>
            <w:r>
              <w:rPr/>
              <w:t> </w:t>
            </w:r>
            <w:bookmarkStart w:id="329" w:name="xdx_40D_eus-gaap--AccumulatedDepreciatio"/>
            <w:bookmarkEnd w:id="329"/>
          </w:p>
        </w:tc>
      </w:tr>
      <w:tr>
        <w:trPr/>
        <w:tc>
          <w:tcPr>
            <w:tcW w:w="456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(5,308</w:t>
            </w:r>
          </w:p>
        </w:tc>
        <w:tc>
          <w:tcPr>
            <w:tcW w:w="110" w:type="dxa"/>
            <w:tcBorders/>
            <w:shd w:fill="CCEEFF" w:val="clear"/>
            <w:vAlign w:val="center"/>
          </w:tcPr>
          <w:p>
            <w:pPr>
              <w:pStyle w:val="TableContents"/>
              <w:bidi w:val="0"/>
              <w:spacing w:before="0" w:after="283"/>
              <w:jc w:val="left"/>
              <w:rPr/>
            </w:pPr>
            <w:r>
              <w:rPr/>
              <w:t>)</w:t>
            </w:r>
            <w:bookmarkStart w:id="330" w:name="xdx_403_eus-gaap--PropertyPlantAndEquipm"/>
            <w:bookmarkEnd w:id="330"/>
          </w:p>
        </w:tc>
      </w:tr>
      <w:tr>
        <w:trPr/>
        <w:tc>
          <w:tcPr>
            <w:tcW w:w="45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left"/>
        <w:rPr>
          <w:caps w:val="false"/>
          <w:smallCaps w:val="false"/>
        </w:rPr>
      </w:pPr>
      <w:bookmarkStart w:id="331" w:name="xdx_8A1_zM6W0fmDVzk8"/>
      <w:bookmarkEnd w:id="331"/>
      <w:r>
        <w:rPr>
          <w:caps w:val="false"/>
          <w:smallCaps w:val="false"/>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bookmarkStart w:id="332" w:name="xdx_894_eus-gaap--ScheduleOfAccountsPaya"/>
      <w:bookmarkEnd w:id="332"/>
      <w:r>
        <w:rPr>
          <w:rFonts w:ascii="Times New Roman;Times;Serif" w:hAnsi="Times New Roman;Times;Serif"/>
          <w:b w:val="false"/>
          <w:i w:val="false"/>
          <w:caps w:val="false"/>
          <w:smallCaps w:val="false"/>
          <w:sz w:val="20"/>
        </w:rPr>
        <w:t>Accounts payable and accrued expenses consist of the following (in thousands):</w:t>
      </w:r>
    </w:p>
    <w:p>
      <w:pPr>
        <w:pStyle w:val="TextBody"/>
        <w:bidi w:val="0"/>
        <w:spacing w:before="0" w:after="0"/>
        <w:ind w:left="720" w:right="720" w:firstLine="490"/>
        <w:jc w:val="left"/>
        <w:rPr>
          <w:caps w:val="false"/>
          <w:smallCaps w:val="false"/>
        </w:rPr>
      </w:pPr>
      <w:r>
        <w:rPr>
          <w:caps w:val="false"/>
          <w:smallCaps w:val="false"/>
        </w:rPr>
        <w:t> </w:t>
      </w:r>
      <w:bookmarkStart w:id="333" w:name="xdx_8BF_zFzcoWDenN6f"/>
      <w:bookmarkEnd w:id="333"/>
      <w:r>
        <w:rPr>
          <w:rFonts w:ascii="Times New Roman;Times;Serif" w:hAnsi="Times New Roman;Times;Serif"/>
          <w:b w:val="false"/>
          <w:i w:val="false"/>
          <w:caps w:val="false"/>
          <w:smallCaps w:val="false"/>
          <w:sz w:val="20"/>
        </w:rPr>
        <w:t>Schedule of accounts payable and accrued expenses</w:t>
      </w:r>
    </w:p>
    <w:tbl>
      <w:tblPr>
        <w:tblW w:w="8765" w:type="dxa"/>
        <w:jc w:val="left"/>
        <w:tblInd w:w="720" w:type="dxa"/>
        <w:tblLayout w:type="fixed"/>
        <w:tblCellMar>
          <w:top w:w="0" w:type="dxa"/>
          <w:left w:w="0" w:type="dxa"/>
          <w:bottom w:w="0" w:type="dxa"/>
          <w:right w:w="0" w:type="dxa"/>
        </w:tblCellMar>
      </w:tblPr>
      <w:tblGrid>
        <w:gridCol w:w="6680"/>
        <w:gridCol w:w="60"/>
        <w:gridCol w:w="140"/>
        <w:gridCol w:w="680"/>
        <w:gridCol w:w="60"/>
        <w:gridCol w:w="60"/>
        <w:gridCol w:w="172"/>
        <w:gridCol w:w="838"/>
        <w:gridCol w:w="75"/>
      </w:tblGrid>
      <w:tr>
        <w:trPr/>
        <w:tc>
          <w:tcPr>
            <w:tcW w:w="6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4" w:name="xdx_49C_20260630_zma0zanFw6ej"/>
            <w:bookmarkEnd w:id="334"/>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5" w:name="xdx_495_20251231_zV1ohnDB7qvi"/>
            <w:bookmarkEnd w:id="335"/>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bookmarkStart w:id="336" w:name="xdx_40E_eus-gaap--AccountsPayableCurrent"/>
            <w:bookmarkEnd w:id="336"/>
          </w:p>
        </w:tc>
      </w:tr>
      <w:tr>
        <w:trPr/>
        <w:tc>
          <w:tcPr>
            <w:tcW w:w="668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8,194</w:t>
            </w:r>
          </w:p>
        </w:tc>
        <w:tc>
          <w:tcPr>
            <w:tcW w:w="75" w:type="dxa"/>
            <w:tcBorders/>
            <w:shd w:fill="CCEEFF" w:val="clear"/>
            <w:vAlign w:val="center"/>
          </w:tcPr>
          <w:p>
            <w:pPr>
              <w:pStyle w:val="TableContents"/>
              <w:bidi w:val="0"/>
              <w:spacing w:before="0" w:after="283"/>
              <w:jc w:val="left"/>
              <w:rPr/>
            </w:pPr>
            <w:r>
              <w:rPr/>
              <w:t> </w:t>
            </w:r>
            <w:bookmarkStart w:id="337" w:name="xdx_404_ecustom--AccruedResearchAndDevel"/>
            <w:bookmarkEnd w:id="337"/>
          </w:p>
        </w:tc>
      </w:tr>
      <w:tr>
        <w:trPr/>
        <w:tc>
          <w:tcPr>
            <w:tcW w:w="6680" w:type="dxa"/>
            <w:tcBorders/>
            <w:shd w:fill="FFFFFF" w:val="clear"/>
            <w:vAlign w:val="center"/>
          </w:tcPr>
          <w:p>
            <w:pPr>
              <w:pStyle w:val="TableContents"/>
              <w:bidi w:val="0"/>
              <w:spacing w:before="0" w:after="283"/>
              <w:jc w:val="left"/>
              <w:rPr/>
            </w:pPr>
            <w:r>
              <w:rPr/>
              <w:t>Accrued research and development (includes related party amounts of $</w:t>
            </w:r>
            <w:bookmarkStart w:id="338" w:name="xdx_905_ecustom--AccruedResearchAndDevel"/>
            <w:bookmarkEnd w:id="338"/>
            <w:r>
              <w:rPr/>
              <w:t>300 and $</w:t>
            </w:r>
            <w:bookmarkStart w:id="339" w:name="xdx_908_ecustom--AccruedResearchAndDevel"/>
            <w:bookmarkEnd w:id="339"/>
            <w:r>
              <w:rPr/>
              <w:t>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7,280</w:t>
            </w:r>
          </w:p>
        </w:tc>
        <w:tc>
          <w:tcPr>
            <w:tcW w:w="75" w:type="dxa"/>
            <w:tcBorders/>
            <w:shd w:fill="FFFFFF" w:val="clear"/>
            <w:vAlign w:val="center"/>
          </w:tcPr>
          <w:p>
            <w:pPr>
              <w:pStyle w:val="TableContents"/>
              <w:bidi w:val="0"/>
              <w:spacing w:before="0" w:after="283"/>
              <w:jc w:val="left"/>
              <w:rPr/>
            </w:pPr>
            <w:r>
              <w:rPr/>
              <w:t> </w:t>
            </w:r>
            <w:bookmarkStart w:id="340" w:name="xdx_409_eus-gaap--OtherAccruedLiabilitie"/>
            <w:bookmarkEnd w:id="340"/>
          </w:p>
        </w:tc>
      </w:tr>
      <w:tr>
        <w:trPr/>
        <w:tc>
          <w:tcPr>
            <w:tcW w:w="6680"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8" w:type="dxa"/>
            <w:tcBorders>
              <w:bottom w:val="single" w:sz="8" w:space="0" w:color="000000"/>
            </w:tcBorders>
            <w:shd w:fill="CCEEFF" w:val="clear"/>
            <w:tcMar>
              <w:bottom w:w="28" w:type="dxa"/>
            </w:tcMar>
            <w:vAlign w:val="center"/>
          </w:tcPr>
          <w:p>
            <w:pPr>
              <w:pStyle w:val="TableContents"/>
              <w:bidi w:val="0"/>
              <w:spacing w:before="0" w:after="283"/>
              <w:jc w:val="right"/>
              <w:rPr/>
            </w:pPr>
            <w:r>
              <w:rPr/>
              <w:t>879</w:t>
            </w:r>
          </w:p>
        </w:tc>
        <w:tc>
          <w:tcPr>
            <w:tcW w:w="75" w:type="dxa"/>
            <w:tcBorders/>
            <w:shd w:fill="CCEEFF" w:val="clear"/>
            <w:vAlign w:val="center"/>
          </w:tcPr>
          <w:p>
            <w:pPr>
              <w:pStyle w:val="TableContents"/>
              <w:bidi w:val="0"/>
              <w:spacing w:before="0" w:after="283"/>
              <w:jc w:val="left"/>
              <w:rPr/>
            </w:pPr>
            <w:r>
              <w:rPr/>
              <w:t> </w:t>
            </w:r>
            <w:bookmarkStart w:id="341" w:name="xdx_40B_eus-gaap--AccountsPayableAndAccr"/>
            <w:bookmarkEnd w:id="341"/>
          </w:p>
        </w:tc>
      </w:tr>
      <w:tr>
        <w:trPr/>
        <w:tc>
          <w:tcPr>
            <w:tcW w:w="668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19,451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jc w:val="right"/>
              <w:rPr/>
            </w:pPr>
            <w:r>
              <w:rPr/>
              <w:t>16,353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bookmarkStart w:id="342" w:name="xdx_810_zNCyknci1PQ1"/>
      <w:bookmarkStart w:id="343" w:name="xdx_8AE_zwtOBndBgGEi"/>
      <w:bookmarkEnd w:id="342"/>
      <w:bookmarkEnd w:id="343"/>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344" w:name="xdx_80A_eus-gaap--RestructuringAndRelate"/>
      <w:bookmarkEnd w:id="344"/>
      <w:r>
        <w:rPr>
          <w:rFonts w:ascii="Times New Roman;Times;Serif" w:hAnsi="Times New Roman;Times;Serif"/>
          <w:b/>
          <w:i w:val="false"/>
          <w:caps w:val="false"/>
          <w:smallCaps w:val="false"/>
          <w:sz w:val="20"/>
        </w:rPr>
        <w:t xml:space="preserve">3. </w:t>
      </w:r>
      <w:bookmarkStart w:id="345" w:name="xdx_82C_zD9dkcxhg2zf"/>
      <w:bookmarkEnd w:id="345"/>
      <w:r>
        <w:rPr>
          <w:rFonts w:ascii="Times New Roman;Times;Serif" w:hAnsi="Times New Roman;Times;Serif"/>
          <w:b/>
          <w:i w:val="false"/>
          <w:caps w:val="false"/>
          <w:smallCaps w:val="false"/>
          <w:sz w:val="20"/>
        </w:rPr>
        <w:t>Restructuring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announced that it has initiated a formal process to explore and evaluate strategic options to maximize shareholder value, including sale of preclinical and clinical assets, licensing transactions, strategic partnerships or other corporate transactions.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evaluation of strategic alternatives, the Company implemented a restructuring plan that included a workforce reduction of approximately </w:t>
      </w:r>
      <w:bookmarkStart w:id="346" w:name="xdx_907_ecustom--ReductionInWorkforce_pi"/>
      <w:bookmarkEnd w:id="346"/>
      <w:r>
        <w:rPr>
          <w:rFonts w:ascii="Times New Roman;Times;Serif" w:hAnsi="Times New Roman;Times;Serif"/>
          <w:b w:val="false"/>
          <w:i w:val="false"/>
          <w:caps w:val="false"/>
          <w:smallCaps w:val="false"/>
          <w:sz w:val="20"/>
        </w:rPr>
        <w:t>70%. The Company recorded restructuring costs of $</w:t>
      </w:r>
      <w:bookmarkStart w:id="347" w:name="xdx_903_eus-gaap--RestructuringCosts_pn6"/>
      <w:bookmarkEnd w:id="347"/>
      <w:r>
        <w:rPr>
          <w:rFonts w:ascii="Times New Roman;Times;Serif" w:hAnsi="Times New Roman;Times;Serif"/>
          <w:b w:val="false"/>
          <w:i w:val="false"/>
          <w:caps w:val="false"/>
          <w:smallCaps w:val="false"/>
          <w:sz w:val="20"/>
        </w:rPr>
        <w:t>0 and $</w:t>
      </w:r>
      <w:bookmarkStart w:id="348" w:name="xdx_901_eus-gaap--RestructuringCosts_pn5"/>
      <w:bookmarkEnd w:id="348"/>
      <w:r>
        <w:rPr>
          <w:rFonts w:ascii="Times New Roman;Times;Serif" w:hAnsi="Times New Roman;Times;Serif"/>
          <w:b w:val="false"/>
          <w:i w:val="false"/>
          <w:caps w:val="false"/>
          <w:smallCaps w:val="false"/>
          <w:sz w:val="20"/>
        </w:rPr>
        <w:t>0.5 million during the three and six months ended June 30, 2026, of which $</w:t>
      </w:r>
      <w:bookmarkStart w:id="349" w:name="xdx_905_eus-gaap--RestructuringCosts_pn5"/>
      <w:bookmarkEnd w:id="349"/>
      <w:r>
        <w:rPr>
          <w:rFonts w:ascii="Times New Roman;Times;Serif" w:hAnsi="Times New Roman;Times;Serif"/>
          <w:b w:val="false"/>
          <w:i w:val="false"/>
          <w:caps w:val="false"/>
          <w:smallCaps w:val="false"/>
          <w:sz w:val="20"/>
        </w:rPr>
        <w:t>0.4 million is included in research and development expense and $</w:t>
      </w:r>
      <w:bookmarkStart w:id="350" w:name="xdx_901_eus-gaap--RestructuringCosts_pn5"/>
      <w:bookmarkEnd w:id="350"/>
      <w:r>
        <w:rPr>
          <w:rFonts w:ascii="Times New Roman;Times;Serif" w:hAnsi="Times New Roman;Times;Serif"/>
          <w:b w:val="false"/>
          <w:i w:val="false"/>
          <w:caps w:val="false"/>
          <w:smallCaps w:val="false"/>
          <w:sz w:val="20"/>
        </w:rPr>
        <w:t>0.1 million is included in general and administrative expense for the six months ended June 30, 2026 in the condensed consolidated statements of operations and comprehensive income (loss). Restructuring costs primarily consisted of employee severance, continuing healthcare benefits and other employee-related costs. The Company made cash payments of $</w:t>
      </w:r>
      <w:bookmarkStart w:id="351" w:name="xdx_90B_eus-gaap--PaymentsForRestructuri"/>
      <w:bookmarkEnd w:id="351"/>
      <w:r>
        <w:rPr>
          <w:rFonts w:ascii="Times New Roman;Times;Serif" w:hAnsi="Times New Roman;Times;Serif"/>
          <w:b w:val="false"/>
          <w:i w:val="false"/>
          <w:caps w:val="false"/>
          <w:smallCaps w:val="false"/>
          <w:sz w:val="20"/>
        </w:rPr>
        <w:t xml:space="preserve">0.5 million during the first quarter of 2026 and made immaterial cash payments in the second quarter of 2026. As of June 30, 2026, there is </w:t>
      </w:r>
      <w:bookmarkStart w:id="352" w:name="xdx_90C_eus-gaap--RestructuringReserve_i"/>
      <w:bookmarkEnd w:id="352"/>
      <w:r>
        <w:rPr>
          <w:rFonts w:ascii="Times New Roman;Times;Serif" w:hAnsi="Times New Roman;Times;Serif"/>
          <w:b w:val="false"/>
          <w:i w:val="false"/>
          <w:caps w:val="false"/>
          <w:smallCaps w:val="false"/>
          <w:sz w:val="20"/>
        </w:rPr>
        <w:t>no remaining restructuring liability balance.</w:t>
      </w:r>
    </w:p>
    <w:p>
      <w:pPr>
        <w:pStyle w:val="TextBody"/>
        <w:bidi w:val="0"/>
        <w:spacing w:before="0" w:after="0"/>
        <w:ind w:left="720" w:right="720" w:firstLine="446"/>
        <w:jc w:val="both"/>
        <w:rPr>
          <w:caps w:val="false"/>
          <w:smallCaps w:val="false"/>
        </w:rPr>
      </w:pPr>
      <w:bookmarkStart w:id="353" w:name="xdx_814_zAwRr30XSQ56"/>
      <w:bookmarkEnd w:id="353"/>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354" w:name="xdx_80E_eus-gaap--FairValueDisclosuresTe"/>
      <w:bookmarkEnd w:id="354"/>
      <w:r>
        <w:rPr>
          <w:rFonts w:ascii="Times New Roman;Times;Serif" w:hAnsi="Times New Roman;Times;Serif"/>
          <w:b/>
          <w:i w:val="false"/>
          <w:caps w:val="false"/>
          <w:smallCaps w:val="false"/>
          <w:sz w:val="20"/>
        </w:rPr>
        <w:t xml:space="preserve">4. </w:t>
      </w:r>
      <w:bookmarkStart w:id="355" w:name="xdx_82B_z12sNze8GeVl"/>
      <w:bookmarkEnd w:id="355"/>
      <w:r>
        <w:rPr>
          <w:rFonts w:ascii="Times New Roman;Times;Serif" w:hAnsi="Times New Roman;Times;Serif"/>
          <w:b/>
          <w:i w:val="false"/>
          <w:caps w:val="false"/>
          <w:smallCaps w:val="false"/>
          <w:sz w:val="20"/>
        </w:rPr>
        <w:t>Fair Value Measurements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the reporting entity to develop its own assumptions.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356" w:name="xdx_89C_eus-gaap--ScheduleOfFairValueAss"/>
      <w:bookmarkEnd w:id="356"/>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720" w:right="720" w:firstLine="446"/>
        <w:jc w:val="left"/>
        <w:rPr>
          <w:caps w:val="false"/>
          <w:smallCaps w:val="false"/>
        </w:rPr>
      </w:pPr>
      <w:r>
        <w:rPr>
          <w:caps w:val="false"/>
          <w:smallCaps w:val="false"/>
        </w:rPr>
        <w:t> </w:t>
      </w:r>
      <w:bookmarkStart w:id="357" w:name="xdx_8B8_zQcP8ZXVU9g4"/>
      <w:bookmarkEnd w:id="357"/>
      <w:r>
        <w:rPr>
          <w:rFonts w:ascii="Times New Roman;Times;Serif" w:hAnsi="Times New Roman;Times;Serif"/>
          <w:b w:val="false"/>
          <w:i w:val="false"/>
          <w:caps w:val="false"/>
          <w:smallCaps w:val="false"/>
          <w:sz w:val="20"/>
        </w:rPr>
        <w:t>Schedule of fair value assets and liabilities measured on recurring basis</w:t>
      </w:r>
    </w:p>
    <w:tbl>
      <w:tblPr>
        <w:tblW w:w="4623" w:type="dxa"/>
        <w:jc w:val="left"/>
        <w:tblInd w:w="720" w:type="dxa"/>
        <w:tblLayout w:type="fixed"/>
        <w:tblCellMar>
          <w:top w:w="0" w:type="dxa"/>
          <w:left w:w="0" w:type="dxa"/>
          <w:bottom w:w="0" w:type="dxa"/>
          <w:right w:w="0" w:type="dxa"/>
        </w:tblCellMar>
      </w:tblPr>
      <w:tblGrid>
        <w:gridCol w:w="1640"/>
        <w:gridCol w:w="60"/>
        <w:gridCol w:w="140"/>
        <w:gridCol w:w="560"/>
        <w:gridCol w:w="60"/>
        <w:gridCol w:w="60"/>
        <w:gridCol w:w="190"/>
        <w:gridCol w:w="354"/>
        <w:gridCol w:w="60"/>
        <w:gridCol w:w="60"/>
        <w:gridCol w:w="146"/>
        <w:gridCol w:w="398"/>
        <w:gridCol w:w="60"/>
        <w:gridCol w:w="60"/>
        <w:gridCol w:w="140"/>
        <w:gridCol w:w="560"/>
        <w:gridCol w:w="7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358" w:name="xdx_494_20260101__20260630__us-gaap--Fai"/>
            <w:bookmarkEnd w:id="358"/>
          </w:p>
        </w:tc>
        <w:tc>
          <w:tcPr>
            <w:tcW w:w="5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90" w:type="dxa"/>
            <w:tcBorders>
              <w:bottom w:val="single" w:sz="8" w:space="0" w:color="000000"/>
            </w:tcBorders>
            <w:tcMar>
              <w:bottom w:w="28" w:type="dxa"/>
            </w:tcMar>
            <w:vAlign w:val="center"/>
          </w:tcPr>
          <w:p>
            <w:pPr>
              <w:pStyle w:val="TableContents"/>
              <w:bidi w:val="0"/>
              <w:spacing w:before="0" w:after="283"/>
              <w:jc w:val="center"/>
              <w:rPr/>
            </w:pPr>
            <w:r>
              <w:rPr/>
              <w:t> </w:t>
            </w:r>
            <w:bookmarkStart w:id="359" w:name="xdx_497_20260101__20260630__us-gaap--Fai"/>
            <w:bookmarkEnd w:id="359"/>
          </w:p>
        </w:tc>
        <w:tc>
          <w:tcPr>
            <w:tcW w:w="354"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6" w:type="dxa"/>
            <w:tcBorders>
              <w:bottom w:val="single" w:sz="8" w:space="0" w:color="000000"/>
            </w:tcBorders>
            <w:tcMar>
              <w:bottom w:w="28" w:type="dxa"/>
            </w:tcMar>
            <w:vAlign w:val="center"/>
          </w:tcPr>
          <w:p>
            <w:pPr>
              <w:pStyle w:val="TableContents"/>
              <w:bidi w:val="0"/>
              <w:spacing w:before="0" w:after="283"/>
              <w:jc w:val="center"/>
              <w:rPr/>
            </w:pPr>
            <w:r>
              <w:rPr/>
              <w:t> </w:t>
            </w:r>
            <w:bookmarkStart w:id="360" w:name="xdx_494_20260101__20260630__us-gaap--Fai"/>
            <w:bookmarkEnd w:id="360"/>
          </w:p>
        </w:tc>
        <w:tc>
          <w:tcPr>
            <w:tcW w:w="398"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361" w:name="xdx_491_20260101__20260630_zRgoZE4cbWS1"/>
            <w:bookmarkEnd w:id="361"/>
          </w:p>
        </w:tc>
        <w:tc>
          <w:tcPr>
            <w:tcW w:w="5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48"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As of June 30, 2026</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u w:val="single"/>
              </w:rPr>
            </w:pPr>
            <w:r>
              <w:rPr>
                <w:b/>
                <w:u w:val="single"/>
              </w:rPr>
              <w:t>Assets</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62" w:name="xdx_40A_eus-gaap--FairValueOfAssetsAcqui"/>
            <w:bookmarkEnd w:id="362"/>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3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1,281</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u w:val="single"/>
              </w:rPr>
            </w:pPr>
            <w:r>
              <w:rPr>
                <w:b/>
                <w:u w:val="single"/>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3" w:name="xdx_403_ecustom--FairValueWarrantLiabili"/>
            <w:bookmarkEnd w:id="363"/>
          </w:p>
        </w:tc>
      </w:tr>
      <w:tr>
        <w:trPr/>
        <w:tc>
          <w:tcPr>
            <w:tcW w:w="1640"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398" w:type="dxa"/>
            <w:tcBorders/>
            <w:shd w:fill="FFFFFF" w:val="clear"/>
            <w:vAlign w:val="center"/>
          </w:tcPr>
          <w:p>
            <w:pPr>
              <w:pStyle w:val="TableContents"/>
              <w:bidi w:val="0"/>
              <w:spacing w:before="0" w:after="283"/>
              <w:jc w:val="right"/>
              <w:rPr/>
            </w:pPr>
            <w:r>
              <w:rPr/>
              <w:t>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720" w:after="720"/>
        <w:ind w:left="720" w:right="720" w:hanging="0"/>
        <w:jc w:val="left"/>
        <w:rPr/>
      </w:pPr>
      <w:r>
        <w:rPr/>
        <w:t> </w:t>
      </w:r>
    </w:p>
    <w:tbl>
      <w:tblPr>
        <w:tblW w:w="4899" w:type="dxa"/>
        <w:jc w:val="left"/>
        <w:tblInd w:w="720" w:type="dxa"/>
        <w:tblLayout w:type="fixed"/>
        <w:tblCellMar>
          <w:top w:w="0" w:type="dxa"/>
          <w:left w:w="0" w:type="dxa"/>
          <w:bottom w:w="0" w:type="dxa"/>
          <w:right w:w="0" w:type="dxa"/>
        </w:tblCellMar>
      </w:tblPr>
      <w:tblGrid>
        <w:gridCol w:w="1760"/>
        <w:gridCol w:w="60"/>
        <w:gridCol w:w="140"/>
        <w:gridCol w:w="560"/>
        <w:gridCol w:w="60"/>
        <w:gridCol w:w="60"/>
        <w:gridCol w:w="190"/>
        <w:gridCol w:w="354"/>
        <w:gridCol w:w="60"/>
        <w:gridCol w:w="60"/>
        <w:gridCol w:w="140"/>
        <w:gridCol w:w="560"/>
        <w:gridCol w:w="60"/>
        <w:gridCol w:w="60"/>
        <w:gridCol w:w="140"/>
        <w:gridCol w:w="560"/>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364" w:name="xdx_496_20250101__20251231__us-gaap--Fai"/>
            <w:bookmarkEnd w:id="364"/>
          </w:p>
        </w:tc>
        <w:tc>
          <w:tcPr>
            <w:tcW w:w="5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90" w:type="dxa"/>
            <w:tcBorders>
              <w:bottom w:val="single" w:sz="8" w:space="0" w:color="000000"/>
            </w:tcBorders>
            <w:tcMar>
              <w:bottom w:w="28" w:type="dxa"/>
            </w:tcMar>
            <w:vAlign w:val="center"/>
          </w:tcPr>
          <w:p>
            <w:pPr>
              <w:pStyle w:val="TableContents"/>
              <w:bidi w:val="0"/>
              <w:spacing w:before="0" w:after="283"/>
              <w:jc w:val="center"/>
              <w:rPr/>
            </w:pPr>
            <w:r>
              <w:rPr/>
              <w:t> </w:t>
            </w:r>
            <w:bookmarkStart w:id="365" w:name="xdx_49D_20250101__20251231__us-gaap--Fai"/>
            <w:bookmarkEnd w:id="365"/>
          </w:p>
        </w:tc>
        <w:tc>
          <w:tcPr>
            <w:tcW w:w="354"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366" w:name="xdx_49D_20250101__20251231__us-gaap--Fai"/>
            <w:bookmarkEnd w:id="366"/>
          </w:p>
        </w:tc>
        <w:tc>
          <w:tcPr>
            <w:tcW w:w="5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367" w:name="xdx_496_20250101__20251231_zETeetFfc1ei"/>
            <w:bookmarkEnd w:id="367"/>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b/>
                <w:sz w:val="16"/>
              </w:rPr>
            </w:pPr>
            <w:r>
              <w:rPr>
                <w:b/>
                <w:sz w:val="16"/>
              </w:rPr>
              <w:t>As of December 31, 2025</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b/>
                <w:u w:val="single"/>
              </w:rPr>
            </w:pPr>
            <w:r>
              <w:rPr>
                <w:b/>
                <w:u w:val="single"/>
              </w:rPr>
              <w:t>Assets</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68" w:name="xdx_40A_eus-gaap--FairValueOfAssetsAcqui"/>
            <w:bookmarkEnd w:id="368"/>
          </w:p>
        </w:tc>
      </w:tr>
      <w:tr>
        <w:trPr/>
        <w:tc>
          <w:tcPr>
            <w:tcW w:w="176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4,285</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b/>
                <w:u w:val="single"/>
              </w:rPr>
            </w:pPr>
            <w:r>
              <w:rPr>
                <w:b/>
                <w:u w:val="single"/>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9" w:name="xdx_403_ecustom--FairValueWarrantLiabili"/>
            <w:bookmarkEnd w:id="369"/>
          </w:p>
        </w:tc>
      </w:tr>
      <w:tr>
        <w:trPr/>
        <w:tc>
          <w:tcPr>
            <w:tcW w:w="1760"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3,516</w:t>
            </w:r>
          </w:p>
        </w:tc>
        <w:tc>
          <w:tcPr>
            <w:tcW w:w="75" w:type="dxa"/>
            <w:tcBorders/>
            <w:shd w:fill="FFFFFF" w:val="clear"/>
            <w:vAlign w:val="center"/>
          </w:tcPr>
          <w:p>
            <w:pPr>
              <w:pStyle w:val="TableContents"/>
              <w:bidi w:val="0"/>
              <w:spacing w:before="0" w:after="283"/>
              <w:jc w:val="left"/>
              <w:rPr/>
            </w:pPr>
            <w:r>
              <w:rPr/>
              <w:t> </w:t>
            </w:r>
            <w:bookmarkStart w:id="370" w:name="xdx_40E_ecustom--PrePaidAdvance_pn3n3_uU"/>
            <w:bookmarkEnd w:id="370"/>
          </w:p>
        </w:tc>
      </w:tr>
      <w:tr>
        <w:trPr/>
        <w:tc>
          <w:tcPr>
            <w:tcW w:w="1760" w:type="dxa"/>
            <w:tcBorders/>
            <w:shd w:fill="CCEEFF" w:val="clear"/>
            <w:vAlign w:val="center"/>
          </w:tcPr>
          <w:p>
            <w:pPr>
              <w:pStyle w:val="TableContents"/>
              <w:bidi w:val="0"/>
              <w:spacing w:before="0" w:after="283"/>
              <w:jc w:val="left"/>
              <w:rPr/>
            </w:pPr>
            <w:r>
              <w:rPr/>
              <w:t>Pre-Paid Advance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3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4,142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left"/>
        <w:rPr>
          <w:caps w:val="false"/>
          <w:smallCaps w:val="false"/>
        </w:rPr>
      </w:pPr>
      <w:bookmarkStart w:id="371" w:name="xdx_8AC_z8qmYjCKuFDf"/>
      <w:bookmarkEnd w:id="371"/>
      <w:r>
        <w:rPr>
          <w:caps w:val="false"/>
          <w:smallCaps w:val="false"/>
        </w:rPr>
        <w:t> </w:t>
      </w:r>
    </w:p>
    <w:p>
      <w:pPr>
        <w:pStyle w:val="TextBody"/>
        <w:bidi w:val="0"/>
        <w:spacing w:before="0" w:after="0"/>
        <w:ind w:left="720" w:right="720" w:firstLine="44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transfers between levels have occurred during the periods presented.</w:t>
      </w:r>
    </w:p>
    <w:p>
      <w:pPr>
        <w:pStyle w:val="TextBody"/>
        <w:bidi w:val="0"/>
        <w:spacing w:before="0" w:after="0"/>
        <w:ind w:left="720" w:right="720" w:firstLine="446"/>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Equivalents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comprised of money market funds, which are classified within Level 1 of the fair value hierarchy because they are valued using quoted market prices in active markets.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372" w:name="xdx_89B_eus-gaap--FairValueNetDerivative"/>
      <w:bookmarkEnd w:id="372"/>
      <w:r>
        <w:rPr>
          <w:rFonts w:ascii="Times New Roman;Times;Serif" w:hAnsi="Times New Roman;Times;Serif"/>
          <w:b w:val="false"/>
          <w:i w:val="false"/>
          <w:caps w:val="false"/>
          <w:smallCaps w:val="false"/>
          <w:sz w:val="20"/>
        </w:rPr>
        <w:t>The significant inputs used in the valuation models to measure the fair value of the warrants are as follows:</w:t>
      </w:r>
    </w:p>
    <w:p>
      <w:pPr>
        <w:pStyle w:val="TextBody"/>
        <w:bidi w:val="0"/>
        <w:spacing w:before="0" w:after="0"/>
        <w:ind w:left="720" w:right="720" w:firstLine="446"/>
        <w:jc w:val="left"/>
        <w:rPr>
          <w:caps w:val="false"/>
          <w:smallCaps w:val="false"/>
        </w:rPr>
      </w:pPr>
      <w:r>
        <w:rPr>
          <w:caps w:val="false"/>
          <w:smallCaps w:val="false"/>
        </w:rPr>
        <w:t> </w:t>
      </w:r>
      <w:bookmarkStart w:id="373" w:name="xdx_8BE_z7KJUsTBGOJ6"/>
      <w:bookmarkEnd w:id="373"/>
      <w:r>
        <w:rPr>
          <w:rFonts w:ascii="Times New Roman;Times;Serif" w:hAnsi="Times New Roman;Times;Serif"/>
          <w:b w:val="false"/>
          <w:i w:val="false"/>
          <w:caps w:val="false"/>
          <w:smallCaps w:val="false"/>
          <w:sz w:val="20"/>
        </w:rPr>
        <w:t>Schedule of fair value, net derivative asset (liability) measured on recurring basis, unobservable input reconciliation</w:t>
      </w:r>
    </w:p>
    <w:tbl>
      <w:tblPr>
        <w:tblW w:w="4620" w:type="dxa"/>
        <w:jc w:val="left"/>
        <w:tblInd w:w="720" w:type="dxa"/>
        <w:tblLayout w:type="fixed"/>
        <w:tblCellMar>
          <w:top w:w="0" w:type="dxa"/>
          <w:left w:w="0" w:type="dxa"/>
          <w:bottom w:w="0" w:type="dxa"/>
          <w:right w:w="0" w:type="dxa"/>
        </w:tblCellMar>
      </w:tblPr>
      <w:tblGrid>
        <w:gridCol w:w="2345"/>
        <w:gridCol w:w="60"/>
        <w:gridCol w:w="140"/>
        <w:gridCol w:w="560"/>
        <w:gridCol w:w="215"/>
        <w:gridCol w:w="60"/>
        <w:gridCol w:w="202"/>
        <w:gridCol w:w="808"/>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374" w:name="xdx_49A_20260101__20260630__us-gaap--Sta"/>
            <w:bookmarkEnd w:id="374"/>
          </w:p>
        </w:tc>
        <w:tc>
          <w:tcPr>
            <w:tcW w:w="5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1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02" w:type="dxa"/>
            <w:tcBorders>
              <w:bottom w:val="single" w:sz="8" w:space="0" w:color="000000"/>
            </w:tcBorders>
            <w:tcMar>
              <w:bottom w:w="28" w:type="dxa"/>
            </w:tcMar>
            <w:vAlign w:val="center"/>
          </w:tcPr>
          <w:p>
            <w:pPr>
              <w:pStyle w:val="TableContents"/>
              <w:bidi w:val="0"/>
              <w:spacing w:before="0" w:after="283"/>
              <w:jc w:val="center"/>
              <w:rPr/>
            </w:pPr>
            <w:r>
              <w:rPr/>
              <w:t> </w:t>
            </w:r>
            <w:bookmarkStart w:id="375" w:name="xdx_49E_20250101__20251231__us-gaap--Sta"/>
            <w:bookmarkEnd w:id="375"/>
          </w:p>
        </w:tc>
        <w:tc>
          <w:tcPr>
            <w:tcW w:w="808" w:type="dxa"/>
            <w:tcBorders>
              <w:bottom w:val="single" w:sz="8" w:space="0" w:color="000000"/>
            </w:tcBorders>
            <w:tcMar>
              <w:bottom w:w="28" w:type="dxa"/>
            </w:tcMar>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Valuation Date</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16"/>
              </w:rPr>
              <w:t>June 30,</w:t>
            </w:r>
            <w:r>
              <w:rPr>
                <w:b/>
                <w:sz w:val="16"/>
              </w:rPr>
              <w:br/>
            </w:r>
            <w:r>
              <w:rPr>
                <w:rFonts w:ascii="Times New Roman;Times;Serif" w:hAnsi="Times New Roman;Times;Serif"/>
                <w:b/>
                <w:sz w:val="16"/>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16"/>
              </w:rPr>
              <w:t>December 31,</w:t>
            </w:r>
            <w:r>
              <w:rPr>
                <w:b/>
                <w:sz w:val="16"/>
              </w:rPr>
              <w:br/>
            </w:r>
            <w:r>
              <w:rPr>
                <w:rFonts w:ascii="Times New Roman;Times;Serif" w:hAnsi="Times New Roman;Times;Serif"/>
                <w:b/>
                <w:sz w:val="16"/>
              </w:rPr>
              <w:t>2025</w:t>
            </w:r>
          </w:p>
        </w:tc>
        <w:tc>
          <w:tcPr>
            <w:tcW w:w="230" w:type="dxa"/>
            <w:tcBorders/>
            <w:vAlign w:val="center"/>
          </w:tcPr>
          <w:p>
            <w:pPr>
              <w:pStyle w:val="TableContents"/>
              <w:bidi w:val="0"/>
              <w:spacing w:before="0" w:after="283"/>
              <w:jc w:val="left"/>
              <w:rPr/>
            </w:pPr>
            <w:r>
              <w:rPr/>
              <w:t> </w:t>
            </w:r>
            <w:bookmarkStart w:id="376" w:name="xdx_40D_ecustom--CommonStockPricePerShar"/>
            <w:bookmarkEnd w:id="376"/>
          </w:p>
        </w:tc>
      </w:tr>
      <w:tr>
        <w:trPr/>
        <w:tc>
          <w:tcPr>
            <w:tcW w:w="2345"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28.39</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77" w:name="xdx_98B_eus-gaap--ShareBasedCompensation"/>
            <w:bookmarkEnd w:id="377"/>
          </w:p>
        </w:tc>
        <w:tc>
          <w:tcPr>
            <w:tcW w:w="560" w:type="dxa"/>
            <w:tcBorders/>
            <w:shd w:fill="FFFFFF" w:val="clear"/>
            <w:vAlign w:val="center"/>
          </w:tcPr>
          <w:p>
            <w:pPr>
              <w:pStyle w:val="TableContents"/>
              <w:bidi w:val="0"/>
              <w:spacing w:before="0" w:after="283"/>
              <w:jc w:val="right"/>
              <w:rPr/>
            </w:pPr>
            <w:r>
              <w:rPr/>
              <w:t>4.17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378" w:name="xdx_985_eus-gaap--ShareBasedCompensation"/>
            <w:bookmarkEnd w:id="378"/>
          </w:p>
        </w:tc>
        <w:tc>
          <w:tcPr>
            <w:tcW w:w="808" w:type="dxa"/>
            <w:tcBorders/>
            <w:shd w:fill="FFFFFF" w:val="clear"/>
            <w:vAlign w:val="center"/>
          </w:tcPr>
          <w:p>
            <w:pPr>
              <w:pStyle w:val="TableContents"/>
              <w:bidi w:val="0"/>
              <w:spacing w:before="0" w:after="283"/>
              <w:jc w:val="right"/>
              <w:rPr/>
            </w:pPr>
            <w:r>
              <w:rPr/>
              <w:t>3.68</w:t>
            </w:r>
          </w:p>
        </w:tc>
        <w:tc>
          <w:tcPr>
            <w:tcW w:w="230" w:type="dxa"/>
            <w:tcBorders/>
            <w:shd w:fill="FFFFFF" w:val="clear"/>
            <w:vAlign w:val="center"/>
          </w:tcPr>
          <w:p>
            <w:pPr>
              <w:pStyle w:val="TableContents"/>
              <w:bidi w:val="0"/>
              <w:spacing w:before="0" w:after="283"/>
              <w:jc w:val="left"/>
              <w:rPr/>
            </w:pPr>
            <w:r>
              <w:rPr/>
              <w:t>%</w:t>
            </w:r>
            <w:bookmarkStart w:id="379" w:name="xdx_40D_eus-gaap--SharebasedCompensation"/>
            <w:bookmarkEnd w:id="379"/>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4.47</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0" w:name="xdx_989_eus-gaap--ShareBasedCompensation"/>
            <w:bookmarkEnd w:id="380"/>
          </w:p>
        </w:tc>
        <w:tc>
          <w:tcPr>
            <w:tcW w:w="560" w:type="dxa"/>
            <w:tcBorders/>
            <w:shd w:fill="FFFFFF" w:val="clear"/>
            <w:vAlign w:val="center"/>
          </w:tcPr>
          <w:p>
            <w:pPr>
              <w:pStyle w:val="TableContents"/>
              <w:bidi w:val="0"/>
              <w:spacing w:before="0" w:after="283"/>
              <w:jc w:val="right"/>
              <w:rPr/>
            </w:pPr>
            <w:r>
              <w:rPr/>
              <w:t>118.4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bookmarkStart w:id="381" w:name="xdx_989_eus-gaap--ShareBasedCompensation"/>
            <w:bookmarkEnd w:id="381"/>
          </w:p>
        </w:tc>
        <w:tc>
          <w:tcPr>
            <w:tcW w:w="808" w:type="dxa"/>
            <w:tcBorders/>
            <w:shd w:fill="FFFFFF" w:val="clear"/>
            <w:vAlign w:val="center"/>
          </w:tcPr>
          <w:p>
            <w:pPr>
              <w:pStyle w:val="TableContents"/>
              <w:bidi w:val="0"/>
              <w:spacing w:before="0" w:after="283"/>
              <w:jc w:val="right"/>
              <w:rPr/>
            </w:pPr>
            <w:r>
              <w:rPr/>
              <w:t>103.2</w:t>
            </w:r>
          </w:p>
        </w:tc>
        <w:tc>
          <w:tcPr>
            <w:tcW w:w="230" w:type="dxa"/>
            <w:tcBorders/>
            <w:shd w:fill="FFFFFF" w:val="clear"/>
            <w:vAlign w:val="center"/>
          </w:tcPr>
          <w:p>
            <w:pPr>
              <w:pStyle w:val="TableContents"/>
              <w:bidi w:val="0"/>
              <w:spacing w:before="0" w:after="283"/>
              <w:jc w:val="left"/>
              <w:rPr/>
            </w:pPr>
            <w:r>
              <w:rPr/>
              <w:t>%</w:t>
            </w:r>
            <w:bookmarkStart w:id="382" w:name="xdx_40B_eus-gaap--ShareBasedCompensation"/>
            <w:bookmarkEnd w:id="382"/>
          </w:p>
        </w:tc>
      </w:tr>
      <w:tr>
        <w:trPr/>
        <w:tc>
          <w:tcPr>
            <w:tcW w:w="234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firstLine="446"/>
        <w:jc w:val="left"/>
        <w:rPr>
          <w:caps w:val="false"/>
          <w:smallCaps w:val="false"/>
        </w:rPr>
      </w:pPr>
      <w:bookmarkStart w:id="383" w:name="xdx_8A4_zYI0HGwsCNgj"/>
      <w:bookmarkEnd w:id="383"/>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384" w:name="xdx_89F_ecustom--ScheduleOfTheChangesInT"/>
      <w:bookmarkEnd w:id="384"/>
      <w:r>
        <w:rPr>
          <w:rFonts w:ascii="Times New Roman;Times;Serif" w:hAnsi="Times New Roman;Times;Serif"/>
          <w:b w:val="false"/>
          <w:i w:val="false"/>
          <w:caps w:val="false"/>
          <w:smallCaps w:val="false"/>
          <w:sz w:val="20"/>
        </w:rPr>
        <w:t>The following table presents the changes in the fair value of Level 3 liabilities for the six months ended June 30, 2026 (in thousands):</w:t>
      </w:r>
    </w:p>
    <w:p>
      <w:pPr>
        <w:pStyle w:val="TextBody"/>
        <w:bidi w:val="0"/>
        <w:spacing w:before="0" w:after="0"/>
        <w:ind w:left="720" w:right="720" w:firstLine="446"/>
        <w:jc w:val="left"/>
        <w:rPr>
          <w:caps w:val="false"/>
          <w:smallCaps w:val="false"/>
        </w:rPr>
      </w:pPr>
      <w:r>
        <w:rPr>
          <w:caps w:val="false"/>
          <w:smallCaps w:val="false"/>
        </w:rPr>
        <w:t> </w:t>
      </w:r>
      <w:bookmarkStart w:id="385" w:name="xdx_8BB_zsW2aDGdRm12"/>
      <w:bookmarkEnd w:id="385"/>
      <w:r>
        <w:rPr>
          <w:rFonts w:ascii="Times New Roman;Times;Serif" w:hAnsi="Times New Roman;Times;Serif"/>
          <w:b w:val="false"/>
          <w:i w:val="false"/>
          <w:caps w:val="false"/>
          <w:smallCaps w:val="false"/>
          <w:sz w:val="20"/>
        </w:rPr>
        <w:t>Schedule of changes in the fair value of warrant liability</w:t>
      </w:r>
    </w:p>
    <w:tbl>
      <w:tblPr>
        <w:tblW w:w="5249" w:type="dxa"/>
        <w:jc w:val="left"/>
        <w:tblInd w:w="720" w:type="dxa"/>
        <w:tblLayout w:type="fixed"/>
        <w:tblCellMar>
          <w:top w:w="0" w:type="dxa"/>
          <w:left w:w="0" w:type="dxa"/>
          <w:bottom w:w="0" w:type="dxa"/>
          <w:right w:w="0" w:type="dxa"/>
        </w:tblCellMar>
      </w:tblPr>
      <w:tblGrid>
        <w:gridCol w:w="3755"/>
        <w:gridCol w:w="60"/>
        <w:gridCol w:w="239"/>
        <w:gridCol w:w="1085"/>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sz w:val="4"/>
                <w:szCs w:val="4"/>
              </w:rPr>
            </w:pPr>
            <w:r>
              <w:rPr>
                <w:sz w:val="4"/>
                <w:szCs w:val="4"/>
              </w:rPr>
            </w:r>
            <w:bookmarkStart w:id="386" w:name="xdx_4B9_us-gaap--FairValueByFairValueHie"/>
            <w:bookmarkStart w:id="387" w:name="xdx_4B9_us-gaap--FairValueByFairValueHie"/>
            <w:bookmarkEnd w:id="387"/>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Warrant Liability</w:t>
            </w:r>
          </w:p>
        </w:tc>
        <w:tc>
          <w:tcPr>
            <w:tcW w:w="110" w:type="dxa"/>
            <w:tcBorders/>
            <w:vAlign w:val="center"/>
          </w:tcPr>
          <w:p>
            <w:pPr>
              <w:pStyle w:val="TableContents"/>
              <w:bidi w:val="0"/>
              <w:spacing w:before="0" w:after="283"/>
              <w:jc w:val="right"/>
              <w:rPr/>
            </w:pPr>
            <w:r>
              <w:rPr/>
              <w:t> </w:t>
            </w:r>
            <w:bookmarkStart w:id="388" w:name="xdx_43E_c20260101__20260630_ecustom--War"/>
            <w:bookmarkEnd w:id="388"/>
          </w:p>
        </w:tc>
      </w:tr>
      <w:tr>
        <w:trPr/>
        <w:tc>
          <w:tcPr>
            <w:tcW w:w="375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3,516</w:t>
            </w:r>
          </w:p>
        </w:tc>
        <w:tc>
          <w:tcPr>
            <w:tcW w:w="110" w:type="dxa"/>
            <w:tcBorders/>
            <w:shd w:fill="CCEEFF" w:val="clear"/>
            <w:vAlign w:val="center"/>
          </w:tcPr>
          <w:p>
            <w:pPr>
              <w:pStyle w:val="TableContents"/>
              <w:bidi w:val="0"/>
              <w:spacing w:before="0" w:after="283"/>
              <w:jc w:val="left"/>
              <w:rPr/>
            </w:pPr>
            <w:r>
              <w:rPr/>
              <w:t> </w:t>
            </w:r>
            <w:bookmarkStart w:id="389" w:name="xdx_408_eus-gaap--FairValueAdjustmentOfW"/>
            <w:bookmarkEnd w:id="389"/>
          </w:p>
        </w:tc>
      </w:tr>
      <w:tr>
        <w:trPr/>
        <w:tc>
          <w:tcPr>
            <w:tcW w:w="375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(2,894</w:t>
            </w:r>
          </w:p>
        </w:tc>
        <w:tc>
          <w:tcPr>
            <w:tcW w:w="110" w:type="dxa"/>
            <w:tcBorders/>
            <w:shd w:fill="FFFFFF" w:val="clear"/>
            <w:vAlign w:val="center"/>
          </w:tcPr>
          <w:p>
            <w:pPr>
              <w:pStyle w:val="TableContents"/>
              <w:bidi w:val="0"/>
              <w:spacing w:before="0" w:after="283"/>
              <w:jc w:val="left"/>
              <w:rPr/>
            </w:pPr>
            <w:r>
              <w:rPr/>
              <w:t>)</w:t>
            </w:r>
            <w:bookmarkStart w:id="390" w:name="xdx_433_c20260101__20260630_ecustom--War"/>
            <w:bookmarkEnd w:id="390"/>
          </w:p>
        </w:tc>
      </w:tr>
      <w:tr>
        <w:trPr/>
        <w:tc>
          <w:tcPr>
            <w:tcW w:w="3755"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622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both"/>
        <w:rPr>
          <w:caps w:val="false"/>
          <w:smallCaps w:val="false"/>
        </w:rPr>
      </w:pPr>
      <w:bookmarkStart w:id="391" w:name="xdx_8AE_zx7B3bBjAkoj"/>
      <w:bookmarkEnd w:id="391"/>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 liability as of June 30, 2026 was determined using the re-priced exercise price of $</w:t>
      </w:r>
      <w:bookmarkStart w:id="392" w:name="xdx_90F_eus-gaap--ClassOfWarrantOrRightE"/>
      <w:bookmarkEnd w:id="392"/>
      <w:r>
        <w:rPr>
          <w:rFonts w:ascii="Times New Roman;Times;Serif" w:hAnsi="Times New Roman;Times;Serif"/>
          <w:b w:val="false"/>
          <w:i w:val="false"/>
          <w:caps w:val="false"/>
          <w:smallCaps w:val="false"/>
          <w:sz w:val="20"/>
        </w:rPr>
        <w:t>4.35 which was determined in April 2026 after the Share Consolidation (refer to Note 8 for further details). Changes in the fair value of the liability-classified warrants are recognized within the gain (loss) on warrant liability, a component of other income (expense) in the condensed consolidated statements of operations and comprehensive income (loss).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PPAs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Level 3 liabilities included the Pre-Paid Advance (as defined in Note 7) issued to the Company in November 2025, for which the Company elected the fair value option. The Pre-Paid Advance was fully converted into shares of the Company’s common stock as of February 2026 under the terms of the agreement and no remaining liability was outstanding as of June 30, 2026.</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Advance was classified within Level 3 of the fair value hierarchy as the fair value was derived using a Monte Carlo simulation model in a risk neutral framework, which uses significant unobservable inputs. The significant assumptions used in the valuation model included volatility, expected term, risk-free rates, and credit-adjusted discount rates.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393" w:name="xdx_899_ecustom--ScheduleOfTheChangesInT"/>
      <w:bookmarkEnd w:id="393"/>
      <w:r>
        <w:rPr>
          <w:rFonts w:ascii="Times New Roman;Times;Serif" w:hAnsi="Times New Roman;Times;Serif"/>
          <w:b w:val="false"/>
          <w:i w:val="false"/>
          <w:caps w:val="false"/>
          <w:smallCaps w:val="false"/>
          <w:sz w:val="20"/>
        </w:rPr>
        <w:t>The following table presents the changes in the fair value of Level 3 liabilities for the six months ended June 30, 2026 (in thousands):</w:t>
      </w:r>
    </w:p>
    <w:p>
      <w:pPr>
        <w:pStyle w:val="TextBody"/>
        <w:bidi w:val="0"/>
        <w:spacing w:before="0" w:after="0"/>
        <w:ind w:left="720" w:right="720" w:firstLine="446"/>
        <w:jc w:val="both"/>
        <w:rPr>
          <w:caps w:val="false"/>
          <w:smallCaps w:val="false"/>
        </w:rPr>
      </w:pPr>
      <w:r>
        <w:rPr>
          <w:caps w:val="false"/>
          <w:smallCaps w:val="false"/>
        </w:rPr>
        <w:t> </w:t>
      </w:r>
      <w:bookmarkStart w:id="394" w:name="xdx_8BA_zh4kjbIDotr2"/>
      <w:bookmarkEnd w:id="394"/>
      <w:r>
        <w:rPr>
          <w:rFonts w:ascii="Times New Roman;Times;Serif" w:hAnsi="Times New Roman;Times;Serif"/>
          <w:b w:val="false"/>
          <w:i w:val="false"/>
          <w:caps w:val="false"/>
          <w:smallCaps w:val="false"/>
          <w:sz w:val="20"/>
        </w:rPr>
        <w:t>Schedule of the changes in the fair value of PPAs liability</w:t>
      </w:r>
    </w:p>
    <w:tbl>
      <w:tblPr>
        <w:tblW w:w="6269" w:type="dxa"/>
        <w:jc w:val="left"/>
        <w:tblInd w:w="720" w:type="dxa"/>
        <w:tblLayout w:type="fixed"/>
        <w:tblCellMar>
          <w:top w:w="0" w:type="dxa"/>
          <w:left w:w="0" w:type="dxa"/>
          <w:bottom w:w="0" w:type="dxa"/>
          <w:right w:w="0" w:type="dxa"/>
        </w:tblCellMar>
      </w:tblPr>
      <w:tblGrid>
        <w:gridCol w:w="5030"/>
        <w:gridCol w:w="60"/>
        <w:gridCol w:w="193"/>
        <w:gridCol w:w="876"/>
        <w:gridCol w:w="110"/>
      </w:tblGrid>
      <w:tr>
        <w:trPr/>
        <w:tc>
          <w:tcPr>
            <w:tcW w:w="5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bookmarkStart w:id="395" w:name="xdx_4B5_us-gaap--FairValueByFairValueHie"/>
            <w:bookmarkStart w:id="396" w:name="xdx_4B5_us-gaap--FairValueByFairValueHie"/>
            <w:bookmarkEnd w:id="396"/>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PPAs Liability</w:t>
            </w:r>
          </w:p>
        </w:tc>
        <w:tc>
          <w:tcPr>
            <w:tcW w:w="110" w:type="dxa"/>
            <w:tcBorders/>
            <w:vAlign w:val="center"/>
          </w:tcPr>
          <w:p>
            <w:pPr>
              <w:pStyle w:val="TableContents"/>
              <w:bidi w:val="0"/>
              <w:spacing w:before="0" w:after="283"/>
              <w:jc w:val="right"/>
              <w:rPr/>
            </w:pPr>
            <w:r>
              <w:rPr/>
              <w:t> </w:t>
            </w:r>
            <w:bookmarkStart w:id="397" w:name="xdx_439_c20260101__20260630_ecustom--Pre"/>
            <w:bookmarkEnd w:id="397"/>
          </w:p>
        </w:tc>
      </w:tr>
      <w:tr>
        <w:trPr/>
        <w:tc>
          <w:tcPr>
            <w:tcW w:w="503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4,142</w:t>
            </w:r>
          </w:p>
        </w:tc>
        <w:tc>
          <w:tcPr>
            <w:tcW w:w="110" w:type="dxa"/>
            <w:tcBorders/>
            <w:shd w:fill="CCEEFF" w:val="clear"/>
            <w:vAlign w:val="center"/>
          </w:tcPr>
          <w:p>
            <w:pPr>
              <w:pStyle w:val="TableContents"/>
              <w:bidi w:val="0"/>
              <w:spacing w:before="0" w:after="283"/>
              <w:jc w:val="left"/>
              <w:rPr/>
            </w:pPr>
            <w:r>
              <w:rPr/>
              <w:t> </w:t>
            </w:r>
            <w:bookmarkStart w:id="398" w:name="xdx_40A_ecustom--ConversionOfPrePaidAdva"/>
            <w:bookmarkEnd w:id="398"/>
          </w:p>
        </w:tc>
      </w:tr>
      <w:tr>
        <w:trPr/>
        <w:tc>
          <w:tcPr>
            <w:tcW w:w="5030" w:type="dxa"/>
            <w:tcBorders/>
            <w:shd w:fill="FFFFFF" w:val="clear"/>
            <w:vAlign w:val="center"/>
          </w:tcPr>
          <w:p>
            <w:pPr>
              <w:pStyle w:val="TableContents"/>
              <w:bidi w:val="0"/>
              <w:spacing w:before="0" w:after="283"/>
              <w:jc w:val="left"/>
              <w:rPr/>
            </w:pPr>
            <w:r>
              <w:rPr/>
              <w:t>Conversion of Pre-Paid Advance into common stock</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(3,869</w:t>
            </w:r>
          </w:p>
        </w:tc>
        <w:tc>
          <w:tcPr>
            <w:tcW w:w="110" w:type="dxa"/>
            <w:tcBorders/>
            <w:shd w:fill="FFFFFF" w:val="clear"/>
            <w:vAlign w:val="center"/>
          </w:tcPr>
          <w:p>
            <w:pPr>
              <w:pStyle w:val="TableContents"/>
              <w:bidi w:val="0"/>
              <w:spacing w:before="0" w:after="283"/>
              <w:jc w:val="left"/>
              <w:rPr/>
            </w:pPr>
            <w:r>
              <w:rPr/>
              <w:t>)</w:t>
            </w:r>
            <w:bookmarkStart w:id="399" w:name="xdx_403_ecustom--ChangeInFairValueOfPreP"/>
            <w:bookmarkEnd w:id="399"/>
          </w:p>
        </w:tc>
      </w:tr>
      <w:tr>
        <w:trPr/>
        <w:tc>
          <w:tcPr>
            <w:tcW w:w="5030" w:type="dxa"/>
            <w:tcBorders/>
            <w:shd w:fill="CCEEFF" w:val="clear"/>
            <w:vAlign w:val="center"/>
          </w:tcPr>
          <w:p>
            <w:pPr>
              <w:pStyle w:val="TableContents"/>
              <w:bidi w:val="0"/>
              <w:spacing w:before="0" w:after="283"/>
              <w:jc w:val="left"/>
              <w:rPr/>
            </w:pPr>
            <w:r>
              <w:rPr/>
              <w:t>Change in fair value of PPAs liability</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(273</w:t>
            </w:r>
          </w:p>
        </w:tc>
        <w:tc>
          <w:tcPr>
            <w:tcW w:w="110" w:type="dxa"/>
            <w:tcBorders/>
            <w:shd w:fill="CCEEFF" w:val="clear"/>
            <w:vAlign w:val="center"/>
          </w:tcPr>
          <w:p>
            <w:pPr>
              <w:pStyle w:val="TableContents"/>
              <w:bidi w:val="0"/>
              <w:spacing w:before="0" w:after="283"/>
              <w:jc w:val="left"/>
              <w:rPr/>
            </w:pPr>
            <w:r>
              <w:rPr/>
              <w:t>)</w:t>
            </w:r>
            <w:bookmarkStart w:id="400" w:name="xdx_43C_c20260101__20260630_ecustom--Pre"/>
            <w:bookmarkEnd w:id="400"/>
          </w:p>
        </w:tc>
      </w:tr>
      <w:tr>
        <w:trPr/>
        <w:tc>
          <w:tcPr>
            <w:tcW w:w="5030"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both"/>
        <w:rPr>
          <w:caps w:val="false"/>
          <w:smallCaps w:val="false"/>
        </w:rPr>
      </w:pPr>
      <w:bookmarkStart w:id="401" w:name="xdx_8A8_zSNzvLKPdXHj"/>
      <w:bookmarkEnd w:id="401"/>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Pre-Paid Advance are recognized within the gain on PPAs liability, a component of other income (expense) on the condensed consolidated statements of operations and comprehensive income (loss).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F-14</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402" w:name="xdx_80A_eus-gaap--LesseeOperatingLeasesT"/>
      <w:bookmarkEnd w:id="402"/>
      <w:r>
        <w:rPr>
          <w:rFonts w:ascii="Times New Roman;Times;Serif" w:hAnsi="Times New Roman;Times;Serif"/>
          <w:b/>
          <w:i w:val="false"/>
          <w:caps w:val="false"/>
          <w:smallCaps w:val="false"/>
          <w:sz w:val="20"/>
        </w:rPr>
        <w:t xml:space="preserve">5. </w:t>
      </w:r>
      <w:bookmarkStart w:id="403" w:name="xdx_82E_zhCj4knuIwk9"/>
      <w:bookmarkEnd w:id="403"/>
      <w:r>
        <w:rPr>
          <w:rFonts w:ascii="Times New Roman;Times;Serif" w:hAnsi="Times New Roman;Times;Serif"/>
          <w:b/>
          <w:i w:val="false"/>
          <w:caps w:val="false"/>
          <w:smallCaps w:val="false"/>
          <w:sz w:val="20"/>
        </w:rPr>
        <w:t>Leases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relevant guidance, the Company reassessed the lease classification and remeasured the lease liability as of the effective date of modification and recognized a lease liability and ROU asset of approximately $</w:t>
      </w:r>
      <w:bookmarkStart w:id="404" w:name="xdx_908_eus-gaap--OperatingLeaseRightOfU"/>
      <w:bookmarkEnd w:id="404"/>
      <w:r>
        <w:rPr>
          <w:rFonts w:ascii="Times New Roman;Times;Serif" w:hAnsi="Times New Roman;Times;Serif"/>
          <w:b w:val="false"/>
          <w:i w:val="false"/>
          <w:caps w:val="false"/>
          <w:smallCaps w:val="false"/>
          <w:sz w:val="20"/>
          <w:shd w:fill="FFFFFF" w:val="clear"/>
        </w:rPr>
        <w:t>6.0 million on the Company’s condensed consolidated balance sheets.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shd w:fill="FFFFFF" w:val="clear"/>
        </w:rPr>
      </w:pPr>
      <w:bookmarkStart w:id="405" w:name="xdx_892_eus-gaap--LeaseCostTableTextBloc"/>
      <w:bookmarkEnd w:id="405"/>
      <w:r>
        <w:rPr>
          <w:rFonts w:ascii="Times New Roman;Times;Serif" w:hAnsi="Times New Roman;Times;Serif"/>
          <w:b w:val="false"/>
          <w:i w:val="false"/>
          <w:caps w:val="false"/>
          <w:smallCaps w:val="false"/>
          <w:sz w:val="20"/>
          <w:shd w:fill="FFFFFF" w:val="clear"/>
        </w:rPr>
        <w:t>The components of lease expense included in the Company’s condensed consolidated statements of operations and comprehensive income (loss) include (in thousands):</w:t>
      </w:r>
    </w:p>
    <w:p>
      <w:pPr>
        <w:pStyle w:val="TextBody"/>
        <w:bidi w:val="0"/>
        <w:spacing w:before="0" w:after="0"/>
        <w:ind w:left="720" w:right="720" w:firstLine="490"/>
        <w:jc w:val="left"/>
        <w:rPr>
          <w:caps w:val="false"/>
          <w:smallCaps w:val="false"/>
        </w:rPr>
      </w:pPr>
      <w:r>
        <w:rPr>
          <w:caps w:val="false"/>
          <w:smallCaps w:val="false"/>
        </w:rPr>
        <w:t> </w:t>
      </w:r>
      <w:bookmarkStart w:id="406" w:name="xdx_8B9_zwSNvWGcgIhl"/>
      <w:bookmarkEnd w:id="406"/>
      <w:r>
        <w:rPr>
          <w:rFonts w:ascii="Times New Roman;Times;Serif" w:hAnsi="Times New Roman;Times;Serif"/>
          <w:b w:val="false"/>
          <w:i w:val="false"/>
          <w:caps w:val="false"/>
          <w:smallCaps w:val="false"/>
          <w:sz w:val="20"/>
        </w:rPr>
        <w:t>Components of lease expense</w:t>
      </w:r>
    </w:p>
    <w:tbl>
      <w:tblPr>
        <w:tblW w:w="6745" w:type="dxa"/>
        <w:jc w:val="left"/>
        <w:tblInd w:w="720" w:type="dxa"/>
        <w:tblLayout w:type="fixed"/>
        <w:tblCellMar>
          <w:top w:w="0" w:type="dxa"/>
          <w:left w:w="0" w:type="dxa"/>
          <w:bottom w:w="0" w:type="dxa"/>
          <w:right w:w="0" w:type="dxa"/>
        </w:tblCellMar>
      </w:tblPr>
      <w:tblGrid>
        <w:gridCol w:w="2330"/>
        <w:gridCol w:w="60"/>
        <w:gridCol w:w="263"/>
        <w:gridCol w:w="714"/>
        <w:gridCol w:w="112"/>
        <w:gridCol w:w="112"/>
        <w:gridCol w:w="263"/>
        <w:gridCol w:w="714"/>
        <w:gridCol w:w="60"/>
        <w:gridCol w:w="60"/>
        <w:gridCol w:w="239"/>
        <w:gridCol w:w="650"/>
        <w:gridCol w:w="102"/>
        <w:gridCol w:w="102"/>
        <w:gridCol w:w="239"/>
        <w:gridCol w:w="650"/>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bottom w:val="single" w:sz="8" w:space="0" w:color="000000"/>
            </w:tcBorders>
            <w:tcMar>
              <w:bottom w:w="28" w:type="dxa"/>
            </w:tcMar>
            <w:vAlign w:val="center"/>
          </w:tcPr>
          <w:p>
            <w:pPr>
              <w:pStyle w:val="TableContents"/>
              <w:bidi w:val="0"/>
              <w:spacing w:before="0" w:after="283"/>
              <w:jc w:val="center"/>
              <w:rPr/>
            </w:pPr>
            <w:r>
              <w:rPr/>
              <w:t> </w:t>
            </w:r>
            <w:bookmarkStart w:id="407" w:name="xdx_49E_20260401__20260630_zRdX7WGOX018"/>
            <w:bookmarkEnd w:id="407"/>
          </w:p>
        </w:tc>
        <w:tc>
          <w:tcPr>
            <w:tcW w:w="714"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bottom w:val="single" w:sz="8" w:space="0" w:color="000000"/>
            </w:tcBorders>
            <w:tcMar>
              <w:bottom w:w="28" w:type="dxa"/>
            </w:tcMar>
            <w:vAlign w:val="center"/>
          </w:tcPr>
          <w:p>
            <w:pPr>
              <w:pStyle w:val="TableContents"/>
              <w:bidi w:val="0"/>
              <w:spacing w:before="0" w:after="283"/>
              <w:jc w:val="center"/>
              <w:rPr/>
            </w:pPr>
            <w:r>
              <w:rPr/>
              <w:t> </w:t>
            </w:r>
          </w:p>
        </w:tc>
        <w:tc>
          <w:tcPr>
            <w:tcW w:w="263" w:type="dxa"/>
            <w:tcBorders>
              <w:bottom w:val="single" w:sz="8" w:space="0" w:color="000000"/>
            </w:tcBorders>
            <w:tcMar>
              <w:bottom w:w="28" w:type="dxa"/>
            </w:tcMar>
            <w:vAlign w:val="center"/>
          </w:tcPr>
          <w:p>
            <w:pPr>
              <w:pStyle w:val="TableContents"/>
              <w:bidi w:val="0"/>
              <w:spacing w:before="0" w:after="283"/>
              <w:jc w:val="center"/>
              <w:rPr/>
            </w:pPr>
            <w:r>
              <w:rPr/>
              <w:t> </w:t>
            </w:r>
            <w:bookmarkStart w:id="408" w:name="xdx_49A_20250401__20250630_ziojaIrXn4E8"/>
            <w:bookmarkEnd w:id="408"/>
          </w:p>
        </w:tc>
        <w:tc>
          <w:tcPr>
            <w:tcW w:w="714"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bottom w:val="single" w:sz="8" w:space="0" w:color="000000"/>
            </w:tcBorders>
            <w:tcMar>
              <w:bottom w:w="28" w:type="dxa"/>
            </w:tcMar>
            <w:vAlign w:val="center"/>
          </w:tcPr>
          <w:p>
            <w:pPr>
              <w:pStyle w:val="TableContents"/>
              <w:bidi w:val="0"/>
              <w:spacing w:before="0" w:after="283"/>
              <w:jc w:val="center"/>
              <w:rPr/>
            </w:pPr>
            <w:r>
              <w:rPr/>
              <w:t> </w:t>
            </w:r>
            <w:bookmarkStart w:id="409" w:name="xdx_49C_20260101__20260630_zFvAiN27UTj3"/>
            <w:bookmarkEnd w:id="409"/>
          </w:p>
        </w:tc>
        <w:tc>
          <w:tcPr>
            <w:tcW w:w="6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 w:type="dxa"/>
            <w:tcBorders>
              <w:bottom w:val="single" w:sz="8" w:space="0" w:color="000000"/>
            </w:tcBorders>
            <w:tcMar>
              <w:bottom w:w="28" w:type="dxa"/>
            </w:tcMar>
            <w:vAlign w:val="center"/>
          </w:tcPr>
          <w:p>
            <w:pPr>
              <w:pStyle w:val="TableContents"/>
              <w:bidi w:val="0"/>
              <w:spacing w:before="0" w:after="283"/>
              <w:jc w:val="center"/>
              <w:rPr/>
            </w:pPr>
            <w:r>
              <w:rPr/>
              <w:t> </w:t>
            </w:r>
          </w:p>
        </w:tc>
        <w:tc>
          <w:tcPr>
            <w:tcW w:w="239" w:type="dxa"/>
            <w:tcBorders>
              <w:bottom w:val="single" w:sz="8" w:space="0" w:color="000000"/>
            </w:tcBorders>
            <w:tcMar>
              <w:bottom w:w="28" w:type="dxa"/>
            </w:tcMar>
            <w:vAlign w:val="center"/>
          </w:tcPr>
          <w:p>
            <w:pPr>
              <w:pStyle w:val="TableContents"/>
              <w:bidi w:val="0"/>
              <w:spacing w:before="0" w:after="283"/>
              <w:jc w:val="center"/>
              <w:rPr/>
            </w:pPr>
            <w:r>
              <w:rPr/>
              <w:t> </w:t>
            </w:r>
            <w:bookmarkStart w:id="410" w:name="xdx_490_20250101__20250630_zcfrVtDKQn27"/>
            <w:bookmarkEnd w:id="410"/>
          </w:p>
        </w:tc>
        <w:tc>
          <w:tcPr>
            <w:tcW w:w="6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5" w:type="dxa"/>
            <w:tcBorders/>
            <w:vAlign w:val="center"/>
          </w:tcPr>
          <w:p>
            <w:pPr>
              <w:pStyle w:val="TableContents"/>
              <w:bidi w:val="0"/>
              <w:spacing w:before="0" w:after="283"/>
              <w:jc w:val="left"/>
              <w:rPr/>
            </w:pPr>
            <w:r>
              <w:rPr/>
              <w:t> </w:t>
            </w:r>
            <w:bookmarkStart w:id="411" w:name="xdx_40C_eus-gaap--OperatingLeaseCost_pn3"/>
            <w:bookmarkEnd w:id="411"/>
          </w:p>
        </w:tc>
      </w:tr>
      <w:tr>
        <w:trPr/>
        <w:tc>
          <w:tcPr>
            <w:tcW w:w="2330"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359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718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bookmarkStart w:id="412" w:name="xdx_40A_eus-gaap--VariableLeaseCost_pn3n"/>
            <w:bookmarkEnd w:id="412"/>
          </w:p>
        </w:tc>
      </w:tr>
      <w:tr>
        <w:trPr/>
        <w:tc>
          <w:tcPr>
            <w:tcW w:w="2330" w:type="dxa"/>
            <w:tcBorders/>
            <w:shd w:fill="FFFFFF" w:val="clear"/>
            <w:vAlign w:val="center"/>
          </w:tcPr>
          <w:p>
            <w:pPr>
              <w:pStyle w:val="TableContents"/>
              <w:bidi w:val="0"/>
              <w:spacing w:before="0" w:after="283"/>
              <w:jc w:val="left"/>
              <w:rPr/>
            </w:pPr>
            <w:r>
              <w:rPr/>
              <w:t>Variable lease expense</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88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207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395</w:t>
            </w:r>
          </w:p>
        </w:tc>
        <w:tc>
          <w:tcPr>
            <w:tcW w:w="75" w:type="dxa"/>
            <w:tcBorders/>
            <w:shd w:fill="FFFFFF" w:val="clear"/>
            <w:vAlign w:val="center"/>
          </w:tcPr>
          <w:p>
            <w:pPr>
              <w:pStyle w:val="TableContents"/>
              <w:bidi w:val="0"/>
              <w:spacing w:before="0" w:after="283"/>
              <w:jc w:val="left"/>
              <w:rPr/>
            </w:pPr>
            <w:r>
              <w:rPr/>
              <w:t> </w:t>
            </w:r>
            <w:bookmarkStart w:id="413" w:name="xdx_404_eus-gaap--LeaseCost_pn3n3_uUSD_z"/>
            <w:bookmarkEnd w:id="413"/>
          </w:p>
        </w:tc>
      </w:tr>
      <w:tr>
        <w:trPr/>
        <w:tc>
          <w:tcPr>
            <w:tcW w:w="2330" w:type="dxa"/>
            <w:tcBorders/>
            <w:shd w:fill="CCEEFF" w:val="clear"/>
            <w:vAlign w:val="center"/>
          </w:tcPr>
          <w:p>
            <w:pPr>
              <w:pStyle w:val="TableContents"/>
              <w:bidi w:val="0"/>
              <w:spacing w:before="0" w:after="283"/>
              <w:jc w:val="left"/>
              <w:rPr/>
            </w:pPr>
            <w:r>
              <w:rPr/>
              <w:t>Total lease expense, net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447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pPr>
            <w:r>
              <w:rPr/>
              <w:t>925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pPr>
            <w:r>
              <w:rPr/>
              <w:t>987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both"/>
        <w:rPr>
          <w:caps w:val="false"/>
          <w:smallCaps w:val="false"/>
        </w:rPr>
      </w:pPr>
      <w:bookmarkStart w:id="414" w:name="xdx_8A2_zbYLTyQBAdmg"/>
      <w:bookmarkEnd w:id="414"/>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costs are primarily related to payments made to lessors for common area maintenance, property taxes, insurance, and other operating expenses. The Company did not have any short-term leases or finance leases for the three and six months ended June 30, 2026 and 2025.</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415" w:name="xdx_89A_eus-gaap--ScheduleOfInterestRate"/>
      <w:bookmarkEnd w:id="415"/>
      <w:r>
        <w:rPr>
          <w:rFonts w:ascii="Times New Roman;Times;Serif" w:hAnsi="Times New Roman;Times;Serif"/>
          <w:b w:val="false"/>
          <w:i w:val="false"/>
          <w:caps w:val="false"/>
          <w:smallCaps w:val="false"/>
          <w:sz w:val="20"/>
        </w:rPr>
        <w:t>The weighted average remaining lease term and weighted average discount rate for operating leases were as follows:</w:t>
      </w:r>
    </w:p>
    <w:p>
      <w:pPr>
        <w:pStyle w:val="TextBody"/>
        <w:bidi w:val="0"/>
        <w:spacing w:before="0" w:after="0"/>
        <w:ind w:left="720" w:right="720" w:firstLine="490"/>
        <w:jc w:val="left"/>
        <w:rPr>
          <w:caps w:val="false"/>
          <w:smallCaps w:val="false"/>
        </w:rPr>
      </w:pPr>
      <w:r>
        <w:rPr>
          <w:caps w:val="false"/>
          <w:smallCaps w:val="false"/>
        </w:rPr>
        <w:t> </w:t>
      </w:r>
      <w:bookmarkStart w:id="416" w:name="xdx_8B3_zQGsDCd6ezji"/>
      <w:bookmarkEnd w:id="416"/>
      <w:r>
        <w:rPr>
          <w:rFonts w:ascii="Times New Roman;Times;Serif" w:hAnsi="Times New Roman;Times;Serif"/>
          <w:b w:val="false"/>
          <w:i w:val="false"/>
          <w:caps w:val="false"/>
          <w:smallCaps w:val="false"/>
          <w:sz w:val="20"/>
        </w:rPr>
        <w:t>Summary of weighted average remaining lease term and weighted average discount rate</w:t>
      </w:r>
    </w:p>
    <w:tbl>
      <w:tblPr>
        <w:tblW w:w="6265" w:type="dxa"/>
        <w:jc w:val="left"/>
        <w:tblInd w:w="720" w:type="dxa"/>
        <w:tblLayout w:type="fixed"/>
        <w:tblCellMar>
          <w:top w:w="0" w:type="dxa"/>
          <w:left w:w="0" w:type="dxa"/>
          <w:bottom w:w="0" w:type="dxa"/>
          <w:right w:w="0" w:type="dxa"/>
        </w:tblCellMar>
      </w:tblPr>
      <w:tblGrid>
        <w:gridCol w:w="4700"/>
        <w:gridCol w:w="60"/>
        <w:gridCol w:w="60"/>
        <w:gridCol w:w="440"/>
        <w:gridCol w:w="215"/>
        <w:gridCol w:w="60"/>
        <w:gridCol w:w="60"/>
        <w:gridCol w:w="440"/>
        <w:gridCol w:w="230"/>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417" w:name="xdx_49F_20260630_zohodgPJUZf7"/>
            <w:bookmarkEnd w:id="417"/>
          </w:p>
        </w:tc>
        <w:tc>
          <w:tcPr>
            <w:tcW w:w="4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1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bookmarkStart w:id="418" w:name="xdx_497_20250630_zM4HN0es9lvl"/>
            <w:bookmarkEnd w:id="418"/>
          </w:p>
        </w:tc>
        <w:tc>
          <w:tcPr>
            <w:tcW w:w="4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As of June 30,</w:t>
            </w:r>
          </w:p>
        </w:tc>
        <w:tc>
          <w:tcPr>
            <w:tcW w:w="23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230" w:type="dxa"/>
            <w:tcBorders/>
            <w:vAlign w:val="center"/>
          </w:tcPr>
          <w:p>
            <w:pPr>
              <w:pStyle w:val="TableContents"/>
              <w:bidi w:val="0"/>
              <w:spacing w:before="0" w:after="283"/>
              <w:jc w:val="left"/>
              <w:rPr/>
            </w:pPr>
            <w:r>
              <w:rPr/>
              <w:t> </w:t>
            </w:r>
            <w:bookmarkStart w:id="419" w:name="xdx_40D_eus-gaap--OperatingLeaseWeighted"/>
            <w:bookmarkEnd w:id="419"/>
          </w:p>
        </w:tc>
      </w:tr>
      <w:tr>
        <w:trPr/>
        <w:tc>
          <w:tcPr>
            <w:tcW w:w="4700" w:type="dxa"/>
            <w:tcBorders/>
            <w:shd w:fill="CCEEFF" w:val="clear"/>
            <w:vAlign w:val="center"/>
          </w:tcPr>
          <w:p>
            <w:pPr>
              <w:pStyle w:val="TableContents"/>
              <w:bidi w:val="0"/>
              <w:spacing w:before="0" w:after="283"/>
              <w:jc w:val="left"/>
              <w:rPr/>
            </w:pPr>
            <w:r>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5.40</w:t>
            </w:r>
          </w:p>
        </w:tc>
        <w:tc>
          <w:tcPr>
            <w:tcW w:w="230" w:type="dxa"/>
            <w:tcBorders/>
            <w:shd w:fill="CCEEFF" w:val="clear"/>
            <w:vAlign w:val="center"/>
          </w:tcPr>
          <w:p>
            <w:pPr>
              <w:pStyle w:val="TableContents"/>
              <w:bidi w:val="0"/>
              <w:spacing w:before="0" w:after="283"/>
              <w:jc w:val="left"/>
              <w:rPr/>
            </w:pPr>
            <w:r>
              <w:rPr/>
              <w:t> </w:t>
            </w:r>
            <w:bookmarkStart w:id="420" w:name="xdx_407_eus-gaap--OperatingLeaseWeighted"/>
            <w:bookmarkEnd w:id="420"/>
          </w:p>
        </w:tc>
      </w:tr>
      <w:tr>
        <w:trPr/>
        <w:tc>
          <w:tcPr>
            <w:tcW w:w="4700" w:type="dxa"/>
            <w:tcBorders/>
            <w:shd w:fill="FFFFFF" w:val="clear"/>
            <w:vAlign w:val="center"/>
          </w:tcPr>
          <w:p>
            <w:pPr>
              <w:pStyle w:val="TableContents"/>
              <w:bidi w:val="0"/>
              <w:spacing w:before="0" w:after="283"/>
              <w:jc w:val="left"/>
              <w:rPr/>
            </w:pPr>
            <w:r>
              <w:rPr/>
              <w:t>Weighted average discount rate percentage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9.00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9.00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720" w:firstLine="446"/>
        <w:jc w:val="left"/>
        <w:rPr>
          <w:caps w:val="false"/>
          <w:smallCaps w:val="false"/>
        </w:rPr>
      </w:pPr>
      <w:bookmarkStart w:id="421" w:name="xdx_8AE_z2qXMeSkDXnd"/>
      <w:bookmarkEnd w:id="421"/>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422" w:name="xdx_897_eus-gaap--ScheduleOfCashFlowSupp"/>
      <w:bookmarkEnd w:id="422"/>
      <w:r>
        <w:rPr>
          <w:rFonts w:ascii="Times New Roman;Times;Serif" w:hAnsi="Times New Roman;Times;Serif"/>
          <w:b w:val="false"/>
          <w:i w:val="false"/>
          <w:caps w:val="false"/>
          <w:smallCaps w:val="false"/>
          <w:sz w:val="20"/>
        </w:rPr>
        <w:t>Supplemental cash flow information related to leases under which the Company is the lessee was as follows (amounts in thousands):</w:t>
      </w:r>
    </w:p>
    <w:p>
      <w:pPr>
        <w:pStyle w:val="TextBody"/>
        <w:bidi w:val="0"/>
        <w:spacing w:before="0" w:after="0"/>
        <w:ind w:left="720" w:right="720" w:firstLine="446"/>
        <w:jc w:val="left"/>
        <w:rPr>
          <w:caps w:val="false"/>
          <w:smallCaps w:val="false"/>
        </w:rPr>
      </w:pPr>
      <w:r>
        <w:rPr>
          <w:caps w:val="false"/>
          <w:smallCaps w:val="false"/>
        </w:rPr>
        <w:t> </w:t>
      </w:r>
      <w:bookmarkStart w:id="423" w:name="xdx_8B3_z8Dd7SbWXFq5"/>
      <w:bookmarkEnd w:id="423"/>
      <w:r>
        <w:rPr>
          <w:rFonts w:ascii="Times New Roman;Times;Serif" w:hAnsi="Times New Roman;Times;Serif"/>
          <w:b w:val="false"/>
          <w:i w:val="false"/>
          <w:caps w:val="false"/>
          <w:smallCaps w:val="false"/>
          <w:sz w:val="20"/>
        </w:rPr>
        <w:t>Supplemental cash flow information related to leases</w:t>
      </w:r>
    </w:p>
    <w:tbl>
      <w:tblPr>
        <w:tblW w:w="8765" w:type="dxa"/>
        <w:jc w:val="left"/>
        <w:tblInd w:w="720" w:type="dxa"/>
        <w:tblLayout w:type="fixed"/>
        <w:tblCellMar>
          <w:top w:w="0" w:type="dxa"/>
          <w:left w:w="0" w:type="dxa"/>
          <w:bottom w:w="0" w:type="dxa"/>
          <w:right w:w="0" w:type="dxa"/>
        </w:tblCellMar>
      </w:tblPr>
      <w:tblGrid>
        <w:gridCol w:w="5764"/>
        <w:gridCol w:w="60"/>
        <w:gridCol w:w="175"/>
        <w:gridCol w:w="476"/>
        <w:gridCol w:w="74"/>
        <w:gridCol w:w="74"/>
        <w:gridCol w:w="175"/>
        <w:gridCol w:w="476"/>
        <w:gridCol w:w="60"/>
        <w:gridCol w:w="60"/>
        <w:gridCol w:w="155"/>
        <w:gridCol w:w="424"/>
        <w:gridCol w:w="66"/>
        <w:gridCol w:w="66"/>
        <w:gridCol w:w="155"/>
        <w:gridCol w:w="424"/>
        <w:gridCol w:w="81"/>
      </w:tblGrid>
      <w:tr>
        <w:trPr/>
        <w:tc>
          <w:tcPr>
            <w:tcW w:w="5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center"/>
              <w:rPr/>
            </w:pPr>
            <w:r>
              <w:rPr/>
              <w:t> </w:t>
            </w:r>
            <w:bookmarkStart w:id="424" w:name="xdx_49E_20260401__20260630_zK8VQrMiZPoa"/>
            <w:bookmarkEnd w:id="424"/>
          </w:p>
        </w:tc>
        <w:tc>
          <w:tcPr>
            <w:tcW w:w="476" w:type="dxa"/>
            <w:tcBorders>
              <w:bottom w:val="single" w:sz="8" w:space="0" w:color="000000"/>
            </w:tcBorders>
            <w:tcMar>
              <w:bottom w:w="28" w:type="dxa"/>
            </w:tcMar>
            <w:vAlign w:val="center"/>
          </w:tcPr>
          <w:p>
            <w:pPr>
              <w:pStyle w:val="TableContents"/>
              <w:bidi w:val="0"/>
              <w:spacing w:before="0" w:after="283"/>
              <w:jc w:val="center"/>
              <w:rPr/>
            </w:pPr>
            <w:r>
              <w:rPr/>
              <w:t> </w:t>
            </w:r>
          </w:p>
        </w:tc>
        <w:tc>
          <w:tcPr>
            <w:tcW w:w="74" w:type="dxa"/>
            <w:tcBorders>
              <w:bottom w:val="single" w:sz="8" w:space="0" w:color="000000"/>
            </w:tcBorders>
            <w:tcMar>
              <w:bottom w:w="28" w:type="dxa"/>
            </w:tcMar>
            <w:vAlign w:val="center"/>
          </w:tcPr>
          <w:p>
            <w:pPr>
              <w:pStyle w:val="TableContents"/>
              <w:bidi w:val="0"/>
              <w:spacing w:before="0" w:after="283"/>
              <w:jc w:val="center"/>
              <w:rPr/>
            </w:pPr>
            <w:r>
              <w:rPr/>
              <w:t> </w:t>
            </w:r>
          </w:p>
        </w:tc>
        <w:tc>
          <w:tcPr>
            <w:tcW w:w="74" w:type="dxa"/>
            <w:tcBorders>
              <w:bottom w:val="single" w:sz="8" w:space="0" w:color="000000"/>
            </w:tcBorders>
            <w:tcMar>
              <w:bottom w:w="28" w:type="dxa"/>
            </w:tcMar>
            <w:vAlign w:val="center"/>
          </w:tcPr>
          <w:p>
            <w:pPr>
              <w:pStyle w:val="TableContents"/>
              <w:bidi w:val="0"/>
              <w:spacing w:before="0" w:after="283"/>
              <w:jc w:val="center"/>
              <w:rPr/>
            </w:pPr>
            <w:r>
              <w:rPr/>
              <w:t> </w:t>
            </w:r>
          </w:p>
        </w:tc>
        <w:tc>
          <w:tcPr>
            <w:tcW w:w="175" w:type="dxa"/>
            <w:tcBorders>
              <w:bottom w:val="single" w:sz="8" w:space="0" w:color="000000"/>
            </w:tcBorders>
            <w:tcMar>
              <w:bottom w:w="28" w:type="dxa"/>
            </w:tcMar>
            <w:vAlign w:val="center"/>
          </w:tcPr>
          <w:p>
            <w:pPr>
              <w:pStyle w:val="TableContents"/>
              <w:bidi w:val="0"/>
              <w:spacing w:before="0" w:after="283"/>
              <w:jc w:val="center"/>
              <w:rPr/>
            </w:pPr>
            <w:r>
              <w:rPr/>
              <w:t> </w:t>
            </w:r>
            <w:bookmarkStart w:id="425" w:name="xdx_490_20250401__20250630_zX2xZ36W5li1"/>
            <w:bookmarkEnd w:id="425"/>
          </w:p>
        </w:tc>
        <w:tc>
          <w:tcPr>
            <w:tcW w:w="476"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 </w:t>
            </w:r>
            <w:bookmarkStart w:id="426" w:name="xdx_49F_20260101__20260630_z4jHTowy19Xe"/>
            <w:bookmarkEnd w:id="426"/>
          </w:p>
        </w:tc>
        <w:tc>
          <w:tcPr>
            <w:tcW w:w="424" w:type="dxa"/>
            <w:tcBorders>
              <w:bottom w:val="single" w:sz="8" w:space="0" w:color="000000"/>
            </w:tcBorders>
            <w:tcMar>
              <w:bottom w:w="28" w:type="dxa"/>
            </w:tcMar>
            <w:vAlign w:val="center"/>
          </w:tcPr>
          <w:p>
            <w:pPr>
              <w:pStyle w:val="TableContents"/>
              <w:bidi w:val="0"/>
              <w:spacing w:before="0" w:after="283"/>
              <w:jc w:val="center"/>
              <w:rPr/>
            </w:pPr>
            <w:r>
              <w:rPr/>
              <w:t> </w:t>
            </w:r>
          </w:p>
        </w:tc>
        <w:tc>
          <w:tcPr>
            <w:tcW w:w="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 w:type="dxa"/>
            <w:tcBorders>
              <w:bottom w:val="single" w:sz="8" w:space="0" w:color="000000"/>
            </w:tcBorders>
            <w:tcMar>
              <w:bottom w:w="28" w:type="dxa"/>
            </w:tcMar>
            <w:vAlign w:val="center"/>
          </w:tcPr>
          <w:p>
            <w:pPr>
              <w:pStyle w:val="TableContents"/>
              <w:bidi w:val="0"/>
              <w:spacing w:before="0" w:after="283"/>
              <w:jc w:val="center"/>
              <w:rPr/>
            </w:pPr>
            <w:r>
              <w:rPr/>
              <w:t> </w:t>
            </w:r>
            <w:bookmarkStart w:id="427" w:name="xdx_49A_20250101__20250630_zBBxVSj4C0De"/>
            <w:bookmarkEnd w:id="427"/>
          </w:p>
        </w:tc>
        <w:tc>
          <w:tcPr>
            <w:tcW w:w="424" w:type="dxa"/>
            <w:tcBorders>
              <w:bottom w:val="single" w:sz="8" w:space="0" w:color="000000"/>
            </w:tcBorders>
            <w:tcMar>
              <w:bottom w:w="28" w:type="dxa"/>
            </w:tcMar>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5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81" w:type="dxa"/>
            <w:tcBorders/>
            <w:vAlign w:val="center"/>
          </w:tcPr>
          <w:p>
            <w:pPr>
              <w:pStyle w:val="TableContents"/>
              <w:bidi w:val="0"/>
              <w:spacing w:before="0" w:after="283"/>
              <w:jc w:val="left"/>
              <w:rPr/>
            </w:pPr>
            <w:r>
              <w:rPr/>
              <w:t> </w:t>
            </w:r>
          </w:p>
        </w:tc>
      </w:tr>
      <w:tr>
        <w:trPr/>
        <w:tc>
          <w:tcPr>
            <w:tcW w:w="57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5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81" w:type="dxa"/>
            <w:tcBorders/>
            <w:vAlign w:val="center"/>
          </w:tcPr>
          <w:p>
            <w:pPr>
              <w:pStyle w:val="TableContents"/>
              <w:bidi w:val="0"/>
              <w:spacing w:before="0" w:after="283"/>
              <w:jc w:val="left"/>
              <w:rPr/>
            </w:pPr>
            <w:r>
              <w:rPr/>
              <w:t> </w:t>
            </w:r>
            <w:bookmarkStart w:id="428" w:name="xdx_406_eus-gaap--OperatingLeasePayments"/>
            <w:bookmarkEnd w:id="428"/>
          </w:p>
        </w:tc>
      </w:tr>
      <w:tr>
        <w:trPr/>
        <w:tc>
          <w:tcPr>
            <w:tcW w:w="5764" w:type="dxa"/>
            <w:tcBorders/>
            <w:shd w:fill="CCEEFF" w:val="clear"/>
            <w:vAlign w:val="center"/>
          </w:tcPr>
          <w:p>
            <w:pPr>
              <w:pStyle w:val="TableContents"/>
              <w:bidi w:val="0"/>
              <w:spacing w:before="0" w:after="283"/>
              <w:jc w:val="left"/>
              <w:rPr/>
            </w:pPr>
            <w:r>
              <w:rPr/>
              <w:t>Cash paid for amounts included in the measurement of operating leases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6" w:type="dxa"/>
            <w:tcBorders/>
            <w:shd w:fill="CCEEFF" w:val="clear"/>
            <w:vAlign w:val="center"/>
          </w:tcPr>
          <w:p>
            <w:pPr>
              <w:pStyle w:val="TableContents"/>
              <w:bidi w:val="0"/>
              <w:spacing w:before="0" w:after="283"/>
              <w:jc w:val="right"/>
              <w:rPr/>
            </w:pPr>
            <w:r>
              <w:rPr/>
              <w:t>365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6" w:type="dxa"/>
            <w:tcBorders/>
            <w:shd w:fill="CCEEFF" w:val="clear"/>
            <w:vAlign w:val="center"/>
          </w:tcPr>
          <w:p>
            <w:pPr>
              <w:pStyle w:val="TableContents"/>
              <w:bidi w:val="0"/>
              <w:spacing w:before="0" w:after="283"/>
              <w:jc w:val="right"/>
              <w:rPr/>
            </w:pPr>
            <w:r>
              <w:rPr/>
              <w:t>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424" w:type="dxa"/>
            <w:tcBorders/>
            <w:shd w:fill="CCEEFF" w:val="clear"/>
            <w:vAlign w:val="center"/>
          </w:tcPr>
          <w:p>
            <w:pPr>
              <w:pStyle w:val="TableContents"/>
              <w:bidi w:val="0"/>
              <w:spacing w:before="0" w:after="283"/>
              <w:jc w:val="right"/>
              <w:rPr/>
            </w:pPr>
            <w:r>
              <w:rPr/>
              <w:t>609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424" w:type="dxa"/>
            <w:tcBorders/>
            <w:shd w:fill="CCEEFF" w:val="clear"/>
            <w:vAlign w:val="center"/>
          </w:tcPr>
          <w:p>
            <w:pPr>
              <w:pStyle w:val="TableContents"/>
              <w:bidi w:val="0"/>
              <w:spacing w:before="0" w:after="283"/>
              <w:jc w:val="right"/>
              <w:rPr/>
            </w:pPr>
            <w:r>
              <w:rPr/>
              <w:t>845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left"/>
        <w:rPr>
          <w:caps w:val="false"/>
          <w:smallCaps w:val="false"/>
        </w:rPr>
      </w:pPr>
      <w:bookmarkStart w:id="429" w:name="xdx_8AB_zaJGDpya0Nfa"/>
      <w:bookmarkEnd w:id="429"/>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430" w:name="xdx_89A_eus-gaap--LesseeOperatingLeaseLi"/>
      <w:bookmarkEnd w:id="430"/>
      <w:r>
        <w:rPr>
          <w:rFonts w:ascii="Times New Roman;Times;Serif" w:hAnsi="Times New Roman;Times;Serif"/>
          <w:b w:val="false"/>
          <w:i w:val="false"/>
          <w:caps w:val="false"/>
          <w:smallCaps w:val="false"/>
          <w:sz w:val="20"/>
        </w:rPr>
        <w:t>Maturities of operating lease liabilities as of June 30, 2026 were as follows (in thousands):</w:t>
      </w:r>
    </w:p>
    <w:p>
      <w:pPr>
        <w:pStyle w:val="TextBody"/>
        <w:bidi w:val="0"/>
        <w:spacing w:before="0" w:after="0"/>
        <w:ind w:left="720" w:right="720" w:firstLine="446"/>
        <w:jc w:val="left"/>
        <w:rPr>
          <w:caps w:val="false"/>
          <w:smallCaps w:val="false"/>
        </w:rPr>
      </w:pPr>
      <w:r>
        <w:rPr>
          <w:caps w:val="false"/>
          <w:smallCaps w:val="false"/>
        </w:rPr>
        <w:t> </w:t>
      </w:r>
      <w:bookmarkStart w:id="431" w:name="xdx_8BC_zxkUmVG3WdD1"/>
      <w:bookmarkEnd w:id="431"/>
      <w:r>
        <w:rPr>
          <w:rFonts w:ascii="Times New Roman;Times;Serif" w:hAnsi="Times New Roman;Times;Serif"/>
          <w:b w:val="false"/>
          <w:i w:val="false"/>
          <w:caps w:val="false"/>
          <w:smallCaps w:val="false"/>
          <w:sz w:val="20"/>
        </w:rPr>
        <w:t>Maturities of operating lease liabilities</w:t>
      </w:r>
    </w:p>
    <w:tbl>
      <w:tblPr>
        <w:tblW w:w="4130" w:type="dxa"/>
        <w:jc w:val="left"/>
        <w:tblInd w:w="720" w:type="dxa"/>
        <w:tblLayout w:type="fixed"/>
        <w:tblCellMar>
          <w:top w:w="0" w:type="dxa"/>
          <w:left w:w="0" w:type="dxa"/>
          <w:bottom w:w="0" w:type="dxa"/>
          <w:right w:w="0" w:type="dxa"/>
        </w:tblCellMar>
      </w:tblPr>
      <w:tblGrid>
        <w:gridCol w:w="3185"/>
        <w:gridCol w:w="60"/>
        <w:gridCol w:w="140"/>
        <w:gridCol w:w="635"/>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2" w:name="xdx_496_20260630_zA2tNmTsacO9"/>
            <w:bookmarkEnd w:id="432"/>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Operating</w:t>
              <w:br/>
              <w:t>lease</w:t>
            </w:r>
          </w:p>
        </w:tc>
        <w:tc>
          <w:tcPr>
            <w:tcW w:w="110" w:type="dxa"/>
            <w:tcBorders/>
            <w:vAlign w:val="center"/>
          </w:tcPr>
          <w:p>
            <w:pPr>
              <w:pStyle w:val="TableContents"/>
              <w:bidi w:val="0"/>
              <w:spacing w:before="0" w:after="283"/>
              <w:jc w:val="left"/>
              <w:rPr/>
            </w:pPr>
            <w:r>
              <w:rPr/>
              <w:t> </w:t>
            </w:r>
            <w:bookmarkStart w:id="433" w:name="xdx_40B_eus-gaap--LesseeOperatingLeaseLi"/>
            <w:bookmarkEnd w:id="433"/>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Six months ending December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875</w:t>
            </w:r>
          </w:p>
        </w:tc>
        <w:tc>
          <w:tcPr>
            <w:tcW w:w="110" w:type="dxa"/>
            <w:tcBorders/>
            <w:shd w:fill="CCEEFF" w:val="clear"/>
            <w:vAlign w:val="center"/>
          </w:tcPr>
          <w:p>
            <w:pPr>
              <w:pStyle w:val="TableContents"/>
              <w:bidi w:val="0"/>
              <w:spacing w:before="0" w:after="283"/>
              <w:jc w:val="left"/>
              <w:rPr/>
            </w:pPr>
            <w:r>
              <w:rPr/>
              <w:t> </w:t>
            </w:r>
            <w:bookmarkStart w:id="434" w:name="xdx_409_eus-gaap--LesseeOperatingLeaseLi"/>
            <w:bookmarkEnd w:id="434"/>
          </w:p>
        </w:tc>
      </w:tr>
      <w:tr>
        <w:trPr/>
        <w:tc>
          <w:tcPr>
            <w:tcW w:w="318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1,528</w:t>
            </w:r>
          </w:p>
        </w:tc>
        <w:tc>
          <w:tcPr>
            <w:tcW w:w="110" w:type="dxa"/>
            <w:tcBorders/>
            <w:shd w:fill="FFFFFF" w:val="clear"/>
            <w:vAlign w:val="center"/>
          </w:tcPr>
          <w:p>
            <w:pPr>
              <w:pStyle w:val="TableContents"/>
              <w:bidi w:val="0"/>
              <w:spacing w:before="0" w:after="283"/>
              <w:jc w:val="left"/>
              <w:rPr/>
            </w:pPr>
            <w:r>
              <w:rPr/>
              <w:t> </w:t>
            </w:r>
            <w:bookmarkStart w:id="435" w:name="xdx_401_eus-gaap--LesseeOperatingLeaseLi"/>
            <w:bookmarkEnd w:id="435"/>
          </w:p>
        </w:tc>
      </w:tr>
      <w:tr>
        <w:trPr/>
        <w:tc>
          <w:tcPr>
            <w:tcW w:w="318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1,574</w:t>
            </w:r>
          </w:p>
        </w:tc>
        <w:tc>
          <w:tcPr>
            <w:tcW w:w="110" w:type="dxa"/>
            <w:tcBorders/>
            <w:shd w:fill="CCEEFF" w:val="clear"/>
            <w:vAlign w:val="center"/>
          </w:tcPr>
          <w:p>
            <w:pPr>
              <w:pStyle w:val="TableContents"/>
              <w:bidi w:val="0"/>
              <w:spacing w:before="0" w:after="283"/>
              <w:jc w:val="left"/>
              <w:rPr/>
            </w:pPr>
            <w:r>
              <w:rPr/>
              <w:t> </w:t>
            </w:r>
            <w:bookmarkStart w:id="436" w:name="xdx_40E_eus-gaap--LesseeOperatingLeaseLi"/>
            <w:bookmarkEnd w:id="436"/>
          </w:p>
        </w:tc>
      </w:tr>
      <w:tr>
        <w:trPr/>
        <w:tc>
          <w:tcPr>
            <w:tcW w:w="318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1,621</w:t>
            </w:r>
          </w:p>
        </w:tc>
        <w:tc>
          <w:tcPr>
            <w:tcW w:w="110" w:type="dxa"/>
            <w:tcBorders/>
            <w:shd w:fill="FFFFFF" w:val="clear"/>
            <w:vAlign w:val="center"/>
          </w:tcPr>
          <w:p>
            <w:pPr>
              <w:pStyle w:val="TableContents"/>
              <w:bidi w:val="0"/>
              <w:spacing w:before="0" w:after="283"/>
              <w:jc w:val="left"/>
              <w:rPr/>
            </w:pPr>
            <w:r>
              <w:rPr/>
              <w:t> </w:t>
            </w:r>
            <w:bookmarkStart w:id="437" w:name="xdx_401_eus-gaap--LesseeOperatingLeaseLi"/>
            <w:bookmarkEnd w:id="437"/>
          </w:p>
        </w:tc>
      </w:tr>
      <w:tr>
        <w:trPr/>
        <w:tc>
          <w:tcPr>
            <w:tcW w:w="318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1,529</w:t>
            </w:r>
          </w:p>
        </w:tc>
        <w:tc>
          <w:tcPr>
            <w:tcW w:w="110" w:type="dxa"/>
            <w:tcBorders/>
            <w:shd w:fill="CCEEFF" w:val="clear"/>
            <w:vAlign w:val="center"/>
          </w:tcPr>
          <w:p>
            <w:pPr>
              <w:pStyle w:val="TableContents"/>
              <w:bidi w:val="0"/>
              <w:spacing w:before="0" w:after="283"/>
              <w:jc w:val="left"/>
              <w:rPr/>
            </w:pPr>
            <w:r>
              <w:rPr/>
              <w:t> </w:t>
            </w:r>
            <w:bookmarkStart w:id="438" w:name="xdx_40E_eus-gaap--LesseeOperatingLeaseLi"/>
            <w:bookmarkEnd w:id="438"/>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future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7,127</w:t>
            </w:r>
          </w:p>
        </w:tc>
        <w:tc>
          <w:tcPr>
            <w:tcW w:w="110" w:type="dxa"/>
            <w:tcBorders/>
            <w:shd w:fill="FFFFFF" w:val="clear"/>
            <w:vAlign w:val="center"/>
          </w:tcPr>
          <w:p>
            <w:pPr>
              <w:pStyle w:val="TableContents"/>
              <w:bidi w:val="0"/>
              <w:spacing w:before="0" w:after="283"/>
              <w:jc w:val="left"/>
              <w:rPr/>
            </w:pPr>
            <w:r>
              <w:rPr/>
              <w:t> </w:t>
            </w:r>
            <w:bookmarkStart w:id="439" w:name="xdx_404_eus-gaap--LesseeOperatingLeaseLi"/>
            <w:bookmarkEnd w:id="439"/>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w:t>
            </w:r>
            <w:bookmarkStart w:id="440" w:name="xdx_408_eus-gaap--OperatingLeaseLiabilit"/>
            <w:bookmarkEnd w:id="440"/>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bookmarkStart w:id="441" w:name="xdx_81A_zWYDkbvT1vr2"/>
      <w:bookmarkStart w:id="442" w:name="xdx_8AA_z7oFRqD6Pi93"/>
      <w:bookmarkEnd w:id="441"/>
      <w:bookmarkEnd w:id="442"/>
      <w:r>
        <w:rPr>
          <w:rFonts w:ascii="Times New Roman;Times;Serif" w:hAnsi="Times New Roman;Times;Serif"/>
          <w:b w:val="false"/>
          <w:i w:val="false"/>
          <w:caps w:val="false"/>
          <w:smallCaps w:val="false"/>
          <w:sz w:val="20"/>
          <w:bdr w:val="single" w:sz="8" w:space="1" w:color="000000"/>
        </w:rPr>
        <w:t>F-15</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443" w:name="xdx_80F_eus-gaap--CommitmentsAndContinge"/>
      <w:bookmarkEnd w:id="443"/>
      <w:r>
        <w:rPr>
          <w:rFonts w:ascii="Times New Roman;Times;Serif" w:hAnsi="Times New Roman;Times;Serif"/>
          <w:b/>
          <w:i w:val="false"/>
          <w:caps w:val="false"/>
          <w:smallCaps w:val="false"/>
          <w:sz w:val="20"/>
        </w:rPr>
        <w:t xml:space="preserve">6. </w:t>
      </w:r>
      <w:bookmarkStart w:id="444" w:name="xdx_822_zY2sTMheWGCf"/>
      <w:bookmarkEnd w:id="444"/>
      <w:r>
        <w:rPr>
          <w:rFonts w:ascii="Times New Roman;Times;Serif" w:hAnsi="Times New Roman;Times;Serif"/>
          <w:b/>
          <w:i w:val="false"/>
          <w:caps w:val="false"/>
          <w:smallCaps w:val="false"/>
          <w:sz w:val="20"/>
        </w:rPr>
        <w:t>Commitments and Contingencies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0" w:after="0"/>
        <w:ind w:left="720" w:right="720" w:firstLine="490"/>
        <w:jc w:val="both"/>
        <w:rPr>
          <w:caps w:val="false"/>
          <w:smallCaps w:val="false"/>
        </w:rPr>
      </w:pPr>
      <w:bookmarkStart w:id="445" w:name="xdx_81D_z5yLXSg2gRl4"/>
      <w:bookmarkEnd w:id="445"/>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446" w:name="xdx_80F_eus-gaap--DebtDisclosureTextBloc"/>
      <w:bookmarkEnd w:id="446"/>
      <w:r>
        <w:rPr>
          <w:rFonts w:ascii="Times New Roman;Times;Serif" w:hAnsi="Times New Roman;Times;Serif"/>
          <w:b/>
          <w:i w:val="false"/>
          <w:caps w:val="false"/>
          <w:smallCaps w:val="false"/>
          <w:sz w:val="20"/>
        </w:rPr>
        <w:t xml:space="preserve">7. </w:t>
      </w:r>
      <w:bookmarkStart w:id="447" w:name="xdx_82F_zJRexweutgfg"/>
      <w:bookmarkEnd w:id="447"/>
      <w:r>
        <w:rPr>
          <w:rFonts w:ascii="Times New Roman;Times;Serif" w:hAnsi="Times New Roman;Times;Serif"/>
          <w:b/>
          <w:i w:val="false"/>
          <w:caps w:val="false"/>
          <w:smallCaps w:val="false"/>
          <w:sz w:val="20"/>
        </w:rPr>
        <w:t>Pre-Paid Advance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pre-paid advances having an aggregate principal amount of $</w:t>
      </w:r>
      <w:bookmarkStart w:id="448" w:name="xdx_90B_eus-gaap--DebtInstrumentFaceAmou"/>
      <w:bookmarkEnd w:id="448"/>
      <w:r>
        <w:rPr>
          <w:rFonts w:ascii="Times New Roman;Times;Serif" w:hAnsi="Times New Roman;Times;Serif"/>
          <w:b w:val="false"/>
          <w:i w:val="false"/>
          <w:caps w:val="false"/>
          <w:smallCaps w:val="false"/>
          <w:sz w:val="20"/>
        </w:rPr>
        <w:t xml:space="preserve">7.5 million, at a purchase price equal to </w:t>
      </w:r>
      <w:bookmarkStart w:id="449" w:name="xdx_905_ecustom--DebtInstrumentCarryingA"/>
      <w:bookmarkEnd w:id="449"/>
      <w:r>
        <w:rPr>
          <w:rFonts w:ascii="Times New Roman;Times;Serif" w:hAnsi="Times New Roman;Times;Serif"/>
          <w:b w:val="false"/>
          <w:i w:val="false"/>
          <w:caps w:val="false"/>
          <w:smallCaps w:val="false"/>
          <w:sz w:val="20"/>
        </w:rPr>
        <w:t>95% of the face amount. The purchase resulted in gross proceeds to the Company of $</w:t>
      </w:r>
      <w:bookmarkStart w:id="450" w:name="xdx_901_ecustom--GrossProceedsFromPrePai"/>
      <w:bookmarkEnd w:id="450"/>
      <w:r>
        <w:rPr>
          <w:rFonts w:ascii="Times New Roman;Times;Serif" w:hAnsi="Times New Roman;Times;Serif"/>
          <w:b w:val="false"/>
          <w:i w:val="false"/>
          <w:caps w:val="false"/>
          <w:smallCaps w:val="false"/>
          <w:sz w:val="20"/>
        </w:rPr>
        <w:t xml:space="preserve">7.13 million. The Pre-Paid Advance accrued interest at </w:t>
      </w:r>
      <w:bookmarkStart w:id="451" w:name="xdx_90C_eus-gaap--DebtInstrumentInterest"/>
      <w:bookmarkEnd w:id="451"/>
      <w:r>
        <w:rPr>
          <w:rFonts w:ascii="Times New Roman;Times;Serif" w:hAnsi="Times New Roman;Times;Serif"/>
          <w:b w:val="false"/>
          <w:i w:val="false"/>
          <w:caps w:val="false"/>
          <w:smallCaps w:val="false"/>
          <w:sz w:val="20"/>
        </w:rPr>
        <w:t>4% per annum.</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election to account for the Pre-Paid Advance under the fair value option in ASC 825, the Pre-Paid Advance was initially recorded at fair value at issuance using the Monte Carlo simulation model, which uses significant unobservable inputs (Level 3). See Note 4 for significant assumptions used in determining the fair value.</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issuance costs of $</w:t>
      </w:r>
      <w:bookmarkStart w:id="452" w:name="xdx_905_eus-gaap--PaymentsOfDebtIssuance"/>
      <w:bookmarkEnd w:id="452"/>
      <w:r>
        <w:rPr>
          <w:rFonts w:ascii="Times New Roman;Times;Serif" w:hAnsi="Times New Roman;Times;Serif"/>
          <w:b w:val="false"/>
          <w:i w:val="false"/>
          <w:caps w:val="false"/>
          <w:smallCaps w:val="false"/>
          <w:sz w:val="20"/>
        </w:rPr>
        <w:t>0.7 million, which were expensed as incurred, as required under the fair value option, and such costs are presented within other income (expense) on the consolidated statements of operations and comprehensive income (loss) for the twelve months ended December 31, 2025.</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Advance was fully converted into shares of the Company’s common stock as of February 2026 under the terms of the agreement. During the first quarter of 2026, the Company issued common stock to the Investors in settlement of approximately $</w:t>
      </w:r>
      <w:bookmarkStart w:id="453" w:name="xdx_906_eus-gaap--SettlementLiabilitiesC"/>
      <w:bookmarkEnd w:id="453"/>
      <w:r>
        <w:rPr>
          <w:rFonts w:ascii="Times New Roman;Times;Serif" w:hAnsi="Times New Roman;Times;Serif"/>
          <w:b w:val="false"/>
          <w:i w:val="false"/>
          <w:caps w:val="false"/>
          <w:smallCaps w:val="false"/>
          <w:sz w:val="20"/>
        </w:rPr>
        <w:t xml:space="preserve">4.5 million in principal and accrued interest under the Pre-Paid Advance. As of March 31, 2026 and June 30, 2026, there was </w:t>
      </w:r>
      <w:bookmarkStart w:id="454" w:name="xdx_905_ecustom--PaidAdvanceRemainingPri"/>
      <w:bookmarkStart w:id="455" w:name="xdx_90F_ecustom--PaidAdvanceRemainingPri"/>
      <w:bookmarkEnd w:id="454"/>
      <w:bookmarkEnd w:id="455"/>
      <w:r>
        <w:rPr>
          <w:rFonts w:ascii="Times New Roman;Times;Serif" w:hAnsi="Times New Roman;Times;Serif"/>
          <w:b w:val="false"/>
          <w:i w:val="false"/>
          <w:caps w:val="false"/>
          <w:smallCaps w:val="false"/>
          <w:sz w:val="20"/>
        </w:rPr>
        <w:t>no remaining outstanding principal balance of the Pre-Paid Advance.</w:t>
      </w:r>
    </w:p>
    <w:p>
      <w:pPr>
        <w:pStyle w:val="TextBody"/>
        <w:bidi w:val="0"/>
        <w:spacing w:before="0" w:after="0"/>
        <w:ind w:left="720" w:right="720" w:firstLine="475"/>
        <w:jc w:val="both"/>
        <w:rPr>
          <w:caps w:val="false"/>
          <w:smallCaps w:val="false"/>
        </w:rPr>
      </w:pPr>
      <w:bookmarkStart w:id="456" w:name="xdx_813_zM2jeEjs7Xze"/>
      <w:bookmarkEnd w:id="456"/>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457" w:name="xdx_806_eus-gaap--StockholdersEquityNote"/>
      <w:bookmarkEnd w:id="457"/>
      <w:r>
        <w:rPr>
          <w:rFonts w:ascii="Times New Roman;Times;Serif" w:hAnsi="Times New Roman;Times;Serif"/>
          <w:b/>
          <w:i w:val="false"/>
          <w:caps w:val="false"/>
          <w:smallCaps w:val="false"/>
          <w:sz w:val="20"/>
        </w:rPr>
        <w:t xml:space="preserve">8. </w:t>
      </w:r>
      <w:bookmarkStart w:id="458" w:name="xdx_82E_zjaQaJVw60e6"/>
      <w:bookmarkEnd w:id="458"/>
      <w:r>
        <w:rPr>
          <w:rFonts w:ascii="Times New Roman;Times;Serif" w:hAnsi="Times New Roman;Times;Serif"/>
          <w:b/>
          <w:i w:val="false"/>
          <w:caps w:val="false"/>
          <w:smallCaps w:val="false"/>
          <w:sz w:val="20"/>
        </w:rPr>
        <w:t>Stockholders’ Equity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and Related Share Consolidation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6, 2026, the Company effected the Share Consolidation of its outstanding shares of common stock pursuant to which every </w:t>
      </w:r>
      <w:bookmarkStart w:id="459" w:name="xdx_904_eus-gaap--StockholdersEquityNote"/>
      <w:bookmarkEnd w:id="459"/>
      <w:r>
        <w:rPr>
          <w:rFonts w:ascii="Times New Roman;Times;Serif" w:hAnsi="Times New Roman;Times;Serif"/>
          <w:b w:val="false"/>
          <w:i w:val="false"/>
          <w:caps w:val="false"/>
          <w:smallCaps w:val="false"/>
          <w:sz w:val="20"/>
        </w:rPr>
        <w:t>50 shares of issued and outstanding common stock were converted into one share of common stock. No fractional shares were issued in connection with the Share Consolidation. Stockholders of record who otherwise were entitled to receive fractional shares received an amount in cash (without interest or deduction) equal to the fraction of one share to which such stockholder was otherwise entitled multiplied by the closing price of the common stock on The Nasdaq Capital Market on April 6, 2026. All share and per share amounts prior to the effective date of the Share Consolidation included within these condensed consolidated financial statements have been retrospectively adjusted to reflect the Share Consolidation.</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November 2025 Standby Equity Purchase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in connection with the entry into the PPAs (as defined in Note 1), the Company entered into the SEPA with Yorkville pursuant to which the Company has the right to sell to Yorkville SEPA Shares to the Commitment Amount,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 “SEPA Advance”) the Company requests from Yorkville may be for a number of SEPA Shares up to </w:t>
      </w:r>
      <w:bookmarkStart w:id="460" w:name="xdx_90C_ecustom--PercentageOfAverageDail"/>
      <w:bookmarkEnd w:id="460"/>
      <w:r>
        <w:rPr>
          <w:rFonts w:ascii="Times New Roman;Times;Serif" w:hAnsi="Times New Roman;Times;Serif"/>
          <w:b w:val="false"/>
          <w:i w:val="false"/>
          <w:caps w:val="false"/>
          <w:smallCaps w:val="false"/>
          <w:sz w:val="20"/>
        </w:rPr>
        <w:t>100% of the average daily trading volume of the Company’s common stock on The Nasdaq Capital</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during the five trading days immediately prior to the date of the Company’s request. The SEPA Shares delivered by the Company will be purchased by Yorkville at a price equal to </w:t>
      </w:r>
      <w:bookmarkStart w:id="461" w:name="xdx_90D_eus-gaap--SharebasedCompensation"/>
      <w:bookmarkEnd w:id="461"/>
      <w:r>
        <w:rPr>
          <w:rFonts w:ascii="Times New Roman;Times;Serif" w:hAnsi="Times New Roman;Times;Serif"/>
          <w:b w:val="false"/>
          <w:i w:val="false"/>
          <w:caps w:val="false"/>
          <w:smallCaps w:val="false"/>
          <w:sz w:val="20"/>
        </w:rPr>
        <w:t>97% of the lowest daily volume weighted average price (“VWAP”) of the Company’s common stock during the three trading days prior to the request, subject to a minimum price that may be specified in the Company’s request.</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under the SEPA is subject to further limitations and conditions, including that the shares of common stock beneficially owned by each Investor and its affiliates at any one time will not exceed </w:t>
      </w:r>
      <w:bookmarkStart w:id="462" w:name="xdx_904_ecustom--PercentageOfOutstanding"/>
      <w:bookmarkEnd w:id="462"/>
      <w:r>
        <w:rPr>
          <w:rFonts w:ascii="Times New Roman;Times;Serif" w:hAnsi="Times New Roman;Times;Serif"/>
          <w:b w:val="false"/>
          <w:i w:val="false"/>
          <w:caps w:val="false"/>
          <w:smallCaps w:val="false"/>
          <w:sz w:val="20"/>
        </w:rPr>
        <w:t>4.99% of the then-outstanding shares of the Company’s common stock.</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for Yorkville’s commitment to purchase SEPA Shares, the Company paid Yorkville a cash structuring fee and issued </w:t>
      </w:r>
      <w:bookmarkStart w:id="463" w:name="xdx_901_eus-gaap--CommonStockSharesIssue"/>
      <w:bookmarkEnd w:id="463"/>
      <w:r>
        <w:rPr>
          <w:rFonts w:ascii="Times New Roman;Times;Serif" w:hAnsi="Times New Roman;Times;Serif"/>
          <w:b w:val="false"/>
          <w:i w:val="false"/>
          <w:caps w:val="false"/>
          <w:smallCaps w:val="false"/>
          <w:sz w:val="20"/>
        </w:rPr>
        <w:t>4,868 shares of common stock to Yorkville. Such fees, totaling approximately $</w:t>
      </w:r>
      <w:bookmarkStart w:id="464" w:name="xdx_90F_ecustom--StandbyEquityPurchaseAg"/>
      <w:bookmarkEnd w:id="464"/>
      <w:r>
        <w:rPr>
          <w:rFonts w:ascii="Times New Roman;Times;Serif" w:hAnsi="Times New Roman;Times;Serif"/>
          <w:b w:val="false"/>
          <w:i w:val="false"/>
          <w:caps w:val="false"/>
          <w:smallCaps w:val="false"/>
          <w:sz w:val="20"/>
        </w:rPr>
        <w:t xml:space="preserve">0.3 million, were expensed as incurred and are presented as a component of other income (expense) on the condensed consolidated statements of operations and comprehensive income (loss). During three and six months ended June 30, 2026, </w:t>
      </w:r>
      <w:bookmarkStart w:id="465" w:name="xdx_90A_ecustom--NumberOfShareSold_pid_u"/>
      <w:bookmarkEnd w:id="465"/>
      <w:r>
        <w:rPr>
          <w:rFonts w:ascii="Times New Roman;Times;Serif" w:hAnsi="Times New Roman;Times;Serif"/>
          <w:b w:val="false"/>
          <w:i w:val="false"/>
          <w:caps w:val="false"/>
          <w:smallCaps w:val="false"/>
          <w:sz w:val="20"/>
        </w:rPr>
        <w:t xml:space="preserve">0 and </w:t>
      </w:r>
      <w:bookmarkStart w:id="466" w:name="xdx_900_ecustom--NumberOfShareSold_pid_u"/>
      <w:bookmarkEnd w:id="466"/>
      <w:r>
        <w:rPr>
          <w:rFonts w:ascii="Times New Roman;Times;Serif" w:hAnsi="Times New Roman;Times;Serif"/>
          <w:b w:val="false"/>
          <w:i w:val="false"/>
          <w:caps w:val="false"/>
          <w:smallCaps w:val="false"/>
          <w:sz w:val="20"/>
        </w:rPr>
        <w:t>48,092 SEPA Shares were sold under the SEPA, respectively, with gross proceeds to the Company totaling approximately $</w:t>
      </w:r>
      <w:bookmarkStart w:id="467" w:name="xdx_903_eus-gaap--ProceedsFromIssuanceOf"/>
      <w:bookmarkEnd w:id="467"/>
      <w:r>
        <w:rPr>
          <w:rFonts w:ascii="Times New Roman;Times;Serif" w:hAnsi="Times New Roman;Times;Serif"/>
          <w:b w:val="false"/>
          <w:i w:val="false"/>
          <w:caps w:val="false"/>
          <w:smallCaps w:val="false"/>
          <w:sz w:val="20"/>
        </w:rPr>
        <w:t>0.0 million and $</w:t>
      </w:r>
      <w:bookmarkStart w:id="468" w:name="xdx_90C_eus-gaap--ProceedsFromIssuanceOf"/>
      <w:bookmarkEnd w:id="468"/>
      <w:r>
        <w:rPr>
          <w:rFonts w:ascii="Times New Roman;Times;Serif" w:hAnsi="Times New Roman;Times;Serif"/>
          <w:b w:val="false"/>
          <w:i w:val="false"/>
          <w:caps w:val="false"/>
          <w:smallCaps w:val="false"/>
          <w:sz w:val="20"/>
        </w:rPr>
        <w:t>0.4 million, respectively.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2024 Offering and Warrant Issuance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Company closed on an offering (the “December 2024 Offering”) of </w:t>
      </w:r>
      <w:bookmarkStart w:id="469" w:name="xdx_90F_eus-gaap--CommonStockSharesIssue"/>
      <w:bookmarkEnd w:id="469"/>
      <w:r>
        <w:rPr>
          <w:rFonts w:ascii="Times New Roman;Times;Serif" w:hAnsi="Times New Roman;Times;Serif"/>
          <w:b w:val="false"/>
          <w:i w:val="false"/>
          <w:caps w:val="false"/>
          <w:smallCaps w:val="false"/>
          <w:sz w:val="20"/>
        </w:rPr>
        <w:t>193,581 shares of common stock at a price of $</w:t>
      </w:r>
      <w:bookmarkStart w:id="470" w:name="xdx_90A_eus-gaap--SaleOfStockPricePerSha"/>
      <w:bookmarkEnd w:id="470"/>
      <w:r>
        <w:rPr>
          <w:rFonts w:ascii="Times New Roman;Times;Serif" w:hAnsi="Times New Roman;Times;Serif"/>
          <w:b w:val="false"/>
          <w:i w:val="false"/>
          <w:caps w:val="false"/>
          <w:smallCaps w:val="false"/>
          <w:sz w:val="20"/>
        </w:rPr>
        <w:t xml:space="preserve">47.60 per share with accompanying warrants to purchase up to </w:t>
      </w:r>
      <w:bookmarkStart w:id="471" w:name="xdx_90E_eus-gaap--ClassOfWarrantOrRightN"/>
      <w:bookmarkEnd w:id="471"/>
      <w:r>
        <w:rPr>
          <w:rFonts w:ascii="Times New Roman;Times;Serif" w:hAnsi="Times New Roman;Times;Serif"/>
          <w:b w:val="false"/>
          <w:i w:val="false"/>
          <w:caps w:val="false"/>
          <w:smallCaps w:val="false"/>
          <w:sz w:val="20"/>
        </w:rPr>
        <w:t>193,581 shares of common stock, which initially had an exercise price of $</w:t>
      </w:r>
      <w:bookmarkStart w:id="472" w:name="xdx_901_eus-gaap--ClassOfWarrantOrRightE"/>
      <w:bookmarkEnd w:id="472"/>
      <w:r>
        <w:rPr>
          <w:rFonts w:ascii="Times New Roman;Times;Serif" w:hAnsi="Times New Roman;Times;Serif"/>
          <w:b w:val="false"/>
          <w:i w:val="false"/>
          <w:caps w:val="false"/>
          <w:smallCaps w:val="false"/>
          <w:sz w:val="20"/>
        </w:rPr>
        <w:t>59.50 per share (the “Warrants”). Pursuant to the re-pricing mechanism contained in the Warrants, the exercise price of the Warrants was reduced to $</w:t>
      </w:r>
      <w:bookmarkStart w:id="473" w:name="xdx_906_ecustom--ClassOfWarrantExerciseP"/>
      <w:bookmarkEnd w:id="473"/>
      <w:r>
        <w:rPr>
          <w:rFonts w:ascii="Times New Roman;Times;Serif" w:hAnsi="Times New Roman;Times;Serif"/>
          <w:b w:val="false"/>
          <w:i w:val="false"/>
          <w:caps w:val="false"/>
          <w:smallCaps w:val="false"/>
          <w:sz w:val="20"/>
        </w:rPr>
        <w:t>4.35 to match the lowest VWAP of our common stock during the eleven (11) trading days commencing five (5) trading days immediately preceding the Share Consolidation and ending five (5) trading days immediately following the Share Consolidation. As discussed in Note 4, the Company recorded a liability at fair value related to the issuance of the Warrants, with changes in fair value each reporting period recognized as a component of other income (loss) in the Company’s unaudited condensed consolidated statements of operations and comprehensive income (loss). The fair value of the warrant liability as of June 30, 2026 was determined using the adjusted exercise price of $</w:t>
      </w:r>
      <w:bookmarkStart w:id="474" w:name="xdx_90B_eus-gaap--ClassOfWarrantOrRightE"/>
      <w:bookmarkEnd w:id="474"/>
      <w:r>
        <w:rPr>
          <w:rFonts w:ascii="Times New Roman;Times;Serif" w:hAnsi="Times New Roman;Times;Serif"/>
          <w:b w:val="false"/>
          <w:i w:val="false"/>
          <w:caps w:val="false"/>
          <w:smallCaps w:val="false"/>
          <w:sz w:val="20"/>
        </w:rPr>
        <w:t xml:space="preserve">4.35. The accompanying Warrants became exercisable on June 20, 2025 and will expire five years from the date of initial exercisability. There were </w:t>
      </w:r>
      <w:bookmarkStart w:id="475" w:name="xdx_90D_ecustom--ClassOfWarrantOrRightOu"/>
      <w:bookmarkEnd w:id="475"/>
      <w:r>
        <w:rPr>
          <w:rFonts w:ascii="Times New Roman;Times;Serif" w:hAnsi="Times New Roman;Times;Serif"/>
          <w:b w:val="false"/>
          <w:i w:val="false"/>
          <w:caps w:val="false"/>
          <w:smallCaps w:val="false"/>
          <w:sz w:val="20"/>
        </w:rPr>
        <w:t>193,581 Warrants outstanding and exercisable at June 30, 2026.</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Equity Incentive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2020 Equity Incentive Plan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June 30, 2026 and December 31, 2025, the total number of common shares authorized for issuance under the 2020 Plan was </w:t>
      </w:r>
      <w:bookmarkStart w:id="476" w:name="xdx_907_ecustom--ClassOfWarrantOrRightOu"/>
      <w:bookmarkEnd w:id="476"/>
      <w:r>
        <w:rPr>
          <w:rFonts w:ascii="Times New Roman;Times;Serif" w:hAnsi="Times New Roman;Times;Serif"/>
          <w:b w:val="false"/>
          <w:i w:val="false"/>
          <w:caps w:val="false"/>
          <w:smallCaps w:val="false"/>
          <w:sz w:val="20"/>
        </w:rPr>
        <w:t xml:space="preserve">276,246 and </w:t>
      </w:r>
      <w:bookmarkStart w:id="477" w:name="xdx_901_ecustom--ClassOfWarrantOrRightOu"/>
      <w:bookmarkEnd w:id="477"/>
      <w:r>
        <w:rPr>
          <w:rFonts w:ascii="Times New Roman;Times;Serif" w:hAnsi="Times New Roman;Times;Serif"/>
          <w:b w:val="false"/>
          <w:i w:val="false"/>
          <w:caps w:val="false"/>
          <w:smallCaps w:val="false"/>
          <w:sz w:val="20"/>
        </w:rPr>
        <w:t xml:space="preserve">245,477, respectively. On January 1st of each year, commencing with the first January 1st following the effective date of the 2020 Plan, the shares authorized for issuance under the 2020 Plan shall be increased by the number of shares equal to the lesser of </w:t>
      </w:r>
      <w:bookmarkStart w:id="478" w:name="xdx_900_ecustom--PercentageOfAnnualIncre"/>
      <w:bookmarkEnd w:id="478"/>
      <w:r>
        <w:rPr>
          <w:rFonts w:ascii="Times New Roman;Times;Serif" w:hAnsi="Times New Roman;Times;Serif"/>
          <w:b w:val="false"/>
          <w:i w:val="false"/>
          <w:caps w:val="false"/>
          <w:smallCaps w:val="false"/>
          <w:sz w:val="20"/>
        </w:rPr>
        <w:t xml:space="preserve">4% of the total number of shares outstanding on the immediately preceding December 31st and such lesser number of shares determined by the Company’s board of directors. The maximum term of the options granted under the 2020 Plan is no more than </w:t>
      </w:r>
      <w:bookmarkStart w:id="479" w:name="xdx_901_eus-gaap--ShareBasedCompensation"/>
      <w:bookmarkEnd w:id="479"/>
      <w:r>
        <w:rPr>
          <w:rFonts w:ascii="Times New Roman;Times;Serif" w:hAnsi="Times New Roman;Times;Serif"/>
          <w:b w:val="false"/>
          <w:i w:val="false"/>
          <w:caps w:val="false"/>
          <w:smallCaps w:val="false"/>
          <w:sz w:val="20"/>
        </w:rPr>
        <w:t xml:space="preserve">ten years. Awards under the 2020 Plan generally vest at </w:t>
      </w:r>
      <w:bookmarkStart w:id="480" w:name="xdx_90F_eus-gaap--SharebasedCompensation"/>
      <w:bookmarkEnd w:id="480"/>
      <w:r>
        <w:rPr>
          <w:rFonts w:ascii="Times New Roman;Times;Serif" w:hAnsi="Times New Roman;Times;Serif"/>
          <w:b w:val="false"/>
          <w:i w:val="false"/>
          <w:caps w:val="false"/>
          <w:smallCaps w:val="false"/>
          <w:sz w:val="20"/>
        </w:rPr>
        <w:t xml:space="preserve">25% one year from the vesting commencement date and ratably each month thereafter for a period of </w:t>
      </w:r>
      <w:bookmarkStart w:id="481" w:name="xdx_90A_eus-gaap--ShareBasedCompensation"/>
      <w:bookmarkEnd w:id="481"/>
      <w:r>
        <w:rPr>
          <w:rFonts w:ascii="Times New Roman;Times;Serif" w:hAnsi="Times New Roman;Times;Serif"/>
          <w:b w:val="false"/>
          <w:i w:val="false"/>
          <w:caps w:val="false"/>
          <w:smallCaps w:val="false"/>
          <w:sz w:val="20"/>
        </w:rPr>
        <w:t>36 months, subject to continuous service as an employee, non-employee director, or independent contractor.</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482" w:name="xdx_898_eus-gaap--ScheduleOfEmployeeServ"/>
      <w:bookmarkEnd w:id="482"/>
      <w:r>
        <w:rPr>
          <w:rFonts w:ascii="Times New Roman;Times;Serif" w:hAnsi="Times New Roman;Times;Serif"/>
          <w:b w:val="false"/>
          <w:i w:val="false"/>
          <w:caps w:val="false"/>
          <w:smallCaps w:val="false"/>
          <w:sz w:val="20"/>
        </w:rPr>
        <w:t>Stock-based compensation expense recognized for all equity awards under the 2020 Plan for the three and six months ended June 30, 2026 and 2025 has been reported in the condensed consolidated statements of operations and comprehensive income (loss) as follows (in thousands):</w:t>
      </w:r>
    </w:p>
    <w:p>
      <w:pPr>
        <w:pStyle w:val="TextBody"/>
        <w:bidi w:val="0"/>
        <w:spacing w:before="0" w:after="0"/>
        <w:ind w:left="720" w:right="720" w:firstLine="490"/>
        <w:jc w:val="both"/>
        <w:rPr>
          <w:caps w:val="false"/>
          <w:smallCaps w:val="false"/>
        </w:rPr>
      </w:pPr>
      <w:r>
        <w:rPr>
          <w:caps w:val="false"/>
          <w:smallCaps w:val="false"/>
        </w:rPr>
        <w:t> </w:t>
      </w:r>
      <w:bookmarkStart w:id="483" w:name="xdx_8B1_zoiIRRmEFLo9"/>
      <w:bookmarkEnd w:id="483"/>
      <w:r>
        <w:rPr>
          <w:rFonts w:ascii="Times New Roman;Times;Serif" w:hAnsi="Times New Roman;Times;Serif"/>
          <w:b w:val="false"/>
          <w:i w:val="false"/>
          <w:caps w:val="false"/>
          <w:smallCaps w:val="false"/>
          <w:sz w:val="20"/>
        </w:rPr>
        <w:t>Schedule of stock-based compensation expense</w:t>
      </w:r>
    </w:p>
    <w:tbl>
      <w:tblPr>
        <w:tblW w:w="5878" w:type="dxa"/>
        <w:jc w:val="left"/>
        <w:tblInd w:w="720" w:type="dxa"/>
        <w:tblLayout w:type="fixed"/>
        <w:tblCellMar>
          <w:top w:w="0" w:type="dxa"/>
          <w:left w:w="0" w:type="dxa"/>
          <w:bottom w:w="0" w:type="dxa"/>
          <w:right w:w="0" w:type="dxa"/>
        </w:tblCellMar>
      </w:tblPr>
      <w:tblGrid>
        <w:gridCol w:w="2585"/>
        <w:gridCol w:w="60"/>
        <w:gridCol w:w="158"/>
        <w:gridCol w:w="431"/>
        <w:gridCol w:w="68"/>
        <w:gridCol w:w="68"/>
        <w:gridCol w:w="158"/>
        <w:gridCol w:w="635"/>
        <w:gridCol w:w="60"/>
        <w:gridCol w:w="60"/>
        <w:gridCol w:w="140"/>
        <w:gridCol w:w="560"/>
        <w:gridCol w:w="60"/>
        <w:gridCol w:w="60"/>
        <w:gridCol w:w="140"/>
        <w:gridCol w:w="56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8"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484" w:name="xdx_982_eus-gaap--ShareBasedCompensation"/>
            <w:bookmarkEnd w:id="484"/>
          </w:p>
        </w:tc>
        <w:tc>
          <w:tcPr>
            <w:tcW w:w="431" w:type="dxa"/>
            <w:tcBorders/>
            <w:shd w:fill="CCEEFF" w:val="clear"/>
            <w:vAlign w:val="center"/>
          </w:tcPr>
          <w:p>
            <w:pPr>
              <w:pStyle w:val="TableContents"/>
              <w:bidi w:val="0"/>
              <w:spacing w:before="0" w:after="283"/>
              <w:jc w:val="right"/>
              <w:rPr/>
            </w:pPr>
            <w:r>
              <w:rPr/>
              <w:t>135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485" w:name="xdx_989_eus-gaap--ShareBasedCompensation"/>
            <w:bookmarkEnd w:id="485"/>
          </w:p>
        </w:tc>
        <w:tc>
          <w:tcPr>
            <w:tcW w:w="635" w:type="dxa"/>
            <w:tcBorders/>
            <w:shd w:fill="CCEEFF" w:val="clear"/>
            <w:vAlign w:val="center"/>
          </w:tcPr>
          <w:p>
            <w:pPr>
              <w:pStyle w:val="TableContents"/>
              <w:bidi w:val="0"/>
              <w:spacing w:before="0" w:after="283"/>
              <w:jc w:val="right"/>
              <w:rPr/>
            </w:pPr>
            <w:r>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86" w:name="xdx_984_eus-gaap--ShareBasedCompensation"/>
            <w:bookmarkEnd w:id="486"/>
          </w:p>
        </w:tc>
        <w:tc>
          <w:tcPr>
            <w:tcW w:w="560" w:type="dxa"/>
            <w:tcBorders/>
            <w:shd w:fill="CCEEFF" w:val="clear"/>
            <w:vAlign w:val="center"/>
          </w:tcPr>
          <w:p>
            <w:pPr>
              <w:pStyle w:val="TableContents"/>
              <w:bidi w:val="0"/>
              <w:spacing w:before="0" w:after="283"/>
              <w:jc w:val="right"/>
              <w:rPr/>
            </w:pPr>
            <w:r>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87" w:name="xdx_986_eus-gaap--ShareBasedCompensation"/>
            <w:bookmarkEnd w:id="487"/>
          </w:p>
        </w:tc>
        <w:tc>
          <w:tcPr>
            <w:tcW w:w="560" w:type="dxa"/>
            <w:tcBorders/>
            <w:shd w:fill="CCEEFF" w:val="clear"/>
            <w:vAlign w:val="center"/>
          </w:tcPr>
          <w:p>
            <w:pPr>
              <w:pStyle w:val="TableContents"/>
              <w:bidi w:val="0"/>
              <w:spacing w:before="0" w:after="283"/>
              <w:jc w:val="right"/>
              <w:rPr/>
            </w:pPr>
            <w:r>
              <w:rPr/>
              <w:t>1,342</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8" w:name="xdx_983_eus-gaap--ShareBasedCompensation"/>
            <w:bookmarkEnd w:id="488"/>
          </w:p>
        </w:tc>
        <w:tc>
          <w:tcPr>
            <w:tcW w:w="431" w:type="dxa"/>
            <w:tcBorders>
              <w:bottom w:val="single" w:sz="8" w:space="0" w:color="000000"/>
            </w:tcBorders>
            <w:shd w:fill="FFFFFF" w:val="clear"/>
            <w:tcMar>
              <w:bottom w:w="28" w:type="dxa"/>
            </w:tcMar>
            <w:vAlign w:val="center"/>
          </w:tcPr>
          <w:p>
            <w:pPr>
              <w:pStyle w:val="TableContents"/>
              <w:bidi w:val="0"/>
              <w:spacing w:before="0" w:after="283"/>
              <w:jc w:val="right"/>
              <w:rPr/>
            </w:pPr>
            <w:r>
              <w:rPr/>
              <w:t>484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9" w:name="xdx_980_eus-gaap--ShareBasedCompensation"/>
            <w:bookmarkEnd w:id="489"/>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0" w:name="xdx_989_eus-gaap--ShareBasedCompensation"/>
            <w:bookmarkEnd w:id="490"/>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1" w:name="xdx_987_eus-gaap--ShareBasedCompensation"/>
            <w:bookmarkEnd w:id="491"/>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1,680</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2" w:name="xdx_982_eus-gaap--ShareBasedCompensation"/>
            <w:bookmarkEnd w:id="492"/>
          </w:p>
        </w:tc>
        <w:tc>
          <w:tcPr>
            <w:tcW w:w="431" w:type="dxa"/>
            <w:tcBorders>
              <w:bottom w:val="double" w:sz="6" w:space="0" w:color="000000"/>
            </w:tcBorders>
            <w:shd w:fill="CCEEFF" w:val="clear"/>
            <w:tcMar>
              <w:bottom w:w="28" w:type="dxa"/>
            </w:tcMar>
            <w:vAlign w:val="center"/>
          </w:tcPr>
          <w:p>
            <w:pPr>
              <w:pStyle w:val="TableContents"/>
              <w:bidi w:val="0"/>
              <w:spacing w:before="0" w:after="283"/>
              <w:jc w:val="right"/>
              <w:rPr/>
            </w:pPr>
            <w:r>
              <w:rPr/>
              <w:t>619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3" w:name="xdx_983_eus-gaap--ShareBasedCompensation"/>
            <w:bookmarkEnd w:id="493"/>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4" w:name="xdx_98B_eus-gaap--ShareBasedCompensation"/>
            <w:bookmarkEnd w:id="494"/>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5" w:name="xdx_986_eus-gaap--ShareBasedCompensation"/>
            <w:bookmarkEnd w:id="495"/>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bookmarkStart w:id="496" w:name="xdx_8A4_zbR2bW7YhW7"/>
      <w:bookmarkEnd w:id="496"/>
      <w:r>
        <w:rPr>
          <w:rFonts w:ascii="Times New Roman;Times;Serif" w:hAnsi="Times New Roman;Times;Serif"/>
          <w:b w:val="false"/>
          <w:i w:val="false"/>
          <w:caps w:val="false"/>
          <w:smallCaps w:val="false"/>
          <w:sz w:val="20"/>
          <w:bdr w:val="single" w:sz="8" w:space="1" w:color="000000"/>
        </w:rPr>
        <w:t>F-17</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497" w:name="xdx_89D_eus-gaap--ScheduleOfShareBasedCo"/>
      <w:bookmarkEnd w:id="497"/>
      <w:r>
        <w:rPr>
          <w:rFonts w:ascii="Times New Roman;Times;Serif" w:hAnsi="Times New Roman;Times;Serif"/>
          <w:b w:val="false"/>
          <w:i w:val="false"/>
          <w:caps w:val="false"/>
          <w:smallCaps w:val="false"/>
          <w:sz w:val="20"/>
        </w:rPr>
        <w:t>The following table summarizes RSU activity under the 2020 Plan for the six months ended June 30, 2026:</w:t>
      </w:r>
    </w:p>
    <w:p>
      <w:pPr>
        <w:pStyle w:val="TextBody"/>
        <w:bidi w:val="0"/>
        <w:spacing w:before="0" w:after="0"/>
        <w:ind w:left="720" w:right="720" w:firstLine="490"/>
        <w:jc w:val="left"/>
        <w:rPr>
          <w:caps w:val="false"/>
          <w:smallCaps w:val="false"/>
        </w:rPr>
      </w:pPr>
      <w:r>
        <w:rPr>
          <w:caps w:val="false"/>
          <w:smallCaps w:val="false"/>
        </w:rPr>
        <w:t> </w:t>
      </w:r>
      <w:bookmarkStart w:id="498" w:name="xdx_8B4_z73fRBuLMmjc"/>
      <w:bookmarkEnd w:id="498"/>
      <w:r>
        <w:rPr>
          <w:rFonts w:ascii="Times New Roman;Times;Serif" w:hAnsi="Times New Roman;Times;Serif"/>
          <w:b w:val="false"/>
          <w:i w:val="false"/>
          <w:caps w:val="false"/>
          <w:smallCaps w:val="false"/>
          <w:sz w:val="20"/>
        </w:rPr>
        <w:t>Summary of restricted stock units</w:t>
      </w:r>
    </w:p>
    <w:tbl>
      <w:tblPr>
        <w:tblW w:w="4788" w:type="dxa"/>
        <w:jc w:val="left"/>
        <w:tblInd w:w="720" w:type="dxa"/>
        <w:tblLayout w:type="fixed"/>
        <w:tblCellMar>
          <w:top w:w="0" w:type="dxa"/>
          <w:left w:w="0" w:type="dxa"/>
          <w:bottom w:w="0" w:type="dxa"/>
          <w:right w:w="0" w:type="dxa"/>
        </w:tblCellMar>
      </w:tblPr>
      <w:tblGrid>
        <w:gridCol w:w="2855"/>
        <w:gridCol w:w="60"/>
        <w:gridCol w:w="67"/>
        <w:gridCol w:w="732"/>
        <w:gridCol w:w="80"/>
        <w:gridCol w:w="60"/>
        <w:gridCol w:w="175"/>
        <w:gridCol w:w="684"/>
        <w:gridCol w:w="75"/>
      </w:tblGrid>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b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Weighted - </w:t>
              <w:br/>
              <w:t>Average</w:t>
              <w:br/>
              <w:t>Grant Date</w:t>
              <w:b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9" w:name="xdx_98A_eus-gaap--ShareBasedCompensation"/>
            <w:bookmarkEnd w:id="499"/>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0" w:name="xdx_986_eus-gaap--ShareBasedCompensation"/>
            <w:bookmarkEnd w:id="500"/>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1" w:name="xdx_985_eus-gaap--ShareBasedCompensation"/>
            <w:bookmarkEnd w:id="501"/>
          </w:p>
        </w:tc>
        <w:tc>
          <w:tcPr>
            <w:tcW w:w="7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2" w:name="xdx_98E_eus-gaap--ShareBasedCompensation"/>
            <w:bookmarkEnd w:id="502"/>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3" w:name="xdx_98B_eus-gaap--ShareBasedCompensation"/>
            <w:bookmarkEnd w:id="503"/>
          </w:p>
        </w:tc>
        <w:tc>
          <w:tcPr>
            <w:tcW w:w="7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4" w:name="xdx_984_eus-gaap--ShareBasedCompensation"/>
            <w:bookmarkEnd w:id="504"/>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05" w:name="xdx_980_eus-gaap--ShareBasedCompensation"/>
            <w:bookmarkEnd w:id="505"/>
          </w:p>
        </w:tc>
        <w:tc>
          <w:tcPr>
            <w:tcW w:w="7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6" w:name="xdx_986_eus-gaap--ShareBasedCompensation"/>
            <w:bookmarkEnd w:id="506"/>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07" w:name="xdx_985_eus-gaap--ShareBasedCompensation"/>
            <w:bookmarkEnd w:id="507"/>
          </w:p>
        </w:tc>
        <w:tc>
          <w:tcPr>
            <w:tcW w:w="7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8" w:name="xdx_98F_eus-gaap--ShareBasedCompensation"/>
            <w:bookmarkEnd w:id="508"/>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firstLine="490"/>
        <w:jc w:val="left"/>
        <w:rPr>
          <w:caps w:val="false"/>
          <w:smallCaps w:val="false"/>
        </w:rPr>
      </w:pPr>
      <w:bookmarkStart w:id="509" w:name="xdx_8A2_zSwU93HWT6ql"/>
      <w:bookmarkEnd w:id="509"/>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unrecognized stock-based compensation expense for RSUs was $</w:t>
      </w:r>
      <w:bookmarkStart w:id="510" w:name="xdx_900_eus-gaap--EmployeeServiceShareBa"/>
      <w:bookmarkEnd w:id="510"/>
      <w:r>
        <w:rPr>
          <w:rFonts w:ascii="Times New Roman;Times;Serif" w:hAnsi="Times New Roman;Times;Serif"/>
          <w:b w:val="false"/>
          <w:i w:val="false"/>
          <w:caps w:val="false"/>
          <w:smallCaps w:val="false"/>
          <w:sz w:val="20"/>
        </w:rPr>
        <w:t xml:space="preserve">1.5 million, which is expected to be recognized over a remaining weighted-average period of approximately </w:t>
      </w:r>
      <w:bookmarkStart w:id="511" w:name="xdx_900_eus-gaap--EmployeeServiceShareBa"/>
      <w:bookmarkEnd w:id="511"/>
      <w:r>
        <w:rPr>
          <w:rFonts w:ascii="Times New Roman;Times;Serif" w:hAnsi="Times New Roman;Times;Serif"/>
          <w:b w:val="false"/>
          <w:i w:val="false"/>
          <w:caps w:val="false"/>
          <w:smallCaps w:val="false"/>
          <w:sz w:val="20"/>
        </w:rPr>
        <w:t>3.1 years.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512" w:name="xdx_89A_eus-gaap--ScheduleOfShareBasedCo"/>
      <w:bookmarkEnd w:id="512"/>
      <w:r>
        <w:rPr>
          <w:rFonts w:ascii="Times New Roman;Times;Serif" w:hAnsi="Times New Roman;Times;Serif"/>
          <w:b w:val="false"/>
          <w:i w:val="false"/>
          <w:caps w:val="false"/>
          <w:smallCaps w:val="false"/>
          <w:sz w:val="20"/>
        </w:rPr>
        <w:t>The following table summarizes stock option activity under the 2020 Plan for the six months ended June 30, 2026:</w:t>
      </w:r>
    </w:p>
    <w:p>
      <w:pPr>
        <w:pStyle w:val="TextBody"/>
        <w:bidi w:val="0"/>
        <w:spacing w:before="0" w:after="0"/>
        <w:ind w:left="720" w:right="720" w:firstLine="490"/>
        <w:jc w:val="left"/>
        <w:rPr>
          <w:caps w:val="false"/>
          <w:smallCaps w:val="false"/>
        </w:rPr>
      </w:pPr>
      <w:r>
        <w:rPr>
          <w:caps w:val="false"/>
          <w:smallCaps w:val="false"/>
        </w:rPr>
        <w:t> </w:t>
      </w:r>
      <w:bookmarkStart w:id="513" w:name="xdx_8BD_zyu2dpKjU5rj"/>
      <w:bookmarkEnd w:id="513"/>
      <w:r>
        <w:rPr>
          <w:rFonts w:ascii="Times New Roman;Times;Serif" w:hAnsi="Times New Roman;Times;Serif"/>
          <w:b w:val="false"/>
          <w:i w:val="false"/>
          <w:caps w:val="false"/>
          <w:smallCaps w:val="false"/>
          <w:sz w:val="20"/>
        </w:rPr>
        <w:t>Summary of stock option activity</w:t>
      </w:r>
    </w:p>
    <w:tbl>
      <w:tblPr>
        <w:tblW w:w="8234" w:type="dxa"/>
        <w:jc w:val="left"/>
        <w:tblInd w:w="720" w:type="dxa"/>
        <w:tblLayout w:type="fixed"/>
        <w:tblCellMar>
          <w:top w:w="0" w:type="dxa"/>
          <w:left w:w="0" w:type="dxa"/>
          <w:bottom w:w="0" w:type="dxa"/>
          <w:right w:w="0" w:type="dxa"/>
        </w:tblCellMar>
      </w:tblPr>
      <w:tblGrid>
        <w:gridCol w:w="4295"/>
        <w:gridCol w:w="60"/>
        <w:gridCol w:w="60"/>
        <w:gridCol w:w="800"/>
        <w:gridCol w:w="95"/>
        <w:gridCol w:w="60"/>
        <w:gridCol w:w="146"/>
        <w:gridCol w:w="713"/>
        <w:gridCol w:w="60"/>
        <w:gridCol w:w="60"/>
        <w:gridCol w:w="108"/>
        <w:gridCol w:w="797"/>
        <w:gridCol w:w="60"/>
        <w:gridCol w:w="60"/>
        <w:gridCol w:w="274"/>
        <w:gridCol w:w="511"/>
        <w:gridCol w:w="75"/>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Weighted - </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 -</w:t>
              <w:br/>
              <w:t>Average</w:t>
              <w:br/>
              <w:t>Remaining</w:t>
              <w:br/>
              <w:t>Contractual</w:t>
              <w:br/>
              <w:t>Term</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Aggregate</w:t>
              <w:br/>
              <w:t>Intrinsic</w:t>
              <w:br/>
              <w:t>Value</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4" w:name="xdx_98D_eus-gaap--ShareBasedCompensation"/>
            <w:bookmarkEnd w:id="514"/>
          </w:p>
        </w:tc>
        <w:tc>
          <w:tcPr>
            <w:tcW w:w="800" w:type="dxa"/>
            <w:tcBorders/>
            <w:shd w:fill="CCEEFF" w:val="clear"/>
            <w:vAlign w:val="center"/>
          </w:tcPr>
          <w:p>
            <w:pPr>
              <w:pStyle w:val="TableContents"/>
              <w:bidi w:val="0"/>
              <w:spacing w:before="0" w:after="283"/>
              <w:jc w:val="right"/>
              <w:rPr/>
            </w:pPr>
            <w:r>
              <w:rPr/>
              <w:t>117,703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15" w:name="xdx_986_eus-gaap--ShareBasedCompensation"/>
            <w:bookmarkEnd w:id="515"/>
          </w:p>
        </w:tc>
        <w:tc>
          <w:tcPr>
            <w:tcW w:w="713" w:type="dxa"/>
            <w:tcBorders/>
            <w:shd w:fill="CCEEFF" w:val="clear"/>
            <w:vAlign w:val="center"/>
          </w:tcPr>
          <w:p>
            <w:pPr>
              <w:pStyle w:val="TableContents"/>
              <w:bidi w:val="0"/>
              <w:spacing w:before="0" w:after="283"/>
              <w:jc w:val="right"/>
              <w:rPr/>
            </w:pPr>
            <w:r>
              <w:rPr/>
              <w:t>393.71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bookmarkStart w:id="516" w:name="xdx_909_eus-gaap--SharebasedCompensation"/>
            <w:bookmarkEnd w:id="516"/>
            <w:r>
              <w:rPr/>
              <w:t>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511" w:type="dxa"/>
            <w:tcBorders/>
            <w:shd w:fill="CCEEFF" w:val="clear"/>
            <w:vAlign w:val="center"/>
          </w:tcPr>
          <w:p>
            <w:pPr>
              <w:pStyle w:val="TableContents"/>
              <w:bidi w:val="0"/>
              <w:spacing w:before="0" w:after="283"/>
              <w:jc w:val="right"/>
              <w:rPr/>
            </w:pPr>
            <w:bookmarkStart w:id="517" w:name="xdx_909_eus-gaap--ShareBasedCompensation"/>
            <w:bookmarkEnd w:id="517"/>
            <w:r>
              <w:rPr/>
              <w:t>—</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18" w:name="xdx_98A_eus-gaap--ShareBasedCompensation"/>
            <w:bookmarkEnd w:id="518"/>
          </w:p>
        </w:tc>
        <w:tc>
          <w:tcPr>
            <w:tcW w:w="800" w:type="dxa"/>
            <w:tcBorders/>
            <w:shd w:fill="FFFFFF" w:val="clear"/>
            <w:vAlign w:val="center"/>
          </w:tcPr>
          <w:p>
            <w:pPr>
              <w:pStyle w:val="TableContents"/>
              <w:bidi w:val="0"/>
              <w:spacing w:before="0" w:after="283"/>
              <w:jc w:val="right"/>
              <w:rPr/>
            </w:pPr>
            <w:r>
              <w:rPr/>
              <w:t>(3,417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19" w:name="xdx_98E_eus-gaap--ShareBasedCompensation"/>
            <w:bookmarkEnd w:id="519"/>
          </w:p>
        </w:tc>
        <w:tc>
          <w:tcPr>
            <w:tcW w:w="713" w:type="dxa"/>
            <w:tcBorders/>
            <w:shd w:fill="FFFFFF" w:val="clear"/>
            <w:vAlign w:val="center"/>
          </w:tcPr>
          <w:p>
            <w:pPr>
              <w:pStyle w:val="TableContents"/>
              <w:bidi w:val="0"/>
              <w:spacing w:before="0" w:after="283"/>
              <w:jc w:val="right"/>
              <w:rPr/>
            </w:pPr>
            <w:r>
              <w:rPr/>
              <w:t>198.71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0" w:name="xdx_980_eus-gaap--ShareBasedCompensation"/>
            <w:bookmarkEnd w:id="520"/>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21" w:name="xdx_983_eus-gaap--ShareBasedCompensation"/>
            <w:bookmarkEnd w:id="521"/>
          </w:p>
        </w:tc>
        <w:tc>
          <w:tcPr>
            <w:tcW w:w="713" w:type="dxa"/>
            <w:tcBorders/>
            <w:shd w:fill="CCEEFF" w:val="clear"/>
            <w:vAlign w:val="center"/>
          </w:tcPr>
          <w:p>
            <w:pPr>
              <w:pStyle w:val="TableContents"/>
              <w:bidi w:val="0"/>
              <w:spacing w:before="0" w:after="283"/>
              <w:jc w:val="right"/>
              <w:rPr/>
            </w:pPr>
            <w:r>
              <w:rPr/>
              <w:t>785.66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2" w:name="xdx_98B_eus-gaap--ShareBasedCompensation"/>
            <w:bookmarkEnd w:id="522"/>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114,059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23" w:name="xdx_980_eus-gaap--ShareBasedCompensation"/>
            <w:bookmarkEnd w:id="523"/>
          </w:p>
        </w:tc>
        <w:tc>
          <w:tcPr>
            <w:tcW w:w="713" w:type="dxa"/>
            <w:tcBorders/>
            <w:shd w:fill="FFFFFF" w:val="clear"/>
            <w:vAlign w:val="center"/>
          </w:tcPr>
          <w:p>
            <w:pPr>
              <w:pStyle w:val="TableContents"/>
              <w:bidi w:val="0"/>
              <w:spacing w:before="0" w:after="283"/>
              <w:jc w:val="right"/>
              <w:rPr/>
            </w:pPr>
            <w:r>
              <w:rPr/>
              <w:t>388.45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524" w:name="xdx_986_eus-gaap--SharebasedCompensation"/>
            <w:bookmarkEnd w:id="524"/>
          </w:p>
        </w:tc>
        <w:tc>
          <w:tcPr>
            <w:tcW w:w="797" w:type="dxa"/>
            <w:tcBorders/>
            <w:shd w:fill="FFFFFF" w:val="clear"/>
            <w:vAlign w:val="center"/>
          </w:tcPr>
          <w:p>
            <w:pPr>
              <w:pStyle w:val="TableContents"/>
              <w:bidi w:val="0"/>
              <w:spacing w:before="0" w:after="283"/>
              <w:jc w:val="right"/>
              <w:rPr/>
            </w:pPr>
            <w:r>
              <w:rPr/>
              <w:t>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525" w:name="xdx_98D_eus-gaap--ShareBasedCompensation"/>
            <w:bookmarkEnd w:id="525"/>
          </w:p>
        </w:tc>
        <w:tc>
          <w:tcPr>
            <w:tcW w:w="51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Vested and expected to vest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6" w:name="xdx_982_eus-gaap--ShareBasedCompensation"/>
            <w:bookmarkEnd w:id="52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114,059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527" w:name="xdx_982_eus-gaap--ShareBasedCompensation"/>
            <w:bookmarkEnd w:id="527"/>
          </w:p>
        </w:tc>
        <w:tc>
          <w:tcPr>
            <w:tcW w:w="713" w:type="dxa"/>
            <w:tcBorders/>
            <w:shd w:fill="CCEEFF" w:val="clear"/>
            <w:vAlign w:val="center"/>
          </w:tcPr>
          <w:p>
            <w:pPr>
              <w:pStyle w:val="TableContents"/>
              <w:bidi w:val="0"/>
              <w:spacing w:before="0" w:after="283"/>
              <w:jc w:val="right"/>
              <w:rPr/>
            </w:pPr>
            <w:r>
              <w:rPr/>
              <w:t>388.45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528" w:name="xdx_98E_eus-gaap--SharebasedCompensation"/>
            <w:bookmarkEnd w:id="528"/>
          </w:p>
        </w:tc>
        <w:tc>
          <w:tcPr>
            <w:tcW w:w="797" w:type="dxa"/>
            <w:tcBorders/>
            <w:shd w:fill="CCEEFF" w:val="clear"/>
            <w:vAlign w:val="center"/>
          </w:tcPr>
          <w:p>
            <w:pPr>
              <w:pStyle w:val="TableContents"/>
              <w:bidi w:val="0"/>
              <w:spacing w:before="0" w:after="283"/>
              <w:jc w:val="right"/>
              <w:rPr/>
            </w:pPr>
            <w:r>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5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9" w:name="xdx_984_eus-gaap--ShareBasedCompensation"/>
            <w:bookmarkEnd w:id="52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105,840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530" w:name="xdx_98D_eus-gaap--ShareBasedCompensation"/>
            <w:bookmarkEnd w:id="530"/>
          </w:p>
        </w:tc>
        <w:tc>
          <w:tcPr>
            <w:tcW w:w="713" w:type="dxa"/>
            <w:tcBorders/>
            <w:shd w:fill="FFFFFF" w:val="clear"/>
            <w:vAlign w:val="center"/>
          </w:tcPr>
          <w:p>
            <w:pPr>
              <w:pStyle w:val="TableContents"/>
              <w:bidi w:val="0"/>
              <w:spacing w:before="0" w:after="283"/>
              <w:jc w:val="right"/>
              <w:rPr/>
            </w:pPr>
            <w:r>
              <w:rPr/>
              <w:t>404.00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531" w:name="xdx_989_eus-gaap--SharebasedCompensation"/>
            <w:bookmarkEnd w:id="531"/>
          </w:p>
        </w:tc>
        <w:tc>
          <w:tcPr>
            <w:tcW w:w="797" w:type="dxa"/>
            <w:tcBorders/>
            <w:shd w:fill="FFFFFF" w:val="clear"/>
            <w:vAlign w:val="center"/>
          </w:tcPr>
          <w:p>
            <w:pPr>
              <w:pStyle w:val="TableContents"/>
              <w:bidi w:val="0"/>
              <w:spacing w:before="0" w:after="283"/>
              <w:jc w:val="right"/>
              <w:rPr/>
            </w:pPr>
            <w:r>
              <w:rPr/>
              <w:t>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p>
        </w:tc>
        <w:tc>
          <w:tcPr>
            <w:tcW w:w="51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left"/>
        <w:rPr>
          <w:caps w:val="false"/>
          <w:smallCaps w:val="false"/>
        </w:rPr>
      </w:pPr>
      <w:bookmarkStart w:id="532" w:name="xdx_8A1_zmon4XM8ssuf"/>
      <w:bookmarkEnd w:id="532"/>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unrecognized stock-based compensation cost for unvested common stock options was $</w:t>
      </w:r>
      <w:bookmarkStart w:id="533" w:name="xdx_90C_eus-gaap--EmployeeServiceShareBa"/>
      <w:bookmarkEnd w:id="533"/>
      <w:r>
        <w:rPr>
          <w:rFonts w:ascii="Times New Roman;Times;Serif" w:hAnsi="Times New Roman;Times;Serif"/>
          <w:b w:val="false"/>
          <w:i w:val="false"/>
          <w:caps w:val="false"/>
          <w:smallCaps w:val="false"/>
          <w:sz w:val="20"/>
        </w:rPr>
        <w:t xml:space="preserve">1.1 million, which is expected to be recognized over a remaining weighted-average period of approximately </w:t>
      </w:r>
      <w:bookmarkStart w:id="534" w:name="xdx_900_eus-gaap--EmployeeServiceShareBa"/>
      <w:bookmarkEnd w:id="534"/>
      <w:r>
        <w:rPr>
          <w:rFonts w:ascii="Times New Roman;Times;Serif" w:hAnsi="Times New Roman;Times;Serif"/>
          <w:b w:val="false"/>
          <w:i w:val="false"/>
          <w:caps w:val="false"/>
          <w:smallCaps w:val="false"/>
          <w:sz w:val="20"/>
        </w:rPr>
        <w:t xml:space="preserve">0.7 years. There were </w:t>
      </w:r>
      <w:bookmarkStart w:id="535" w:name="xdx_90A_eus-gaap--ShareBasedCompensation"/>
      <w:bookmarkEnd w:id="535"/>
      <w:r>
        <w:rPr>
          <w:rFonts w:ascii="Times New Roman;Times;Serif" w:hAnsi="Times New Roman;Times;Serif"/>
          <w:b w:val="false"/>
          <w:i w:val="false"/>
          <w:caps w:val="false"/>
          <w:smallCaps w:val="false"/>
          <w:sz w:val="20"/>
        </w:rPr>
        <w:t>no stock options granted during the six months ended June 30, 2026. The total fair value of options vested during the six months ended June 30, 2026 was $</w:t>
      </w:r>
      <w:bookmarkStart w:id="536" w:name="xdx_903_eus-gaap--SharebasedCompensation"/>
      <w:bookmarkEnd w:id="536"/>
      <w:r>
        <w:rPr>
          <w:rFonts w:ascii="Times New Roman;Times;Serif" w:hAnsi="Times New Roman;Times;Serif"/>
          <w:b w:val="false"/>
          <w:i w:val="false"/>
          <w:caps w:val="false"/>
          <w:smallCaps w:val="false"/>
          <w:sz w:val="20"/>
        </w:rPr>
        <w:t>1.0 million. Upon option exercise, the Company issues new shares of its common stock.</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Employee Stock Purchase Plan (the “ESPP”) permits participants to purchase common stock through payroll deductions of up to </w:t>
      </w:r>
      <w:bookmarkStart w:id="537" w:name="xdx_90B_eus-gaap--SharebasedCompensation"/>
      <w:bookmarkEnd w:id="537"/>
      <w:r>
        <w:rPr>
          <w:rFonts w:ascii="Times New Roman;Times;Serif" w:hAnsi="Times New Roman;Times;Serif"/>
          <w:b w:val="false"/>
          <w:i w:val="false"/>
          <w:caps w:val="false"/>
          <w:smallCaps w:val="false"/>
          <w:sz w:val="20"/>
        </w:rPr>
        <w:t xml:space="preserve">15% of their eligible compensation. As of June 30, 2026 and December 31, 2025, a total of </w:t>
      </w:r>
      <w:bookmarkStart w:id="538" w:name="xdx_901_eus-gaap--CommonStockSharesAutho"/>
      <w:bookmarkEnd w:id="538"/>
      <w:r>
        <w:rPr>
          <w:rFonts w:ascii="Times New Roman;Times;Serif" w:hAnsi="Times New Roman;Times;Serif"/>
          <w:b w:val="false"/>
          <w:i w:val="false"/>
          <w:caps w:val="false"/>
          <w:smallCaps w:val="false"/>
          <w:sz w:val="20"/>
        </w:rPr>
        <w:t xml:space="preserve">77,008 shares and </w:t>
      </w:r>
      <w:bookmarkStart w:id="539" w:name="xdx_905_eus-gaap--CommonStockSharesAutho"/>
      <w:bookmarkEnd w:id="539"/>
      <w:r>
        <w:rPr>
          <w:rFonts w:ascii="Times New Roman;Times;Serif" w:hAnsi="Times New Roman;Times;Serif"/>
          <w:b w:val="false"/>
          <w:i w:val="false"/>
          <w:caps w:val="false"/>
          <w:smallCaps w:val="false"/>
          <w:sz w:val="20"/>
        </w:rPr>
        <w:t xml:space="preserve">60,717 shares, respectively, of common stock were authorized for issuance under the ESPP. The number of shares of common stock authorized for issuance will automatically increase on January 1 of each calendar year, from January 1, 2021 through January 1, 2030 by the least of (i) </w:t>
      </w:r>
      <w:bookmarkStart w:id="540" w:name="xdx_90C_eus-gaap--ShareBasedCompensation"/>
      <w:bookmarkEnd w:id="540"/>
      <w:r>
        <w:rPr>
          <w:rFonts w:ascii="Times New Roman;Times;Serif" w:hAnsi="Times New Roman;Times;Serif"/>
          <w:b w:val="false"/>
          <w:i w:val="false"/>
          <w:caps w:val="false"/>
          <w:smallCaps w:val="false"/>
          <w:sz w:val="20"/>
        </w:rPr>
        <w:t xml:space="preserve">1.0% of the total number of common shares of our common stock outstanding on December 31 of the preceding calendar year (calculated on a fully diluted basis), (ii) </w:t>
      </w:r>
      <w:bookmarkStart w:id="541" w:name="xdx_909_eus-gaap--ShareBasedCompensation"/>
      <w:bookmarkEnd w:id="541"/>
      <w:r>
        <w:rPr>
          <w:rFonts w:ascii="Times New Roman;Times;Serif" w:hAnsi="Times New Roman;Times;Serif"/>
          <w:b w:val="false"/>
          <w:i w:val="false"/>
          <w:caps w:val="false"/>
          <w:smallCaps w:val="false"/>
          <w:sz w:val="20"/>
        </w:rPr>
        <w:t xml:space="preserve">18,593 common shares or (iii) a number determined by the Company’s board of directors that is less than (i) and (ii). The Company issued </w:t>
      </w:r>
      <w:bookmarkStart w:id="542" w:name="xdx_901_eus-gaap--CommonStockSharesIssue"/>
      <w:bookmarkEnd w:id="542"/>
      <w:r>
        <w:rPr>
          <w:rFonts w:ascii="Times New Roman;Times;Serif" w:hAnsi="Times New Roman;Times;Serif"/>
          <w:b w:val="false"/>
          <w:i w:val="false"/>
          <w:caps w:val="false"/>
          <w:smallCaps w:val="false"/>
          <w:sz w:val="20"/>
        </w:rPr>
        <w:t xml:space="preserve">800 and </w:t>
      </w:r>
      <w:bookmarkStart w:id="543" w:name="xdx_908_eus-gaap--CommonStockSharesIssue"/>
      <w:bookmarkEnd w:id="543"/>
      <w:r>
        <w:rPr>
          <w:rFonts w:ascii="Times New Roman;Times;Serif" w:hAnsi="Times New Roman;Times;Serif"/>
          <w:b w:val="false"/>
          <w:i w:val="false"/>
          <w:caps w:val="false"/>
          <w:smallCaps w:val="false"/>
          <w:sz w:val="20"/>
        </w:rPr>
        <w:t xml:space="preserve">2,709 of common stock under the ESPP during the six months ended June 30, 2026 and 2025. As of June 30, 2026, </w:t>
      </w:r>
      <w:bookmarkStart w:id="544" w:name="xdx_900_eus-gaap--CommonStockCapitalShar"/>
      <w:bookmarkEnd w:id="544"/>
      <w:r>
        <w:rPr>
          <w:rFonts w:ascii="Times New Roman;Times;Serif" w:hAnsi="Times New Roman;Times;Serif"/>
          <w:b w:val="false"/>
          <w:i w:val="false"/>
          <w:caps w:val="false"/>
          <w:smallCaps w:val="false"/>
          <w:sz w:val="20"/>
        </w:rPr>
        <w:t>59,278 shares of common stock remained available for issuance under the ESPP. Stock-based compensation expense related to the ESPP for the three and six months ended June 30, 2026 and 2025 was immaterial.</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F-18</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Reserved for Future Issuance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left"/>
        <w:rPr>
          <w:rFonts w:ascii="Times New Roman;Times;Serif" w:hAnsi="Times New Roman;Times;Serif"/>
          <w:b w:val="false"/>
          <w:i w:val="false"/>
          <w:caps w:val="false"/>
          <w:smallCaps w:val="false"/>
          <w:sz w:val="20"/>
        </w:rPr>
      </w:pPr>
      <w:bookmarkStart w:id="545" w:name="xdx_89F_ecustom--ScheduleOfCommonStockRe"/>
      <w:bookmarkEnd w:id="545"/>
      <w:r>
        <w:rPr>
          <w:rFonts w:ascii="Times New Roman;Times;Serif" w:hAnsi="Times New Roman;Times;Serif"/>
          <w:b w:val="false"/>
          <w:i w:val="false"/>
          <w:caps w:val="false"/>
          <w:smallCaps w:val="false"/>
          <w:sz w:val="20"/>
        </w:rPr>
        <w:t>Common stock reserved for future issuance are as follows in common equivalent shares:</w:t>
      </w:r>
    </w:p>
    <w:p>
      <w:pPr>
        <w:pStyle w:val="TextBody"/>
        <w:bidi w:val="0"/>
        <w:spacing w:before="0" w:after="0"/>
        <w:ind w:left="720" w:right="720" w:firstLine="490"/>
        <w:jc w:val="left"/>
        <w:rPr>
          <w:caps w:val="false"/>
          <w:smallCaps w:val="false"/>
        </w:rPr>
      </w:pPr>
      <w:r>
        <w:rPr>
          <w:caps w:val="false"/>
          <w:smallCaps w:val="false"/>
        </w:rPr>
        <w:t> </w:t>
      </w:r>
      <w:bookmarkStart w:id="546" w:name="xdx_8B2_zX4ZjewRxMU4"/>
      <w:bookmarkEnd w:id="546"/>
      <w:r>
        <w:rPr>
          <w:rFonts w:ascii="Times New Roman;Times;Serif" w:hAnsi="Times New Roman;Times;Serif"/>
          <w:b w:val="false"/>
          <w:i w:val="false"/>
          <w:caps w:val="false"/>
          <w:smallCaps w:val="false"/>
          <w:sz w:val="20"/>
        </w:rPr>
        <w:t>Schedule of common stock reserved for future issuance</w:t>
      </w:r>
    </w:p>
    <w:tbl>
      <w:tblPr>
        <w:tblW w:w="8765" w:type="dxa"/>
        <w:jc w:val="left"/>
        <w:tblInd w:w="720" w:type="dxa"/>
        <w:tblLayout w:type="fixed"/>
        <w:tblCellMar>
          <w:top w:w="0" w:type="dxa"/>
          <w:left w:w="0" w:type="dxa"/>
          <w:bottom w:w="0" w:type="dxa"/>
          <w:right w:w="0" w:type="dxa"/>
        </w:tblCellMar>
      </w:tblPr>
      <w:tblGrid>
        <w:gridCol w:w="6640"/>
        <w:gridCol w:w="60"/>
        <w:gridCol w:w="60"/>
        <w:gridCol w:w="800"/>
        <w:gridCol w:w="60"/>
        <w:gridCol w:w="60"/>
        <w:gridCol w:w="70"/>
        <w:gridCol w:w="940"/>
        <w:gridCol w:w="75"/>
      </w:tblGrid>
      <w:tr>
        <w:trPr/>
        <w:tc>
          <w:tcPr>
            <w:tcW w:w="6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c>
          <w:tcPr>
            <w:tcW w:w="75" w:type="dxa"/>
            <w:tcBorders/>
            <w:vAlign w:val="center"/>
          </w:tcPr>
          <w:p>
            <w:pPr>
              <w:pStyle w:val="TableContents"/>
              <w:bidi w:val="0"/>
              <w:spacing w:before="0" w:after="283"/>
              <w:jc w:val="left"/>
              <w:rPr/>
            </w:pPr>
            <w:r>
              <w:rPr/>
              <w:t> </w:t>
            </w:r>
          </w:p>
        </w:tc>
      </w:tr>
      <w:tr>
        <w:trPr/>
        <w:tc>
          <w:tcPr>
            <w:tcW w:w="6640" w:type="dxa"/>
            <w:tcBorders/>
            <w:shd w:fill="CCEEFF" w:val="clear"/>
            <w:vAlign w:val="center"/>
          </w:tcPr>
          <w:p>
            <w:pPr>
              <w:pStyle w:val="TableContents"/>
              <w:bidi w:val="0"/>
              <w:spacing w:before="0" w:after="283"/>
              <w:jc w:val="left"/>
              <w:rPr/>
            </w:pPr>
            <w:r>
              <w:rPr/>
              <w:t>Warrants for the 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7" w:name="xdx_982_ecustom--WarrantForThePurchaseOf"/>
            <w:bookmarkEnd w:id="547"/>
          </w:p>
        </w:tc>
        <w:tc>
          <w:tcPr>
            <w:tcW w:w="800" w:type="dxa"/>
            <w:tcBorders/>
            <w:shd w:fill="CCEEFF" w:val="clear"/>
            <w:vAlign w:val="center"/>
          </w:tcPr>
          <w:p>
            <w:pPr>
              <w:pStyle w:val="TableContents"/>
              <w:bidi w:val="0"/>
              <w:spacing w:before="0" w:after="283"/>
              <w:jc w:val="right"/>
              <w:rPr/>
            </w:pPr>
            <w:r>
              <w:rPr/>
              <w:t>193,581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548" w:name="xdx_982_ecustom--WarrantForThePurchaseOf"/>
            <w:bookmarkEnd w:id="548"/>
          </w:p>
        </w:tc>
        <w:tc>
          <w:tcPr>
            <w:tcW w:w="940" w:type="dxa"/>
            <w:tcBorders/>
            <w:shd w:fill="CCEEFF" w:val="clear"/>
            <w:vAlign w:val="center"/>
          </w:tcPr>
          <w:p>
            <w:pPr>
              <w:pStyle w:val="TableContents"/>
              <w:bidi w:val="0"/>
              <w:spacing w:before="0" w:after="283"/>
              <w:jc w:val="right"/>
              <w:rPr/>
            </w:pPr>
            <w:r>
              <w:rPr/>
              <w:t>193,581</w:t>
            </w:r>
          </w:p>
        </w:tc>
        <w:tc>
          <w:tcPr>
            <w:tcW w:w="75" w:type="dxa"/>
            <w:tcBorders/>
            <w:shd w:fill="CCEE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283"/>
              <w:jc w:val="left"/>
              <w:rPr/>
            </w:pPr>
            <w:r>
              <w:rPr/>
              <w:t>Common stock options and restricted stock units issued and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49" w:name="xdx_983_eus-gaap--CommonStockSharesOutst"/>
            <w:bookmarkEnd w:id="549"/>
          </w:p>
        </w:tc>
        <w:tc>
          <w:tcPr>
            <w:tcW w:w="800" w:type="dxa"/>
            <w:tcBorders/>
            <w:shd w:fill="FFFFFF" w:val="clear"/>
            <w:vAlign w:val="center"/>
          </w:tcPr>
          <w:p>
            <w:pPr>
              <w:pStyle w:val="TableContents"/>
              <w:bidi w:val="0"/>
              <w:spacing w:before="0" w:after="283"/>
              <w:jc w:val="right"/>
              <w:rPr/>
            </w:pPr>
            <w:r>
              <w:rPr/>
              <w:t>171,463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550" w:name="xdx_98A_eus-gaap--CommonStockSharesOutst"/>
            <w:bookmarkEnd w:id="550"/>
          </w:p>
        </w:tc>
        <w:tc>
          <w:tcPr>
            <w:tcW w:w="940" w:type="dxa"/>
            <w:tcBorders/>
            <w:shd w:fill="FFFFFF" w:val="clear"/>
            <w:vAlign w:val="center"/>
          </w:tcPr>
          <w:p>
            <w:pPr>
              <w:pStyle w:val="TableContents"/>
              <w:bidi w:val="0"/>
              <w:spacing w:before="0" w:after="283"/>
              <w:jc w:val="right"/>
              <w:rPr/>
            </w:pPr>
            <w:r>
              <w:rPr/>
              <w:t>166,257</w:t>
            </w:r>
          </w:p>
        </w:tc>
        <w:tc>
          <w:tcPr>
            <w:tcW w:w="75" w:type="dxa"/>
            <w:tcBorders/>
            <w:shd w:fill="FFFFFF" w:val="clear"/>
            <w:vAlign w:val="center"/>
          </w:tcPr>
          <w:p>
            <w:pPr>
              <w:pStyle w:val="TableContents"/>
              <w:bidi w:val="0"/>
              <w:spacing w:before="0" w:after="283"/>
              <w:jc w:val="left"/>
              <w:rPr/>
            </w:pPr>
            <w:r>
              <w:rPr/>
              <w:t> </w:t>
            </w:r>
          </w:p>
        </w:tc>
      </w:tr>
      <w:tr>
        <w:trPr/>
        <w:tc>
          <w:tcPr>
            <w:tcW w:w="6640" w:type="dxa"/>
            <w:tcBorders/>
            <w:shd w:fill="CCEEFF" w:val="clear"/>
            <w:vAlign w:val="center"/>
          </w:tcPr>
          <w:p>
            <w:pPr>
              <w:pStyle w:val="TableContents"/>
              <w:bidi w:val="0"/>
              <w:spacing w:before="0" w:after="283"/>
              <w:jc w:val="left"/>
              <w:rPr/>
            </w:pPr>
            <w:r>
              <w:rPr/>
              <w:t>Awards available for future issuance under the 2020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1" w:name="xdx_985_ecustom--AwardsAvailableForFutur"/>
            <w:bookmarkEnd w:id="551"/>
          </w:p>
        </w:tc>
        <w:tc>
          <w:tcPr>
            <w:tcW w:w="800" w:type="dxa"/>
            <w:tcBorders/>
            <w:shd w:fill="CCEEFF" w:val="clear"/>
            <w:vAlign w:val="center"/>
          </w:tcPr>
          <w:p>
            <w:pPr>
              <w:pStyle w:val="TableContents"/>
              <w:bidi w:val="0"/>
              <w:spacing w:before="0" w:after="283"/>
              <w:jc w:val="right"/>
              <w:rPr/>
            </w:pPr>
            <w:r>
              <w:rPr/>
              <w:t>39,200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bookmarkStart w:id="552" w:name="xdx_989_ecustom--AwardsAvailableForFutur"/>
            <w:bookmarkEnd w:id="552"/>
          </w:p>
        </w:tc>
        <w:tc>
          <w:tcPr>
            <w:tcW w:w="940" w:type="dxa"/>
            <w:tcBorders/>
            <w:shd w:fill="CCEEFF" w:val="clear"/>
            <w:vAlign w:val="center"/>
          </w:tcPr>
          <w:p>
            <w:pPr>
              <w:pStyle w:val="TableContents"/>
              <w:bidi w:val="0"/>
              <w:spacing w:before="0" w:after="283"/>
              <w:jc w:val="right"/>
              <w:rPr/>
            </w:pPr>
            <w:r>
              <w:rPr/>
              <w:t>26,013</w:t>
            </w:r>
          </w:p>
        </w:tc>
        <w:tc>
          <w:tcPr>
            <w:tcW w:w="75" w:type="dxa"/>
            <w:tcBorders/>
            <w:shd w:fill="CCEE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283"/>
              <w:jc w:val="left"/>
              <w:rPr/>
            </w:pPr>
            <w:r>
              <w:rPr/>
              <w:t>Awards available for future issuance under the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53" w:name="xdx_986_ecustom--AwardsAvailableForFutur"/>
            <w:bookmarkEnd w:id="553"/>
          </w:p>
        </w:tc>
        <w:tc>
          <w:tcPr>
            <w:tcW w:w="800" w:type="dxa"/>
            <w:tcBorders/>
            <w:shd w:fill="FFFFFF" w:val="clear"/>
            <w:vAlign w:val="center"/>
          </w:tcPr>
          <w:p>
            <w:pPr>
              <w:pStyle w:val="TableContents"/>
              <w:bidi w:val="0"/>
              <w:spacing w:before="0" w:after="283"/>
              <w:jc w:val="right"/>
              <w:rPr/>
            </w:pPr>
            <w:r>
              <w:rPr/>
              <w:t>59,278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bookmarkStart w:id="554" w:name="xdx_987_ecustom--AwardsAvailableForFutur"/>
            <w:bookmarkEnd w:id="554"/>
          </w:p>
        </w:tc>
        <w:tc>
          <w:tcPr>
            <w:tcW w:w="940" w:type="dxa"/>
            <w:tcBorders/>
            <w:shd w:fill="FFFFFF" w:val="clear"/>
            <w:vAlign w:val="center"/>
          </w:tcPr>
          <w:p>
            <w:pPr>
              <w:pStyle w:val="TableContents"/>
              <w:bidi w:val="0"/>
              <w:spacing w:before="0" w:after="283"/>
              <w:jc w:val="right"/>
              <w:rPr/>
            </w:pPr>
            <w:r>
              <w:rPr/>
              <w:t>43,786</w:t>
            </w:r>
          </w:p>
        </w:tc>
        <w:tc>
          <w:tcPr>
            <w:tcW w:w="75" w:type="dxa"/>
            <w:tcBorders/>
            <w:shd w:fill="FFFFFF" w:val="clear"/>
            <w:vAlign w:val="center"/>
          </w:tcPr>
          <w:p>
            <w:pPr>
              <w:pStyle w:val="TableContents"/>
              <w:bidi w:val="0"/>
              <w:spacing w:before="0" w:after="283"/>
              <w:jc w:val="left"/>
              <w:rPr/>
            </w:pPr>
            <w:r>
              <w:rPr/>
              <w:t> </w:t>
            </w:r>
          </w:p>
        </w:tc>
      </w:tr>
      <w:tr>
        <w:trPr/>
        <w:tc>
          <w:tcPr>
            <w:tcW w:w="6640" w:type="dxa"/>
            <w:tcBorders/>
            <w:shd w:fill="CCEEFF" w:val="clear"/>
            <w:vAlign w:val="center"/>
          </w:tcPr>
          <w:p>
            <w:pPr>
              <w:pStyle w:val="TableContents"/>
              <w:bidi w:val="0"/>
              <w:spacing w:before="0" w:after="283"/>
              <w:jc w:val="left"/>
              <w:rPr/>
            </w:pPr>
            <w:r>
              <w:rPr/>
              <w:t>Shares available for future conversions of PPAs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5" w:name="xdx_984_ecustom--SharesAvailableForFutur"/>
            <w:bookmarkEnd w:id="555"/>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6" w:name="xdx_987_ecustom--SharesAvailableForFutur"/>
            <w:bookmarkEnd w:id="556"/>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136,923</w:t>
            </w:r>
          </w:p>
        </w:tc>
        <w:tc>
          <w:tcPr>
            <w:tcW w:w="75" w:type="dxa"/>
            <w:tcBorders/>
            <w:shd w:fill="CCEEFF" w:val="clear"/>
            <w:vAlign w:val="center"/>
          </w:tcPr>
          <w:p>
            <w:pPr>
              <w:pStyle w:val="TableContents"/>
              <w:bidi w:val="0"/>
              <w:spacing w:before="0" w:after="283"/>
              <w:jc w:val="left"/>
              <w:rPr/>
            </w:pPr>
            <w:r>
              <w:rPr/>
              <w:t> </w:t>
            </w:r>
          </w:p>
        </w:tc>
      </w:tr>
      <w:tr>
        <w:trPr/>
        <w:tc>
          <w:tcPr>
            <w:tcW w:w="6640" w:type="dxa"/>
            <w:tcBorders/>
            <w:shd w:fill="FFFFFF" w:val="clear"/>
            <w:vAlign w:val="center"/>
          </w:tcPr>
          <w:p>
            <w:pPr>
              <w:pStyle w:val="TableContents"/>
              <w:bidi w:val="0"/>
              <w:spacing w:before="0" w:after="283"/>
              <w:jc w:val="left"/>
              <w:rPr/>
            </w:pPr>
            <w:r>
              <w:rPr/>
              <w:t>Total common stock reserved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57" w:name="xdx_986_eus-gaap--CommonStockCapitalShar"/>
            <w:bookmarkEnd w:id="557"/>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463,522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58" w:name="xdx_98D_eus-gaap--CommonStockCapitalShar"/>
            <w:bookmarkEnd w:id="558"/>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566,560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left"/>
        <w:rPr>
          <w:caps w:val="false"/>
          <w:smallCaps w:val="false"/>
        </w:rPr>
      </w:pPr>
      <w:bookmarkStart w:id="559" w:name="xdx_8A7_zrTDRRJ04gef"/>
      <w:bookmarkEnd w:id="559"/>
      <w:r>
        <w:rPr>
          <w:caps w:val="false"/>
          <w:smallCaps w:val="false"/>
        </w:rPr>
        <w:t> </w:t>
      </w:r>
    </w:p>
    <w:p>
      <w:pPr>
        <w:pStyle w:val="TextBody"/>
        <w:bidi w:val="0"/>
        <w:spacing w:before="0" w:after="0"/>
        <w:ind w:left="720" w:right="720" w:firstLine="490"/>
        <w:jc w:val="left"/>
        <w:rPr>
          <w:caps w:val="false"/>
          <w:smallCaps w:val="false"/>
        </w:rPr>
      </w:pPr>
      <w:bookmarkStart w:id="560" w:name="xdx_816_zAYENWHspti3"/>
      <w:bookmarkEnd w:id="560"/>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561" w:name="xdx_804_ecustom--CollaborationLicenseAnd"/>
      <w:bookmarkEnd w:id="561"/>
      <w:r>
        <w:rPr>
          <w:rFonts w:ascii="Times New Roman;Times;Serif" w:hAnsi="Times New Roman;Times;Serif"/>
          <w:b/>
          <w:i w:val="false"/>
          <w:caps w:val="false"/>
          <w:smallCaps w:val="false"/>
          <w:sz w:val="20"/>
        </w:rPr>
        <w:t xml:space="preserve">9. </w:t>
      </w:r>
      <w:bookmarkStart w:id="562" w:name="xdx_82B_zGxxuhxJIyT5"/>
      <w:bookmarkEnd w:id="562"/>
      <w:r>
        <w:rPr>
          <w:rFonts w:ascii="Times New Roman;Times;Serif" w:hAnsi="Times New Roman;Times;Serif"/>
          <w:b/>
          <w:i w:val="false"/>
          <w:caps w:val="false"/>
          <w:smallCaps w:val="false"/>
          <w:sz w:val="20"/>
        </w:rPr>
        <w:t>Collaboration, License and Option Agreements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Co-Development and Collaboration Agreement with BeOne Medicines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 and 2021 and the Company received a total of $</w:t>
      </w:r>
      <w:bookmarkStart w:id="563" w:name="xdx_90A_ecustom--UpfrontNonRefundablePay"/>
      <w:bookmarkEnd w:id="563"/>
      <w:r>
        <w:rPr>
          <w:rFonts w:ascii="Times New Roman;Times;Serif" w:hAnsi="Times New Roman;Times;Serif"/>
          <w:b w:val="false"/>
          <w:i w:val="false"/>
          <w:caps w:val="false"/>
          <w:smallCaps w:val="false"/>
          <w:sz w:val="20"/>
        </w:rPr>
        <w:t>25.0 million in non-refundable payments from BeOne during that time.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w:t>
      </w:r>
      <w:bookmarkStart w:id="564" w:name="xdx_90B_eus-gaap--DeferredRevenueCurrent"/>
      <w:bookmarkEnd w:id="564"/>
      <w:r>
        <w:rPr>
          <w:rFonts w:ascii="Times New Roman;Times;Serif" w:hAnsi="Times New Roman;Times;Serif"/>
          <w:b w:val="false"/>
          <w:i w:val="false"/>
          <w:caps w:val="false"/>
          <w:smallCaps w:val="false"/>
          <w:sz w:val="20"/>
        </w:rPr>
        <w:t>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w:t>
      </w:r>
      <w:bookmarkStart w:id="565" w:name="xdx_909_eus-gaap--Revenues_pn6n6_dxL_c20"/>
      <w:bookmarkStart w:id="566" w:name="xdx_908_eus-gaap--Revenues_pn6n6_dxL_c20"/>
      <w:bookmarkEnd w:id="565"/>
      <w:bookmarkEnd w:id="566"/>
      <w:r>
        <w:rPr>
          <w:rFonts w:ascii="Times New Roman;Times;Serif" w:hAnsi="Times New Roman;Times;Serif"/>
          <w:b w:val="false"/>
          <w:i w:val="false"/>
          <w:caps w:val="false"/>
          <w:smallCaps w:val="false"/>
          <w:sz w:val="20"/>
        </w:rPr>
        <w:t>not recognize any revenue related to the collaboration agreement with BeOne during the three and six months ended June 30, 2026 and 2025. The Company had a $</w:t>
      </w:r>
      <w:bookmarkStart w:id="567" w:name="xdx_90B_ecustom--LiabilityToLicensor_iI_"/>
      <w:bookmarkStart w:id="568" w:name="xdx_903_ecustom--LiabilityToLicensor_iI_"/>
      <w:bookmarkEnd w:id="567"/>
      <w:bookmarkEnd w:id="568"/>
      <w:r>
        <w:rPr>
          <w:rFonts w:ascii="Times New Roman;Times;Serif" w:hAnsi="Times New Roman;Times;Serif"/>
          <w:b w:val="false"/>
          <w:i w:val="false"/>
          <w:caps w:val="false"/>
          <w:smallCaps w:val="false"/>
          <w:sz w:val="20"/>
        </w:rPr>
        <w:t>19.8 million liability to licensor as of June 30, 2026 and December 31, 2025.</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License Agreement with Context Therapeutics Inc.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a Nectin-4 x CD3 T cell engaging (“TCE”) bispecific antibody (the “License”). The Company also transferred know-how, including any necessary materials Context would need to perform research and development. In exchange for the License, the Company is eligible to receive up to $</w:t>
      </w:r>
      <w:bookmarkStart w:id="569" w:name="xdx_901_ecustom--MaximumPotentialAggrega"/>
      <w:bookmarkEnd w:id="569"/>
      <w:r>
        <w:rPr>
          <w:rFonts w:ascii="Times New Roman;Times;Serif" w:hAnsi="Times New Roman;Times;Serif"/>
          <w:b w:val="false"/>
          <w:i w:val="false"/>
          <w:caps w:val="false"/>
          <w:smallCaps w:val="false"/>
          <w:sz w:val="20"/>
        </w:rPr>
        <w:t>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SEZC, a related party (See Note 10).</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F-19</w:t>
      </w:r>
    </w:p>
    <w:p>
      <w:pPr>
        <w:pStyle w:val="TextBody"/>
        <w:bidi w:val="0"/>
        <w:spacing w:before="0" w:after="0"/>
        <w:ind w:left="720" w:right="720" w:hanging="0"/>
        <w:jc w:val="left"/>
        <w:rPr/>
      </w:pPr>
      <w:r>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Topic 606, the Company determined the transaction price of the agreement is limited to the up-front payment received, and excluded the variable consideration of development and sale milestone payments and royalties as they were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would be recognized when the related sales occur. Further, the Company determined that there were no significant financing components, noncash consideration, or amounts that may be refunded to the customer.</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was recognized for development milestone payment received in November 2025.</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the Company entered into a First Amendment (the “Context Amendment”) to the Context License Agreement, by and between the Company and Context. Under the terms of the Context Amendment, and in full consideration for the amended license rights described below, Context agreed to pay to the Company: (i) $</w:t>
      </w:r>
      <w:bookmarkStart w:id="570" w:name="xdx_90C_ecustom--AmendedLicenseAgreement"/>
      <w:bookmarkEnd w:id="570"/>
      <w:r>
        <w:rPr>
          <w:rFonts w:ascii="Times New Roman;Times;Serif" w:hAnsi="Times New Roman;Times;Serif"/>
          <w:b w:val="false"/>
          <w:i w:val="false"/>
          <w:caps w:val="false"/>
          <w:smallCaps w:val="false"/>
          <w:sz w:val="20"/>
        </w:rPr>
        <w:t>4,500,000, payable within five (5) business days of the effective date of the Context Amendment, and (ii) $</w:t>
      </w:r>
      <w:bookmarkStart w:id="571" w:name="xdx_901_ecustom--AmendedLicenseAgreement"/>
      <w:bookmarkEnd w:id="571"/>
      <w:r>
        <w:rPr>
          <w:rFonts w:ascii="Times New Roman;Times;Serif" w:hAnsi="Times New Roman;Times;Serif"/>
          <w:b w:val="false"/>
          <w:i w:val="false"/>
          <w:caps w:val="false"/>
          <w:smallCaps w:val="false"/>
          <w:sz w:val="20"/>
        </w:rPr>
        <w:t>2,000,000, payable by August 1, 2026 (together, the “Amendment Consideration”).</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Consideration was recognized as revenue during the three and six months ended June 30, 2026 as all performance obligations had been previously satisfied. The Amendment Consideration represents consideration for the modification of the existing licensing arrangement and the elimination of future milestone and royalty payment obligations under the Context License Agreement. Accordingly, the Company accounted for the Context Amendment in accordance with ASC 606 contract modification guidance and recognized $6.5 million of revenue. The Amendment Consideration satisfies in full any and all milestone and royalty payment obligations contemplated by the Context License Agreement. In addition, the Context Amendment modified the license granted to Context such that it became irrevocable, exclusive, royalty-free, fully paid-up and non-terminable, and removed any and all diligence obligations with respect to Context.</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revenue related to the Context License Agreement for the three and six months ended June 30, 2025.</w:t>
      </w:r>
    </w:p>
    <w:p>
      <w:pPr>
        <w:pStyle w:val="TextBody"/>
        <w:bidi w:val="0"/>
        <w:spacing w:before="0" w:after="0"/>
        <w:ind w:left="720" w:right="720" w:firstLine="490"/>
        <w:jc w:val="both"/>
        <w:rPr>
          <w:caps w:val="false"/>
          <w:smallCaps w:val="false"/>
        </w:rPr>
      </w:pPr>
      <w:bookmarkStart w:id="572" w:name="xdx_81F_zdwA2p3ttuw6"/>
      <w:bookmarkEnd w:id="572"/>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573" w:name="xdx_802_eus-gaap--RelatedPartyTransactio"/>
      <w:bookmarkEnd w:id="573"/>
      <w:r>
        <w:rPr>
          <w:rFonts w:ascii="Times New Roman;Times;Serif" w:hAnsi="Times New Roman;Times;Serif"/>
          <w:b/>
          <w:i w:val="false"/>
          <w:caps w:val="false"/>
          <w:smallCaps w:val="false"/>
          <w:sz w:val="20"/>
        </w:rPr>
        <w:t xml:space="preserve">10. </w:t>
      </w:r>
      <w:bookmarkStart w:id="574" w:name="xdx_829_z6coKAfNv2U7"/>
      <w:bookmarkEnd w:id="574"/>
      <w:r>
        <w:rPr>
          <w:rFonts w:ascii="Times New Roman;Times;Serif" w:hAnsi="Times New Roman;Times;Serif"/>
          <w:b/>
          <w:i w:val="false"/>
          <w:caps w:val="false"/>
          <w:smallCaps w:val="false"/>
          <w:sz w:val="20"/>
        </w:rPr>
        <w:t>Related Party Transactions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Himalaya Therapeutics SEZC</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Transaction Agreement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bookmarkStart w:id="575" w:name="xdx_90F_ecustom--DescriptionOfAgreementW"/>
      <w:bookmarkEnd w:id="575"/>
      <w:r>
        <w:rPr>
          <w:rFonts w:ascii="Times New Roman;Times;Serif" w:hAnsi="Times New Roman;Times;Serif"/>
          <w:b w:val="false"/>
          <w:i w:val="false"/>
          <w:caps w:val="false"/>
          <w:smallCaps w:val="false"/>
          <w:sz w:val="20"/>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principal in the Context License Agreement and in the Himalaya Agreement, and will record revenues and expenses on a gross basis given that the Company had full discretion in setting consideration</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F-20</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in the Context License Agreement, the Company will be primarily responsible for providing the License, and Himalaya has no obligation to be a part of any of the fulfillment activities.</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w:t>
      </w:r>
      <w:bookmarkStart w:id="576" w:name="xdx_907_eus-gaap--ResearchAndDevelopment"/>
      <w:bookmarkStart w:id="577" w:name="xdx_90C_eus-gaap--ResearchAndDevelopment"/>
      <w:bookmarkEnd w:id="576"/>
      <w:bookmarkEnd w:id="577"/>
      <w:r>
        <w:rPr>
          <w:rFonts w:ascii="Times New Roman;Times;Serif" w:hAnsi="Times New Roman;Times;Serif"/>
          <w:b w:val="false"/>
          <w:i w:val="false"/>
          <w:caps w:val="false"/>
          <w:smallCaps w:val="false"/>
          <w:sz w:val="20"/>
        </w:rPr>
        <w:t>1.0 million in expense related to the transactions with Himalaya. For the three and six months ended June 30, 2025, the Company did not recognize any expense related to the transactions with Himalaya. As of June 30, 2026, the Company had $</w:t>
      </w:r>
      <w:bookmarkStart w:id="578" w:name="xdx_904_ecustom--DueToRelatedParty_iI_pn"/>
      <w:bookmarkEnd w:id="578"/>
      <w:r>
        <w:rPr>
          <w:rFonts w:ascii="Times New Roman;Times;Serif" w:hAnsi="Times New Roman;Times;Serif"/>
          <w:b w:val="false"/>
          <w:i w:val="false"/>
          <w:caps w:val="false"/>
          <w:smallCaps w:val="false"/>
          <w:sz w:val="20"/>
        </w:rPr>
        <w:t>0.3 million due to Himalaya.</w:t>
      </w:r>
    </w:p>
    <w:p>
      <w:pPr>
        <w:pStyle w:val="TextBody"/>
        <w:bidi w:val="0"/>
        <w:spacing w:before="0" w:after="0"/>
        <w:ind w:left="720" w:right="720" w:firstLine="49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 3021 SPV, LLC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June 30, 2026.  The Company determined that BioAtla is the primary beneficiary of the SPV as of December 31, 2025 and June 30, 2026.</w:t>
      </w:r>
    </w:p>
    <w:p>
      <w:pPr>
        <w:pStyle w:val="TextBody"/>
        <w:bidi w:val="0"/>
        <w:spacing w:before="0" w:after="0"/>
        <w:ind w:left="720" w:right="720" w:firstLine="440"/>
        <w:jc w:val="both"/>
        <w:rPr>
          <w:caps w:val="false"/>
          <w:smallCaps w:val="false"/>
        </w:rPr>
      </w:pPr>
      <w:bookmarkStart w:id="579" w:name="xdx_819_zB56LBGfjBja"/>
      <w:bookmarkEnd w:id="579"/>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580" w:name="xdx_80C_eus-gaap--PensionAndOtherPostret"/>
      <w:bookmarkEnd w:id="580"/>
      <w:r>
        <w:rPr>
          <w:rFonts w:ascii="Times New Roman;Times;Serif" w:hAnsi="Times New Roman;Times;Serif"/>
          <w:b/>
          <w:i w:val="false"/>
          <w:caps w:val="false"/>
          <w:smallCaps w:val="false"/>
          <w:sz w:val="20"/>
        </w:rPr>
        <w:t xml:space="preserve">11. </w:t>
      </w:r>
      <w:bookmarkStart w:id="581" w:name="xdx_82F_zUi2pzwcFRLb"/>
      <w:bookmarkEnd w:id="581"/>
      <w:r>
        <w:rPr>
          <w:rFonts w:ascii="Times New Roman;Times;Serif" w:hAnsi="Times New Roman;Times;Serif"/>
          <w:b/>
          <w:i w:val="false"/>
          <w:caps w:val="false"/>
          <w:smallCaps w:val="false"/>
          <w:sz w:val="20"/>
        </w:rPr>
        <w:t>401(k)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w:t>
      </w:r>
      <w:bookmarkStart w:id="582" w:name="xdx_903_eus-gaap--DefinedContributionPla"/>
      <w:bookmarkEnd w:id="582"/>
      <w:r>
        <w:rPr>
          <w:rFonts w:ascii="Times New Roman;Times;Serif" w:hAnsi="Times New Roman;Times;Serif"/>
          <w:b w:val="false"/>
          <w:i w:val="false"/>
          <w:caps w:val="false"/>
          <w:smallCaps w:val="false"/>
          <w:sz w:val="20"/>
        </w:rPr>
        <w:t>not made any matching contributions.</w:t>
      </w:r>
    </w:p>
    <w:p>
      <w:pPr>
        <w:pStyle w:val="TextBody"/>
        <w:bidi w:val="0"/>
        <w:spacing w:before="0" w:after="0"/>
        <w:ind w:left="720" w:right="720" w:firstLine="490"/>
        <w:jc w:val="both"/>
        <w:rPr>
          <w:caps w:val="false"/>
          <w:smallCaps w:val="false"/>
        </w:rPr>
      </w:pPr>
      <w:bookmarkStart w:id="583" w:name="xdx_819_zFVr3a5fvZQl"/>
      <w:bookmarkEnd w:id="583"/>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584" w:name="xdx_80E_eus-gaap--SegmentReportingDisclo"/>
      <w:bookmarkEnd w:id="584"/>
      <w:r>
        <w:rPr>
          <w:rFonts w:ascii="Times New Roman;Times;Serif" w:hAnsi="Times New Roman;Times;Serif"/>
          <w:b/>
          <w:i w:val="false"/>
          <w:caps w:val="false"/>
          <w:smallCaps w:val="false"/>
          <w:sz w:val="20"/>
        </w:rPr>
        <w:t xml:space="preserve">12. </w:t>
      </w:r>
      <w:bookmarkStart w:id="585" w:name="xdx_825_z0Pu6u3wvtWe"/>
      <w:bookmarkEnd w:id="585"/>
      <w:r>
        <w:rPr>
          <w:rFonts w:ascii="Times New Roman;Times;Serif" w:hAnsi="Times New Roman;Times;Serif"/>
          <w:b/>
          <w:i w:val="false"/>
          <w:caps w:val="false"/>
          <w:smallCaps w:val="false"/>
          <w:sz w:val="20"/>
        </w:rPr>
        <w:t>Segment Information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condensed consolidated balance sheets as total assets. The CODM evaluates performance and allocates resources based on consolidated net income or loss that also is reported on the condensed consolidated statements of operations and comprehensive income (loss) as net income (loss), and cash used in operations.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F-21</w:t>
      </w:r>
    </w:p>
    <w:p>
      <w:pPr>
        <w:pStyle w:val="TextBody"/>
        <w:bidi w:val="0"/>
        <w:spacing w:before="0" w:after="0"/>
        <w:ind w:left="720" w:right="720" w:hanging="0"/>
        <w:jc w:val="left"/>
        <w:rPr/>
      </w:pPr>
      <w:r>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586" w:name="xdx_898_eus-gaap--ScheduleOfSegmentRepor"/>
      <w:bookmarkEnd w:id="586"/>
      <w:r>
        <w:rPr>
          <w:rFonts w:ascii="Times New Roman;Times;Serif" w:hAnsi="Times New Roman;Times;Serif"/>
          <w:b w:val="false"/>
          <w:i w:val="false"/>
          <w:caps w:val="false"/>
          <w:smallCaps w:val="false"/>
          <w:sz w:val="20"/>
        </w:rPr>
        <w:t>The following table provides R&amp;D expenses by program with a reconciliation to net income (loss) for the periods indicated, which are regularly reviewed by the CODM:</w:t>
      </w:r>
    </w:p>
    <w:p>
      <w:pPr>
        <w:pStyle w:val="TextBody"/>
        <w:bidi w:val="0"/>
        <w:spacing w:before="0" w:after="0"/>
        <w:ind w:left="720" w:right="720" w:firstLine="446"/>
        <w:jc w:val="both"/>
        <w:rPr>
          <w:caps w:val="false"/>
          <w:smallCaps w:val="false"/>
        </w:rPr>
      </w:pPr>
      <w:r>
        <w:rPr>
          <w:caps w:val="false"/>
          <w:smallCaps w:val="false"/>
        </w:rPr>
        <w:t> </w:t>
      </w:r>
      <w:bookmarkStart w:id="587" w:name="xdx_8BC_znncY99Q2xJ8"/>
      <w:bookmarkEnd w:id="587"/>
      <w:r>
        <w:rPr>
          <w:rFonts w:ascii="Times New Roman;Times;Serif" w:hAnsi="Times New Roman;Times;Serif"/>
          <w:b w:val="false"/>
          <w:i w:val="false"/>
          <w:caps w:val="false"/>
          <w:smallCaps w:val="false"/>
          <w:sz w:val="20"/>
        </w:rPr>
        <w:t>Schedule of segment expenses reviewed by the CDMO</w:t>
      </w:r>
    </w:p>
    <w:tbl>
      <w:tblPr>
        <w:tblW w:w="8765" w:type="dxa"/>
        <w:jc w:val="left"/>
        <w:tblInd w:w="720" w:type="dxa"/>
        <w:tblLayout w:type="fixed"/>
        <w:tblCellMar>
          <w:top w:w="0" w:type="dxa"/>
          <w:left w:w="0" w:type="dxa"/>
          <w:bottom w:w="0" w:type="dxa"/>
          <w:right w:w="0" w:type="dxa"/>
        </w:tblCellMar>
      </w:tblPr>
      <w:tblGrid>
        <w:gridCol w:w="4900"/>
        <w:gridCol w:w="60"/>
        <w:gridCol w:w="140"/>
        <w:gridCol w:w="560"/>
        <w:gridCol w:w="60"/>
        <w:gridCol w:w="60"/>
        <w:gridCol w:w="140"/>
        <w:gridCol w:w="755"/>
        <w:gridCol w:w="95"/>
        <w:gridCol w:w="60"/>
        <w:gridCol w:w="140"/>
        <w:gridCol w:w="635"/>
        <w:gridCol w:w="95"/>
        <w:gridCol w:w="60"/>
        <w:gridCol w:w="140"/>
        <w:gridCol w:w="755"/>
        <w:gridCol w:w="110"/>
      </w:tblGrid>
      <w:tr>
        <w:trPr/>
        <w:tc>
          <w:tcPr>
            <w:tcW w:w="4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w:t>
              <w:br/>
              <w:t>June 30,</w:t>
            </w:r>
          </w:p>
        </w:tc>
        <w:tc>
          <w:tcPr>
            <w:tcW w:w="110" w:type="dxa"/>
            <w:tcBorders/>
            <w:vAlign w:val="center"/>
          </w:tcPr>
          <w:p>
            <w:pPr>
              <w:pStyle w:val="TableContents"/>
              <w:bidi w:val="0"/>
              <w:spacing w:before="0" w:after="283"/>
              <w:jc w:val="left"/>
              <w:rPr/>
            </w:pPr>
            <w:r>
              <w:rPr/>
              <w:t> </w:t>
            </w:r>
          </w:p>
        </w:tc>
      </w:tr>
      <w:tr>
        <w:trPr/>
        <w:tc>
          <w:tcPr>
            <w:tcW w:w="4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110" w:type="dxa"/>
            <w:tcBorders/>
            <w:vAlign w:val="center"/>
          </w:tcPr>
          <w:p>
            <w:pPr>
              <w:pStyle w:val="TableContents"/>
              <w:bidi w:val="0"/>
              <w:spacing w:before="0" w:after="283"/>
              <w:jc w:val="left"/>
              <w:rPr/>
            </w:pPr>
            <w:r>
              <w:rPr/>
              <w:t> </w:t>
            </w:r>
          </w:p>
        </w:tc>
      </w:tr>
      <w:tr>
        <w:trPr/>
        <w:tc>
          <w:tcPr>
            <w:tcW w:w="4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5" w:type="dxa"/>
            <w:gridSpan w:val="6"/>
            <w:tcBorders/>
            <w:vAlign w:val="center"/>
          </w:tcPr>
          <w:p>
            <w:pPr>
              <w:pStyle w:val="TableContents"/>
              <w:bidi w:val="0"/>
              <w:spacing w:before="0" w:after="283"/>
              <w:jc w:val="center"/>
              <w:rPr>
                <w:b/>
                <w:sz w:val="16"/>
              </w:rPr>
            </w:pPr>
            <w:r>
              <w:rPr>
                <w:b/>
                <w:sz w:val="16"/>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sz w:val="16"/>
              </w:rPr>
            </w:pPr>
            <w:r>
              <w:rPr>
                <w:b/>
                <w:sz w:val="16"/>
              </w:rPr>
              <w:t>(in thousands)</w:t>
            </w:r>
          </w:p>
        </w:tc>
        <w:tc>
          <w:tcPr>
            <w:tcW w:w="110" w:type="dxa"/>
            <w:tcBorders/>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88" w:name="xdx_98C_eus-gaap--RevenueFromCollaborati"/>
            <w:bookmarkEnd w:id="588"/>
          </w:p>
        </w:tc>
        <w:tc>
          <w:tcPr>
            <w:tcW w:w="560" w:type="dxa"/>
            <w:tcBorders/>
            <w:shd w:fill="CCEEFF" w:val="clear"/>
            <w:vAlign w:val="center"/>
          </w:tcPr>
          <w:p>
            <w:pPr>
              <w:pStyle w:val="TableContents"/>
              <w:bidi w:val="0"/>
              <w:spacing w:before="0" w:after="283"/>
              <w:jc w:val="right"/>
              <w:rPr/>
            </w:pPr>
            <w:r>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89" w:name="xdx_98A_eus-gaap--RevenueFromCollaborati"/>
            <w:bookmarkEnd w:id="589"/>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0" w:name="xdx_98F_eus-gaap--RevenueFromCollaborati"/>
            <w:bookmarkEnd w:id="590"/>
          </w:p>
        </w:tc>
        <w:tc>
          <w:tcPr>
            <w:tcW w:w="635" w:type="dxa"/>
            <w:tcBorders/>
            <w:shd w:fill="CCEEFF" w:val="clear"/>
            <w:vAlign w:val="center"/>
          </w:tcPr>
          <w:p>
            <w:pPr>
              <w:pStyle w:val="TableContents"/>
              <w:bidi w:val="0"/>
              <w:spacing w:before="0" w:after="283"/>
              <w:jc w:val="right"/>
              <w:rPr/>
            </w:pPr>
            <w:r>
              <w:rPr/>
              <w:t>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1" w:name="xdx_988_eus-gaap--RevenueFromCollaborati"/>
            <w:bookmarkEnd w:id="591"/>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Program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BA3182 (CAB EpCAM x CAB CD3)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2" w:name="xdx_983_eus-gaap--ResearchAndDevelopment"/>
            <w:bookmarkEnd w:id="592"/>
          </w:p>
        </w:tc>
        <w:tc>
          <w:tcPr>
            <w:tcW w:w="560" w:type="dxa"/>
            <w:tcBorders/>
            <w:shd w:fill="CCEEFF" w:val="clear"/>
            <w:vAlign w:val="center"/>
          </w:tcPr>
          <w:p>
            <w:pPr>
              <w:pStyle w:val="TableContents"/>
              <w:bidi w:val="0"/>
              <w:spacing w:before="0" w:after="283"/>
              <w:jc w:val="right"/>
              <w:rPr/>
            </w:pPr>
            <w:r>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3" w:name="xdx_98D_eus-gaap--ResearchAndDevelopment"/>
            <w:bookmarkEnd w:id="593"/>
          </w:p>
        </w:tc>
        <w:tc>
          <w:tcPr>
            <w:tcW w:w="755" w:type="dxa"/>
            <w:tcBorders/>
            <w:shd w:fill="CCEEFF" w:val="clear"/>
            <w:vAlign w:val="center"/>
          </w:tcPr>
          <w:p>
            <w:pPr>
              <w:pStyle w:val="TableContents"/>
              <w:bidi w:val="0"/>
              <w:spacing w:before="0" w:after="283"/>
              <w:jc w:val="right"/>
              <w:rPr/>
            </w:pPr>
            <w:r>
              <w:rPr/>
              <w:t>2,136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4" w:name="xdx_983_eus-gaap--ResearchAndDevelopment"/>
            <w:bookmarkEnd w:id="594"/>
          </w:p>
        </w:tc>
        <w:tc>
          <w:tcPr>
            <w:tcW w:w="635" w:type="dxa"/>
            <w:tcBorders/>
            <w:shd w:fill="CCEEFF" w:val="clear"/>
            <w:vAlign w:val="center"/>
          </w:tcPr>
          <w:p>
            <w:pPr>
              <w:pStyle w:val="TableContents"/>
              <w:bidi w:val="0"/>
              <w:spacing w:before="0" w:after="283"/>
              <w:jc w:val="right"/>
              <w:rPr/>
            </w:pPr>
            <w:r>
              <w:rPr/>
              <w:t>2,141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95" w:name="xdx_987_eus-gaap--ResearchAndDevelopment"/>
            <w:bookmarkEnd w:id="595"/>
          </w:p>
        </w:tc>
        <w:tc>
          <w:tcPr>
            <w:tcW w:w="755" w:type="dxa"/>
            <w:tcBorders/>
            <w:shd w:fill="CCEEFF" w:val="clear"/>
            <w:vAlign w:val="center"/>
          </w:tcPr>
          <w:p>
            <w:pPr>
              <w:pStyle w:val="TableContents"/>
              <w:bidi w:val="0"/>
              <w:spacing w:before="0" w:after="283"/>
              <w:jc w:val="right"/>
              <w:rPr/>
            </w:pPr>
            <w:r>
              <w:rPr/>
              <w:t>3,076</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Other CAB Programs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6" w:name="xdx_984_eus-gaap--ResearchAndDevelopment"/>
            <w:bookmarkEnd w:id="596"/>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7" w:name="xdx_98F_eus-gaap--ResearchAndDevelopment"/>
            <w:bookmarkEnd w:id="597"/>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8" w:name="xdx_980_eus-gaap--ResearchAndDevelopment"/>
            <w:bookmarkEnd w:id="598"/>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9" w:name="xdx_98A_eus-gaap--ResearchAndDevelopment"/>
            <w:bookmarkEnd w:id="599"/>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14,300</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Total program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0" w:name="xdx_988_eus-gaap--ResearchAndDevelopment"/>
            <w:bookmarkEnd w:id="600"/>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1" w:name="xdx_987_eus-gaap--ResearchAndDevelopment"/>
            <w:bookmarkEnd w:id="601"/>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2" w:name="xdx_983_eus-gaap--ResearchAndDevelopment"/>
            <w:bookmarkEnd w:id="602"/>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3" w:name="xdx_987_eus-gaap--ResearchAndDevelopment"/>
            <w:bookmarkEnd w:id="603"/>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17,376</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Personnel and related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4" w:name="xdx_98C_eus-gaap--ResearchAndDevelopment"/>
            <w:bookmarkEnd w:id="604"/>
          </w:p>
        </w:tc>
        <w:tc>
          <w:tcPr>
            <w:tcW w:w="560" w:type="dxa"/>
            <w:tcBorders/>
            <w:shd w:fill="FFFFFF" w:val="clear"/>
            <w:vAlign w:val="center"/>
          </w:tcPr>
          <w:p>
            <w:pPr>
              <w:pStyle w:val="TableContents"/>
              <w:bidi w:val="0"/>
              <w:spacing w:before="0" w:after="283"/>
              <w:jc w:val="right"/>
              <w:rPr/>
            </w:pPr>
            <w:r>
              <w:rPr/>
              <w:t>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5" w:name="xdx_98E_eus-gaap--ResearchAndDevelopment"/>
            <w:bookmarkEnd w:id="605"/>
          </w:p>
        </w:tc>
        <w:tc>
          <w:tcPr>
            <w:tcW w:w="755" w:type="dxa"/>
            <w:tcBorders/>
            <w:shd w:fill="FFFFFF" w:val="clear"/>
            <w:vAlign w:val="center"/>
          </w:tcPr>
          <w:p>
            <w:pPr>
              <w:pStyle w:val="TableContents"/>
              <w:bidi w:val="0"/>
              <w:spacing w:before="0" w:after="283"/>
              <w:jc w:val="right"/>
              <w:rPr/>
            </w:pPr>
            <w:r>
              <w:rPr/>
              <w:t>2,145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6" w:name="xdx_988_eus-gaap--ResearchAndDevelopment"/>
            <w:bookmarkEnd w:id="606"/>
          </w:p>
        </w:tc>
        <w:tc>
          <w:tcPr>
            <w:tcW w:w="635" w:type="dxa"/>
            <w:tcBorders/>
            <w:shd w:fill="FFFFFF" w:val="clear"/>
            <w:vAlign w:val="center"/>
          </w:tcPr>
          <w:p>
            <w:pPr>
              <w:pStyle w:val="TableContents"/>
              <w:bidi w:val="0"/>
              <w:spacing w:before="0" w:after="283"/>
              <w:jc w:val="right"/>
              <w:rPr/>
            </w:pPr>
            <w:r>
              <w:rPr/>
              <w:t>2,248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7" w:name="xdx_981_eus-gaap--ResearchAndDevelopment"/>
            <w:bookmarkEnd w:id="607"/>
          </w:p>
        </w:tc>
        <w:tc>
          <w:tcPr>
            <w:tcW w:w="755" w:type="dxa"/>
            <w:tcBorders/>
            <w:shd w:fill="FFFFFF" w:val="clear"/>
            <w:vAlign w:val="center"/>
          </w:tcPr>
          <w:p>
            <w:pPr>
              <w:pStyle w:val="TableContents"/>
              <w:bidi w:val="0"/>
              <w:spacing w:before="0" w:after="283"/>
              <w:jc w:val="right"/>
              <w:rPr/>
            </w:pPr>
            <w:r>
              <w:rPr/>
              <w:t>5,603</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Equity-based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08" w:name="xdx_982_eus-gaap--ResearchAndDevelopment"/>
            <w:bookmarkEnd w:id="608"/>
          </w:p>
        </w:tc>
        <w:tc>
          <w:tcPr>
            <w:tcW w:w="560" w:type="dxa"/>
            <w:tcBorders/>
            <w:shd w:fill="CCEEFF" w:val="clear"/>
            <w:vAlign w:val="center"/>
          </w:tcPr>
          <w:p>
            <w:pPr>
              <w:pStyle w:val="TableContents"/>
              <w:bidi w:val="0"/>
              <w:spacing w:before="0" w:after="283"/>
              <w:jc w:val="right"/>
              <w:rPr/>
            </w:pPr>
            <w:r>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09" w:name="xdx_983_eus-gaap--ResearchAndDevelopment"/>
            <w:bookmarkEnd w:id="609"/>
          </w:p>
        </w:tc>
        <w:tc>
          <w:tcPr>
            <w:tcW w:w="755" w:type="dxa"/>
            <w:tcBorders/>
            <w:shd w:fill="CCEEFF" w:val="clear"/>
            <w:vAlign w:val="center"/>
          </w:tcPr>
          <w:p>
            <w:pPr>
              <w:pStyle w:val="TableContents"/>
              <w:bidi w:val="0"/>
              <w:spacing w:before="0" w:after="283"/>
              <w:jc w:val="right"/>
              <w:rPr/>
            </w:pPr>
            <w:r>
              <w:rPr/>
              <w:t>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10" w:name="xdx_98A_eus-gaap--ResearchAndDevelopment"/>
            <w:bookmarkEnd w:id="610"/>
          </w:p>
        </w:tc>
        <w:tc>
          <w:tcPr>
            <w:tcW w:w="635" w:type="dxa"/>
            <w:tcBorders/>
            <w:shd w:fill="CCEEFF" w:val="cle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11" w:name="xdx_983_eus-gaap--ResearchAndDevelopment"/>
            <w:bookmarkEnd w:id="611"/>
          </w:p>
        </w:tc>
        <w:tc>
          <w:tcPr>
            <w:tcW w:w="755" w:type="dxa"/>
            <w:tcBorders/>
            <w:shd w:fill="CCEEFF" w:val="clear"/>
            <w:vAlign w:val="center"/>
          </w:tcPr>
          <w:p>
            <w:pPr>
              <w:pStyle w:val="TableContents"/>
              <w:bidi w:val="0"/>
              <w:spacing w:before="0" w:after="283"/>
              <w:jc w:val="right"/>
              <w:rPr/>
            </w:pPr>
            <w:r>
              <w:rPr/>
              <w:t>1,342</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Facilities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2" w:name="xdx_98C_eus-gaap--ResearchAndDevelopment"/>
            <w:bookmarkEnd w:id="612"/>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3" w:name="xdx_98A_eus-gaap--ResearchAndDevelopment"/>
            <w:bookmarkEnd w:id="613"/>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4" w:name="xdx_98E_eus-gaap--ResearchAndDevelopment"/>
            <w:bookmarkEnd w:id="614"/>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5" w:name="xdx_987_eus-gaap--ResearchAndDevelopment"/>
            <w:bookmarkEnd w:id="615"/>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1,718</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6" w:name="xdx_98E_eus-gaap--ResearchAndDevelopment"/>
            <w:bookmarkEnd w:id="616"/>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7" w:name="xdx_981_eus-gaap--ResearchAndDevelopment"/>
            <w:bookmarkEnd w:id="617"/>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8" w:name="xdx_98C_eus-gaap--ResearchAndDevelopment"/>
            <w:bookmarkEnd w:id="618"/>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19" w:name="xdx_984_eus-gaap--ResearchAndDevelopment"/>
            <w:bookmarkEnd w:id="619"/>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26,039</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Personnel and related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0" w:name="xdx_98E_eus-gaap--GeneralAndAdministrati"/>
            <w:bookmarkEnd w:id="620"/>
          </w:p>
        </w:tc>
        <w:tc>
          <w:tcPr>
            <w:tcW w:w="560" w:type="dxa"/>
            <w:tcBorders/>
            <w:shd w:fill="CCEEFF" w:val="clear"/>
            <w:vAlign w:val="center"/>
          </w:tcPr>
          <w:p>
            <w:pPr>
              <w:pStyle w:val="TableContents"/>
              <w:bidi w:val="0"/>
              <w:spacing w:before="0" w:after="283"/>
              <w:jc w:val="right"/>
              <w:rPr/>
            </w:pPr>
            <w:r>
              <w:rPr/>
              <w:t>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1" w:name="xdx_982_eus-gaap--GeneralAndAdministrati"/>
            <w:bookmarkEnd w:id="621"/>
          </w:p>
        </w:tc>
        <w:tc>
          <w:tcPr>
            <w:tcW w:w="755" w:type="dxa"/>
            <w:tcBorders/>
            <w:shd w:fill="CCEEFF" w:val="clear"/>
            <w:vAlign w:val="center"/>
          </w:tcPr>
          <w:p>
            <w:pPr>
              <w:pStyle w:val="TableContents"/>
              <w:bidi w:val="0"/>
              <w:spacing w:before="0" w:after="283"/>
              <w:jc w:val="right"/>
              <w:rPr/>
            </w:pPr>
            <w:r>
              <w:rPr/>
              <w:t>1,577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2" w:name="xdx_980_eus-gaap--GeneralAndAdministrati"/>
            <w:bookmarkEnd w:id="622"/>
          </w:p>
        </w:tc>
        <w:tc>
          <w:tcPr>
            <w:tcW w:w="635" w:type="dxa"/>
            <w:tcBorders/>
            <w:shd w:fill="CCEEFF" w:val="clear"/>
            <w:vAlign w:val="center"/>
          </w:tcPr>
          <w:p>
            <w:pPr>
              <w:pStyle w:val="TableContents"/>
              <w:bidi w:val="0"/>
              <w:spacing w:before="0" w:after="283"/>
              <w:jc w:val="right"/>
              <w:rPr/>
            </w:pPr>
            <w:r>
              <w:rPr/>
              <w:t>1,910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23" w:name="xdx_98E_eus-gaap--GeneralAndAdministrati"/>
            <w:bookmarkEnd w:id="623"/>
          </w:p>
        </w:tc>
        <w:tc>
          <w:tcPr>
            <w:tcW w:w="755" w:type="dxa"/>
            <w:tcBorders/>
            <w:shd w:fill="CCEEFF" w:val="clear"/>
            <w:vAlign w:val="center"/>
          </w:tcPr>
          <w:p>
            <w:pPr>
              <w:pStyle w:val="TableContents"/>
              <w:bidi w:val="0"/>
              <w:spacing w:before="0" w:after="283"/>
              <w:jc w:val="right"/>
              <w:rPr/>
            </w:pPr>
            <w:r>
              <w:rPr/>
              <w:t>3,680</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Equity-based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4" w:name="xdx_988_eus-gaap--GeneralAndAdministrati"/>
            <w:bookmarkEnd w:id="624"/>
          </w:p>
        </w:tc>
        <w:tc>
          <w:tcPr>
            <w:tcW w:w="560" w:type="dxa"/>
            <w:tcBorders/>
            <w:shd w:fill="FFFFFF" w:val="clear"/>
            <w:vAlign w:val="center"/>
          </w:tcPr>
          <w:p>
            <w:pPr>
              <w:pStyle w:val="TableContents"/>
              <w:bidi w:val="0"/>
              <w:spacing w:before="0" w:after="283"/>
              <w:jc w:val="right"/>
              <w:rPr/>
            </w:pPr>
            <w:r>
              <w:rPr/>
              <w:t>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5" w:name="xdx_98B_eus-gaap--GeneralAndAdministrati"/>
            <w:bookmarkEnd w:id="625"/>
          </w:p>
        </w:tc>
        <w:tc>
          <w:tcPr>
            <w:tcW w:w="755" w:type="dxa"/>
            <w:tcBorders/>
            <w:shd w:fill="FFFFFF" w:val="clear"/>
            <w:vAlign w:val="center"/>
          </w:tcPr>
          <w:p>
            <w:pPr>
              <w:pStyle w:val="TableContents"/>
              <w:bidi w:val="0"/>
              <w:spacing w:before="0" w:after="283"/>
              <w:jc w:val="right"/>
              <w:rPr/>
            </w:pPr>
            <w:r>
              <w:rPr/>
              <w:t>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6" w:name="xdx_988_eus-gaap--GeneralAndAdministrati"/>
            <w:bookmarkEnd w:id="626"/>
          </w:p>
        </w:tc>
        <w:tc>
          <w:tcPr>
            <w:tcW w:w="635" w:type="dxa"/>
            <w:tcBorders/>
            <w:shd w:fill="FFFFFF" w:val="clear"/>
            <w:vAlign w:val="center"/>
          </w:tcPr>
          <w:p>
            <w:pPr>
              <w:pStyle w:val="TableContents"/>
              <w:bidi w:val="0"/>
              <w:spacing w:before="0" w:after="283"/>
              <w:jc w:val="right"/>
              <w:rPr/>
            </w:pPr>
            <w:r>
              <w:rPr/>
              <w:t>1,119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27" w:name="xdx_98E_eus-gaap--GeneralAndAdministrati"/>
            <w:bookmarkEnd w:id="627"/>
          </w:p>
        </w:tc>
        <w:tc>
          <w:tcPr>
            <w:tcW w:w="755"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Facilities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8" w:name="xdx_98E_eus-gaap--GeneralAndAdministrati"/>
            <w:bookmarkEnd w:id="628"/>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9" w:name="xdx_98D_eus-gaap--GeneralAndAdministrati"/>
            <w:bookmarkEnd w:id="629"/>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0" w:name="xdx_981_eus-gaap--GeneralAndAdministrati"/>
            <w:bookmarkEnd w:id="630"/>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1" w:name="xdx_983_eus-gaap--GeneralAndAdministrati"/>
            <w:bookmarkEnd w:id="631"/>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4,862</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2" w:name="xdx_980_eus-gaap--GeneralAndAdministrati"/>
            <w:bookmarkEnd w:id="632"/>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3" w:name="xdx_98D_eus-gaap--GeneralAndAdministrati"/>
            <w:bookmarkEnd w:id="633"/>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4" w:name="xdx_986_eus-gaap--GeneralAndAdministrati"/>
            <w:bookmarkEnd w:id="634"/>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5" w:name="xdx_989_eus-gaap--GeneralAndAdministrati"/>
            <w:bookmarkEnd w:id="635"/>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10,222</w:t>
            </w:r>
          </w:p>
        </w:tc>
        <w:tc>
          <w:tcPr>
            <w:tcW w:w="110" w:type="dxa"/>
            <w:tcBorders/>
            <w:shd w:fill="FFFFFF" w:val="clear"/>
            <w:vAlign w:val="center"/>
          </w:tcPr>
          <w:p>
            <w:pPr>
              <w:pStyle w:val="TableContents"/>
              <w:bidi w:val="0"/>
              <w:spacing w:before="0" w:after="283"/>
              <w:jc w:val="left"/>
              <w:rPr/>
            </w:pPr>
            <w:r>
              <w:rPr/>
              <w:t> </w:t>
            </w:r>
          </w:p>
        </w:tc>
      </w:tr>
      <w:tr>
        <w:trPr/>
        <w:tc>
          <w:tcPr>
            <w:tcW w:w="4900" w:type="dxa"/>
            <w:tcBorders/>
            <w:shd w:fill="CCEEFF" w:val="clear"/>
            <w:vAlign w:val="center"/>
          </w:tcPr>
          <w:p>
            <w:pPr>
              <w:pStyle w:val="TableContents"/>
              <w:bidi w:val="0"/>
              <w:spacing w:before="0" w:after="283"/>
              <w:jc w:val="left"/>
              <w:rPr/>
            </w:pPr>
            <w:r>
              <w:rPr/>
              <w:t>Interest and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6" w:name="xdx_980_eus-gaap--OtherNonoperatingIncom"/>
            <w:bookmarkEnd w:id="636"/>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7" w:name="xdx_988_eus-gaap--OtherNonoperatingIncom"/>
            <w:bookmarkEnd w:id="637"/>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8" w:name="xdx_989_eus-gaap--OtherNonoperatingIncom"/>
            <w:bookmarkEnd w:id="638"/>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9" w:name="xdx_98B_eus-gaap--OtherNonoperatingIncom"/>
            <w:bookmarkEnd w:id="639"/>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2,216</w:t>
            </w:r>
          </w:p>
        </w:tc>
        <w:tc>
          <w:tcPr>
            <w:tcW w:w="110" w:type="dxa"/>
            <w:tcBorders/>
            <w:shd w:fill="CCEEFF" w:val="clear"/>
            <w:vAlign w:val="center"/>
          </w:tcPr>
          <w:p>
            <w:pPr>
              <w:pStyle w:val="TableContents"/>
              <w:bidi w:val="0"/>
              <w:spacing w:before="0" w:after="283"/>
              <w:jc w:val="left"/>
              <w:rPr/>
            </w:pPr>
            <w:r>
              <w:rPr/>
              <w:t> </w:t>
            </w:r>
          </w:p>
        </w:tc>
      </w:tr>
      <w:tr>
        <w:trPr/>
        <w:tc>
          <w:tcPr>
            <w:tcW w:w="4900" w:type="dxa"/>
            <w:tcBorders/>
            <w:shd w:fill="FFFFFF" w:val="clear"/>
            <w:vAlign w:val="center"/>
          </w:tcPr>
          <w:p>
            <w:pPr>
              <w:pStyle w:val="TableContents"/>
              <w:bidi w:val="0"/>
              <w:spacing w:before="0" w:after="283"/>
              <w:jc w:val="left"/>
              <w:rPr/>
            </w:pPr>
            <w:r>
              <w:rPr/>
              <w:t>Net income (loss) and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0" w:name="xdx_98E_eus-gaap--NetIncomeLoss_pn3n3_c2"/>
            <w:bookmarkEnd w:id="640"/>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1" w:name="xdx_983_eus-gaap--NetIncomeLoss_pn3n3_c2"/>
            <w:bookmarkEnd w:id="641"/>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2" w:name="xdx_987_eus-gaap--NetIncomeLoss_pn3n3_c2"/>
            <w:bookmarkEnd w:id="642"/>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43" w:name="xdx_98D_eus-gaap--NetIncomeLoss_pn3n3_c2"/>
            <w:bookmarkEnd w:id="643"/>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(34,045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720" w:after="720"/>
        <w:ind w:left="720" w:right="720" w:hanging="0"/>
        <w:jc w:val="left"/>
        <w:rPr/>
      </w:pPr>
      <w:bookmarkStart w:id="644" w:name="xdx_812_zz8f6FM1sxW4"/>
      <w:bookmarkStart w:id="645" w:name="xdx_8A7_z5xvOgrjwhLi"/>
      <w:bookmarkEnd w:id="644"/>
      <w:bookmarkEnd w:id="645"/>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646" w:name="xdx_80A_eus-gaap--SubsequentEventsTextBl"/>
      <w:bookmarkEnd w:id="646"/>
      <w:r>
        <w:rPr>
          <w:rFonts w:ascii="Times New Roman;Times;Serif" w:hAnsi="Times New Roman;Times;Serif"/>
          <w:b/>
          <w:i w:val="false"/>
          <w:caps w:val="false"/>
          <w:smallCaps w:val="false"/>
          <w:sz w:val="20"/>
        </w:rPr>
        <w:t xml:space="preserve">13. </w:t>
      </w:r>
      <w:bookmarkStart w:id="647" w:name="xdx_829_zJU4orB7aIYj"/>
      <w:bookmarkEnd w:id="647"/>
      <w:r>
        <w:rPr>
          <w:rFonts w:ascii="Times New Roman;Times;Serif" w:hAnsi="Times New Roman;Times;Serif"/>
          <w:b/>
          <w:i w:val="false"/>
          <w:caps w:val="false"/>
          <w:smallCaps w:val="false"/>
          <w:sz w:val="20"/>
        </w:rPr>
        <w:t>Subsequent Events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condensed consolidated financial statements for the three and six months ended June 30, 2026, the Company has completed an evaluation of all subsequent events through August 13, 2026, which represents the date the condensed consolidated financial statements were issued, for events requiring adjustment to or disclosure in the financial statements. The Company has further evaluated subsequent events for disclosure purposes through October 19, 2026. Except as described below or elsewhere in these condensed consolidated financial statements, the Company has concluded that no subsequent event has occurred that requires disclosure or adjustment to the financial statements.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965"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 with Context Therapeutics Inc.</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Context Amendment, the Company received the additional $</w:t>
      </w:r>
      <w:bookmarkStart w:id="648" w:name="xdx_904_ecustom--AmendedLicenseAgreement"/>
      <w:bookmarkEnd w:id="648"/>
      <w:r>
        <w:rPr>
          <w:rFonts w:ascii="Times New Roman;Times;Serif" w:hAnsi="Times New Roman;Times;Serif"/>
          <w:b w:val="false"/>
          <w:i w:val="false"/>
          <w:caps w:val="false"/>
          <w:smallCaps w:val="false"/>
          <w:sz w:val="20"/>
        </w:rPr>
        <w:t>2.0 million payment from Context that was due by August 1, 2026.</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965"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the Company was notified that a determination was made to delist the Company’s common stock, par value $</w:t>
      </w:r>
      <w:bookmarkStart w:id="649" w:name="xdx_908_eus-gaap--CommonStockParOrStated"/>
      <w:bookmarkEnd w:id="649"/>
      <w:r>
        <w:rPr>
          <w:rFonts w:ascii="Times New Roman;Times;Serif" w:hAnsi="Times New Roman;Times;Serif"/>
          <w:b w:val="false"/>
          <w:i w:val="false"/>
          <w:caps w:val="false"/>
          <w:smallCaps w:val="false"/>
          <w:sz w:val="20"/>
        </w:rPr>
        <w:t>0.0001 per share (the “Common Stock”), from Nasdaq. Trading of the Common Stock on Nasdaq was suspended at the opening of business on August 31, 2026. On August 31, 2026, the Common Stock began to be quoted on the OTC Markets system under its current trading symbol “BCAB”. The Common Stock is currently quoted on the OTCQB Venture Market.</w:t>
      </w:r>
    </w:p>
    <w:p>
      <w:pPr>
        <w:pStyle w:val="TextBody"/>
        <w:bidi w:val="0"/>
        <w:spacing w:before="0" w:after="0"/>
        <w:ind w:left="965" w:right="720" w:firstLine="440"/>
        <w:jc w:val="both"/>
        <w:rPr>
          <w:caps w:val="false"/>
          <w:smallCaps w:val="false"/>
        </w:rPr>
      </w:pPr>
      <w:r>
        <w:rPr>
          <w:caps w:val="false"/>
          <w:smallCaps w:val="false"/>
        </w:rPr>
        <w:t>  </w:t>
      </w:r>
    </w:p>
    <w:p>
      <w:pPr>
        <w:pStyle w:val="TextBody"/>
        <w:bidi w:val="0"/>
        <w:spacing w:before="0" w:after="0"/>
        <w:ind w:left="965"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w:t>
      </w:r>
    </w:p>
    <w:p>
      <w:pPr>
        <w:pStyle w:val="TextBody"/>
        <w:bidi w:val="0"/>
        <w:spacing w:before="0" w:after="0"/>
        <w:ind w:left="965" w:right="720" w:firstLine="446"/>
        <w:jc w:val="both"/>
        <w:rPr>
          <w:caps w:val="false"/>
          <w:smallCaps w:val="false"/>
        </w:rPr>
      </w:pPr>
      <w:r>
        <w:rPr>
          <w:caps w:val="false"/>
          <w:smallCaps w:val="false"/>
        </w:rPr>
        <w:t> </w:t>
      </w:r>
    </w:p>
    <w:p>
      <w:pPr>
        <w:pStyle w:val="TextBody"/>
        <w:bidi w:val="0"/>
        <w:spacing w:before="0" w:after="0"/>
        <w:ind w:left="965"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entered into a Standby Equity Purchase Agreement with Yorkville (the “2026 SEPA”) pursuant to which the Company has the right to sell to Yorkville up to $</w:t>
      </w:r>
      <w:bookmarkStart w:id="650" w:name="xdx_907_ecustom--SaleOfStockMaximumCommi"/>
      <w:bookmarkEnd w:id="650"/>
      <w:r>
        <w:rPr>
          <w:rFonts w:ascii="Times New Roman;Times;Serif" w:hAnsi="Times New Roman;Times;Serif"/>
          <w:b w:val="false"/>
          <w:i w:val="false"/>
          <w:caps w:val="false"/>
          <w:smallCaps w:val="false"/>
          <w:sz w:val="20"/>
        </w:rPr>
        <w:t>40.0 million of shares of the Company’s common stock, par value $</w:t>
      </w:r>
      <w:bookmarkStart w:id="651" w:name="xdx_90C_eus-gaap--CommonStockParOrStated"/>
      <w:bookmarkEnd w:id="651"/>
      <w:r>
        <w:rPr>
          <w:rFonts w:ascii="Times New Roman;Times;Serif" w:hAnsi="Times New Roman;Times;Serif"/>
          <w:b w:val="false"/>
          <w:i w:val="false"/>
          <w:caps w:val="false"/>
          <w:smallCaps w:val="false"/>
          <w:sz w:val="20"/>
        </w:rPr>
        <w:t>0.0001 per share (the “Common Stock”) (such amount, the “Commitment Amount”), subject to certain limitations and conditions set forth in the 2026 SEPA, during the 36 months following the Effective Date (such shares, the “SEPA Shares”). Sales of the SEPA Shares to Yorkville and the timing of any such sales, if elected to be utilized by the Company at a future date, are at the Company’s option, and the Company is under no obligation to sell any SEPA Shares to Yorkville.</w:t>
      </w:r>
    </w:p>
    <w:p>
      <w:pPr>
        <w:pStyle w:val="TextBody"/>
        <w:bidi w:val="0"/>
        <w:spacing w:before="0" w:after="0"/>
        <w:ind w:left="965" w:right="720" w:firstLine="440"/>
        <w:jc w:val="both"/>
        <w:rPr>
          <w:caps w:val="false"/>
          <w:smallCaps w:val="false"/>
        </w:rPr>
      </w:pPr>
      <w:r>
        <w:rPr>
          <w:caps w:val="false"/>
          <w:smallCaps w:val="false"/>
        </w:rPr>
        <w:t> </w:t>
      </w:r>
    </w:p>
    <w:p>
      <w:pPr>
        <w:pStyle w:val="TextBody"/>
        <w:bidi w:val="0"/>
        <w:spacing w:before="0" w:after="0"/>
        <w:ind w:left="965"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Yorkville’s commitment to purchase the SEPA Shares, the Company agreed to pay to Yorkville a commitment fee of $</w:t>
      </w:r>
      <w:bookmarkStart w:id="652" w:name="xdx_90F_ecustom--CommitmentFeeAmount_iI_"/>
      <w:bookmarkEnd w:id="652"/>
      <w:r>
        <w:rPr>
          <w:rFonts w:ascii="Times New Roman;Times;Serif" w:hAnsi="Times New Roman;Times;Serif"/>
          <w:b w:val="false"/>
          <w:i w:val="false"/>
          <w:caps w:val="false"/>
          <w:smallCaps w:val="false"/>
          <w:sz w:val="20"/>
        </w:rPr>
        <w:t>500,000 (the “Commitment Fee”), which was earned on the Effective Date. One-half of the Commitment Fee is payable within five days of the Effective Date and the remaining one-half is payable on or before December 31, 2026, in each case, at the Company’s election, either in cash or by the issuance to Yorkville of warrants (the “Commitment Fee Warrants”) exercisable for a number of shares of Common Stock (the “Commitment Shares”). On October 16, 2026, the Company issued Commitment Fee Warrants to Yorkville exercisable for 182,110 Commitment Shares in payment of the first installment of the Commitment Fee.</w:t>
      </w:r>
    </w:p>
    <w:p>
      <w:pPr>
        <w:pStyle w:val="TextBody"/>
        <w:bidi w:val="0"/>
        <w:spacing w:before="0" w:after="0"/>
        <w:ind w:left="965" w:right="720" w:firstLine="440"/>
        <w:jc w:val="both"/>
        <w:rPr>
          <w:caps w:val="false"/>
          <w:smallCaps w:val="false"/>
        </w:rPr>
      </w:pPr>
      <w:r>
        <w:rPr>
          <w:caps w:val="false"/>
          <w:smallCaps w:val="false"/>
        </w:rPr>
        <w:t> </w:t>
      </w:r>
    </w:p>
    <w:p>
      <w:pPr>
        <w:pStyle w:val="TextBody"/>
        <w:bidi w:val="0"/>
        <w:spacing w:before="0" w:after="0"/>
        <w:ind w:left="965" w:right="720" w:firstLine="440"/>
        <w:jc w:val="both"/>
        <w:rPr>
          <w:rFonts w:ascii="Times New Roman;Times;Serif" w:hAnsi="Times New Roman;Times;Serif"/>
          <w:b w:val="false"/>
          <w:i w:val="false"/>
          <w:caps w:val="false"/>
          <w:smallCaps w:val="false"/>
          <w:sz w:val="20"/>
        </w:rPr>
      </w:pPr>
      <w:bookmarkStart w:id="653" w:name="xdx_908_eus-gaap--SubsequentEventDescrip"/>
      <w:bookmarkEnd w:id="653"/>
      <w:r>
        <w:rPr>
          <w:rFonts w:ascii="Times New Roman;Times;Serif" w:hAnsi="Times New Roman;Times;Serif"/>
          <w:b w:val="false"/>
          <w:i w:val="false"/>
          <w:caps w:val="false"/>
          <w:smallCaps w:val="false"/>
          <w:sz w:val="20"/>
        </w:rPr>
        <w:t>On October 15, 2026, in connection with entering into the 2026 SEPA described above, the Company terminated the SEPA dated as of November 20, 2025 (the “Prior SEPA”), between the Company and Yorkville. Pursuant to the Prior SEPA, the Company had the right, but not the obligation, to sell to Yorkville up to $15.0 million of shares of Common Stock. Prior to its termination, the Company sold an aggregate of 48,092 shares of Common Stock to Yorkville under the Prior SEPA for aggregate gross proceeds of approximately $0.4 million.</w:t>
      </w:r>
    </w:p>
    <w:p>
      <w:pPr>
        <w:pStyle w:val="TextBody"/>
        <w:bidi w:val="0"/>
        <w:spacing w:before="0" w:after="0"/>
        <w:ind w:left="965" w:right="720" w:firstLine="44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bookmarkStart w:id="654" w:name="xdx_817_z2N1tLuS1sIe"/>
      <w:bookmarkEnd w:id="654"/>
      <w:r>
        <w:rPr>
          <w:rFonts w:ascii="Times New Roman;Times;Serif" w:hAnsi="Times New Roman;Times;Serif"/>
          <w:b w:val="false"/>
          <w:i w:val="false"/>
          <w:caps w:val="false"/>
          <w:smallCaps w:val="false"/>
          <w:sz w:val="20"/>
          <w:bdr w:val="single" w:sz="8" w:space="1" w:color="000000"/>
        </w:rPr>
        <w:t>F-22</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655" w:name="a006"/>
      <w:bookmarkEnd w:id="65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 BioAtla, Inc.</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BioAtla, Inc. (the Company) as of December 31, 2025 and 2024, the related consolidated statements of operations and comprehensive loss,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Ability to Continue as a Going Concern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has suffered recurring losses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F-23</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720" w:right="720" w:hanging="0"/>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1248"/>
        <w:gridCol w:w="60"/>
        <w:gridCol w:w="7457"/>
      </w:tblGrid>
      <w:tr>
        <w:trPr/>
        <w:tc>
          <w:tcPr>
            <w:tcW w:w="124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457"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Accrual of Clinical Trial Expenses</w:t>
            </w:r>
          </w:p>
        </w:tc>
      </w:tr>
      <w:tr>
        <w:trPr/>
        <w:tc>
          <w:tcPr>
            <w:tcW w:w="124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4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Matter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45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incurred $43.6 million for research and development expenses and as of December 31, 2025 accrued $5.8 million for clinical trial costs. A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 </w:t>
            </w:r>
          </w:p>
        </w:tc>
      </w:tr>
      <w:tr>
        <w:trPr/>
        <w:tc>
          <w:tcPr>
            <w:tcW w:w="124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4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4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We Addressed the Matter in Our Audit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test the completeness of the Company’s accrued clinical trial expenses, we obtained from third-parties confirmation of the number of patients enrolled and costs billed but unpaid as of year-end for significant clinical trials. We obtained an understanding of the status of significant clinical trial activities from accounting personnel and the clinical project managers.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tc>
      </w:tr>
    </w:tbl>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2016.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fifth paragraph of Note 14, as to which the date is</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F-24</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656" w:name="a007"/>
      <w:bookmarkEnd w:id="656"/>
      <w:r>
        <w:rPr>
          <w:rFonts w:ascii="Times New Roman;Times;Serif" w:hAnsi="Times New Roman;Times;Serif"/>
          <w:b/>
          <w:i w:val="false"/>
          <w:caps w:val="false"/>
          <w:smallCaps w:val="false"/>
          <w:sz w:val="20"/>
        </w:rPr>
        <w:t>Consolidated Balance Sheets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657" w:name="xdx_30D_111_pn3n3_z6PKZRsNCG6k"/>
      <w:bookmarkStart w:id="658" w:name="xdx_30D_111_pn3n3_z6PKZRsNCG6k"/>
      <w:bookmarkEnd w:id="658"/>
    </w:p>
    <w:tbl>
      <w:tblPr>
        <w:tblW w:w="8765" w:type="dxa"/>
        <w:jc w:val="left"/>
        <w:tblInd w:w="720" w:type="dxa"/>
        <w:tblLayout w:type="fixed"/>
        <w:tblCellMar>
          <w:top w:w="0" w:type="dxa"/>
          <w:left w:w="0" w:type="dxa"/>
          <w:bottom w:w="0" w:type="dxa"/>
          <w:right w:w="0" w:type="dxa"/>
        </w:tblCellMar>
      </w:tblPr>
      <w:tblGrid>
        <w:gridCol w:w="6410"/>
        <w:gridCol w:w="60"/>
        <w:gridCol w:w="140"/>
        <w:gridCol w:w="875"/>
        <w:gridCol w:w="95"/>
        <w:gridCol w:w="60"/>
        <w:gridCol w:w="140"/>
        <w:gridCol w:w="875"/>
        <w:gridCol w:w="110"/>
      </w:tblGrid>
      <w:tr>
        <w:trPr/>
        <w:tc>
          <w:tcPr>
            <w:tcW w:w="6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9" w:name="xdx_49F_20251231_zNii6oKAIvoi"/>
            <w:bookmarkEnd w:id="659"/>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60" w:name="xdx_49D_20241231_zcmQzWvUr2Yh"/>
            <w:bookmarkEnd w:id="660"/>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r>
          </w:p>
        </w:tc>
        <w:tc>
          <w:tcPr>
            <w:tcW w:w="11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110" w:type="dxa"/>
            <w:tcBorders/>
            <w:vAlign w:val="center"/>
          </w:tcPr>
          <w:p>
            <w:pPr>
              <w:pStyle w:val="TableContents"/>
              <w:bidi w:val="0"/>
              <w:spacing w:before="0" w:after="283"/>
              <w:jc w:val="left"/>
              <w:rPr/>
            </w:pPr>
            <w:r>
              <w:rPr/>
              <w:t> </w:t>
            </w:r>
            <w:bookmarkStart w:id="661" w:name="xdx_407_eus-gaap--AssetsAbstract_iB_z2jK"/>
            <w:bookmarkEnd w:id="661"/>
          </w:p>
        </w:tc>
      </w:tr>
      <w:tr>
        <w:trPr/>
        <w:tc>
          <w:tcPr>
            <w:tcW w:w="64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62" w:name="xdx_407_eus-gaap--AssetsCurrentAbstract_"/>
            <w:bookmarkEnd w:id="662"/>
          </w:p>
        </w:tc>
      </w:tr>
      <w:tr>
        <w:trPr/>
        <w:tc>
          <w:tcPr>
            <w:tcW w:w="64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63" w:name="xdx_40E_eus-gaap--CashAndCashEquivalents"/>
            <w:bookmarkEnd w:id="663"/>
          </w:p>
        </w:tc>
      </w:tr>
      <w:tr>
        <w:trPr/>
        <w:tc>
          <w:tcPr>
            <w:tcW w:w="64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49,046</w:t>
            </w:r>
          </w:p>
        </w:tc>
        <w:tc>
          <w:tcPr>
            <w:tcW w:w="110" w:type="dxa"/>
            <w:tcBorders/>
            <w:shd w:fill="CCEEFF" w:val="clear"/>
            <w:vAlign w:val="center"/>
          </w:tcPr>
          <w:p>
            <w:pPr>
              <w:pStyle w:val="TableContents"/>
              <w:bidi w:val="0"/>
              <w:spacing w:before="0" w:after="283"/>
              <w:jc w:val="left"/>
              <w:rPr/>
            </w:pPr>
            <w:r>
              <w:rPr/>
              <w:t> </w:t>
            </w:r>
            <w:bookmarkStart w:id="664" w:name="xdx_402_eus-gaap--PrepaidExpenseAndOther"/>
            <w:bookmarkEnd w:id="664"/>
          </w:p>
        </w:tc>
      </w:tr>
      <w:tr>
        <w:trPr/>
        <w:tc>
          <w:tcPr>
            <w:tcW w:w="64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2,186</w:t>
            </w:r>
          </w:p>
        </w:tc>
        <w:tc>
          <w:tcPr>
            <w:tcW w:w="110" w:type="dxa"/>
            <w:tcBorders/>
            <w:shd w:fill="FFFFFF" w:val="clear"/>
            <w:vAlign w:val="center"/>
          </w:tcPr>
          <w:p>
            <w:pPr>
              <w:pStyle w:val="TableContents"/>
              <w:bidi w:val="0"/>
              <w:spacing w:before="0" w:after="283"/>
              <w:jc w:val="left"/>
              <w:rPr/>
            </w:pPr>
            <w:r>
              <w:rPr/>
              <w:t> </w:t>
            </w:r>
            <w:bookmarkStart w:id="665" w:name="xdx_40D_eus-gaap--AssetsCurrent_i01TI_mt"/>
            <w:bookmarkEnd w:id="665"/>
          </w:p>
        </w:tc>
      </w:tr>
      <w:tr>
        <w:trPr/>
        <w:tc>
          <w:tcPr>
            <w:tcW w:w="64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51,232</w:t>
            </w:r>
          </w:p>
        </w:tc>
        <w:tc>
          <w:tcPr>
            <w:tcW w:w="110" w:type="dxa"/>
            <w:tcBorders/>
            <w:shd w:fill="CCEEFF" w:val="clear"/>
            <w:vAlign w:val="center"/>
          </w:tcPr>
          <w:p>
            <w:pPr>
              <w:pStyle w:val="TableContents"/>
              <w:bidi w:val="0"/>
              <w:spacing w:before="0" w:after="283"/>
              <w:jc w:val="left"/>
              <w:rPr/>
            </w:pPr>
            <w:r>
              <w:rPr/>
              <w:t> </w:t>
            </w:r>
            <w:bookmarkStart w:id="666" w:name="xdx_403_eus-gaap--PropertyPlantAndEquipm"/>
            <w:bookmarkEnd w:id="666"/>
          </w:p>
        </w:tc>
      </w:tr>
      <w:tr>
        <w:trPr/>
        <w:tc>
          <w:tcPr>
            <w:tcW w:w="641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678</w:t>
            </w:r>
          </w:p>
        </w:tc>
        <w:tc>
          <w:tcPr>
            <w:tcW w:w="110" w:type="dxa"/>
            <w:tcBorders/>
            <w:shd w:fill="FFFFFF" w:val="clear"/>
            <w:vAlign w:val="center"/>
          </w:tcPr>
          <w:p>
            <w:pPr>
              <w:pStyle w:val="TableContents"/>
              <w:bidi w:val="0"/>
              <w:spacing w:before="0" w:after="283"/>
              <w:jc w:val="left"/>
              <w:rPr/>
            </w:pPr>
            <w:r>
              <w:rPr/>
              <w:t> </w:t>
            </w:r>
            <w:bookmarkStart w:id="667" w:name="xdx_40A_eus-gaap--OperatingLeaseRightOfU"/>
            <w:bookmarkEnd w:id="667"/>
          </w:p>
        </w:tc>
      </w:tr>
      <w:tr>
        <w:trPr/>
        <w:tc>
          <w:tcPr>
            <w:tcW w:w="6410" w:type="dxa"/>
            <w:tcBorders/>
            <w:shd w:fill="CCEEFF" w:val="clear"/>
            <w:vAlign w:val="center"/>
          </w:tcPr>
          <w:p>
            <w:pPr>
              <w:pStyle w:val="TableContents"/>
              <w:bidi w:val="0"/>
              <w:spacing w:before="0" w:after="283"/>
              <w:jc w:val="left"/>
              <w:rPr/>
            </w:pPr>
            <w:r>
              <w:rPr/>
              <w:t>Operating lease right-of-use-asset,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512</w:t>
            </w:r>
          </w:p>
        </w:tc>
        <w:tc>
          <w:tcPr>
            <w:tcW w:w="110" w:type="dxa"/>
            <w:tcBorders/>
            <w:shd w:fill="CCEEFF" w:val="clear"/>
            <w:vAlign w:val="center"/>
          </w:tcPr>
          <w:p>
            <w:pPr>
              <w:pStyle w:val="TableContents"/>
              <w:bidi w:val="0"/>
              <w:spacing w:before="0" w:after="283"/>
              <w:jc w:val="left"/>
              <w:rPr/>
            </w:pPr>
            <w:r>
              <w:rPr/>
              <w:t> </w:t>
            </w:r>
            <w:bookmarkStart w:id="668" w:name="xdx_402_eus-gaap--OtherAssetsNoncurrent_"/>
            <w:bookmarkEnd w:id="668"/>
          </w:p>
        </w:tc>
      </w:tr>
      <w:tr>
        <w:trPr/>
        <w:tc>
          <w:tcPr>
            <w:tcW w:w="641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69" w:name="xdx_40C_eus-gaap--Assets_i01TI_mtAzukn_z"/>
            <w:bookmarkEnd w:id="669"/>
          </w:p>
        </w:tc>
      </w:tr>
      <w:tr>
        <w:trPr/>
        <w:tc>
          <w:tcPr>
            <w:tcW w:w="64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13,828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52,422</w:t>
            </w:r>
          </w:p>
        </w:tc>
        <w:tc>
          <w:tcPr>
            <w:tcW w:w="110" w:type="dxa"/>
            <w:tcBorders/>
            <w:shd w:fill="CCEEFF" w:val="clear"/>
            <w:vAlign w:val="center"/>
          </w:tcPr>
          <w:p>
            <w:pPr>
              <w:pStyle w:val="TableContents"/>
              <w:bidi w:val="0"/>
              <w:spacing w:before="0" w:after="283"/>
              <w:jc w:val="left"/>
              <w:rPr/>
            </w:pPr>
            <w:r>
              <w:rPr/>
              <w:t> </w:t>
            </w:r>
            <w:bookmarkStart w:id="670" w:name="xdx_406_eus-gaap--LiabilitiesAndStockhol"/>
            <w:bookmarkEnd w:id="670"/>
          </w:p>
        </w:tc>
      </w:tr>
      <w:tr>
        <w:trPr/>
        <w:tc>
          <w:tcPr>
            <w:tcW w:w="6410" w:type="dxa"/>
            <w:tcBorders/>
            <w:shd w:fill="FFFFFF" w:val="clear"/>
            <w:vAlign w:val="center"/>
          </w:tcPr>
          <w:p>
            <w:pPr>
              <w:pStyle w:val="TableContents"/>
              <w:bidi w:val="0"/>
              <w:spacing w:before="0" w:after="283"/>
              <w:jc w:val="left"/>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71" w:name="xdx_40B_eus-gaap--LiabilitiesCurrentAbst"/>
            <w:bookmarkEnd w:id="671"/>
          </w:p>
        </w:tc>
      </w:tr>
      <w:tr>
        <w:trPr/>
        <w:tc>
          <w:tcPr>
            <w:tcW w:w="64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72" w:name="xdx_40D_eus-gaap--AccountsPayableAndAccr"/>
            <w:bookmarkEnd w:id="672"/>
          </w:p>
        </w:tc>
      </w:tr>
      <w:tr>
        <w:trPr/>
        <w:tc>
          <w:tcPr>
            <w:tcW w:w="641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16,353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13,704</w:t>
            </w:r>
          </w:p>
        </w:tc>
        <w:tc>
          <w:tcPr>
            <w:tcW w:w="110" w:type="dxa"/>
            <w:tcBorders/>
            <w:shd w:fill="FFFFFF" w:val="clear"/>
            <w:vAlign w:val="center"/>
          </w:tcPr>
          <w:p>
            <w:pPr>
              <w:pStyle w:val="TableContents"/>
              <w:bidi w:val="0"/>
              <w:spacing w:before="0" w:after="283"/>
              <w:jc w:val="left"/>
              <w:rPr/>
            </w:pPr>
            <w:r>
              <w:rPr/>
              <w:t> </w:t>
            </w:r>
            <w:bookmarkStart w:id="673" w:name="xdx_401_eus-gaap--OperatingLeaseLiabilit"/>
            <w:bookmarkEnd w:id="673"/>
          </w:p>
        </w:tc>
      </w:tr>
      <w:tr>
        <w:trPr/>
        <w:tc>
          <w:tcPr>
            <w:tcW w:w="641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836</w:t>
            </w:r>
          </w:p>
        </w:tc>
        <w:tc>
          <w:tcPr>
            <w:tcW w:w="110" w:type="dxa"/>
            <w:tcBorders/>
            <w:shd w:fill="CCEEFF" w:val="clear"/>
            <w:vAlign w:val="center"/>
          </w:tcPr>
          <w:p>
            <w:pPr>
              <w:pStyle w:val="TableContents"/>
              <w:bidi w:val="0"/>
              <w:spacing w:before="0" w:after="283"/>
              <w:jc w:val="left"/>
              <w:rPr/>
            </w:pPr>
            <w:r>
              <w:rPr/>
              <w:t> </w:t>
            </w:r>
            <w:bookmarkStart w:id="674" w:name="xdx_40C_ecustom--PrePaidAdvanceAgreement"/>
            <w:bookmarkEnd w:id="674"/>
          </w:p>
        </w:tc>
      </w:tr>
      <w:tr>
        <w:trPr/>
        <w:tc>
          <w:tcPr>
            <w:tcW w:w="6410" w:type="dxa"/>
            <w:tcBorders/>
            <w:shd w:fill="FFFFFF" w:val="clear"/>
            <w:vAlign w:val="center"/>
          </w:tcPr>
          <w:p>
            <w:pPr>
              <w:pStyle w:val="TableContents"/>
              <w:bidi w:val="0"/>
              <w:spacing w:before="0" w:after="283"/>
              <w:jc w:val="left"/>
              <w:rPr/>
            </w:pPr>
            <w:r>
              <w:rPr/>
              <w:t>PPAs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75" w:name="xdx_406_eus-gaap--LiabilitiesCurrent_i01"/>
            <w:bookmarkEnd w:id="675"/>
          </w:p>
        </w:tc>
      </w:tr>
      <w:tr>
        <w:trPr/>
        <w:tc>
          <w:tcPr>
            <w:tcW w:w="641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14,540</w:t>
            </w:r>
          </w:p>
        </w:tc>
        <w:tc>
          <w:tcPr>
            <w:tcW w:w="110" w:type="dxa"/>
            <w:tcBorders/>
            <w:shd w:fill="CCEEFF" w:val="clear"/>
            <w:vAlign w:val="center"/>
          </w:tcPr>
          <w:p>
            <w:pPr>
              <w:pStyle w:val="TableContents"/>
              <w:bidi w:val="0"/>
              <w:spacing w:before="0" w:after="283"/>
              <w:jc w:val="left"/>
              <w:rPr/>
            </w:pPr>
            <w:r>
              <w:rPr/>
              <w:t> </w:t>
            </w:r>
            <w:bookmarkStart w:id="676" w:name="xdx_403_eus-gaap--OperatingLeaseLiabilit"/>
            <w:bookmarkEnd w:id="676"/>
          </w:p>
        </w:tc>
      </w:tr>
      <w:tr>
        <w:trPr/>
        <w:tc>
          <w:tcPr>
            <w:tcW w:w="6410" w:type="dxa"/>
            <w:tcBorders/>
            <w:shd w:fill="FFFFFF" w:val="clear"/>
            <w:vAlign w:val="center"/>
          </w:tcPr>
          <w:p>
            <w:pPr>
              <w:pStyle w:val="TableContents"/>
              <w:bidi w:val="0"/>
              <w:spacing w:before="0" w:after="283"/>
              <w:jc w:val="left"/>
              <w:rPr/>
            </w:pPr>
            <w:r>
              <w:rPr/>
              <w:t>Operating 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77" w:name="xdx_400_ecustom--LiabilityToLicensor_i01"/>
            <w:bookmarkEnd w:id="677"/>
          </w:p>
        </w:tc>
      </w:tr>
      <w:tr>
        <w:trPr/>
        <w:tc>
          <w:tcPr>
            <w:tcW w:w="6410" w:type="dxa"/>
            <w:tcBorders/>
            <w:shd w:fill="CCEEFF" w:val="clear"/>
            <w:vAlign w:val="center"/>
          </w:tcPr>
          <w:p>
            <w:pPr>
              <w:pStyle w:val="TableContents"/>
              <w:bidi w:val="0"/>
              <w:spacing w:before="0" w:after="283"/>
              <w:jc w:val="left"/>
              <w:rPr/>
            </w:pPr>
            <w:r>
              <w:rPr/>
              <w:t>Liability to licensor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19,806</w:t>
            </w:r>
          </w:p>
        </w:tc>
        <w:tc>
          <w:tcPr>
            <w:tcW w:w="110" w:type="dxa"/>
            <w:tcBorders/>
            <w:shd w:fill="CCEEFF" w:val="clear"/>
            <w:vAlign w:val="center"/>
          </w:tcPr>
          <w:p>
            <w:pPr>
              <w:pStyle w:val="TableContents"/>
              <w:bidi w:val="0"/>
              <w:spacing w:before="0" w:after="283"/>
              <w:jc w:val="left"/>
              <w:rPr/>
            </w:pPr>
            <w:r>
              <w:rPr/>
              <w:t> </w:t>
            </w:r>
            <w:bookmarkStart w:id="678" w:name="xdx_407_ecustom--WarrantLiability_i01I_m"/>
            <w:bookmarkEnd w:id="678"/>
          </w:p>
        </w:tc>
      </w:tr>
      <w:tr>
        <w:trPr/>
        <w:tc>
          <w:tcPr>
            <w:tcW w:w="6410"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3,811</w:t>
            </w:r>
          </w:p>
        </w:tc>
        <w:tc>
          <w:tcPr>
            <w:tcW w:w="110" w:type="dxa"/>
            <w:tcBorders/>
            <w:shd w:fill="FFFFFF" w:val="clear"/>
            <w:vAlign w:val="center"/>
          </w:tcPr>
          <w:p>
            <w:pPr>
              <w:pStyle w:val="TableContents"/>
              <w:bidi w:val="0"/>
              <w:spacing w:before="0" w:after="283"/>
              <w:jc w:val="left"/>
              <w:rPr/>
            </w:pPr>
            <w:r>
              <w:rPr/>
              <w:t> </w:t>
            </w:r>
            <w:bookmarkStart w:id="679" w:name="xdx_406_eus-gaap--Liabilities_i01TI_mtLz"/>
            <w:bookmarkEnd w:id="679"/>
          </w:p>
        </w:tc>
      </w:tr>
      <w:tr>
        <w:trPr/>
        <w:tc>
          <w:tcPr>
            <w:tcW w:w="64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38,157</w:t>
            </w:r>
          </w:p>
        </w:tc>
        <w:tc>
          <w:tcPr>
            <w:tcW w:w="110" w:type="dxa"/>
            <w:tcBorders/>
            <w:shd w:fill="CCEEFF" w:val="clear"/>
            <w:vAlign w:val="center"/>
          </w:tcPr>
          <w:p>
            <w:pPr>
              <w:pStyle w:val="TableContents"/>
              <w:bidi w:val="0"/>
              <w:spacing w:before="0" w:after="283"/>
              <w:jc w:val="left"/>
              <w:rPr/>
            </w:pPr>
            <w:r>
              <w:rPr/>
              <w:t> </w:t>
            </w:r>
            <w:bookmarkStart w:id="680" w:name="xdx_40D_eus-gaap--CommitmentsAndContinge"/>
            <w:bookmarkEnd w:id="680"/>
          </w:p>
        </w:tc>
      </w:tr>
      <w:tr>
        <w:trPr/>
        <w:tc>
          <w:tcPr>
            <w:tcW w:w="6410" w:type="dxa"/>
            <w:tcBorders/>
            <w:shd w:fill="FFFFFF" w:val="clear"/>
            <w:vAlign w:val="center"/>
          </w:tcPr>
          <w:p>
            <w:pPr>
              <w:pStyle w:val="TableContents"/>
              <w:bidi w:val="0"/>
              <w:spacing w:before="0" w:after="283"/>
              <w:jc w:val="left"/>
              <w:rPr/>
            </w:pPr>
            <w:r>
              <w:rPr/>
              <w:t>Commitments and contingencies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81" w:name="xdx_406_eus-gaap--StockholdersEquityAbst"/>
            <w:bookmarkEnd w:id="681"/>
          </w:p>
        </w:tc>
      </w:tr>
      <w:tr>
        <w:trPr/>
        <w:tc>
          <w:tcPr>
            <w:tcW w:w="6410"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bookmarkStart w:id="682" w:name="xdx_40C_eus-gaap--PreferredStockValue_i0"/>
            <w:bookmarkEnd w:id="682"/>
          </w:p>
        </w:tc>
      </w:tr>
      <w:tr>
        <w:trPr/>
        <w:tc>
          <w:tcPr>
            <w:tcW w:w="6410" w:type="dxa"/>
            <w:tcBorders/>
            <w:shd w:fill="FFFFFF" w:val="clear"/>
            <w:vAlign w:val="center"/>
          </w:tcPr>
          <w:p>
            <w:pPr>
              <w:pStyle w:val="TableContents"/>
              <w:bidi w:val="0"/>
              <w:spacing w:before="0" w:after="283"/>
              <w:jc w:val="left"/>
              <w:rPr/>
            </w:pPr>
            <w:r>
              <w:rPr/>
              <w:t>Preferred stock, $</w:t>
            </w:r>
            <w:bookmarkStart w:id="683" w:name="xdx_901_eus-gaap--PreferredStockParOrSta"/>
            <w:bookmarkStart w:id="684" w:name="xdx_90B_eus-gaap--PreferredStockParOrSta"/>
            <w:bookmarkEnd w:id="683"/>
            <w:bookmarkEnd w:id="684"/>
            <w:r>
              <w:rPr/>
              <w:t xml:space="preserve">0.0001 par value; </w:t>
            </w:r>
            <w:bookmarkStart w:id="685" w:name="xdx_90F_eus-gaap--PreferredStockSharesAu"/>
            <w:bookmarkStart w:id="686" w:name="xdx_904_eus-gaap--PreferredStockSharesAu"/>
            <w:bookmarkEnd w:id="685"/>
            <w:bookmarkEnd w:id="686"/>
            <w:r>
              <w:rPr/>
              <w:t xml:space="preserve">200,000,000 shares authorized at December 31, 2025 and December 31, 2024; </w:t>
            </w:r>
            <w:bookmarkStart w:id="687" w:name="xdx_90E_eus-gaap--PreferredStockSharesOu"/>
            <w:bookmarkStart w:id="688" w:name="xdx_902_eus-gaap--PreferredStockSharesIs"/>
            <w:bookmarkStart w:id="689" w:name="xdx_90F_eus-gaap--PreferredStockSharesOu"/>
            <w:bookmarkStart w:id="690" w:name="xdx_900_eus-gaap--PreferredStockSharesIs"/>
            <w:bookmarkEnd w:id="687"/>
            <w:bookmarkEnd w:id="688"/>
            <w:bookmarkEnd w:id="689"/>
            <w:bookmarkEnd w:id="690"/>
            <w:r>
              <w:rPr/>
              <w:t>0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410" w:type="dxa"/>
            <w:tcBorders/>
            <w:shd w:fill="CCEEFF" w:val="clear"/>
            <w:vAlign w:val="center"/>
          </w:tcPr>
          <w:p>
            <w:pPr>
              <w:pStyle w:val="TableContents"/>
              <w:bidi w:val="0"/>
              <w:spacing w:before="0" w:after="283"/>
              <w:jc w:val="left"/>
              <w:rPr/>
            </w:pPr>
            <w:r>
              <w:rPr/>
              <w:t>Common stock, $</w:t>
            </w:r>
            <w:bookmarkStart w:id="691" w:name="xdx_90E_eus-gaap--CommonStockParOrStated"/>
            <w:bookmarkStart w:id="692" w:name="xdx_90B_eus-gaap--CommonStockParOrStated"/>
            <w:bookmarkEnd w:id="691"/>
            <w:bookmarkEnd w:id="692"/>
            <w:r>
              <w:rPr/>
              <w:t xml:space="preserve">0.0001 par value; </w:t>
            </w:r>
            <w:bookmarkStart w:id="693" w:name="xdx_900_eus-gaap--CommonStockSharesAutho"/>
            <w:bookmarkStart w:id="694" w:name="xdx_900_eus-gaap--CommonStockSharesAutho"/>
            <w:bookmarkEnd w:id="693"/>
            <w:bookmarkEnd w:id="694"/>
            <w:r>
              <w:rPr/>
              <w:t xml:space="preserve">350,000,000 shares authorized at December 31, 2025 and December 31, 2024; </w:t>
            </w:r>
            <w:bookmarkStart w:id="695" w:name="xdx_90F_eus-gaap--CommonStockSharesOutst"/>
            <w:bookmarkStart w:id="696" w:name="xdx_909_eus-gaap--CommonStockSharesIssue"/>
            <w:bookmarkEnd w:id="695"/>
            <w:bookmarkEnd w:id="696"/>
            <w:r>
              <w:rPr/>
              <w:t xml:space="preserve">1,269,286 and </w:t>
            </w:r>
            <w:bookmarkStart w:id="697" w:name="xdx_909_eus-gaap--CommonStockSharesOutst"/>
            <w:bookmarkStart w:id="698" w:name="xdx_905_eus-gaap--CommonStockSharesIssue"/>
            <w:bookmarkEnd w:id="697"/>
            <w:bookmarkEnd w:id="698"/>
            <w:r>
              <w:rPr/>
              <w:t>1,161,983 shares issued and outstanding at December 31, 2025 and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99" w:name="xdx_981_eus-gaap--CommonStockValue_i01I_"/>
            <w:bookmarkEnd w:id="699"/>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00" w:name="xdx_982_eus-gaap--CommonStockValue_i01I_"/>
            <w:bookmarkEnd w:id="700"/>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410" w:type="dxa"/>
            <w:tcBorders/>
            <w:shd w:fill="FFFFFF" w:val="clear"/>
            <w:vAlign w:val="center"/>
          </w:tcPr>
          <w:p>
            <w:pPr>
              <w:pStyle w:val="TableContents"/>
              <w:bidi w:val="0"/>
              <w:spacing w:before="0" w:after="283"/>
              <w:jc w:val="left"/>
              <w:rPr/>
            </w:pPr>
            <w:r>
              <w:rPr/>
              <w:t>Class B common stock, $</w:t>
            </w:r>
            <w:bookmarkStart w:id="701" w:name="xdx_90E_eus-gaap--CommonStockParOrStated"/>
            <w:bookmarkStart w:id="702" w:name="xdx_906_eus-gaap--CommonStockParOrStated"/>
            <w:bookmarkEnd w:id="701"/>
            <w:bookmarkEnd w:id="702"/>
            <w:r>
              <w:rPr/>
              <w:t xml:space="preserve">0.0001 par value; </w:t>
            </w:r>
            <w:bookmarkStart w:id="703" w:name="xdx_906_eus-gaap--CommonStockSharesAutho"/>
            <w:bookmarkStart w:id="704" w:name="xdx_902_eus-gaap--CommonStockSharesAutho"/>
            <w:bookmarkEnd w:id="703"/>
            <w:bookmarkEnd w:id="704"/>
            <w:r>
              <w:rPr/>
              <w:t xml:space="preserve">15,368,569 shares authorized at December 31, 2025 and December 31, 2024; </w:t>
            </w:r>
            <w:bookmarkStart w:id="705" w:name="xdx_90A_eus-gaap--CommonStockSharesOutst"/>
            <w:bookmarkStart w:id="706" w:name="xdx_906_eus-gaap--CommonStockSharesIssue"/>
            <w:bookmarkStart w:id="707" w:name="xdx_903_eus-gaap--CommonStockSharesOutst"/>
            <w:bookmarkStart w:id="708" w:name="xdx_90D_eus-gaap--CommonStockSharesIssue"/>
            <w:bookmarkEnd w:id="705"/>
            <w:bookmarkEnd w:id="706"/>
            <w:bookmarkEnd w:id="707"/>
            <w:bookmarkEnd w:id="708"/>
            <w:r>
              <w:rPr/>
              <w:t>0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09" w:name="xdx_988_eus-gaap--CommonStockValue_i01I_"/>
            <w:bookmarkEnd w:id="709"/>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0" w:name="xdx_989_eus-gaap--CommonStockValue_i01I_"/>
            <w:bookmarkEnd w:id="710"/>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1" w:name="xdx_986_eus-gaap--AdditionalPaidInCapita"/>
            <w:bookmarkEnd w:id="711"/>
          </w:p>
        </w:tc>
        <w:tc>
          <w:tcPr>
            <w:tcW w:w="875" w:type="dxa"/>
            <w:tcBorders/>
            <w:shd w:fill="CCEEFF" w:val="clear"/>
            <w:vAlign w:val="center"/>
          </w:tcPr>
          <w:p>
            <w:pPr>
              <w:pStyle w:val="TableContents"/>
              <w:bidi w:val="0"/>
              <w:spacing w:before="0" w:after="283"/>
              <w:jc w:val="right"/>
              <w:rPr/>
            </w:pPr>
            <w:r>
              <w:rPr/>
              <w:t>509,457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2" w:name="xdx_98B_eus-gaap--AdditionalPaidInCapita"/>
            <w:bookmarkEnd w:id="712"/>
          </w:p>
        </w:tc>
        <w:tc>
          <w:tcPr>
            <w:tcW w:w="875" w:type="dxa"/>
            <w:tcBorders/>
            <w:shd w:fill="CCEEFF" w:val="clear"/>
            <w:vAlign w:val="center"/>
          </w:tcPr>
          <w:p>
            <w:pPr>
              <w:pStyle w:val="TableContents"/>
              <w:bidi w:val="0"/>
              <w:spacing w:before="0" w:after="283"/>
              <w:jc w:val="right"/>
              <w:rPr/>
            </w:pPr>
            <w:r>
              <w:rPr/>
              <w:t>500,304</w:t>
            </w:r>
          </w:p>
        </w:tc>
        <w:tc>
          <w:tcPr>
            <w:tcW w:w="110" w:type="dxa"/>
            <w:tcBorders/>
            <w:shd w:fill="CCEEFF" w:val="clear"/>
            <w:vAlign w:val="center"/>
          </w:tcPr>
          <w:p>
            <w:pPr>
              <w:pStyle w:val="TableContents"/>
              <w:bidi w:val="0"/>
              <w:spacing w:before="0" w:after="283"/>
              <w:jc w:val="left"/>
              <w:rPr/>
            </w:pPr>
            <w:r>
              <w:rPr/>
              <w:t> </w:t>
            </w:r>
            <w:bookmarkStart w:id="713" w:name="xdx_405_eus-gaap--RetainedEarningsAccumu"/>
            <w:bookmarkEnd w:id="713"/>
          </w:p>
        </w:tc>
      </w:tr>
      <w:tr>
        <w:trPr/>
        <w:tc>
          <w:tcPr>
            <w:tcW w:w="64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(545,646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(486,039</w:t>
            </w:r>
          </w:p>
        </w:tc>
        <w:tc>
          <w:tcPr>
            <w:tcW w:w="110" w:type="dxa"/>
            <w:tcBorders/>
            <w:shd w:fill="FFFFFF" w:val="clear"/>
            <w:vAlign w:val="center"/>
          </w:tcPr>
          <w:p>
            <w:pPr>
              <w:pStyle w:val="TableContents"/>
              <w:bidi w:val="0"/>
              <w:spacing w:before="0" w:after="283"/>
              <w:jc w:val="left"/>
              <w:rPr/>
            </w:pPr>
            <w:r>
              <w:rPr/>
              <w:t>)</w:t>
            </w:r>
            <w:bookmarkStart w:id="714" w:name="xdx_40E_eus-gaap--StockholdersEquity_i01"/>
            <w:bookmarkEnd w:id="714"/>
          </w:p>
        </w:tc>
      </w:tr>
      <w:tr>
        <w:trPr/>
        <w:tc>
          <w:tcPr>
            <w:tcW w:w="641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(36,189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14,265</w:t>
            </w:r>
          </w:p>
        </w:tc>
        <w:tc>
          <w:tcPr>
            <w:tcW w:w="110" w:type="dxa"/>
            <w:tcBorders/>
            <w:shd w:fill="CCEEFF" w:val="clear"/>
            <w:vAlign w:val="center"/>
          </w:tcPr>
          <w:p>
            <w:pPr>
              <w:pStyle w:val="TableContents"/>
              <w:bidi w:val="0"/>
              <w:spacing w:before="0" w:after="283"/>
              <w:jc w:val="left"/>
              <w:rPr/>
            </w:pPr>
            <w:r>
              <w:rPr/>
              <w:t> </w:t>
            </w:r>
            <w:bookmarkStart w:id="715" w:name="xdx_409_eus-gaap--LiabilitiesAndStockhol"/>
            <w:bookmarkEnd w:id="715"/>
          </w:p>
        </w:tc>
      </w:tr>
      <w:tr>
        <w:trPr/>
        <w:tc>
          <w:tcPr>
            <w:tcW w:w="6410"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13,828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52,422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F-25</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716" w:name="a008"/>
      <w:bookmarkEnd w:id="716"/>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717" w:name="xdx_308_113_pn3n3_zdAidYm5Htr9"/>
      <w:bookmarkStart w:id="718" w:name="xdx_308_113_pn3n3_zdAidYm5Htr9"/>
      <w:bookmarkEnd w:id="718"/>
    </w:p>
    <w:tbl>
      <w:tblPr>
        <w:tblW w:w="8765" w:type="dxa"/>
        <w:jc w:val="left"/>
        <w:tblInd w:w="720" w:type="dxa"/>
        <w:tblLayout w:type="fixed"/>
        <w:tblCellMar>
          <w:top w:w="0" w:type="dxa"/>
          <w:left w:w="0" w:type="dxa"/>
          <w:bottom w:w="0" w:type="dxa"/>
          <w:right w:w="0" w:type="dxa"/>
        </w:tblCellMar>
      </w:tblPr>
      <w:tblGrid>
        <w:gridCol w:w="6380"/>
        <w:gridCol w:w="60"/>
        <w:gridCol w:w="140"/>
        <w:gridCol w:w="980"/>
        <w:gridCol w:w="95"/>
        <w:gridCol w:w="60"/>
        <w:gridCol w:w="140"/>
        <w:gridCol w:w="800"/>
        <w:gridCol w:w="110"/>
      </w:tblGrid>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9" w:name="xdx_496_20250101__20251231_zt2YMUGRkpUk"/>
            <w:bookmarkEnd w:id="719"/>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0" w:name="xdx_494_20240101__20241231_zqH0ijyKzXu8"/>
            <w:bookmarkEnd w:id="720"/>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vAlign w:val="center"/>
          </w:tcPr>
          <w:p>
            <w:pPr>
              <w:pStyle w:val="TableContents"/>
              <w:bidi w:val="0"/>
              <w:spacing w:before="0" w:after="283"/>
              <w:jc w:val="center"/>
              <w:rPr>
                <w:b/>
                <w:sz w:val="16"/>
              </w:rPr>
            </w:pPr>
            <w:r>
              <w:rPr>
                <w:b/>
                <w:sz w:val="16"/>
              </w:rPr>
              <w:t>Years ended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110" w:type="dxa"/>
            <w:tcBorders/>
            <w:vAlign w:val="center"/>
          </w:tcPr>
          <w:p>
            <w:pPr>
              <w:pStyle w:val="TableContents"/>
              <w:bidi w:val="0"/>
              <w:spacing w:before="0" w:after="283"/>
              <w:jc w:val="left"/>
              <w:rPr/>
            </w:pPr>
            <w:r>
              <w:rPr/>
              <w:t> </w:t>
            </w:r>
            <w:bookmarkStart w:id="721" w:name="xdx_40E_eus-gaap--RevenueFromCollaborati"/>
            <w:bookmarkEnd w:id="721"/>
          </w:p>
        </w:tc>
      </w:tr>
      <w:tr>
        <w:trPr/>
        <w:tc>
          <w:tcPr>
            <w:tcW w:w="6380"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11,000</w:t>
            </w:r>
          </w:p>
        </w:tc>
        <w:tc>
          <w:tcPr>
            <w:tcW w:w="110" w:type="dxa"/>
            <w:tcBorders/>
            <w:shd w:fill="CCEEFF" w:val="clear"/>
            <w:vAlign w:val="center"/>
          </w:tcPr>
          <w:p>
            <w:pPr>
              <w:pStyle w:val="TableContents"/>
              <w:bidi w:val="0"/>
              <w:spacing w:before="0" w:after="283"/>
              <w:jc w:val="left"/>
              <w:rPr/>
            </w:pPr>
            <w:r>
              <w:rPr/>
              <w:t> </w:t>
            </w:r>
            <w:bookmarkStart w:id="722" w:name="xdx_40C_eus-gaap--OperatingExpensesAbstr"/>
            <w:bookmarkEnd w:id="722"/>
          </w:p>
        </w:tc>
      </w:tr>
      <w:tr>
        <w:trPr/>
        <w:tc>
          <w:tcPr>
            <w:tcW w:w="638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23" w:name="xdx_403_eus-gaap--ResearchAndDevelopment"/>
            <w:bookmarkEnd w:id="723"/>
          </w:p>
        </w:tc>
      </w:tr>
      <w:tr>
        <w:trPr/>
        <w:tc>
          <w:tcPr>
            <w:tcW w:w="6380" w:type="dxa"/>
            <w:tcBorders/>
            <w:shd w:fill="CCEEFF" w:val="clear"/>
            <w:vAlign w:val="center"/>
          </w:tcPr>
          <w:p>
            <w:pPr>
              <w:pStyle w:val="TableContents"/>
              <w:bidi w:val="0"/>
              <w:spacing w:before="0" w:after="283"/>
              <w:jc w:val="left"/>
              <w:rPr/>
            </w:pPr>
            <w:r>
              <w:rPr/>
              <w:t>Research and development expense (includes related party amounts of $</w:t>
            </w:r>
            <w:bookmarkStart w:id="724" w:name="xdx_90E_eus-gaap--RelatedPartyTransactio"/>
            <w:bookmarkEnd w:id="724"/>
            <w:r>
              <w:rPr/>
              <w:t>300 and $</w:t>
            </w:r>
            <w:bookmarkStart w:id="725" w:name="xdx_90C_eus-gaap--RelatedPartyTransactio"/>
            <w:bookmarkEnd w:id="725"/>
            <w:r>
              <w:rPr/>
              <w:t>2,150 for the years ended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63,095</w:t>
            </w:r>
          </w:p>
        </w:tc>
        <w:tc>
          <w:tcPr>
            <w:tcW w:w="110" w:type="dxa"/>
            <w:tcBorders/>
            <w:shd w:fill="CCEEFF" w:val="clear"/>
            <w:vAlign w:val="center"/>
          </w:tcPr>
          <w:p>
            <w:pPr>
              <w:pStyle w:val="TableContents"/>
              <w:bidi w:val="0"/>
              <w:spacing w:before="0" w:after="283"/>
              <w:jc w:val="left"/>
              <w:rPr/>
            </w:pPr>
            <w:r>
              <w:rPr/>
              <w:t> </w:t>
            </w:r>
            <w:bookmarkStart w:id="726" w:name="xdx_406_eus-gaap--GeneralAndAdministrati"/>
            <w:bookmarkEnd w:id="726"/>
          </w:p>
        </w:tc>
      </w:tr>
      <w:tr>
        <w:trPr/>
        <w:tc>
          <w:tcPr>
            <w:tcW w:w="6380" w:type="dxa"/>
            <w:tcBorders/>
            <w:shd w:fill="FFFFFF" w:val="clear"/>
            <w:vAlign w:val="center"/>
          </w:tcPr>
          <w:p>
            <w:pPr>
              <w:pStyle w:val="TableContents"/>
              <w:bidi w:val="0"/>
              <w:spacing w:before="0" w:after="283"/>
              <w:jc w:val="left"/>
              <w:rPr/>
            </w:pPr>
            <w:r>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21,848</w:t>
            </w:r>
          </w:p>
        </w:tc>
        <w:tc>
          <w:tcPr>
            <w:tcW w:w="110" w:type="dxa"/>
            <w:tcBorders/>
            <w:shd w:fill="FFFFFF" w:val="clear"/>
            <w:vAlign w:val="center"/>
          </w:tcPr>
          <w:p>
            <w:pPr>
              <w:pStyle w:val="TableContents"/>
              <w:bidi w:val="0"/>
              <w:spacing w:before="0" w:after="283"/>
              <w:jc w:val="left"/>
              <w:rPr/>
            </w:pPr>
            <w:r>
              <w:rPr/>
              <w:t> </w:t>
            </w:r>
            <w:bookmarkStart w:id="727" w:name="xdx_402_eus-gaap--OperatingExpenses_iT_m"/>
            <w:bookmarkEnd w:id="727"/>
          </w:p>
        </w:tc>
      </w:tr>
      <w:tr>
        <w:trPr/>
        <w:tc>
          <w:tcPr>
            <w:tcW w:w="638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61,305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84,943</w:t>
            </w:r>
          </w:p>
        </w:tc>
        <w:tc>
          <w:tcPr>
            <w:tcW w:w="110" w:type="dxa"/>
            <w:tcBorders/>
            <w:shd w:fill="CCEEFF" w:val="clear"/>
            <w:vAlign w:val="center"/>
          </w:tcPr>
          <w:p>
            <w:pPr>
              <w:pStyle w:val="TableContents"/>
              <w:bidi w:val="0"/>
              <w:spacing w:before="0" w:after="283"/>
              <w:jc w:val="left"/>
              <w:rPr/>
            </w:pPr>
            <w:r>
              <w:rPr/>
              <w:t> </w:t>
            </w:r>
            <w:bookmarkStart w:id="728" w:name="xdx_40F_eus-gaap--OperatingIncomeLoss_iT"/>
            <w:bookmarkEnd w:id="728"/>
          </w:p>
        </w:tc>
      </w:tr>
      <w:tr>
        <w:trPr/>
        <w:tc>
          <w:tcPr>
            <w:tcW w:w="638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(59,305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(73,943</w:t>
            </w:r>
          </w:p>
        </w:tc>
        <w:tc>
          <w:tcPr>
            <w:tcW w:w="110" w:type="dxa"/>
            <w:tcBorders/>
            <w:shd w:fill="FFFFFF" w:val="clear"/>
            <w:vAlign w:val="center"/>
          </w:tcPr>
          <w:p>
            <w:pPr>
              <w:pStyle w:val="TableContents"/>
              <w:bidi w:val="0"/>
              <w:spacing w:before="0" w:after="283"/>
              <w:jc w:val="left"/>
              <w:rPr/>
            </w:pPr>
            <w:r>
              <w:rPr/>
              <w:t>)</w:t>
            </w:r>
            <w:bookmarkStart w:id="729" w:name="xdx_404_eus-gaap--NonoperatingIncomeExpe"/>
            <w:bookmarkEnd w:id="729"/>
          </w:p>
        </w:tc>
      </w:tr>
      <w:tr>
        <w:trPr/>
        <w:tc>
          <w:tcPr>
            <w:tcW w:w="638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30" w:name="xdx_401_eus-gaap--InvestmentIncomeIntere"/>
            <w:bookmarkEnd w:id="730"/>
          </w:p>
        </w:tc>
      </w:tr>
      <w:tr>
        <w:trPr/>
        <w:tc>
          <w:tcPr>
            <w:tcW w:w="638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3,369</w:t>
            </w:r>
          </w:p>
        </w:tc>
        <w:tc>
          <w:tcPr>
            <w:tcW w:w="110" w:type="dxa"/>
            <w:tcBorders/>
            <w:shd w:fill="FFFFFF" w:val="clear"/>
            <w:vAlign w:val="center"/>
          </w:tcPr>
          <w:p>
            <w:pPr>
              <w:pStyle w:val="TableContents"/>
              <w:bidi w:val="0"/>
              <w:spacing w:before="0" w:after="283"/>
              <w:jc w:val="left"/>
              <w:rPr/>
            </w:pPr>
            <w:r>
              <w:rPr/>
              <w:t> </w:t>
            </w:r>
            <w:bookmarkStart w:id="731" w:name="xdx_40A_ecustom--GainLossOnWarrantLiabil"/>
            <w:bookmarkEnd w:id="731"/>
          </w:p>
        </w:tc>
      </w:tr>
      <w:tr>
        <w:trPr/>
        <w:tc>
          <w:tcPr>
            <w:tcW w:w="6380" w:type="dxa"/>
            <w:tcBorders/>
            <w:shd w:fill="CCEEFF" w:val="clear"/>
            <w:vAlign w:val="center"/>
          </w:tcPr>
          <w:p>
            <w:pPr>
              <w:pStyle w:val="TableContents"/>
              <w:bidi w:val="0"/>
              <w:spacing w:before="0" w:after="283"/>
              <w:jc w:val="left"/>
              <w:rPr/>
            </w:pPr>
            <w:r>
              <w:rPr/>
              <w:t>Gain on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807</w:t>
            </w:r>
          </w:p>
        </w:tc>
        <w:tc>
          <w:tcPr>
            <w:tcW w:w="110" w:type="dxa"/>
            <w:tcBorders/>
            <w:shd w:fill="CCEEFF" w:val="clear"/>
            <w:vAlign w:val="center"/>
          </w:tcPr>
          <w:p>
            <w:pPr>
              <w:pStyle w:val="TableContents"/>
              <w:bidi w:val="0"/>
              <w:spacing w:before="0" w:after="283"/>
              <w:jc w:val="left"/>
              <w:rPr/>
            </w:pPr>
            <w:r>
              <w:rPr/>
              <w:t> </w:t>
            </w:r>
            <w:bookmarkStart w:id="732" w:name="xdx_40C_ecustom--GainLossOnPrePaidAdvanc"/>
            <w:bookmarkEnd w:id="732"/>
          </w:p>
        </w:tc>
      </w:tr>
      <w:tr>
        <w:trPr/>
        <w:tc>
          <w:tcPr>
            <w:tcW w:w="6380" w:type="dxa"/>
            <w:tcBorders/>
            <w:shd w:fill="FFFFFF" w:val="clear"/>
            <w:vAlign w:val="center"/>
          </w:tcPr>
          <w:p>
            <w:pPr>
              <w:pStyle w:val="TableContents"/>
              <w:bidi w:val="0"/>
              <w:spacing w:before="0" w:after="283"/>
              <w:jc w:val="left"/>
              <w:rPr/>
            </w:pPr>
            <w:r>
              <w:rPr/>
              <w:t>Loss on PPAs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33" w:name="xdx_401_eus-gaap--OtherExpenses_iN_di_ms"/>
            <w:bookmarkEnd w:id="733"/>
          </w:p>
        </w:tc>
      </w:tr>
      <w:tr>
        <w:trPr/>
        <w:tc>
          <w:tcPr>
            <w:tcW w:w="638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w:t>
            </w:r>
            <w:bookmarkStart w:id="734" w:name="xdx_407_eus-gaap--OtherNonoperatingIncom"/>
            <w:bookmarkEnd w:id="734"/>
          </w:p>
        </w:tc>
      </w:tr>
      <w:tr>
        <w:trPr/>
        <w:tc>
          <w:tcPr>
            <w:tcW w:w="6380"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4,167</w:t>
            </w:r>
          </w:p>
        </w:tc>
        <w:tc>
          <w:tcPr>
            <w:tcW w:w="110" w:type="dxa"/>
            <w:tcBorders/>
            <w:shd w:fill="FFFFFF" w:val="clear"/>
            <w:vAlign w:val="center"/>
          </w:tcPr>
          <w:p>
            <w:pPr>
              <w:pStyle w:val="TableContents"/>
              <w:bidi w:val="0"/>
              <w:spacing w:before="0" w:after="283"/>
              <w:jc w:val="left"/>
              <w:rPr/>
            </w:pPr>
            <w:r>
              <w:rPr/>
              <w:t> </w:t>
            </w:r>
            <w:bookmarkStart w:id="735" w:name="xdx_405_eus-gaap--NetIncomeLoss_iT_mtNIL"/>
            <w:bookmarkEnd w:id="735"/>
          </w:p>
        </w:tc>
      </w:tr>
      <w:tr>
        <w:trPr/>
        <w:tc>
          <w:tcPr>
            <w:tcW w:w="6380" w:type="dxa"/>
            <w:tcBorders/>
            <w:shd w:fill="CCEEFF" w:val="clear"/>
            <w:vAlign w:val="center"/>
          </w:tcPr>
          <w:p>
            <w:pPr>
              <w:pStyle w:val="TableContents"/>
              <w:bidi w:val="0"/>
              <w:spacing w:before="0" w:after="283"/>
              <w:jc w:val="left"/>
              <w:rPr/>
            </w:pPr>
            <w:r>
              <w:rPr/>
              <w:t>Consolidated 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(59,607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(69,776</w:t>
            </w:r>
          </w:p>
        </w:tc>
        <w:tc>
          <w:tcPr>
            <w:tcW w:w="110" w:type="dxa"/>
            <w:tcBorders/>
            <w:shd w:fill="CCEEFF" w:val="clear"/>
            <w:vAlign w:val="center"/>
          </w:tcPr>
          <w:p>
            <w:pPr>
              <w:pStyle w:val="TableContents"/>
              <w:bidi w:val="0"/>
              <w:spacing w:before="0" w:after="283"/>
              <w:jc w:val="left"/>
              <w:rPr/>
            </w:pPr>
            <w:r>
              <w:rPr/>
              <w:t>)</w:t>
            </w:r>
          </w:p>
        </w:tc>
      </w:tr>
      <w:tr>
        <w:trPr/>
        <w:tc>
          <w:tcPr>
            <w:tcW w:w="638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36" w:name="xdx_90E_eus-gaap--EarningsPerShareDilute"/>
            <w:bookmarkStart w:id="737" w:name="xdx_901_eus-gaap--EarningsPerShareBasic_"/>
            <w:bookmarkEnd w:id="736"/>
            <w:bookmarkEnd w:id="737"/>
            <w:r>
              <w:rPr/>
              <w:t>(50.66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38" w:name="xdx_905_eus-gaap--EarningsPerShareDilute"/>
            <w:bookmarkStart w:id="739" w:name="xdx_906_eus-gaap--EarningsPerShareBasic_"/>
            <w:bookmarkEnd w:id="738"/>
            <w:bookmarkEnd w:id="739"/>
            <w:r>
              <w:rPr/>
              <w:t>(71.83</w:t>
            </w:r>
          </w:p>
        </w:tc>
        <w:tc>
          <w:tcPr>
            <w:tcW w:w="110" w:type="dxa"/>
            <w:tcBorders/>
            <w:shd w:fill="FFFFFF" w:val="clear"/>
            <w:vAlign w:val="center"/>
          </w:tcPr>
          <w:p>
            <w:pPr>
              <w:pStyle w:val="TableContents"/>
              <w:bidi w:val="0"/>
              <w:spacing w:before="0" w:after="283"/>
              <w:jc w:val="left"/>
              <w:rPr/>
            </w:pPr>
            <w:r>
              <w:rPr/>
              <w:t>)</w:t>
            </w:r>
          </w:p>
        </w:tc>
      </w:tr>
      <w:tr>
        <w:trPr/>
        <w:tc>
          <w:tcPr>
            <w:tcW w:w="6380" w:type="dxa"/>
            <w:tcBorders/>
            <w:shd w:fill="CCEEFF" w:val="clear"/>
            <w:vAlign w:val="center"/>
          </w:tcPr>
          <w:p>
            <w:pPr>
              <w:pStyle w:val="TableContents"/>
              <w:bidi w:val="0"/>
              <w:spacing w:before="0" w:after="283"/>
              <w:jc w:val="left"/>
              <w:rPr/>
            </w:pPr>
            <w:r>
              <w:rPr/>
              <w:t>Weighted-average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40" w:name="xdx_907_eus-gaap--WeightedAverageNumberO"/>
            <w:bookmarkStart w:id="741" w:name="xdx_90B_eus-gaap--WeightedAverageNumberO"/>
            <w:bookmarkEnd w:id="740"/>
            <w:bookmarkEnd w:id="741"/>
            <w:r>
              <w:rPr/>
              <w:t>1,176,558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42" w:name="xdx_902_eus-gaap--WeightedAverageNumberO"/>
            <w:bookmarkStart w:id="743" w:name="xdx_904_eus-gaap--WeightedAverageNumberO"/>
            <w:bookmarkEnd w:id="742"/>
            <w:bookmarkEnd w:id="743"/>
            <w:r>
              <w:rPr/>
              <w:t>971,467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F-26</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744" w:name="a009"/>
      <w:bookmarkEnd w:id="744"/>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745" w:name="xdx_309_114_pn3n3_z2HXowb31po3"/>
      <w:bookmarkStart w:id="746" w:name="xdx_309_114_pn3n3_z2HXowb31po3"/>
      <w:bookmarkEnd w:id="746"/>
    </w:p>
    <w:tbl>
      <w:tblPr>
        <w:tblW w:w="8765" w:type="dxa"/>
        <w:jc w:val="left"/>
        <w:tblInd w:w="720" w:type="dxa"/>
        <w:tblLayout w:type="fixed"/>
        <w:tblCellMar>
          <w:top w:w="0" w:type="dxa"/>
          <w:left w:w="0" w:type="dxa"/>
          <w:bottom w:w="0" w:type="dxa"/>
          <w:right w:w="0" w:type="dxa"/>
        </w:tblCellMar>
      </w:tblPr>
      <w:tblGrid>
        <w:gridCol w:w="2157"/>
        <w:gridCol w:w="60"/>
        <w:gridCol w:w="60"/>
        <w:gridCol w:w="980"/>
        <w:gridCol w:w="60"/>
        <w:gridCol w:w="60"/>
        <w:gridCol w:w="211"/>
        <w:gridCol w:w="394"/>
        <w:gridCol w:w="60"/>
        <w:gridCol w:w="60"/>
        <w:gridCol w:w="93"/>
        <w:gridCol w:w="407"/>
        <w:gridCol w:w="61"/>
        <w:gridCol w:w="61"/>
        <w:gridCol w:w="211"/>
        <w:gridCol w:w="394"/>
        <w:gridCol w:w="60"/>
        <w:gridCol w:w="60"/>
        <w:gridCol w:w="140"/>
        <w:gridCol w:w="800"/>
        <w:gridCol w:w="95"/>
        <w:gridCol w:w="60"/>
        <w:gridCol w:w="140"/>
        <w:gridCol w:w="875"/>
        <w:gridCol w:w="95"/>
        <w:gridCol w:w="60"/>
        <w:gridCol w:w="145"/>
        <w:gridCol w:w="792"/>
        <w:gridCol w:w="114"/>
      </w:tblGrid>
      <w:tr>
        <w:trPr/>
        <w:tc>
          <w:tcPr>
            <w:tcW w:w="21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bookmarkStart w:id="747" w:name="xdx_4B3_us-gaap--StatementEquityComponen"/>
            <w:bookmarkEnd w:id="747"/>
          </w:p>
        </w:tc>
        <w:tc>
          <w:tcPr>
            <w:tcW w:w="3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8" w:name="xdx_4B3_us-gaap--StatementEquityComponen"/>
            <w:bookmarkEnd w:id="748"/>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9" w:name="xdx_4B1_us-gaap--StatementEquityComponen"/>
            <w:bookmarkEnd w:id="749"/>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750" w:name="xdx_4B7_zlQpHSDmcPl7"/>
            <w:bookmarkEnd w:id="750"/>
          </w:p>
        </w:tc>
        <w:tc>
          <w:tcPr>
            <w:tcW w:w="79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21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Class B</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sz w:val="16"/>
              </w:rPr>
            </w:pPr>
            <w:r>
              <w:rPr>
                <w:b/>
                <w:sz w:val="16"/>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center"/>
              <w:rPr>
                <w:b/>
                <w:sz w:val="16"/>
              </w:rPr>
            </w:pPr>
            <w:r>
              <w:rPr>
                <w:b/>
                <w:sz w:val="16"/>
              </w:rPr>
              <w:t>Total</w:t>
              <w:br/>
              <w:t>stockholders’</w:t>
            </w:r>
          </w:p>
        </w:tc>
        <w:tc>
          <w:tcPr>
            <w:tcW w:w="114" w:type="dxa"/>
            <w:tcBorders/>
            <w:vAlign w:val="center"/>
          </w:tcPr>
          <w:p>
            <w:pPr>
              <w:pStyle w:val="TableContents"/>
              <w:bidi w:val="0"/>
              <w:spacing w:before="0" w:after="283"/>
              <w:jc w:val="left"/>
              <w:rPr/>
            </w:pPr>
            <w:r>
              <w:rPr/>
              <w:t> </w:t>
            </w:r>
          </w:p>
        </w:tc>
      </w:tr>
      <w:tr>
        <w:trPr/>
        <w:tc>
          <w:tcPr>
            <w:tcW w:w="21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114" w:type="dxa"/>
            <w:tcBorders/>
            <w:vAlign w:val="center"/>
          </w:tcPr>
          <w:p>
            <w:pPr>
              <w:pStyle w:val="TableContents"/>
              <w:bidi w:val="0"/>
              <w:spacing w:before="0" w:after="283"/>
              <w:jc w:val="left"/>
              <w:rPr/>
            </w:pPr>
            <w:r>
              <w:rPr/>
              <w:t> </w:t>
            </w:r>
            <w:bookmarkStart w:id="751" w:name="xdx_439_c20240101__20241231_eus-gaap--St"/>
            <w:bookmarkEnd w:id="751"/>
          </w:p>
        </w:tc>
      </w:tr>
      <w:tr>
        <w:trPr/>
        <w:tc>
          <w:tcPr>
            <w:tcW w:w="2157"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52" w:name="xdx_981_eus-gaap--SharesOutstanding_iS_p"/>
            <w:bookmarkEnd w:id="752"/>
          </w:p>
        </w:tc>
        <w:tc>
          <w:tcPr>
            <w:tcW w:w="980" w:type="dxa"/>
            <w:tcBorders/>
            <w:shd w:fill="CCEEFF" w:val="clear"/>
            <w:vAlign w:val="center"/>
          </w:tcPr>
          <w:p>
            <w:pPr>
              <w:pStyle w:val="TableContents"/>
              <w:bidi w:val="0"/>
              <w:spacing w:before="0" w:after="283"/>
              <w:jc w:val="right"/>
              <w:rPr/>
            </w:pPr>
            <w:r>
              <w:rPr/>
              <w:t>961,551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486,935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(416,263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70,672</w:t>
            </w:r>
          </w:p>
        </w:tc>
        <w:tc>
          <w:tcPr>
            <w:tcW w:w="114" w:type="dxa"/>
            <w:tcBorders/>
            <w:shd w:fill="CCEEFF" w:val="clear"/>
            <w:vAlign w:val="center"/>
          </w:tcPr>
          <w:p>
            <w:pPr>
              <w:pStyle w:val="TableContents"/>
              <w:bidi w:val="0"/>
              <w:spacing w:before="0" w:after="283"/>
              <w:jc w:val="left"/>
              <w:rPr/>
            </w:pPr>
            <w:r>
              <w:rPr/>
              <w:t> </w:t>
            </w:r>
            <w:bookmarkStart w:id="753" w:name="xdx_407_ecustom--IssuanceOfCommonStockNe"/>
            <w:bookmarkEnd w:id="753"/>
          </w:p>
        </w:tc>
      </w:tr>
      <w:tr>
        <w:trPr/>
        <w:tc>
          <w:tcPr>
            <w:tcW w:w="2157" w:type="dxa"/>
            <w:tcBorders/>
            <w:shd w:fill="FFFFFF" w:val="clear"/>
            <w:vAlign w:val="center"/>
          </w:tcPr>
          <w:p>
            <w:pPr>
              <w:pStyle w:val="TableContents"/>
              <w:bidi w:val="0"/>
              <w:spacing w:before="0" w:after="283"/>
              <w:jc w:val="left"/>
              <w:rPr/>
            </w:pPr>
            <w:r>
              <w:rPr/>
              <w:t>Issuance of common stock, net of issuance costs and warrant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54" w:name="xdx_989_ecustom--IssuanceOfCommonStockNe"/>
            <w:bookmarkEnd w:id="754"/>
          </w:p>
        </w:tc>
        <w:tc>
          <w:tcPr>
            <w:tcW w:w="980" w:type="dxa"/>
            <w:tcBorders/>
            <w:shd w:fill="FFFFFF" w:val="clear"/>
            <w:vAlign w:val="center"/>
          </w:tcPr>
          <w:p>
            <w:pPr>
              <w:pStyle w:val="TableContents"/>
              <w:bidi w:val="0"/>
              <w:spacing w:before="0" w:after="283"/>
              <w:jc w:val="right"/>
              <w:rPr/>
            </w:pPr>
            <w:r>
              <w:rPr/>
              <w:t>193,583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4,152</w:t>
            </w:r>
          </w:p>
        </w:tc>
        <w:tc>
          <w:tcPr>
            <w:tcW w:w="114" w:type="dxa"/>
            <w:tcBorders/>
            <w:shd w:fill="FFFFFF" w:val="clear"/>
            <w:vAlign w:val="center"/>
          </w:tcPr>
          <w:p>
            <w:pPr>
              <w:pStyle w:val="TableContents"/>
              <w:bidi w:val="0"/>
              <w:spacing w:before="0" w:after="283"/>
              <w:jc w:val="left"/>
              <w:rPr/>
            </w:pPr>
            <w:r>
              <w:rPr/>
              <w:t> </w:t>
            </w:r>
            <w:bookmarkStart w:id="755" w:name="xdx_40C_eus-gaap--StockIssuedDuringPerio"/>
            <w:bookmarkEnd w:id="755"/>
          </w:p>
        </w:tc>
      </w:tr>
      <w:tr>
        <w:trPr/>
        <w:tc>
          <w:tcPr>
            <w:tcW w:w="2157" w:type="dxa"/>
            <w:tcBorders/>
            <w:shd w:fill="CCEEFF" w:val="clear"/>
            <w:vAlign w:val="center"/>
          </w:tcPr>
          <w:p>
            <w:pPr>
              <w:pStyle w:val="TableContents"/>
              <w:bidi w:val="0"/>
              <w:spacing w:before="0" w:after="283"/>
              <w:jc w:val="left"/>
              <w:rPr/>
            </w:pPr>
            <w:r>
              <w:rPr/>
              <w:t>Issuance of common stock under equity incentive plans,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56" w:name="xdx_98C_eus-gaap--StockIssuedDuringPerio"/>
            <w:bookmarkEnd w:id="756"/>
          </w:p>
        </w:tc>
        <w:tc>
          <w:tcPr>
            <w:tcW w:w="980" w:type="dxa"/>
            <w:tcBorders/>
            <w:shd w:fill="CCEEFF" w:val="clear"/>
            <w:vAlign w:val="center"/>
          </w:tcPr>
          <w:p>
            <w:pPr>
              <w:pStyle w:val="TableContents"/>
              <w:bidi w:val="0"/>
              <w:spacing w:before="0" w:after="283"/>
              <w:jc w:val="right"/>
              <w:rPr/>
            </w:pPr>
            <w:r>
              <w:rPr/>
              <w:t>1,540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757" w:name="xdx_408_eus-gaap--StockIssuedDuringPerio"/>
            <w:bookmarkEnd w:id="757"/>
          </w:p>
        </w:tc>
      </w:tr>
      <w:tr>
        <w:trPr/>
        <w:tc>
          <w:tcPr>
            <w:tcW w:w="2157" w:type="dxa"/>
            <w:tcBorders/>
            <w:shd w:fill="FFFFFF" w:val="clear"/>
            <w:vAlign w:val="center"/>
          </w:tcPr>
          <w:p>
            <w:pPr>
              <w:pStyle w:val="TableContents"/>
              <w:bidi w:val="0"/>
              <w:spacing w:before="0" w:after="283"/>
              <w:jc w:val="left"/>
              <w:rPr/>
            </w:pPr>
            <w:r>
              <w:rPr/>
              <w:t>Issuance of common stock for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58" w:name="xdx_988_eus-gaap--StockIssuedDuringPerio"/>
            <w:bookmarkEnd w:id="758"/>
          </w:p>
        </w:tc>
        <w:tc>
          <w:tcPr>
            <w:tcW w:w="980" w:type="dxa"/>
            <w:tcBorders/>
            <w:shd w:fill="FFFFFF" w:val="clear"/>
            <w:vAlign w:val="center"/>
          </w:tcPr>
          <w:p>
            <w:pPr>
              <w:pStyle w:val="TableContents"/>
              <w:bidi w:val="0"/>
              <w:spacing w:before="0" w:after="283"/>
              <w:jc w:val="right"/>
              <w:rPr/>
            </w:pPr>
            <w:r>
              <w:rPr/>
              <w:t>5,309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342</w:t>
            </w:r>
          </w:p>
        </w:tc>
        <w:tc>
          <w:tcPr>
            <w:tcW w:w="114" w:type="dxa"/>
            <w:tcBorders/>
            <w:shd w:fill="FFFFFF" w:val="clear"/>
            <w:vAlign w:val="center"/>
          </w:tcPr>
          <w:p>
            <w:pPr>
              <w:pStyle w:val="TableContents"/>
              <w:bidi w:val="0"/>
              <w:spacing w:before="0" w:after="283"/>
              <w:jc w:val="left"/>
              <w:rPr/>
            </w:pPr>
            <w:r>
              <w:rPr/>
              <w:t> </w:t>
            </w:r>
            <w:bookmarkStart w:id="759" w:name="xdx_40A_ecustom--TaxesRelatedToNetShareS"/>
            <w:bookmarkEnd w:id="759"/>
          </w:p>
        </w:tc>
      </w:tr>
      <w:tr>
        <w:trPr/>
        <w:tc>
          <w:tcPr>
            <w:tcW w:w="2157" w:type="dxa"/>
            <w:tcBorders/>
            <w:shd w:fill="CCEEFF" w:val="clear"/>
            <w:vAlign w:val="center"/>
          </w:tcPr>
          <w:p>
            <w:pPr>
              <w:pStyle w:val="TableContents"/>
              <w:bidi w:val="0"/>
              <w:spacing w:before="0" w:after="283"/>
              <w:jc w:val="left"/>
              <w:rPr/>
            </w:pPr>
            <w:r>
              <w:rPr/>
              <w:t>Taxes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(46</w:t>
            </w:r>
          </w:p>
        </w:tc>
        <w:tc>
          <w:tcPr>
            <w:tcW w:w="114" w:type="dxa"/>
            <w:tcBorders/>
            <w:shd w:fill="CCEEFF" w:val="clear"/>
            <w:vAlign w:val="center"/>
          </w:tcPr>
          <w:p>
            <w:pPr>
              <w:pStyle w:val="TableContents"/>
              <w:bidi w:val="0"/>
              <w:spacing w:before="0" w:after="283"/>
              <w:jc w:val="left"/>
              <w:rPr/>
            </w:pPr>
            <w:r>
              <w:rPr/>
              <w:t>)</w:t>
            </w:r>
            <w:bookmarkStart w:id="760" w:name="xdx_40D_eus-gaap--AdjustmentsToAdditiona"/>
            <w:bookmarkEnd w:id="760"/>
          </w:p>
        </w:tc>
      </w:tr>
      <w:tr>
        <w:trPr/>
        <w:tc>
          <w:tcPr>
            <w:tcW w:w="2157"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8,921</w:t>
            </w:r>
          </w:p>
        </w:tc>
        <w:tc>
          <w:tcPr>
            <w:tcW w:w="114" w:type="dxa"/>
            <w:tcBorders/>
            <w:shd w:fill="FFFFFF" w:val="clear"/>
            <w:vAlign w:val="center"/>
          </w:tcPr>
          <w:p>
            <w:pPr>
              <w:pStyle w:val="TableContents"/>
              <w:bidi w:val="0"/>
              <w:spacing w:before="0" w:after="283"/>
              <w:jc w:val="left"/>
              <w:rPr/>
            </w:pPr>
            <w:r>
              <w:rPr/>
              <w:t> </w:t>
            </w:r>
            <w:bookmarkStart w:id="761" w:name="xdx_401_eus-gaap--NetIncomeLoss_uUSD_z8U"/>
            <w:bookmarkEnd w:id="761"/>
          </w:p>
        </w:tc>
      </w:tr>
      <w:tr>
        <w:trPr/>
        <w:tc>
          <w:tcPr>
            <w:tcW w:w="215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(69,776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(69,776</w:t>
            </w:r>
          </w:p>
        </w:tc>
        <w:tc>
          <w:tcPr>
            <w:tcW w:w="114" w:type="dxa"/>
            <w:tcBorders/>
            <w:shd w:fill="CCEEFF" w:val="clear"/>
            <w:vAlign w:val="center"/>
          </w:tcPr>
          <w:p>
            <w:pPr>
              <w:pStyle w:val="TableContents"/>
              <w:bidi w:val="0"/>
              <w:spacing w:before="0" w:after="283"/>
              <w:jc w:val="left"/>
              <w:rPr/>
            </w:pPr>
            <w:r>
              <w:rPr/>
              <w:t>)</w:t>
            </w:r>
            <w:bookmarkStart w:id="762" w:name="xdx_439_c20250101__20251231_eus-gaap--St"/>
            <w:bookmarkEnd w:id="762"/>
          </w:p>
        </w:tc>
      </w:tr>
      <w:tr>
        <w:trPr/>
        <w:tc>
          <w:tcPr>
            <w:tcW w:w="2157" w:type="dxa"/>
            <w:tcBorders/>
            <w:shd w:fill="FFFFFF" w:val="clear"/>
            <w:vAlign w:val="center"/>
          </w:tcPr>
          <w:p>
            <w:pPr>
              <w:pStyle w:val="TableContents"/>
              <w:bidi w:val="0"/>
              <w:spacing w:before="0" w:after="283"/>
              <w:jc w:val="left"/>
              <w:rPr/>
            </w:pPr>
            <w:r>
              <w:rPr/>
              <w:t>Balance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3" w:name="xdx_98C_eus-gaap--SharesOutstanding_iS_p"/>
            <w:bookmarkEnd w:id="763"/>
          </w:p>
        </w:tc>
        <w:tc>
          <w:tcPr>
            <w:tcW w:w="980" w:type="dxa"/>
            <w:tcBorders/>
            <w:shd w:fill="FFFFFF" w:val="clear"/>
            <w:vAlign w:val="center"/>
          </w:tcPr>
          <w:p>
            <w:pPr>
              <w:pStyle w:val="TableContents"/>
              <w:bidi w:val="0"/>
              <w:spacing w:before="0" w:after="283"/>
              <w:jc w:val="right"/>
              <w:rPr/>
            </w:pPr>
            <w:r>
              <w:rPr/>
              <w:t>1,161,983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500,304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(486,039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792" w:type="dxa"/>
            <w:tcBorders/>
            <w:shd w:fill="FFFFFF" w:val="clear"/>
            <w:vAlign w:val="center"/>
          </w:tcPr>
          <w:p>
            <w:pPr>
              <w:pStyle w:val="TableContents"/>
              <w:bidi w:val="0"/>
              <w:spacing w:before="0" w:after="283"/>
              <w:jc w:val="right"/>
              <w:rPr/>
            </w:pPr>
            <w:r>
              <w:rPr/>
              <w:t>14,265</w:t>
            </w:r>
          </w:p>
        </w:tc>
        <w:tc>
          <w:tcPr>
            <w:tcW w:w="114" w:type="dxa"/>
            <w:tcBorders/>
            <w:shd w:fill="FFFFFF" w:val="clear"/>
            <w:vAlign w:val="center"/>
          </w:tcPr>
          <w:p>
            <w:pPr>
              <w:pStyle w:val="TableContents"/>
              <w:bidi w:val="0"/>
              <w:spacing w:before="0" w:after="283"/>
              <w:jc w:val="left"/>
              <w:rPr/>
            </w:pPr>
            <w:r>
              <w:rPr/>
              <w:t> </w:t>
            </w:r>
            <w:bookmarkStart w:id="764" w:name="xdx_40C_eus-gaap--StockIssuedDuringPerio"/>
            <w:bookmarkEnd w:id="764"/>
          </w:p>
        </w:tc>
      </w:tr>
      <w:tr>
        <w:trPr/>
        <w:tc>
          <w:tcPr>
            <w:tcW w:w="2157" w:type="dxa"/>
            <w:tcBorders/>
            <w:shd w:fill="CCEEFF" w:val="clear"/>
            <w:vAlign w:val="center"/>
          </w:tcPr>
          <w:p>
            <w:pPr>
              <w:pStyle w:val="TableContents"/>
              <w:bidi w:val="0"/>
              <w:spacing w:before="0" w:after="283"/>
              <w:jc w:val="left"/>
              <w:rPr/>
            </w:pPr>
            <w:r>
              <w:rPr/>
              <w:t>Issuance of common stock under equity incentive plans,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65" w:name="xdx_980_eus-gaap--StockIssuedDuringPerio"/>
            <w:bookmarkEnd w:id="765"/>
          </w:p>
        </w:tc>
        <w:tc>
          <w:tcPr>
            <w:tcW w:w="980" w:type="dxa"/>
            <w:tcBorders/>
            <w:shd w:fill="CCEEFF" w:val="clear"/>
            <w:vAlign w:val="center"/>
          </w:tcPr>
          <w:p>
            <w:pPr>
              <w:pStyle w:val="TableContents"/>
              <w:bidi w:val="0"/>
              <w:spacing w:before="0" w:after="283"/>
              <w:jc w:val="right"/>
              <w:rPr/>
            </w:pPr>
            <w:r>
              <w:rPr/>
              <w:t>12,555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766" w:name="xdx_408_eus-gaap--StockIssuedDuringPerio"/>
            <w:bookmarkEnd w:id="766"/>
          </w:p>
        </w:tc>
      </w:tr>
      <w:tr>
        <w:trPr/>
        <w:tc>
          <w:tcPr>
            <w:tcW w:w="2157" w:type="dxa"/>
            <w:tcBorders/>
            <w:shd w:fill="FFFFFF" w:val="clear"/>
            <w:vAlign w:val="center"/>
          </w:tcPr>
          <w:p>
            <w:pPr>
              <w:pStyle w:val="TableContents"/>
              <w:bidi w:val="0"/>
              <w:spacing w:before="0" w:after="283"/>
              <w:jc w:val="left"/>
              <w:rPr/>
            </w:pPr>
            <w:r>
              <w:rPr/>
              <w:t>Issuance of common stock for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7" w:name="xdx_98C_eus-gaap--StockIssuedDuringPerio"/>
            <w:bookmarkEnd w:id="767"/>
          </w:p>
        </w:tc>
        <w:tc>
          <w:tcPr>
            <w:tcW w:w="980" w:type="dxa"/>
            <w:tcBorders/>
            <w:shd w:fill="FFFFFF" w:val="clear"/>
            <w:vAlign w:val="center"/>
          </w:tcPr>
          <w:p>
            <w:pPr>
              <w:pStyle w:val="TableContents"/>
              <w:bidi w:val="0"/>
              <w:spacing w:before="0" w:after="283"/>
              <w:jc w:val="right"/>
              <w:rPr/>
            </w:pPr>
            <w:r>
              <w:rPr/>
              <w:t>5,137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jc w:val="left"/>
              <w:rPr/>
            </w:pPr>
            <w:r>
              <w:rPr/>
              <w:t> </w:t>
            </w:r>
            <w:bookmarkStart w:id="768" w:name="xdx_405_ecustom--IssuanceOfCommonStockFo"/>
            <w:bookmarkEnd w:id="768"/>
          </w:p>
        </w:tc>
      </w:tr>
      <w:tr>
        <w:trPr/>
        <w:tc>
          <w:tcPr>
            <w:tcW w:w="2157" w:type="dxa"/>
            <w:tcBorders/>
            <w:shd w:fill="CCEEFF" w:val="clear"/>
            <w:vAlign w:val="center"/>
          </w:tcPr>
          <w:p>
            <w:pPr>
              <w:pStyle w:val="TableContents"/>
              <w:bidi w:val="0"/>
              <w:spacing w:before="0" w:after="283"/>
              <w:jc w:val="left"/>
              <w:rPr/>
            </w:pPr>
            <w:r>
              <w:rPr/>
              <w:t>Issuance of common stock for commitment fee under SEPA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69" w:name="xdx_982_ecustom--IssuanceOfCommonStockFo"/>
            <w:bookmarkEnd w:id="769"/>
          </w:p>
        </w:tc>
        <w:tc>
          <w:tcPr>
            <w:tcW w:w="980" w:type="dxa"/>
            <w:tcBorders/>
            <w:shd w:fill="CCEEFF" w:val="clear"/>
            <w:vAlign w:val="center"/>
          </w:tcPr>
          <w:p>
            <w:pPr>
              <w:pStyle w:val="TableContents"/>
              <w:bidi w:val="0"/>
              <w:spacing w:before="0" w:after="283"/>
              <w:jc w:val="right"/>
              <w:rPr/>
            </w:pPr>
            <w:r>
              <w:rPr/>
              <w:t>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282</w:t>
            </w:r>
          </w:p>
        </w:tc>
        <w:tc>
          <w:tcPr>
            <w:tcW w:w="114" w:type="dxa"/>
            <w:tcBorders/>
            <w:shd w:fill="CCEEFF" w:val="clear"/>
            <w:vAlign w:val="center"/>
          </w:tcPr>
          <w:p>
            <w:pPr>
              <w:pStyle w:val="TableContents"/>
              <w:bidi w:val="0"/>
              <w:spacing w:before="0" w:after="283"/>
              <w:jc w:val="left"/>
              <w:rPr/>
            </w:pPr>
            <w:r>
              <w:rPr/>
              <w:t> </w:t>
            </w:r>
            <w:bookmarkStart w:id="770" w:name="xdx_400_ecustom--IssuanceOfCommonStockUn"/>
            <w:bookmarkEnd w:id="770"/>
          </w:p>
        </w:tc>
      </w:tr>
      <w:tr>
        <w:trPr/>
        <w:tc>
          <w:tcPr>
            <w:tcW w:w="2157" w:type="dxa"/>
            <w:tcBorders/>
            <w:shd w:fill="FFFFFF" w:val="clear"/>
            <w:vAlign w:val="center"/>
          </w:tcPr>
          <w:p>
            <w:pPr>
              <w:pStyle w:val="TableContents"/>
              <w:bidi w:val="0"/>
              <w:spacing w:before="0" w:after="283"/>
              <w:jc w:val="left"/>
              <w:rPr/>
            </w:pPr>
            <w:r>
              <w:rPr/>
              <w:t>Issuance of common stock under PPAs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71" w:name="xdx_98B_ecustom--IssuanceOfCommonStockUn"/>
            <w:bookmarkEnd w:id="771"/>
          </w:p>
        </w:tc>
        <w:tc>
          <w:tcPr>
            <w:tcW w:w="980" w:type="dxa"/>
            <w:tcBorders/>
            <w:shd w:fill="FFFFFF" w:val="clear"/>
            <w:vAlign w:val="center"/>
          </w:tcPr>
          <w:p>
            <w:pPr>
              <w:pStyle w:val="TableContents"/>
              <w:bidi w:val="0"/>
              <w:spacing w:before="0" w:after="283"/>
              <w:jc w:val="right"/>
              <w:rPr/>
            </w:pPr>
            <w:r>
              <w:rPr/>
              <w:t>84,743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3,389</w:t>
            </w:r>
          </w:p>
        </w:tc>
        <w:tc>
          <w:tcPr>
            <w:tcW w:w="114" w:type="dxa"/>
            <w:tcBorders/>
            <w:shd w:fill="FFFFFF" w:val="clear"/>
            <w:vAlign w:val="center"/>
          </w:tcPr>
          <w:p>
            <w:pPr>
              <w:pStyle w:val="TableContents"/>
              <w:bidi w:val="0"/>
              <w:spacing w:before="0" w:after="283"/>
              <w:jc w:val="left"/>
              <w:rPr/>
            </w:pPr>
            <w:r>
              <w:rPr/>
              <w:t> </w:t>
            </w:r>
            <w:bookmarkStart w:id="772" w:name="xdx_40A_ecustom--TaxesRelatedToNetShareS"/>
            <w:bookmarkEnd w:id="772"/>
          </w:p>
        </w:tc>
      </w:tr>
      <w:tr>
        <w:trPr/>
        <w:tc>
          <w:tcPr>
            <w:tcW w:w="2157" w:type="dxa"/>
            <w:tcBorders/>
            <w:shd w:fill="CCEEFF" w:val="clear"/>
            <w:vAlign w:val="center"/>
          </w:tcPr>
          <w:p>
            <w:pPr>
              <w:pStyle w:val="TableContents"/>
              <w:bidi w:val="0"/>
              <w:spacing w:before="0" w:after="283"/>
              <w:jc w:val="left"/>
              <w:rPr/>
            </w:pPr>
            <w:r>
              <w:rPr/>
              <w:t>Taxes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(52</w:t>
            </w:r>
          </w:p>
        </w:tc>
        <w:tc>
          <w:tcPr>
            <w:tcW w:w="114" w:type="dxa"/>
            <w:tcBorders/>
            <w:shd w:fill="CCEEFF" w:val="clear"/>
            <w:vAlign w:val="center"/>
          </w:tcPr>
          <w:p>
            <w:pPr>
              <w:pStyle w:val="TableContents"/>
              <w:bidi w:val="0"/>
              <w:spacing w:before="0" w:after="283"/>
              <w:jc w:val="left"/>
              <w:rPr/>
            </w:pPr>
            <w:r>
              <w:rPr/>
              <w:t>)</w:t>
            </w:r>
            <w:bookmarkStart w:id="773" w:name="xdx_40D_eus-gaap--AdjustmentsToAdditiona"/>
            <w:bookmarkEnd w:id="773"/>
          </w:p>
        </w:tc>
      </w:tr>
      <w:tr>
        <w:trPr/>
        <w:tc>
          <w:tcPr>
            <w:tcW w:w="2157"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5,434</w:t>
            </w:r>
          </w:p>
        </w:tc>
        <w:tc>
          <w:tcPr>
            <w:tcW w:w="114" w:type="dxa"/>
            <w:tcBorders/>
            <w:shd w:fill="FFFFFF" w:val="clear"/>
            <w:vAlign w:val="center"/>
          </w:tcPr>
          <w:p>
            <w:pPr>
              <w:pStyle w:val="TableContents"/>
              <w:bidi w:val="0"/>
              <w:spacing w:before="0" w:after="283"/>
              <w:jc w:val="left"/>
              <w:rPr/>
            </w:pPr>
            <w:r>
              <w:rPr/>
              <w:t> </w:t>
            </w:r>
            <w:bookmarkStart w:id="774" w:name="xdx_401_eus-gaap--NetIncomeLoss_uUSD_zrY"/>
            <w:bookmarkEnd w:id="774"/>
          </w:p>
        </w:tc>
      </w:tr>
      <w:tr>
        <w:trPr/>
        <w:tc>
          <w:tcPr>
            <w:tcW w:w="215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(59,607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(59,607</w:t>
            </w:r>
          </w:p>
        </w:tc>
        <w:tc>
          <w:tcPr>
            <w:tcW w:w="114" w:type="dxa"/>
            <w:tcBorders/>
            <w:shd w:fill="CCEEFF" w:val="clear"/>
            <w:vAlign w:val="center"/>
          </w:tcPr>
          <w:p>
            <w:pPr>
              <w:pStyle w:val="TableContents"/>
              <w:bidi w:val="0"/>
              <w:spacing w:before="0" w:after="283"/>
              <w:jc w:val="left"/>
              <w:rPr/>
            </w:pPr>
            <w:r>
              <w:rPr/>
              <w:t>)</w:t>
            </w:r>
            <w:bookmarkStart w:id="775" w:name="xdx_430_c20250101__20251231_eus-gaap--St"/>
            <w:bookmarkEnd w:id="775"/>
          </w:p>
        </w:tc>
      </w:tr>
      <w:tr>
        <w:trPr/>
        <w:tc>
          <w:tcPr>
            <w:tcW w:w="2157"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76" w:name="xdx_98C_eus-gaap--SharesOutstanding_iE_p"/>
            <w:bookmarkEnd w:id="77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1,269,286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9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509,457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(545,646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pPr>
            <w:r>
              <w:rPr/>
              <w:t>(36,189</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F-27</w:t>
      </w:r>
    </w:p>
    <w:p>
      <w:pPr>
        <w:pStyle w:val="TextBody"/>
        <w:bidi w:val="0"/>
        <w:spacing w:before="0" w:after="0"/>
        <w:ind w:left="720" w:right="720" w:hanging="0"/>
        <w:jc w:val="left"/>
        <w:rPr/>
      </w:pPr>
      <w:r>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777" w:name="a010"/>
      <w:bookmarkEnd w:id="777"/>
      <w:r>
        <w:rPr>
          <w:rFonts w:ascii="Times New Roman;Times;Serif" w:hAnsi="Times New Roman;Times;Serif"/>
          <w:b/>
          <w:i w:val="false"/>
          <w:caps w:val="false"/>
          <w:smallCaps w:val="false"/>
          <w:sz w:val="20"/>
        </w:rPr>
        <w:t>Consolidated Statements of Cash Flows</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720" w:right="720" w:hanging="0"/>
        <w:jc w:val="center"/>
        <w:rPr>
          <w:caps w:val="false"/>
          <w:smallCaps w:val="false"/>
        </w:rPr>
      </w:pPr>
      <w:r>
        <w:rPr>
          <w:caps w:val="false"/>
          <w:smallCaps w:val="false"/>
        </w:rPr>
        <w:t> </w:t>
      </w:r>
    </w:p>
    <w:p>
      <w:pPr>
        <w:pStyle w:val="Normal"/>
        <w:bidi w:val="0"/>
        <w:spacing w:before="720" w:after="720"/>
        <w:ind w:left="720" w:right="720" w:hanging="0"/>
        <w:jc w:val="left"/>
        <w:rPr>
          <w:sz w:val="4"/>
          <w:szCs w:val="4"/>
        </w:rPr>
      </w:pPr>
      <w:r>
        <w:rPr>
          <w:sz w:val="4"/>
          <w:szCs w:val="4"/>
        </w:rPr>
      </w:r>
      <w:bookmarkStart w:id="778" w:name="xdx_300_112_pn3n3_zdHPK9qcYds3"/>
      <w:bookmarkStart w:id="779" w:name="xdx_300_112_pn3n3_zdHPK9qcYds3"/>
      <w:bookmarkEnd w:id="779"/>
    </w:p>
    <w:tbl>
      <w:tblPr>
        <w:tblW w:w="8765" w:type="dxa"/>
        <w:jc w:val="left"/>
        <w:tblInd w:w="720" w:type="dxa"/>
        <w:tblLayout w:type="fixed"/>
        <w:tblCellMar>
          <w:top w:w="0" w:type="dxa"/>
          <w:left w:w="0" w:type="dxa"/>
          <w:bottom w:w="0" w:type="dxa"/>
          <w:right w:w="0" w:type="dxa"/>
        </w:tblCellMar>
      </w:tblPr>
      <w:tblGrid>
        <w:gridCol w:w="6605"/>
        <w:gridCol w:w="60"/>
        <w:gridCol w:w="140"/>
        <w:gridCol w:w="755"/>
        <w:gridCol w:w="95"/>
        <w:gridCol w:w="60"/>
        <w:gridCol w:w="140"/>
        <w:gridCol w:w="800"/>
        <w:gridCol w:w="110"/>
      </w:tblGrid>
      <w:tr>
        <w:trPr/>
        <w:tc>
          <w:tcPr>
            <w:tcW w:w="6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0" w:name="xdx_49A_20250101__20251231_zBAFiriMzrBj"/>
            <w:bookmarkEnd w:id="780"/>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81" w:name="xdx_497_20240101__20241231_zaJYTZhne9l8"/>
            <w:bookmarkEnd w:id="781"/>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110"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110" w:type="dxa"/>
            <w:tcBorders/>
            <w:vAlign w:val="center"/>
          </w:tcPr>
          <w:p>
            <w:pPr>
              <w:pStyle w:val="TableContents"/>
              <w:bidi w:val="0"/>
              <w:spacing w:before="0" w:after="283"/>
              <w:jc w:val="left"/>
              <w:rPr/>
            </w:pPr>
            <w:r>
              <w:rPr/>
              <w:t> </w:t>
            </w:r>
            <w:bookmarkStart w:id="782" w:name="xdx_40C_eus-gaap--NetCashProvidedByUsedI"/>
            <w:bookmarkEnd w:id="782"/>
          </w:p>
        </w:tc>
      </w:tr>
      <w:tr>
        <w:trPr/>
        <w:tc>
          <w:tcPr>
            <w:tcW w:w="660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83" w:name="xdx_401_eus-gaap--NetIncomeLoss_i01_maNC"/>
            <w:bookmarkEnd w:id="783"/>
          </w:p>
        </w:tc>
      </w:tr>
      <w:tr>
        <w:trPr/>
        <w:tc>
          <w:tcPr>
            <w:tcW w:w="660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(59,607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(69,776</w:t>
            </w:r>
          </w:p>
        </w:tc>
        <w:tc>
          <w:tcPr>
            <w:tcW w:w="110" w:type="dxa"/>
            <w:tcBorders/>
            <w:shd w:fill="FFFFFF" w:val="clear"/>
            <w:vAlign w:val="center"/>
          </w:tcPr>
          <w:p>
            <w:pPr>
              <w:pStyle w:val="TableContents"/>
              <w:bidi w:val="0"/>
              <w:spacing w:before="0" w:after="283"/>
              <w:jc w:val="left"/>
              <w:rPr/>
            </w:pPr>
            <w:r>
              <w:rPr/>
              <w:t>)</w:t>
            </w:r>
            <w:bookmarkStart w:id="784" w:name="xdx_40F_eus-gaap--AdjustmentsNoncashItem"/>
            <w:bookmarkEnd w:id="784"/>
          </w:p>
        </w:tc>
      </w:tr>
      <w:tr>
        <w:trPr/>
        <w:tc>
          <w:tcPr>
            <w:tcW w:w="660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85" w:name="xdx_402_eus-gaap--DepreciationDepletionA"/>
            <w:bookmarkEnd w:id="785"/>
          </w:p>
        </w:tc>
      </w:tr>
      <w:tr>
        <w:trPr/>
        <w:tc>
          <w:tcPr>
            <w:tcW w:w="660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925</w:t>
            </w:r>
          </w:p>
        </w:tc>
        <w:tc>
          <w:tcPr>
            <w:tcW w:w="110" w:type="dxa"/>
            <w:tcBorders/>
            <w:shd w:fill="FFFFFF" w:val="clear"/>
            <w:vAlign w:val="center"/>
          </w:tcPr>
          <w:p>
            <w:pPr>
              <w:pStyle w:val="TableContents"/>
              <w:bidi w:val="0"/>
              <w:spacing w:before="0" w:after="283"/>
              <w:jc w:val="left"/>
              <w:rPr/>
            </w:pPr>
            <w:r>
              <w:rPr/>
              <w:t> </w:t>
            </w:r>
            <w:bookmarkStart w:id="786" w:name="xdx_40C_eus-gaap--GainLossOnSaleOfProper"/>
            <w:bookmarkEnd w:id="786"/>
          </w:p>
        </w:tc>
      </w:tr>
      <w:tr>
        <w:trPr/>
        <w:tc>
          <w:tcPr>
            <w:tcW w:w="6605"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87" w:name="xdx_405_eus-gaap--FairValueAdjustmentOfW"/>
            <w:bookmarkEnd w:id="787"/>
          </w:p>
        </w:tc>
      </w:tr>
      <w:tr>
        <w:trPr/>
        <w:tc>
          <w:tcPr>
            <w:tcW w:w="660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(807</w:t>
            </w:r>
          </w:p>
        </w:tc>
        <w:tc>
          <w:tcPr>
            <w:tcW w:w="110" w:type="dxa"/>
            <w:tcBorders/>
            <w:shd w:fill="FFFFFF" w:val="clear"/>
            <w:vAlign w:val="center"/>
          </w:tcPr>
          <w:p>
            <w:pPr>
              <w:pStyle w:val="TableContents"/>
              <w:bidi w:val="0"/>
              <w:spacing w:before="0" w:after="283"/>
              <w:jc w:val="left"/>
              <w:rPr/>
            </w:pPr>
            <w:r>
              <w:rPr/>
              <w:t>)</w:t>
            </w:r>
            <w:bookmarkStart w:id="788" w:name="xdx_402_ecustom--ChangeInFairValueOfPpas"/>
            <w:bookmarkEnd w:id="788"/>
          </w:p>
        </w:tc>
      </w:tr>
      <w:tr>
        <w:trPr/>
        <w:tc>
          <w:tcPr>
            <w:tcW w:w="6605" w:type="dxa"/>
            <w:tcBorders/>
            <w:shd w:fill="CCEEFF" w:val="clear"/>
            <w:vAlign w:val="center"/>
          </w:tcPr>
          <w:p>
            <w:pPr>
              <w:pStyle w:val="TableContents"/>
              <w:bidi w:val="0"/>
              <w:spacing w:before="0" w:after="283"/>
              <w:jc w:val="left"/>
              <w:rPr/>
            </w:pPr>
            <w:r>
              <w:rPr/>
              <w:t>Change in fair value of PPAs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89" w:name="xdx_405_ecustom--CommitmentFeeUnderStand"/>
            <w:bookmarkEnd w:id="789"/>
          </w:p>
        </w:tc>
      </w:tr>
      <w:tr>
        <w:trPr/>
        <w:tc>
          <w:tcPr>
            <w:tcW w:w="6605" w:type="dxa"/>
            <w:tcBorders/>
            <w:shd w:fill="FFFFFF" w:val="clear"/>
            <w:vAlign w:val="center"/>
          </w:tcPr>
          <w:p>
            <w:pPr>
              <w:pStyle w:val="TableContents"/>
              <w:bidi w:val="0"/>
              <w:spacing w:before="0" w:after="283"/>
              <w:jc w:val="left"/>
              <w:rPr/>
            </w:pPr>
            <w:r>
              <w:rPr/>
              <w:t>Commitment fee under SEPA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90" w:name="xdx_40F_ecustom--FinancingCostsRelatedTo"/>
            <w:bookmarkEnd w:id="790"/>
          </w:p>
        </w:tc>
      </w:tr>
      <w:tr>
        <w:trPr/>
        <w:tc>
          <w:tcPr>
            <w:tcW w:w="6605" w:type="dxa"/>
            <w:tcBorders/>
            <w:shd w:fill="CCEEFF" w:val="clear"/>
            <w:vAlign w:val="center"/>
          </w:tcPr>
          <w:p>
            <w:pPr>
              <w:pStyle w:val="TableContents"/>
              <w:bidi w:val="0"/>
              <w:spacing w:before="0" w:after="283"/>
              <w:jc w:val="left"/>
              <w:rPr/>
            </w:pPr>
            <w:r>
              <w:rPr/>
              <w:t>Financing costs related to PPAs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91" w:name="xdx_40F_eus-gaap--ShareBasedCompensation"/>
            <w:bookmarkEnd w:id="791"/>
          </w:p>
        </w:tc>
      </w:tr>
      <w:tr>
        <w:trPr/>
        <w:tc>
          <w:tcPr>
            <w:tcW w:w="660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8,921</w:t>
            </w:r>
          </w:p>
        </w:tc>
        <w:tc>
          <w:tcPr>
            <w:tcW w:w="110" w:type="dxa"/>
            <w:tcBorders/>
            <w:shd w:fill="FFFFFF" w:val="clear"/>
            <w:vAlign w:val="center"/>
          </w:tcPr>
          <w:p>
            <w:pPr>
              <w:pStyle w:val="TableContents"/>
              <w:bidi w:val="0"/>
              <w:spacing w:before="0" w:after="283"/>
              <w:jc w:val="left"/>
              <w:rPr/>
            </w:pPr>
            <w:r>
              <w:rPr/>
              <w:t> </w:t>
            </w:r>
            <w:bookmarkStart w:id="792" w:name="xdx_40A_eus-gaap--IncreaseDecreaseInOthe"/>
            <w:bookmarkEnd w:id="792"/>
          </w:p>
        </w:tc>
      </w:tr>
      <w:tr>
        <w:trPr/>
        <w:tc>
          <w:tcPr>
            <w:tcW w:w="660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93" w:name="xdx_405_eus-gaap--IncreaseDecreaseInPrep"/>
            <w:bookmarkEnd w:id="793"/>
          </w:p>
        </w:tc>
      </w:tr>
      <w:tr>
        <w:trPr/>
        <w:tc>
          <w:tcPr>
            <w:tcW w:w="660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2,903</w:t>
            </w:r>
          </w:p>
        </w:tc>
        <w:tc>
          <w:tcPr>
            <w:tcW w:w="110" w:type="dxa"/>
            <w:tcBorders/>
            <w:shd w:fill="FFFFFF" w:val="clear"/>
            <w:vAlign w:val="center"/>
          </w:tcPr>
          <w:p>
            <w:pPr>
              <w:pStyle w:val="TableContents"/>
              <w:bidi w:val="0"/>
              <w:spacing w:before="0" w:after="283"/>
              <w:jc w:val="left"/>
              <w:rPr/>
            </w:pPr>
            <w:r>
              <w:rPr/>
              <w:t> </w:t>
            </w:r>
            <w:bookmarkStart w:id="794" w:name="xdx_40C_eus-gaap--IncreaseDecreaseInAcco"/>
            <w:bookmarkEnd w:id="794"/>
          </w:p>
        </w:tc>
      </w:tr>
      <w:tr>
        <w:trPr/>
        <w:tc>
          <w:tcPr>
            <w:tcW w:w="660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(13,461</w:t>
            </w:r>
          </w:p>
        </w:tc>
        <w:tc>
          <w:tcPr>
            <w:tcW w:w="110" w:type="dxa"/>
            <w:tcBorders/>
            <w:shd w:fill="CCEEFF" w:val="clear"/>
            <w:vAlign w:val="center"/>
          </w:tcPr>
          <w:p>
            <w:pPr>
              <w:pStyle w:val="TableContents"/>
              <w:bidi w:val="0"/>
              <w:spacing w:before="0" w:after="283"/>
              <w:jc w:val="left"/>
              <w:rPr/>
            </w:pPr>
            <w:r>
              <w:rPr/>
              <w:t>)</w:t>
            </w:r>
            <w:bookmarkStart w:id="795" w:name="xdx_40A_eus-gaap--IncreaseDecreaseInOper"/>
            <w:bookmarkEnd w:id="795"/>
          </w:p>
        </w:tc>
      </w:tr>
      <w:tr>
        <w:trPr/>
        <w:tc>
          <w:tcPr>
            <w:tcW w:w="6605" w:type="dxa"/>
            <w:tcBorders/>
            <w:shd w:fill="FFFFFF" w:val="clear"/>
            <w:vAlign w:val="center"/>
          </w:tcPr>
          <w:p>
            <w:pPr>
              <w:pStyle w:val="TableContents"/>
              <w:bidi w:val="0"/>
              <w:spacing w:before="0" w:after="283"/>
              <w:jc w:val="left"/>
              <w:rPr/>
            </w:pPr>
            <w:r>
              <w:rPr/>
              <w:t>Right-of-use assets and lease liabilities,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(641</w:t>
            </w:r>
          </w:p>
        </w:tc>
        <w:tc>
          <w:tcPr>
            <w:tcW w:w="110" w:type="dxa"/>
            <w:tcBorders/>
            <w:shd w:fill="FFFFFF" w:val="clear"/>
            <w:vAlign w:val="center"/>
          </w:tcPr>
          <w:p>
            <w:pPr>
              <w:pStyle w:val="TableContents"/>
              <w:bidi w:val="0"/>
              <w:spacing w:before="0" w:after="283"/>
              <w:jc w:val="left"/>
              <w:rPr/>
            </w:pPr>
            <w:r>
              <w:rPr/>
              <w:t>)</w:t>
            </w:r>
            <w:bookmarkStart w:id="796" w:name="xdx_40D_eus-gaap--NetCashProvidedByUsedI"/>
            <w:bookmarkEnd w:id="796"/>
          </w:p>
        </w:tc>
      </w:tr>
      <w:tr>
        <w:trPr/>
        <w:tc>
          <w:tcPr>
            <w:tcW w:w="660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(71,936</w:t>
            </w:r>
          </w:p>
        </w:tc>
        <w:tc>
          <w:tcPr>
            <w:tcW w:w="110" w:type="dxa"/>
            <w:tcBorders/>
            <w:shd w:fill="CCEEFF" w:val="clear"/>
            <w:vAlign w:val="center"/>
          </w:tcPr>
          <w:p>
            <w:pPr>
              <w:pStyle w:val="TableContents"/>
              <w:bidi w:val="0"/>
              <w:spacing w:before="0" w:after="283"/>
              <w:jc w:val="left"/>
              <w:rPr/>
            </w:pPr>
            <w:r>
              <w:rPr/>
              <w:t>)</w:t>
            </w:r>
            <w:bookmarkStart w:id="797" w:name="xdx_406_eus-gaap--NetCashProvidedByUsedI"/>
            <w:bookmarkEnd w:id="797"/>
          </w:p>
        </w:tc>
      </w:tr>
      <w:tr>
        <w:trPr/>
        <w:tc>
          <w:tcPr>
            <w:tcW w:w="660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98" w:name="xdx_40B_ecustom--ProceedsFromPrePaidAdva"/>
            <w:bookmarkEnd w:id="798"/>
          </w:p>
        </w:tc>
      </w:tr>
      <w:tr>
        <w:trPr/>
        <w:tc>
          <w:tcPr>
            <w:tcW w:w="6605" w:type="dxa"/>
            <w:tcBorders/>
            <w:shd w:fill="CCEEFF" w:val="clear"/>
            <w:vAlign w:val="center"/>
          </w:tcPr>
          <w:p>
            <w:pPr>
              <w:pStyle w:val="TableContents"/>
              <w:bidi w:val="0"/>
              <w:spacing w:before="0" w:after="283"/>
              <w:jc w:val="left"/>
              <w:rPr/>
            </w:pPr>
            <w:r>
              <w:rPr/>
              <w:t>Proceeds from PPAs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99" w:name="xdx_40F_eus-gaap--PaymentsOfFinancingCos"/>
            <w:bookmarkEnd w:id="799"/>
          </w:p>
        </w:tc>
      </w:tr>
      <w:tr>
        <w:trPr/>
        <w:tc>
          <w:tcPr>
            <w:tcW w:w="6605" w:type="dxa"/>
            <w:tcBorders/>
            <w:shd w:fill="FFFFFF" w:val="clear"/>
            <w:vAlign w:val="center"/>
          </w:tcPr>
          <w:p>
            <w:pPr>
              <w:pStyle w:val="TableContents"/>
              <w:bidi w:val="0"/>
              <w:spacing w:before="0" w:after="283"/>
              <w:jc w:val="left"/>
              <w:rPr/>
            </w:pPr>
            <w:r>
              <w:rPr/>
              <w:t>Payment of financing costs related to issuance of common stock, PPAs and SEPA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00" w:name="xdx_40A_ecustom--ProceedsFromIssuanceOfC"/>
            <w:bookmarkEnd w:id="800"/>
          </w:p>
        </w:tc>
      </w:tr>
      <w:tr>
        <w:trPr/>
        <w:tc>
          <w:tcPr>
            <w:tcW w:w="6605" w:type="dxa"/>
            <w:tcBorders/>
            <w:shd w:fill="CCEEFF" w:val="clear"/>
            <w:vAlign w:val="center"/>
          </w:tcPr>
          <w:p>
            <w:pPr>
              <w:pStyle w:val="TableContents"/>
              <w:bidi w:val="0"/>
              <w:spacing w:before="0" w:after="283"/>
              <w:jc w:val="left"/>
              <w:rPr/>
            </w:pPr>
            <w:r>
              <w:rPr/>
              <w:t>Proceeds from 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9,215</w:t>
            </w:r>
          </w:p>
        </w:tc>
        <w:tc>
          <w:tcPr>
            <w:tcW w:w="110" w:type="dxa"/>
            <w:tcBorders/>
            <w:shd w:fill="CCEEFF" w:val="clear"/>
            <w:vAlign w:val="center"/>
          </w:tcPr>
          <w:p>
            <w:pPr>
              <w:pStyle w:val="TableContents"/>
              <w:bidi w:val="0"/>
              <w:spacing w:before="0" w:after="283"/>
              <w:jc w:val="left"/>
              <w:rPr/>
            </w:pPr>
            <w:r>
              <w:rPr/>
              <w:t> </w:t>
            </w:r>
            <w:bookmarkStart w:id="801" w:name="xdx_402_eus-gaap--ProceedsFromIssuanceOf"/>
            <w:bookmarkEnd w:id="801"/>
          </w:p>
        </w:tc>
      </w:tr>
      <w:tr>
        <w:trPr/>
        <w:tc>
          <w:tcPr>
            <w:tcW w:w="6605" w:type="dxa"/>
            <w:tcBorders/>
            <w:shd w:fill="FFFFFF" w:val="clear"/>
            <w:vAlign w:val="center"/>
          </w:tcPr>
          <w:p>
            <w:pPr>
              <w:pStyle w:val="TableContents"/>
              <w:bidi w:val="0"/>
              <w:spacing w:before="0" w:after="283"/>
              <w:jc w:val="left"/>
              <w:rPr/>
            </w:pPr>
            <w:r>
              <w:rPr/>
              <w:t>Proceeds from 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342</w:t>
            </w:r>
          </w:p>
        </w:tc>
        <w:tc>
          <w:tcPr>
            <w:tcW w:w="110" w:type="dxa"/>
            <w:tcBorders/>
            <w:shd w:fill="FFFFFF" w:val="clear"/>
            <w:vAlign w:val="center"/>
          </w:tcPr>
          <w:p>
            <w:pPr>
              <w:pStyle w:val="TableContents"/>
              <w:bidi w:val="0"/>
              <w:spacing w:before="0" w:after="283"/>
              <w:jc w:val="left"/>
              <w:rPr/>
            </w:pPr>
            <w:r>
              <w:rPr/>
              <w:t> </w:t>
            </w:r>
            <w:bookmarkStart w:id="802" w:name="xdx_408_ecustom--PaymentsForTaxesRelated"/>
            <w:bookmarkEnd w:id="802"/>
          </w:p>
        </w:tc>
      </w:tr>
      <w:tr>
        <w:trPr/>
        <w:tc>
          <w:tcPr>
            <w:tcW w:w="6605" w:type="dxa"/>
            <w:tcBorders/>
            <w:shd w:fill="CCEEFF" w:val="clear"/>
            <w:vAlign w:val="center"/>
          </w:tcPr>
          <w:p>
            <w:pPr>
              <w:pStyle w:val="TableContents"/>
              <w:bidi w:val="0"/>
              <w:spacing w:before="0" w:after="283"/>
              <w:jc w:val="left"/>
              <w:rPr/>
            </w:pPr>
            <w:r>
              <w:rPr/>
              <w:t>Payments for taxes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w:t>
            </w:r>
            <w:bookmarkStart w:id="803" w:name="xdx_405_eus-gaap--NetCashProvidedByUsedI"/>
            <w:bookmarkEnd w:id="803"/>
          </w:p>
        </w:tc>
      </w:tr>
      <w:tr>
        <w:trPr/>
        <w:tc>
          <w:tcPr>
            <w:tcW w:w="660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9,511</w:t>
            </w:r>
          </w:p>
        </w:tc>
        <w:tc>
          <w:tcPr>
            <w:tcW w:w="110" w:type="dxa"/>
            <w:tcBorders/>
            <w:shd w:fill="FFFFFF" w:val="clear"/>
            <w:vAlign w:val="center"/>
          </w:tcPr>
          <w:p>
            <w:pPr>
              <w:pStyle w:val="TableContents"/>
              <w:bidi w:val="0"/>
              <w:spacing w:before="0" w:after="283"/>
              <w:jc w:val="left"/>
              <w:rPr/>
            </w:pPr>
            <w:r>
              <w:rPr/>
              <w:t> </w:t>
            </w:r>
            <w:bookmarkStart w:id="804" w:name="xdx_407_eus-gaap--CashCashEquivalentsRes"/>
            <w:bookmarkEnd w:id="804"/>
          </w:p>
        </w:tc>
      </w:tr>
      <w:tr>
        <w:trPr/>
        <w:tc>
          <w:tcPr>
            <w:tcW w:w="6605"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(62,425</w:t>
            </w:r>
          </w:p>
        </w:tc>
        <w:tc>
          <w:tcPr>
            <w:tcW w:w="110" w:type="dxa"/>
            <w:tcBorders/>
            <w:shd w:fill="CCEEFF" w:val="clear"/>
            <w:vAlign w:val="center"/>
          </w:tcPr>
          <w:p>
            <w:pPr>
              <w:pStyle w:val="TableContents"/>
              <w:bidi w:val="0"/>
              <w:spacing w:before="0" w:after="283"/>
              <w:jc w:val="left"/>
              <w:rPr/>
            </w:pPr>
            <w:r>
              <w:rPr/>
              <w:t>)</w:t>
            </w:r>
            <w:bookmarkStart w:id="805" w:name="xdx_405_eus-gaap--CashCashEquivalentsRes"/>
            <w:bookmarkEnd w:id="805"/>
          </w:p>
        </w:tc>
      </w:tr>
      <w:tr>
        <w:trPr/>
        <w:tc>
          <w:tcPr>
            <w:tcW w:w="6605"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49,046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111,471</w:t>
            </w:r>
          </w:p>
        </w:tc>
        <w:tc>
          <w:tcPr>
            <w:tcW w:w="110" w:type="dxa"/>
            <w:tcBorders/>
            <w:shd w:fill="FFFFFF" w:val="clear"/>
            <w:vAlign w:val="center"/>
          </w:tcPr>
          <w:p>
            <w:pPr>
              <w:pStyle w:val="TableContents"/>
              <w:bidi w:val="0"/>
              <w:spacing w:before="0" w:after="283"/>
              <w:jc w:val="left"/>
              <w:rPr/>
            </w:pPr>
            <w:r>
              <w:rPr/>
              <w:t> </w:t>
            </w:r>
            <w:bookmarkStart w:id="806" w:name="xdx_400_eus-gaap--CashCashEquivalentsRes"/>
            <w:bookmarkEnd w:id="806"/>
          </w:p>
        </w:tc>
      </w:tr>
      <w:tr>
        <w:trPr/>
        <w:tc>
          <w:tcPr>
            <w:tcW w:w="6605"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49,046</w:t>
            </w:r>
          </w:p>
        </w:tc>
        <w:tc>
          <w:tcPr>
            <w:tcW w:w="110" w:type="dxa"/>
            <w:tcBorders/>
            <w:shd w:fill="CCEEFF" w:val="clear"/>
            <w:vAlign w:val="center"/>
          </w:tcPr>
          <w:p>
            <w:pPr>
              <w:pStyle w:val="TableContents"/>
              <w:bidi w:val="0"/>
              <w:spacing w:before="0" w:after="283"/>
              <w:jc w:val="left"/>
              <w:rPr/>
            </w:pPr>
            <w:r>
              <w:rPr/>
              <w:t> </w:t>
            </w:r>
            <w:bookmarkStart w:id="807" w:name="xdx_405_eus-gaap--NoncashInvestingAndFin"/>
            <w:bookmarkEnd w:id="807"/>
          </w:p>
        </w:tc>
      </w:tr>
      <w:tr>
        <w:trPr/>
        <w:tc>
          <w:tcPr>
            <w:tcW w:w="6605"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08" w:name="xdx_404_ecustom--IncreaseInRightOfUseAss"/>
            <w:bookmarkEnd w:id="808"/>
          </w:p>
        </w:tc>
      </w:tr>
      <w:tr>
        <w:trPr/>
        <w:tc>
          <w:tcPr>
            <w:tcW w:w="6605" w:type="dxa"/>
            <w:tcBorders/>
            <w:shd w:fill="CCEEFF" w:val="clear"/>
            <w:vAlign w:val="center"/>
          </w:tcPr>
          <w:p>
            <w:pPr>
              <w:pStyle w:val="TableContents"/>
              <w:bidi w:val="0"/>
              <w:spacing w:before="0" w:after="283"/>
              <w:jc w:val="left"/>
              <w:rPr/>
            </w:pPr>
            <w:r>
              <w:rPr/>
              <w:t>Increase in right-of-use assets and operating lease liabilities resulting from contract modification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09" w:name="xdx_40E_ecustom--PpasRelatedCostsInclude"/>
            <w:bookmarkEnd w:id="809"/>
          </w:p>
        </w:tc>
      </w:tr>
      <w:tr>
        <w:trPr/>
        <w:tc>
          <w:tcPr>
            <w:tcW w:w="6605" w:type="dxa"/>
            <w:tcBorders/>
            <w:shd w:fill="FFFFFF" w:val="clear"/>
            <w:vAlign w:val="center"/>
          </w:tcPr>
          <w:p>
            <w:pPr>
              <w:pStyle w:val="TableContents"/>
              <w:bidi w:val="0"/>
              <w:spacing w:before="0" w:after="283"/>
              <w:jc w:val="left"/>
              <w:rPr/>
            </w:pPr>
            <w:r>
              <w:rPr/>
              <w:t>PPAs related costs included in accounts payable and accrued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10" w:name="xdx_40D_ecustom--FairValueOfCommonStockR"/>
            <w:bookmarkEnd w:id="810"/>
          </w:p>
        </w:tc>
      </w:tr>
      <w:tr>
        <w:trPr/>
        <w:tc>
          <w:tcPr>
            <w:tcW w:w="6605" w:type="dxa"/>
            <w:tcBorders/>
            <w:shd w:fill="CCEEFF" w:val="clear"/>
            <w:vAlign w:val="center"/>
          </w:tcPr>
          <w:p>
            <w:pPr>
              <w:pStyle w:val="TableContents"/>
              <w:bidi w:val="0"/>
              <w:spacing w:before="0" w:after="283"/>
              <w:jc w:val="left"/>
              <w:rPr/>
            </w:pPr>
            <w:r>
              <w:rPr/>
              <w:t>Fair value of common stock issued in satisfaction of PPAs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11" w:name="xdx_40D_ecustom--EquityIssuanceCostsIncl"/>
            <w:bookmarkEnd w:id="811"/>
          </w:p>
        </w:tc>
      </w:tr>
      <w:tr>
        <w:trPr/>
        <w:tc>
          <w:tcPr>
            <w:tcW w:w="6605" w:type="dxa"/>
            <w:tcBorders/>
            <w:shd w:fill="FFFFFF" w:val="clear"/>
            <w:vAlign w:val="center"/>
          </w:tcPr>
          <w:p>
            <w:pPr>
              <w:pStyle w:val="TableContents"/>
              <w:bidi w:val="0"/>
              <w:spacing w:before="0" w:after="283"/>
              <w:jc w:val="left"/>
              <w:rPr/>
            </w:pPr>
            <w:r>
              <w:rPr/>
              <w:t>Equity issuance costs included in accounts payable and accrued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9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F-28</w:t>
      </w: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bookmarkStart w:id="812" w:name="a011"/>
      <w:bookmarkEnd w:id="812"/>
      <w:r>
        <w:rPr>
          <w:rFonts w:ascii="Times New Roman;Times;Serif" w:hAnsi="Times New Roman;Times;Serif"/>
          <w:b/>
          <w:i w:val="false"/>
          <w:caps w:val="false"/>
          <w:smallCaps w:val="false"/>
          <w:sz w:val="20"/>
        </w:rPr>
        <w:t>Notes to Consolidated Financial Statements</w:t>
      </w:r>
      <w:r>
        <w:rPr>
          <w:rFonts w:ascii="Times New Roman;Times;Serif" w:hAnsi="Times New Roman;Times;Serif"/>
          <w:b w:val="false"/>
          <w:i w:val="false"/>
          <w:caps w:val="false"/>
          <w:smallCaps w:val="false"/>
          <w:sz w:val="20"/>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813" w:name="xdx_806_eus-gaap--OrganizationConsolidat"/>
      <w:bookmarkEnd w:id="813"/>
      <w:r>
        <w:rPr>
          <w:rFonts w:ascii="Times New Roman;Times;Serif" w:hAnsi="Times New Roman;Times;Serif"/>
          <w:b/>
          <w:i w:val="false"/>
          <w:caps w:val="false"/>
          <w:smallCaps w:val="false"/>
          <w:sz w:val="20"/>
        </w:rPr>
        <w:t xml:space="preserve">1. </w:t>
      </w:r>
      <w:bookmarkStart w:id="814" w:name="xdx_82B_zN9YZ0bSomQ2"/>
      <w:bookmarkEnd w:id="814"/>
      <w:r>
        <w:rPr>
          <w:rFonts w:ascii="Times New Roman;Times;Serif" w:hAnsi="Times New Roman;Times;Serif"/>
          <w:b/>
          <w:i w:val="false"/>
          <w:caps w:val="false"/>
          <w:smallCaps w:val="false"/>
          <w:sz w:val="20"/>
        </w:rPr>
        <w:t>Organization and Summary of Significant Accounting Policies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15" w:name="xdx_861_z7zHPbm6A6F9"/>
      <w:bookmarkStart w:id="816" w:name="xdx_846_ecustom--OrganizationPolicyTextB"/>
      <w:bookmarkEnd w:id="815"/>
      <w:bookmarkEnd w:id="816"/>
      <w:r>
        <w:rPr>
          <w:rFonts w:ascii="Times New Roman;Times;Serif" w:hAnsi="Times New Roman;Times;Serif"/>
          <w:b/>
          <w:i/>
          <w:caps w:val="false"/>
          <w:smallCaps w:val="false"/>
          <w:sz w:val="20"/>
        </w:rPr>
        <w:t>Organization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BioAtla, LLC was formed in Delaware in </w:t>
      </w:r>
      <w:bookmarkStart w:id="817" w:name="xdx_90F_ecustom--CompanyFormationDate_c2"/>
      <w:bookmarkEnd w:id="817"/>
      <w:r>
        <w:rPr>
          <w:rFonts w:ascii="Times New Roman;Times;Serif" w:hAnsi="Times New Roman;Times;Serif"/>
          <w:b w:val="false"/>
          <w:i w:val="false"/>
          <w:caps w:val="false"/>
          <w:smallCaps w:val="false"/>
          <w:sz w:val="20"/>
        </w:rPr>
        <w:t>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pStyle w:val="TextBody"/>
        <w:bidi w:val="0"/>
        <w:spacing w:before="0" w:after="0"/>
        <w:ind w:left="720" w:right="720" w:firstLine="440"/>
        <w:jc w:val="both"/>
        <w:rPr>
          <w:caps w:val="false"/>
          <w:smallCaps w:val="false"/>
        </w:rPr>
      </w:pPr>
      <w:bookmarkStart w:id="818" w:name="xdx_858_zY1b5pFp1cQl"/>
      <w:bookmarkEnd w:id="818"/>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19" w:name="xdx_863_zEvqXYNhH062"/>
      <w:bookmarkStart w:id="820" w:name="xdx_845_eus-gaap--OrganizationConsolidat"/>
      <w:bookmarkEnd w:id="819"/>
      <w:bookmarkEnd w:id="820"/>
      <w:r>
        <w:rPr>
          <w:rFonts w:ascii="Times New Roman;Times;Serif" w:hAnsi="Times New Roman;Times;Serif"/>
          <w:b/>
          <w:i/>
          <w:caps w:val="false"/>
          <w:smallCaps w:val="false"/>
          <w:sz w:val="20"/>
        </w:rPr>
        <w:t>Basis of Presentation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(“GAAP”). BioAtla, Inc. is a single legal entity with one consolidated variable interest entity (“VIE”), BA 3021 SPV LLC (see Note 10).</w:t>
      </w:r>
    </w:p>
    <w:p>
      <w:pPr>
        <w:pStyle w:val="TextBody"/>
        <w:bidi w:val="0"/>
        <w:spacing w:before="0" w:after="0"/>
        <w:ind w:left="720" w:right="720" w:firstLine="440"/>
        <w:jc w:val="both"/>
        <w:rPr>
          <w:caps w:val="false"/>
          <w:smallCaps w:val="false"/>
        </w:rPr>
      </w:pPr>
      <w:bookmarkStart w:id="821" w:name="xdx_855_zOkiqwYtCtQb"/>
      <w:bookmarkEnd w:id="821"/>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22" w:name="xdx_867_zUDIL76maSgc"/>
      <w:bookmarkStart w:id="823" w:name="xdx_84B_ecustom--LiquidityAndGoingConcer"/>
      <w:bookmarkEnd w:id="822"/>
      <w:bookmarkEnd w:id="823"/>
      <w:r>
        <w:rPr>
          <w:rFonts w:ascii="Times New Roman;Times;Serif" w:hAnsi="Times New Roman;Times;Serif"/>
          <w:b/>
          <w:i/>
          <w:caps w:val="false"/>
          <w:smallCaps w:val="false"/>
          <w:sz w:val="20"/>
        </w:rPr>
        <w:t>Liquidity and Going Concern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December 31, 2025, the Company had an accumulated deficit of $</w:t>
      </w:r>
      <w:bookmarkStart w:id="824" w:name="xdx_906_eus-gaap--RetainedEarningsAccumu"/>
      <w:bookmarkEnd w:id="824"/>
      <w:r>
        <w:rPr>
          <w:rFonts w:ascii="Times New Roman;Times;Serif" w:hAnsi="Times New Roman;Times;Serif"/>
          <w:b w:val="false"/>
          <w:i w:val="false"/>
          <w:caps w:val="false"/>
          <w:smallCaps w:val="false"/>
          <w:sz w:val="20"/>
        </w:rPr>
        <w:t>545.6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consolidated financial statements.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its consolidated financial statements on a going concern basis, which assumes that the Company will realize its assets and satisfy its liabilities in the normal course of business. The accompanying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pStyle w:val="TextBody"/>
        <w:bidi w:val="0"/>
        <w:spacing w:before="0" w:after="0"/>
        <w:ind w:left="720" w:right="720" w:firstLine="446"/>
        <w:jc w:val="both"/>
        <w:rPr>
          <w:caps w:val="false"/>
          <w:smallCaps w:val="false"/>
        </w:rPr>
      </w:pPr>
      <w:bookmarkStart w:id="825" w:name="xdx_855_zmZ1sraIaHkc"/>
      <w:bookmarkEnd w:id="825"/>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26" w:name="xdx_861_zeSDyG9y21Fi"/>
      <w:bookmarkStart w:id="827" w:name="xdx_847_eus-gaap--ConsolidationVariableI"/>
      <w:bookmarkEnd w:id="826"/>
      <w:bookmarkEnd w:id="827"/>
      <w:r>
        <w:rPr>
          <w:rFonts w:ascii="Times New Roman;Times;Serif" w:hAnsi="Times New Roman;Times;Serif"/>
          <w:b/>
          <w:i/>
          <w:caps w:val="false"/>
          <w:smallCaps w:val="false"/>
          <w:sz w:val="20"/>
        </w:rPr>
        <w:t>Variable Interest Entities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 (see Note 10).</w:t>
      </w:r>
    </w:p>
    <w:p>
      <w:pPr>
        <w:pStyle w:val="TextBody"/>
        <w:bidi w:val="0"/>
        <w:spacing w:before="0" w:after="0"/>
        <w:ind w:left="720" w:right="720" w:firstLine="440"/>
        <w:jc w:val="both"/>
        <w:rPr>
          <w:caps w:val="false"/>
          <w:smallCaps w:val="false"/>
        </w:rPr>
      </w:pPr>
      <w:bookmarkStart w:id="828" w:name="xdx_850_z3QzRxGjbn32"/>
      <w:bookmarkEnd w:id="828"/>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F-29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bookmarkStart w:id="829" w:name="xdx_869_zlm8D62S9PUl"/>
      <w:bookmarkStart w:id="830" w:name="xdx_841_eus-gaap--UseOfEstimates_zvPRyCJ"/>
      <w:bookmarkEnd w:id="829"/>
      <w:bookmarkEnd w:id="830"/>
      <w:r>
        <w:rPr>
          <w:rFonts w:ascii="Times New Roman;Times;Serif" w:hAnsi="Times New Roman;Times;Serif"/>
          <w:b/>
          <w:i/>
          <w:caps w:val="false"/>
          <w:smallCaps w:val="false"/>
          <w:sz w:val="20"/>
        </w:rPr>
        <w:t>Use of Estimates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are prepared in accordance with U.S.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accruals for research and development costs, equity-based compensation, and fair value measurements related to the Pre-Paid Advance Agreements (the “PPAs”) and SEPA (as defined in Note 8).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0" w:after="0"/>
        <w:ind w:left="720" w:right="720" w:firstLine="440"/>
        <w:jc w:val="both"/>
        <w:rPr>
          <w:caps w:val="false"/>
          <w:smallCaps w:val="false"/>
        </w:rPr>
      </w:pPr>
      <w:bookmarkStart w:id="831" w:name="xdx_852_zYV1n5Gxvx67"/>
      <w:bookmarkEnd w:id="831"/>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32" w:name="xdx_86D_zlU4kKmQAyJ"/>
      <w:bookmarkStart w:id="833" w:name="xdx_84C_eus-gaap--CashAndCashEquivalents"/>
      <w:bookmarkEnd w:id="832"/>
      <w:bookmarkEnd w:id="833"/>
      <w:r>
        <w:rPr>
          <w:rFonts w:ascii="Times New Roman;Times;Serif" w:hAnsi="Times New Roman;Times;Serif"/>
          <w:b/>
          <w:i/>
          <w:caps w:val="false"/>
          <w:smallCaps w:val="false"/>
          <w:sz w:val="20"/>
        </w:rPr>
        <w:t>Cash and Cash Equivalents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 The cash and cash equivalents balance as of December 31, 2025 and 2024 includes $</w:t>
      </w:r>
      <w:bookmarkStart w:id="834" w:name="xdx_901_eus-gaap--CashAndCashEquivalents"/>
      <w:bookmarkEnd w:id="834"/>
      <w:r>
        <w:rPr>
          <w:rFonts w:ascii="Times New Roman;Times;Serif" w:hAnsi="Times New Roman;Times;Serif"/>
          <w:b w:val="false"/>
          <w:i w:val="false"/>
          <w:caps w:val="false"/>
          <w:smallCaps w:val="false"/>
          <w:sz w:val="20"/>
        </w:rPr>
        <w:t>4.3 million and $</w:t>
      </w:r>
      <w:bookmarkStart w:id="835" w:name="xdx_90C_eus-gaap--CashAndCashEquivalents"/>
      <w:bookmarkEnd w:id="835"/>
      <w:r>
        <w:rPr>
          <w:rFonts w:ascii="Times New Roman;Times;Serif" w:hAnsi="Times New Roman;Times;Serif"/>
          <w:b w:val="false"/>
          <w:i w:val="false"/>
          <w:caps w:val="false"/>
          <w:smallCaps w:val="false"/>
          <w:sz w:val="20"/>
        </w:rPr>
        <w:t>38.8 million, respectively, invested in U.S. Government and U.S. Treasury money market funds.</w:t>
      </w:r>
    </w:p>
    <w:p>
      <w:pPr>
        <w:pStyle w:val="TextBody"/>
        <w:bidi w:val="0"/>
        <w:spacing w:before="0" w:after="0"/>
        <w:ind w:left="720" w:right="720" w:firstLine="440"/>
        <w:jc w:val="both"/>
        <w:rPr>
          <w:caps w:val="false"/>
          <w:smallCaps w:val="false"/>
        </w:rPr>
      </w:pPr>
      <w:bookmarkStart w:id="836" w:name="xdx_85A_zSxLUDuRvCrl"/>
      <w:bookmarkEnd w:id="836"/>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37" w:name="xdx_86F_zf0WV1wzrHZ9"/>
      <w:bookmarkStart w:id="838" w:name="xdx_843_eus-gaap--ConcentrationRiskCredi"/>
      <w:bookmarkEnd w:id="837"/>
      <w:bookmarkEnd w:id="838"/>
      <w:r>
        <w:rPr>
          <w:rFonts w:ascii="Times New Roman;Times;Serif" w:hAnsi="Times New Roman;Times;Serif"/>
          <w:b/>
          <w:i/>
          <w:caps w:val="false"/>
          <w:smallCaps w:val="false"/>
          <w:sz w:val="20"/>
        </w:rPr>
        <w:t>Concentrations of Risk</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0" w:after="0"/>
        <w:ind w:left="720" w:right="720" w:firstLine="440"/>
        <w:jc w:val="both"/>
        <w:rPr>
          <w:caps w:val="false"/>
          <w:smallCaps w:val="false"/>
        </w:rPr>
      </w:pPr>
      <w:bookmarkStart w:id="839" w:name="xdx_854_zr8O4EPKXmll"/>
      <w:bookmarkEnd w:id="839"/>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40" w:name="xdx_86D_zlVHACFiGfBf"/>
      <w:bookmarkStart w:id="841" w:name="xdx_84B_eus-gaap--PropertyPlantAndEquipm"/>
      <w:bookmarkEnd w:id="840"/>
      <w:bookmarkEnd w:id="841"/>
      <w:r>
        <w:rPr>
          <w:rFonts w:ascii="Times New Roman;Times;Serif" w:hAnsi="Times New Roman;Times;Serif"/>
          <w:b/>
          <w:i/>
          <w:caps w:val="false"/>
          <w:smallCaps w:val="false"/>
          <w:sz w:val="20"/>
        </w:rPr>
        <w:t>Property and Equipment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pStyle w:val="TextBody"/>
        <w:bidi w:val="0"/>
        <w:spacing w:before="0" w:after="0"/>
        <w:ind w:left="720" w:right="720" w:firstLine="440"/>
        <w:jc w:val="both"/>
        <w:rPr>
          <w:caps w:val="false"/>
          <w:smallCaps w:val="false"/>
        </w:rPr>
      </w:pPr>
      <w:bookmarkStart w:id="842" w:name="xdx_85C_zC2P5NxwUQp1"/>
      <w:bookmarkEnd w:id="842"/>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43" w:name="xdx_864_z1fMAuvnyMx1"/>
      <w:bookmarkStart w:id="844" w:name="xdx_848_eus-gaap--ImpairmentOrDisposalOf"/>
      <w:bookmarkEnd w:id="843"/>
      <w:bookmarkEnd w:id="844"/>
      <w:r>
        <w:rPr>
          <w:rFonts w:ascii="Times New Roman;Times;Serif" w:hAnsi="Times New Roman;Times;Serif"/>
          <w:b/>
          <w:i/>
          <w:caps w:val="false"/>
          <w:smallCaps w:val="false"/>
          <w:sz w:val="20"/>
        </w:rPr>
        <w:t>Impairment of Long-Lived Assets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w:t>
      </w:r>
      <w:bookmarkStart w:id="845" w:name="xdx_901_eus-gaap--ImpairmentOfLongLivedA"/>
      <w:bookmarkStart w:id="846" w:name="xdx_90D_eus-gaap--ImpairmentOfLongLivedA"/>
      <w:bookmarkEnd w:id="845"/>
      <w:bookmarkEnd w:id="846"/>
      <w:r>
        <w:rPr>
          <w:rFonts w:ascii="Times New Roman;Times;Serif" w:hAnsi="Times New Roman;Times;Serif"/>
          <w:b w:val="false"/>
          <w:i w:val="false"/>
          <w:caps w:val="false"/>
          <w:smallCaps w:val="false"/>
          <w:sz w:val="20"/>
        </w:rPr>
        <w:t>not recognized any impairment losses for the years ended December 31, 2025 and 2024.</w:t>
      </w:r>
    </w:p>
    <w:p>
      <w:pPr>
        <w:pStyle w:val="TextBody"/>
        <w:bidi w:val="0"/>
        <w:spacing w:before="0" w:after="0"/>
        <w:ind w:left="720" w:right="720" w:firstLine="440"/>
        <w:jc w:val="both"/>
        <w:rPr>
          <w:caps w:val="false"/>
          <w:smallCaps w:val="false"/>
        </w:rPr>
      </w:pPr>
      <w:bookmarkStart w:id="847" w:name="xdx_852_z8TKtRptpEPf"/>
      <w:bookmarkEnd w:id="847"/>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bookmarkStart w:id="848" w:name="xdx_86C_zAg9KVU0X1a7"/>
      <w:bookmarkStart w:id="849" w:name="xdx_844_eus-gaap--LesseeLeasesPolicyText"/>
      <w:bookmarkEnd w:id="848"/>
      <w:bookmarkEnd w:id="849"/>
      <w:r>
        <w:rPr>
          <w:rFonts w:ascii="Times New Roman;Times;Serif" w:hAnsi="Times New Roman;Times;Serif"/>
          <w:b/>
          <w:i/>
          <w:caps w:val="false"/>
          <w:smallCaps w:val="false"/>
          <w:sz w:val="20"/>
        </w:rPr>
        <w:t>Leases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included in operating lease right-of-use assets, operating lease liabilities, and operating lease liabilities, non current on the Company’s consolidated balance sheets. The Company does not have any finance leases.</w:t>
      </w:r>
    </w:p>
    <w:p>
      <w:pPr>
        <w:pStyle w:val="TextBody"/>
        <w:bidi w:val="0"/>
        <w:spacing w:before="0" w:after="0"/>
        <w:ind w:left="720" w:right="720" w:hanging="0"/>
        <w:jc w:val="both"/>
        <w:rPr>
          <w:caps w:val="false"/>
          <w:smallCaps w:val="false"/>
        </w:rPr>
      </w:pPr>
      <w:bookmarkStart w:id="850" w:name="xdx_857_z3Jr5KHX3gT7"/>
      <w:bookmarkEnd w:id="850"/>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51" w:name="xdx_861_zHvyJcmDdHX1"/>
      <w:bookmarkStart w:id="852" w:name="xdx_84C_ecustom--DerivativeInstrumentsAn"/>
      <w:bookmarkEnd w:id="851"/>
      <w:bookmarkEnd w:id="852"/>
      <w:r>
        <w:rPr>
          <w:rFonts w:ascii="Times New Roman;Times;Serif" w:hAnsi="Times New Roman;Times;Serif"/>
          <w:b/>
          <w:i/>
          <w:caps w:val="false"/>
          <w:smallCaps w:val="false"/>
          <w:sz w:val="20"/>
        </w:rPr>
        <w:t>Derivative Instruments and Warrant Liabilities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and other contracts, including issued warrants to purchase common stock, to determine if those instruments are required to be recognized as derivatives or contain features that qualify as embedded derivatives under the relevant accounting standards (see Note 4 and Note 8). The result of this accounting treatment is that the derivative is carried at fair value as an asset or liability with changes in fair value recognized in earnings at each reporting date. Changes in the fair value of derivatives are recorded in the consolidated statements of operations and comprehensive loss as a component of other income (expense).</w:t>
      </w:r>
    </w:p>
    <w:p>
      <w:pPr>
        <w:pStyle w:val="TextBody"/>
        <w:bidi w:val="0"/>
        <w:spacing w:before="0" w:after="0"/>
        <w:ind w:left="720" w:right="720" w:firstLine="446"/>
        <w:jc w:val="both"/>
        <w:rPr>
          <w:caps w:val="false"/>
          <w:smallCaps w:val="false"/>
        </w:rPr>
      </w:pPr>
      <w:bookmarkStart w:id="853" w:name="xdx_859_zanfMVhOjcmd"/>
      <w:bookmarkEnd w:id="853"/>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54" w:name="xdx_861_zTyyYxExLzCh"/>
      <w:bookmarkStart w:id="855" w:name="xdx_84B_eus-gaap--FairValueMeasurementPo"/>
      <w:bookmarkEnd w:id="854"/>
      <w:bookmarkEnd w:id="855"/>
      <w:r>
        <w:rPr>
          <w:rFonts w:ascii="Times New Roman;Times;Serif" w:hAnsi="Times New Roman;Times;Serif"/>
          <w:b/>
          <w:i/>
          <w:caps w:val="false"/>
          <w:smallCaps w:val="false"/>
          <w:sz w:val="20"/>
        </w:rPr>
        <w:t xml:space="preserve">Fair Value Option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ASC 825, Financial Instruments (“ASC 825”) the Company has the irrevocable option to report certain financial assets and financial liabilities at fair value on an instrument-by-instrument basis. Under the PPAs entered into in November 2025, pre-paid advances having an aggregate principal amount of $</w:t>
      </w:r>
      <w:bookmarkStart w:id="856" w:name="xdx_907_ecustom--PrePaidAdvancePrincipal"/>
      <w:bookmarkEnd w:id="856"/>
      <w:r>
        <w:rPr>
          <w:rFonts w:ascii="Times New Roman;Times;Serif" w:hAnsi="Times New Roman;Times;Serif"/>
          <w:b w:val="false"/>
          <w:i w:val="false"/>
          <w:caps w:val="false"/>
          <w:smallCaps w:val="false"/>
          <w:sz w:val="20"/>
        </w:rPr>
        <w:t>7.5 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Advance was initially recorded at fair value at issuance, which was determined to be equal to the transaction price of $</w:t>
      </w:r>
      <w:bookmarkStart w:id="857" w:name="xdx_908_ecustom--PrePaidAdvanceInFairVal"/>
      <w:bookmarkEnd w:id="857"/>
      <w:r>
        <w:rPr>
          <w:rFonts w:ascii="Times New Roman;Times;Serif" w:hAnsi="Times New Roman;Times;Serif"/>
          <w:b w:val="false"/>
          <w:i w:val="false"/>
          <w:caps w:val="false"/>
          <w:smallCaps w:val="false"/>
          <w:sz w:val="20"/>
        </w:rPr>
        <w:t>7.15 million. Issuance costs incurred in connection with the Pre-Paid Advance were expensed as incurred, consistent with the requirements applicable to instruments measured at fair value under ASC 825. Subsequent to initial recognition, the Company remeasures the Pre-Paid Advance to fair value at each reporting date, with changes in fair value recognized in earnings within the loss on PPAs liability on the consolidated statements of operations and comprehensive loss. The change in fair value related to accrued interest is presented with the total change in fair value of the Pre-Paid Advance as a single line within the loss on PPAs liability on the consolidated statements of operations and comprehensive loss.</w:t>
      </w:r>
    </w:p>
    <w:p>
      <w:pPr>
        <w:pStyle w:val="TextBody"/>
        <w:bidi w:val="0"/>
        <w:spacing w:before="0" w:after="0"/>
        <w:ind w:left="720" w:right="720" w:firstLine="446"/>
        <w:jc w:val="both"/>
        <w:rPr>
          <w:caps w:val="false"/>
          <w:smallCaps w:val="false"/>
        </w:rPr>
      </w:pPr>
      <w:bookmarkStart w:id="858" w:name="xdx_85E_zxrtDOCaR0h5"/>
      <w:bookmarkEnd w:id="858"/>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859" w:name="xdx_84F_eus-gaap--RevenueRecognitionReve"/>
      <w:bookmarkEnd w:id="859"/>
      <w:r>
        <w:rPr>
          <w:rFonts w:ascii="Times New Roman;Times;Serif" w:hAnsi="Times New Roman;Times;Serif"/>
          <w:b w:val="false"/>
          <w:i w:val="false"/>
          <w:caps w:val="false"/>
          <w:smallCaps w:val="false"/>
          <w:sz w:val="20"/>
        </w:rPr>
        <w:br/>
      </w:r>
      <w:bookmarkStart w:id="860" w:name="xdx_86F_zLjsctkpY3l5"/>
      <w:bookmarkEnd w:id="860"/>
      <w:r>
        <w:rPr>
          <w:rFonts w:ascii="Times New Roman;Times;Serif" w:hAnsi="Times New Roman;Times;Serif"/>
          <w:b/>
          <w:i/>
          <w:caps w:val="false"/>
          <w:smallCaps w:val="false"/>
          <w:sz w:val="20"/>
        </w:rPr>
        <w:t>Revenue Recognition</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 manner that depicts the transfer of control of a product or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 that amount as the basis for recognizing revenue as the product or service is transferred to the customer. There are two methods for determining the amount of variable consideration: (i) the expected value method, which is the sum of probability-weighted amounts in a range of possible consideration amounts, and (ii) the most likely amount method, which identifies the single most likely amount in a range of possible consideration amounts.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incremental costs of obtaining and fulfilling a contract as incurred if the expected amortization period for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0" w:after="0"/>
        <w:ind w:left="720" w:right="720" w:firstLine="440"/>
        <w:jc w:val="both"/>
        <w:rPr>
          <w:caps w:val="false"/>
          <w:smallCaps w:val="false"/>
        </w:rPr>
      </w:pPr>
      <w:bookmarkStart w:id="861" w:name="xdx_85A_zKKRVg2nJTR6"/>
      <w:bookmarkEnd w:id="861"/>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62" w:name="xdx_868_zX8NlsU1GaG6"/>
      <w:bookmarkStart w:id="863" w:name="xdx_843_eus-gaap--InProcessResearchAndDe"/>
      <w:bookmarkEnd w:id="862"/>
      <w:bookmarkEnd w:id="863"/>
      <w:r>
        <w:rPr>
          <w:rFonts w:ascii="Times New Roman;Times;Serif" w:hAnsi="Times New Roman;Times;Serif"/>
          <w:b/>
          <w:i/>
          <w:caps w:val="false"/>
          <w:smallCaps w:val="false"/>
          <w:sz w:val="20"/>
        </w:rPr>
        <w:t>Research and Development Expenses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consolidated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p>
    <w:p>
      <w:pPr>
        <w:pStyle w:val="TextBody"/>
        <w:bidi w:val="0"/>
        <w:spacing w:before="0" w:after="0"/>
        <w:ind w:left="720" w:right="720" w:firstLine="44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accrued $</w:t>
      </w:r>
      <w:bookmarkStart w:id="864" w:name="xdx_90C_eus-gaap--AccruedLiabilitiesAndO"/>
      <w:bookmarkEnd w:id="864"/>
      <w:r>
        <w:rPr>
          <w:rFonts w:ascii="Times New Roman;Times;Serif" w:hAnsi="Times New Roman;Times;Serif"/>
          <w:b w:val="false"/>
          <w:i w:val="false"/>
          <w:caps w:val="false"/>
          <w:smallCaps w:val="false"/>
          <w:sz w:val="20"/>
        </w:rPr>
        <w:t>5.8 million related to clinical trial costs. The Company has entered into contracts related to its clinical trials with clinical research organizations. The Company reviews and accrues clinical trial costs based on work performed, which relies on estimates and assumptions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A modification in the protocol of a clinical trial or cancellation of a trial could result in a material change to the Company’s results of operations.</w:t>
      </w:r>
    </w:p>
    <w:p>
      <w:pPr>
        <w:pStyle w:val="TextBody"/>
        <w:bidi w:val="0"/>
        <w:spacing w:before="0" w:after="0"/>
        <w:ind w:left="720" w:right="720" w:firstLine="446"/>
        <w:jc w:val="both"/>
        <w:rPr>
          <w:caps w:val="false"/>
          <w:smallCaps w:val="false"/>
        </w:rPr>
      </w:pPr>
      <w:bookmarkStart w:id="865" w:name="xdx_85F_z2M6GQhKw2l9"/>
      <w:bookmarkEnd w:id="865"/>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66" w:name="xdx_863_zXwam0U7zQni"/>
      <w:bookmarkStart w:id="867" w:name="xdx_849_eus-gaap--CapitalizationOfIntern"/>
      <w:bookmarkEnd w:id="866"/>
      <w:bookmarkEnd w:id="867"/>
      <w:r>
        <w:rPr>
          <w:rFonts w:ascii="Times New Roman;Times;Serif" w:hAnsi="Times New Roman;Times;Serif"/>
          <w:b/>
          <w:i/>
          <w:caps w:val="false"/>
          <w:smallCaps w:val="false"/>
          <w:sz w:val="20"/>
        </w:rPr>
        <w:t>Patent Costs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filing and pursuing patent applications are recorded as general and administrative expenses and expensed as incurred since recoverability of such expenditures is uncertain.</w:t>
      </w:r>
    </w:p>
    <w:p>
      <w:pPr>
        <w:pStyle w:val="TextBody"/>
        <w:bidi w:val="0"/>
        <w:spacing w:before="0" w:after="0"/>
        <w:ind w:left="720" w:right="720" w:firstLine="440"/>
        <w:jc w:val="both"/>
        <w:rPr>
          <w:caps w:val="false"/>
          <w:smallCaps w:val="false"/>
        </w:rPr>
      </w:pPr>
      <w:bookmarkStart w:id="868" w:name="xdx_852_zBdMlIjAG2n9"/>
      <w:bookmarkEnd w:id="868"/>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69" w:name="xdx_86F_z4miPRyIJZra"/>
      <w:bookmarkStart w:id="870" w:name="xdx_84B_eus-gaap--ShareBasedCompensation"/>
      <w:bookmarkEnd w:id="869"/>
      <w:bookmarkEnd w:id="870"/>
      <w:r>
        <w:rPr>
          <w:rFonts w:ascii="Times New Roman;Times;Serif" w:hAnsi="Times New Roman;Times;Serif"/>
          <w:b/>
          <w:i/>
          <w:caps w:val="false"/>
          <w:smallCaps w:val="false"/>
          <w:sz w:val="20"/>
        </w:rPr>
        <w:t>Stock-Based Compensation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pStyle w:val="TextBody"/>
        <w:bidi w:val="0"/>
        <w:spacing w:before="0" w:after="0"/>
        <w:ind w:left="720" w:right="720" w:firstLine="440"/>
        <w:jc w:val="both"/>
        <w:rPr>
          <w:caps w:val="false"/>
          <w:smallCaps w:val="false"/>
        </w:rPr>
      </w:pPr>
      <w:bookmarkStart w:id="871" w:name="xdx_851_zGQTWjtU5ox9"/>
      <w:bookmarkEnd w:id="871"/>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72" w:name="xdx_865_zXsaGx4OiPWa"/>
      <w:bookmarkStart w:id="873" w:name="xdx_84F_eus-gaap--IncomeTaxPolicyTextBlo"/>
      <w:bookmarkEnd w:id="872"/>
      <w:bookmarkEnd w:id="873"/>
      <w:r>
        <w:rPr>
          <w:rFonts w:ascii="Times New Roman;Times;Serif" w:hAnsi="Times New Roman;Times;Serif"/>
          <w:b/>
          <w:i/>
          <w:caps w:val="false"/>
          <w:smallCaps w:val="false"/>
          <w:sz w:val="20"/>
        </w:rPr>
        <w:t>Income Taxes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0" w:after="0"/>
        <w:ind w:left="720" w:right="720" w:firstLine="446"/>
        <w:jc w:val="both"/>
        <w:rPr>
          <w:caps w:val="false"/>
          <w:smallCaps w:val="false"/>
        </w:rPr>
      </w:pPr>
      <w:bookmarkStart w:id="874" w:name="xdx_859_z6AvBuKWjdy9"/>
      <w:bookmarkEnd w:id="874"/>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bookmarkStart w:id="875" w:name="xdx_861_zwIs18dVDfDh"/>
      <w:bookmarkStart w:id="876" w:name="xdx_84D_eus-gaap--ComprehensiveIncomePol"/>
      <w:bookmarkEnd w:id="875"/>
      <w:bookmarkEnd w:id="876"/>
      <w:r>
        <w:rPr>
          <w:rFonts w:ascii="Times New Roman;Times;Serif" w:hAnsi="Times New Roman;Times;Serif"/>
          <w:b/>
          <w:i/>
          <w:caps w:val="false"/>
          <w:smallCaps w:val="false"/>
          <w:sz w:val="20"/>
        </w:rPr>
        <w:t>Comprehensive Loss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pStyle w:val="TextBody"/>
        <w:bidi w:val="0"/>
        <w:spacing w:before="0" w:after="0"/>
        <w:ind w:left="720" w:right="720" w:firstLine="440"/>
        <w:jc w:val="both"/>
        <w:rPr>
          <w:caps w:val="false"/>
          <w:smallCaps w:val="false"/>
        </w:rPr>
      </w:pPr>
      <w:bookmarkStart w:id="877" w:name="xdx_85F_zR8qdWl1V4da"/>
      <w:bookmarkEnd w:id="877"/>
      <w:r>
        <w:rPr>
          <w:caps w:val="false"/>
          <w:smallCaps w:val="false"/>
        </w:rPr>
        <w:t> </w:t>
      </w:r>
    </w:p>
    <w:p>
      <w:pPr>
        <w:pStyle w:val="TextBody"/>
        <w:bidi w:val="0"/>
        <w:spacing w:before="720" w:after="72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bookmarkStart w:id="878" w:name="xdx_866_zHhgZnetWk3d"/>
      <w:bookmarkStart w:id="879" w:name="xdx_843_eus-gaap--EarningsPerSharePolicy"/>
      <w:bookmarkEnd w:id="878"/>
      <w:bookmarkEnd w:id="879"/>
      <w:r>
        <w:rPr>
          <w:rFonts w:ascii="Times New Roman;Times;Serif" w:hAnsi="Times New Roman;Times;Serif"/>
          <w:b/>
          <w:i/>
          <w:caps w:val="false"/>
          <w:smallCaps w:val="false"/>
          <w:sz w:val="20"/>
        </w:rPr>
        <w:t>Net Loss Per Share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contingently issuable shares under the BioAtla, Inc. Employee Stock Purchase Plan (the “ESPP”), and potential future conversions of the Pre-Paid Advance into common stock (“PPA Shares”).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880" w:name="xdx_897_eus-gaap--ScheduleOfAntidilutive"/>
      <w:bookmarkEnd w:id="880"/>
      <w:r>
        <w:rPr>
          <w:rFonts w:ascii="Times New Roman;Times;Serif" w:hAnsi="Times New Roman;Times;Serif"/>
          <w:b w:val="false"/>
          <w:i w:val="false"/>
          <w:caps w:val="false"/>
          <w:smallCaps w:val="false"/>
          <w:sz w:val="20"/>
        </w:rPr>
        <w:t>Potentially dilutive securities not included in the calculation of diluted net loss per common share because to do so would be anti-dilutive are as follows (in common stock equivalents):</w:t>
      </w:r>
    </w:p>
    <w:p>
      <w:pPr>
        <w:pStyle w:val="TextBody"/>
        <w:bidi w:val="0"/>
        <w:spacing w:before="0" w:after="0"/>
        <w:ind w:left="965" w:right="720" w:firstLine="446"/>
        <w:jc w:val="both"/>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7060"/>
        <w:gridCol w:w="60"/>
        <w:gridCol w:w="695"/>
        <w:gridCol w:w="60"/>
        <w:gridCol w:w="60"/>
        <w:gridCol w:w="60"/>
        <w:gridCol w:w="695"/>
        <w:gridCol w:w="75"/>
      </w:tblGrid>
      <w:tr>
        <w:trPr/>
        <w:tc>
          <w:tcPr>
            <w:tcW w:w="7060" w:type="dxa"/>
            <w:tcBorders/>
            <w:vAlign w:val="center"/>
          </w:tcPr>
          <w:p>
            <w:pPr>
              <w:pStyle w:val="TableContents"/>
              <w:bidi w:val="0"/>
              <w:spacing w:before="0" w:after="283"/>
              <w:jc w:val="left"/>
              <w:rPr/>
            </w:pPr>
            <w:r>
              <w:rPr/>
              <w:t> </w:t>
            </w:r>
            <w:bookmarkStart w:id="881" w:name="xdx_8B0_zK8GMkiCSPld"/>
            <w:bookmarkEnd w:id="881"/>
            <w:r>
              <w:rPr>
                <w:rFonts w:ascii="Times New Roman;Times;Serif" w:hAnsi="Times New Roman;Times;Serif"/>
                <w:sz w:val="20"/>
              </w:rPr>
              <w:t>Schedule of anti-dilutive securities excluded from calculation of diluted net loss per share</w:t>
            </w:r>
          </w:p>
        </w:tc>
        <w:tc>
          <w:tcPr>
            <w:tcW w:w="60" w:type="dxa"/>
            <w:tcBorders/>
            <w:vAlign w:val="center"/>
          </w:tcPr>
          <w:p>
            <w:pPr>
              <w:pStyle w:val="TableContents"/>
              <w:bidi w:val="0"/>
              <w:spacing w:before="0" w:after="283"/>
              <w:jc w:val="left"/>
              <w:rPr/>
            </w:pPr>
            <w:r>
              <w:rPr/>
              <w:t> </w:t>
            </w:r>
            <w:bookmarkStart w:id="882" w:name="xdx_49A_20250101__20251231_z3LCEiEXir44"/>
            <w:bookmarkEnd w:id="882"/>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3" w:name="xdx_491_20240101__20241231_zRYeaoSnboQg"/>
            <w:bookmarkEnd w:id="883"/>
          </w:p>
        </w:tc>
        <w:tc>
          <w:tcPr>
            <w:tcW w:w="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0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884" w:name="xdx_403_eus-gaap--AntidilutiveSecurities"/>
            <w:bookmarkEnd w:id="884"/>
          </w:p>
        </w:tc>
      </w:tr>
      <w:tr>
        <w:trPr/>
        <w:tc>
          <w:tcPr>
            <w:tcW w:w="70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warrants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193,581</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193,581</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885" w:name="xdx_407_eus-gaap--AntidilutiveSecurities"/>
            <w:bookmarkEnd w:id="885"/>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6" w:name="xdx_40A_eus-gaap--AntidilutiveSecurities"/>
            <w:bookmarkEnd w:id="886"/>
          </w:p>
        </w:tc>
      </w:tr>
      <w:tr>
        <w:trPr/>
        <w:tc>
          <w:tcPr>
            <w:tcW w:w="70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48,678</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31,060</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887" w:name="xdx_40E_eus-gaap--AntidilutiveSecurities"/>
            <w:bookmarkEnd w:id="887"/>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ESPP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8" w:name="xdx_402_eus-gaap--AntidilutiveSecurities"/>
            <w:bookmarkEnd w:id="888"/>
          </w:p>
        </w:tc>
      </w:tr>
      <w:tr>
        <w:trPr/>
        <w:tc>
          <w:tcPr>
            <w:tcW w:w="70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PPA Shares</w:t>
            </w:r>
          </w:p>
        </w:tc>
        <w:tc>
          <w:tcPr>
            <w:tcW w:w="60"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136,923</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FF0FC"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7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89" w:name="xdx_98C_eus-gaap--AntidilutiveSecurities"/>
            <w:bookmarkEnd w:id="889"/>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0" w:name="xdx_984_eus-gaap--AntidilutiveSecurities"/>
            <w:bookmarkEnd w:id="890"/>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348,138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hanging="0"/>
        <w:jc w:val="left"/>
        <w:rPr>
          <w:caps w:val="false"/>
          <w:smallCaps w:val="false"/>
        </w:rPr>
      </w:pPr>
      <w:bookmarkStart w:id="891" w:name="xdx_8AD_zwc6RDyJScU1"/>
      <w:bookmarkEnd w:id="891"/>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bookmarkStart w:id="892" w:name="xdx_866_zddGxEOsIHC6"/>
      <w:bookmarkStart w:id="893" w:name="xdx_842_eus-gaap--NewAccountingPronounce"/>
      <w:bookmarkStart w:id="894" w:name="xdx_858_zd2195mj8JH9"/>
      <w:bookmarkEnd w:id="892"/>
      <w:bookmarkEnd w:id="893"/>
      <w:bookmarkEnd w:id="894"/>
      <w:r>
        <w:rPr>
          <w:rFonts w:ascii="Times New Roman;Times;Serif" w:hAnsi="Times New Roman;Times;Serif"/>
          <w:b/>
          <w:i/>
          <w:caps w:val="false"/>
          <w:smallCaps w:val="false"/>
          <w:sz w:val="20"/>
        </w:rPr>
        <w:t>Recent Accounting Pronouncements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Standards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ASU 2023-09 in the fourth quarter of 2025. The Company expanded its income tax disclosures as a result of adopting this new accounting standard.</w:t>
      </w:r>
    </w:p>
    <w:p>
      <w:pPr>
        <w:pStyle w:val="TextBody"/>
        <w:bidi w:val="0"/>
        <w:spacing w:before="0" w:after="0"/>
        <w:ind w:left="720" w:right="720" w:firstLine="440"/>
        <w:jc w:val="both"/>
        <w:rPr>
          <w:caps w:val="false"/>
          <w:smallCaps w:val="false"/>
        </w:rPr>
      </w:pPr>
      <w:bookmarkStart w:id="895" w:name="xdx_85D_zxb1QoPZkssc"/>
      <w:bookmarkEnd w:id="895"/>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F-34</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896" w:name="xdx_804_eus-gaap--SupplementalBalanceShe"/>
      <w:bookmarkEnd w:id="896"/>
      <w:r>
        <w:rPr>
          <w:rFonts w:ascii="Times New Roman;Times;Serif" w:hAnsi="Times New Roman;Times;Serif"/>
          <w:b/>
          <w:i w:val="false"/>
          <w:caps w:val="false"/>
          <w:smallCaps w:val="false"/>
          <w:sz w:val="20"/>
        </w:rPr>
        <w:t xml:space="preserve">2. </w:t>
      </w:r>
      <w:bookmarkStart w:id="897" w:name="xdx_828_zRKSSqfcyPTj"/>
      <w:bookmarkEnd w:id="897"/>
      <w:r>
        <w:rPr>
          <w:rFonts w:ascii="Times New Roman;Times;Serif" w:hAnsi="Times New Roman;Times;Serif"/>
          <w:b/>
          <w:i w:val="false"/>
          <w:caps w:val="false"/>
          <w:smallCaps w:val="false"/>
          <w:sz w:val="20"/>
        </w:rPr>
        <w:t>Balance Sheet Details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0"/>
        <w:jc w:val="left"/>
        <w:rPr>
          <w:rFonts w:ascii="Times New Roman;Times;Serif" w:hAnsi="Times New Roman;Times;Serif"/>
          <w:b w:val="false"/>
          <w:i w:val="false"/>
          <w:caps w:val="false"/>
          <w:smallCaps w:val="false"/>
          <w:sz w:val="20"/>
        </w:rPr>
      </w:pPr>
      <w:bookmarkStart w:id="898" w:name="xdx_893_ecustom--ScheduleOfPrepaidExpens"/>
      <w:bookmarkEnd w:id="898"/>
      <w:r>
        <w:rPr>
          <w:rFonts w:ascii="Times New Roman;Times;Serif" w:hAnsi="Times New Roman;Times;Serif"/>
          <w:b w:val="false"/>
          <w:i w:val="false"/>
          <w:caps w:val="false"/>
          <w:smallCaps w:val="false"/>
          <w:sz w:val="20"/>
        </w:rPr>
        <w:t>Prepaid expenses and other current assets consist of the following (in thousands):</w:t>
      </w:r>
    </w:p>
    <w:p>
      <w:pPr>
        <w:pStyle w:val="TextBody"/>
        <w:bidi w:val="0"/>
        <w:spacing w:before="0" w:after="0"/>
        <w:ind w:left="970" w:right="720" w:firstLine="440"/>
        <w:jc w:val="left"/>
        <w:rPr>
          <w:caps w:val="false"/>
          <w:smallCaps w:val="false"/>
        </w:rPr>
      </w:pPr>
      <w:r>
        <w:rPr>
          <w:caps w:val="false"/>
          <w:smallCaps w:val="false"/>
        </w:rPr>
        <w:t> </w:t>
      </w:r>
    </w:p>
    <w:tbl>
      <w:tblPr>
        <w:tblW w:w="5410" w:type="dxa"/>
        <w:jc w:val="left"/>
        <w:tblInd w:w="720" w:type="dxa"/>
        <w:tblLayout w:type="fixed"/>
        <w:tblCellMar>
          <w:top w:w="0" w:type="dxa"/>
          <w:left w:w="0" w:type="dxa"/>
          <w:bottom w:w="0" w:type="dxa"/>
          <w:right w:w="0" w:type="dxa"/>
        </w:tblCellMar>
      </w:tblPr>
      <w:tblGrid>
        <w:gridCol w:w="4085"/>
        <w:gridCol w:w="60"/>
        <w:gridCol w:w="125"/>
        <w:gridCol w:w="335"/>
        <w:gridCol w:w="60"/>
        <w:gridCol w:w="60"/>
        <w:gridCol w:w="125"/>
        <w:gridCol w:w="485"/>
        <w:gridCol w:w="75"/>
      </w:tblGrid>
      <w:tr>
        <w:trPr/>
        <w:tc>
          <w:tcPr>
            <w:tcW w:w="4085" w:type="dxa"/>
            <w:tcBorders/>
            <w:vAlign w:val="center"/>
          </w:tcPr>
          <w:p>
            <w:pPr>
              <w:pStyle w:val="TableContents"/>
              <w:bidi w:val="0"/>
              <w:spacing w:before="0" w:after="283"/>
              <w:jc w:val="left"/>
              <w:rPr/>
            </w:pPr>
            <w:r>
              <w:rPr/>
              <w:t> </w:t>
            </w:r>
            <w:bookmarkStart w:id="899" w:name="xdx_8BC_z7qtoZEFodMh"/>
            <w:bookmarkEnd w:id="899"/>
            <w:r>
              <w:rPr>
                <w:rFonts w:ascii="Times New Roman;Times;Serif" w:hAnsi="Times New Roman;Times;Serif"/>
                <w:sz w:val="20"/>
              </w:rPr>
              <w:t>Schedule of prepaid expenses other current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00" w:name="xdx_49F_20251231_zaxIM7tX6ITl"/>
            <w:bookmarkEnd w:id="900"/>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01" w:name="xdx_494_20241231_zCxgDWjB27I7"/>
            <w:bookmarkEnd w:id="901"/>
          </w:p>
        </w:tc>
        <w:tc>
          <w:tcPr>
            <w:tcW w:w="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02" w:name="xdx_405_ecustom--PrepaidResearchAndDevel"/>
            <w:bookmarkEnd w:id="902"/>
          </w:p>
        </w:tc>
      </w:tr>
      <w:tr>
        <w:trPr/>
        <w:tc>
          <w:tcPr>
            <w:tcW w:w="408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research and development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prepaid expenses and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03" w:name="xdx_98B_ecustom--OtherPrepaidExpensesAnd"/>
            <w:bookmarkEnd w:id="903"/>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04" w:name="xdx_98F_ecustom--OtherPrepaidExpensesAnd"/>
            <w:bookmarkEnd w:id="904"/>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05" w:name="xdx_40B_eus-gaap--PrepaidExpenseAndOther"/>
            <w:bookmarkEnd w:id="905"/>
          </w:p>
        </w:tc>
      </w:tr>
      <w:tr>
        <w:trPr/>
        <w:tc>
          <w:tcPr>
            <w:tcW w:w="408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firstLine="440"/>
        <w:jc w:val="left"/>
        <w:rPr>
          <w:caps w:val="false"/>
          <w:smallCaps w:val="false"/>
        </w:rPr>
      </w:pPr>
      <w:bookmarkStart w:id="906" w:name="xdx_8A0_zPUzFX3yyXb3"/>
      <w:bookmarkEnd w:id="906"/>
      <w:r>
        <w:rPr>
          <w:caps w:val="false"/>
          <w:smallCaps w:val="false"/>
        </w:rPr>
        <w:t> </w:t>
      </w:r>
    </w:p>
    <w:p>
      <w:pPr>
        <w:pStyle w:val="TextBody"/>
        <w:bidi w:val="0"/>
        <w:spacing w:before="0" w:after="0"/>
        <w:ind w:left="720" w:right="720" w:firstLine="440"/>
        <w:jc w:val="left"/>
        <w:rPr>
          <w:rFonts w:ascii="Times New Roman;Times;Serif" w:hAnsi="Times New Roman;Times;Serif"/>
          <w:b w:val="false"/>
          <w:i w:val="false"/>
          <w:caps w:val="false"/>
          <w:smallCaps w:val="false"/>
          <w:sz w:val="20"/>
        </w:rPr>
      </w:pPr>
      <w:bookmarkStart w:id="907" w:name="xdx_896_eus-gaap--PropertyPlantAndEquipm"/>
      <w:bookmarkEnd w:id="907"/>
      <w:r>
        <w:rPr>
          <w:rFonts w:ascii="Times New Roman;Times;Serif" w:hAnsi="Times New Roman;Times;Serif"/>
          <w:b w:val="false"/>
          <w:i w:val="false"/>
          <w:caps w:val="false"/>
          <w:smallCaps w:val="false"/>
          <w:sz w:val="20"/>
        </w:rPr>
        <w:t>Property and equipment consist of the following (in thousands):</w:t>
      </w:r>
    </w:p>
    <w:p>
      <w:pPr>
        <w:pStyle w:val="TextBody"/>
        <w:bidi w:val="0"/>
        <w:spacing w:before="0" w:after="0"/>
        <w:ind w:left="965" w:right="720" w:firstLine="446"/>
        <w:jc w:val="left"/>
        <w:rPr>
          <w:caps w:val="false"/>
          <w:smallCaps w:val="false"/>
        </w:rPr>
      </w:pPr>
      <w:r>
        <w:rPr>
          <w:caps w:val="false"/>
          <w:smallCaps w:val="false"/>
        </w:rPr>
        <w:t> </w:t>
      </w:r>
    </w:p>
    <w:tbl>
      <w:tblPr>
        <w:tblW w:w="6955" w:type="dxa"/>
        <w:jc w:val="left"/>
        <w:tblInd w:w="720" w:type="dxa"/>
        <w:tblLayout w:type="fixed"/>
        <w:tblCellMar>
          <w:top w:w="0" w:type="dxa"/>
          <w:left w:w="0" w:type="dxa"/>
          <w:bottom w:w="0" w:type="dxa"/>
          <w:right w:w="0" w:type="dxa"/>
        </w:tblCellMar>
      </w:tblPr>
      <w:tblGrid>
        <w:gridCol w:w="3965"/>
        <w:gridCol w:w="60"/>
        <w:gridCol w:w="1295"/>
        <w:gridCol w:w="60"/>
        <w:gridCol w:w="125"/>
        <w:gridCol w:w="545"/>
        <w:gridCol w:w="80"/>
        <w:gridCol w:w="60"/>
        <w:gridCol w:w="125"/>
        <w:gridCol w:w="545"/>
        <w:gridCol w:w="95"/>
      </w:tblGrid>
      <w:tr>
        <w:trPr/>
        <w:tc>
          <w:tcPr>
            <w:tcW w:w="3965" w:type="dxa"/>
            <w:tcBorders/>
            <w:vAlign w:val="center"/>
          </w:tcPr>
          <w:p>
            <w:pPr>
              <w:pStyle w:val="TableContents"/>
              <w:bidi w:val="0"/>
              <w:spacing w:before="0" w:after="283"/>
              <w:jc w:val="left"/>
              <w:rPr/>
            </w:pPr>
            <w:r>
              <w:rPr/>
              <w:t> </w:t>
            </w:r>
            <w:bookmarkStart w:id="908" w:name="xdx_8BD_ztPIc2vkAj63"/>
            <w:bookmarkEnd w:id="908"/>
            <w:r>
              <w:rPr>
                <w:rFonts w:ascii="Times New Roman;Times;Serif" w:hAnsi="Times New Roman;Times;Serif"/>
                <w:sz w:val="20"/>
              </w:rPr>
              <w:t>Schedule of property and equipment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09" w:name="xdx_490_20251231_zMtpNdWCXZ5a"/>
            <w:bookmarkEnd w:id="909"/>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10" w:name="xdx_49E_20241231_zwrDB7na23U6"/>
            <w:bookmarkEnd w:id="910"/>
          </w:p>
        </w:tc>
        <w:tc>
          <w:tcPr>
            <w:tcW w:w="5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Useful life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11" w:name="xdx_405_eus-gaap--PropertyPlantAndEquipm"/>
            <w:bookmarkEnd w:id="911"/>
          </w:p>
        </w:tc>
      </w:tr>
      <w:tr>
        <w:trPr/>
        <w:tc>
          <w:tcPr>
            <w:tcW w:w="396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fixtures and office equipment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FF0FC"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12" w:name="xdx_901_eus-gaap--PropertyPlantAndEquipm"/>
            <w:bookmarkEnd w:id="912"/>
            <w:r>
              <w:rPr>
                <w:rFonts w:ascii="Times New Roman;Times;Serif" w:hAnsi="Times New Roman;Times;Serif"/>
                <w:b w:val="false"/>
                <w:i w:val="false"/>
                <w:caps w:val="false"/>
                <w:smallCaps w:val="false"/>
                <w:sz w:val="20"/>
              </w:rPr>
              <w:t xml:space="preserve">3 - </w:t>
            </w:r>
            <w:bookmarkStart w:id="913" w:name="xdx_90C_eus-gaap--PropertyPlantAndEquipm"/>
            <w:bookmarkEnd w:id="913"/>
            <w:r>
              <w:rPr>
                <w:rFonts w:ascii="Times New Roman;Times;Serif" w:hAnsi="Times New Roman;Times;Serif"/>
                <w:b w:val="false"/>
                <w:i w:val="false"/>
                <w:caps w:val="false"/>
                <w:smallCaps w:val="false"/>
                <w:sz w:val="20"/>
              </w:rPr>
              <w:t>7</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8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14" w:name="xdx_400_eus-gaap--PropertyPlantAndEquipm"/>
            <w:bookmarkEnd w:id="914"/>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15" w:name="xdx_90E_eus-gaap--PropertyPlantAndEquipm"/>
            <w:bookmarkEnd w:id="915"/>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6" w:name="xdx_408_eus-gaap--PropertyPlantAndEquipm"/>
            <w:bookmarkEnd w:id="916"/>
          </w:p>
        </w:tc>
      </w:tr>
      <w:tr>
        <w:trPr/>
        <w:tc>
          <w:tcPr>
            <w:tcW w:w="396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FF0FC"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17" w:name="xdx_90A_eus-gaap--PropertyPlantAndEquipm"/>
            <w:bookmarkEnd w:id="917"/>
            <w:r>
              <w:rPr>
                <w:rFonts w:ascii="Times New Roman;Times;Serif" w:hAnsi="Times New Roman;Times;Serif"/>
                <w:b w:val="false"/>
                <w:i w:val="false"/>
                <w:caps w:val="false"/>
                <w:smallCaps w:val="false"/>
                <w:sz w:val="20"/>
              </w:rPr>
              <w:t xml:space="preserve">2 - </w:t>
            </w:r>
            <w:bookmarkStart w:id="918" w:name="xdx_908_eus-gaap--PropertyPlantAndEquipm"/>
            <w:bookmarkEnd w:id="918"/>
            <w:r>
              <w:rPr>
                <w:rFonts w:ascii="Times New Roman;Times;Serif" w:hAnsi="Times New Roman;Times;Serif"/>
                <w:b w:val="false"/>
                <w:i w:val="false"/>
                <w:caps w:val="false"/>
                <w:smallCaps w:val="false"/>
                <w:sz w:val="20"/>
              </w:rPr>
              <w:t>3</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w:t>
            </w:r>
          </w:p>
        </w:tc>
        <w:tc>
          <w:tcPr>
            <w:tcW w:w="8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3,680</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9" w:name="xdx_986_eus-gaap--PropertyPlantAndEquipm"/>
            <w:bookmarkEnd w:id="919"/>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0" w:name="xdx_981_eus-gaap--PropertyPlantAndEquipm"/>
            <w:bookmarkEnd w:id="920"/>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1" w:name="xdx_40D_eus-gaap--AccumulatedDepreciatio"/>
            <w:bookmarkEnd w:id="921"/>
          </w:p>
        </w:tc>
      </w:tr>
      <w:tr>
        <w:trPr/>
        <w:tc>
          <w:tcPr>
            <w:tcW w:w="396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 and amortization</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(5,308</w:t>
            </w:r>
          </w:p>
        </w:tc>
        <w:tc>
          <w:tcPr>
            <w:tcW w:w="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(7,003</w:t>
            </w:r>
          </w:p>
        </w:tc>
        <w:tc>
          <w:tcPr>
            <w:tcW w:w="9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22" w:name="xdx_403_eus-gaap--PropertyPlantAndEquipm"/>
            <w:bookmarkEnd w:id="922"/>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firstLine="440"/>
        <w:jc w:val="left"/>
        <w:rPr>
          <w:caps w:val="false"/>
          <w:smallCaps w:val="false"/>
        </w:rPr>
      </w:pPr>
      <w:bookmarkStart w:id="923" w:name="xdx_8A9_zuAEh6NR9hdk"/>
      <w:bookmarkEnd w:id="923"/>
      <w:r>
        <w:rPr>
          <w:caps w:val="false"/>
          <w:smallCaps w:val="false"/>
        </w:rPr>
        <w:t> </w:t>
      </w:r>
    </w:p>
    <w:p>
      <w:pPr>
        <w:pStyle w:val="TextBody"/>
        <w:bidi w:val="0"/>
        <w:spacing w:before="0" w:after="0"/>
        <w:ind w:left="720" w:right="720" w:firstLine="440"/>
        <w:jc w:val="left"/>
        <w:rPr>
          <w:rFonts w:ascii="Times New Roman;Times;Serif" w:hAnsi="Times New Roman;Times;Serif"/>
          <w:b w:val="false"/>
          <w:i w:val="false"/>
          <w:caps w:val="false"/>
          <w:smallCaps w:val="false"/>
          <w:sz w:val="20"/>
        </w:rPr>
      </w:pPr>
      <w:bookmarkStart w:id="924" w:name="xdx_894_eus-gaap--ScheduleOfAccountsPaya"/>
      <w:bookmarkEnd w:id="924"/>
      <w:r>
        <w:rPr>
          <w:rFonts w:ascii="Times New Roman;Times;Serif" w:hAnsi="Times New Roman;Times;Serif"/>
          <w:b w:val="false"/>
          <w:i w:val="false"/>
          <w:caps w:val="false"/>
          <w:smallCaps w:val="false"/>
          <w:sz w:val="20"/>
        </w:rPr>
        <w:t>Accounts payable and accrued expenses consist of the following (in thousands):</w:t>
      </w:r>
    </w:p>
    <w:p>
      <w:pPr>
        <w:pStyle w:val="TextBody"/>
        <w:bidi w:val="0"/>
        <w:spacing w:before="0" w:after="0"/>
        <w:ind w:left="965" w:right="720" w:firstLine="446"/>
        <w:jc w:val="left"/>
        <w:rPr>
          <w:caps w:val="false"/>
          <w:smallCaps w:val="false"/>
        </w:rPr>
      </w:pPr>
      <w:r>
        <w:rPr>
          <w:caps w:val="false"/>
          <w:smallCaps w:val="false"/>
        </w:rPr>
        <w:t> </w:t>
      </w:r>
    </w:p>
    <w:tbl>
      <w:tblPr>
        <w:tblW w:w="5995" w:type="dxa"/>
        <w:jc w:val="left"/>
        <w:tblInd w:w="720" w:type="dxa"/>
        <w:tblLayout w:type="fixed"/>
        <w:tblCellMar>
          <w:top w:w="0" w:type="dxa"/>
          <w:left w:w="0" w:type="dxa"/>
          <w:bottom w:w="0" w:type="dxa"/>
          <w:right w:w="0" w:type="dxa"/>
        </w:tblCellMar>
      </w:tblPr>
      <w:tblGrid>
        <w:gridCol w:w="4310"/>
        <w:gridCol w:w="60"/>
        <w:gridCol w:w="125"/>
        <w:gridCol w:w="590"/>
        <w:gridCol w:w="60"/>
        <w:gridCol w:w="60"/>
        <w:gridCol w:w="125"/>
        <w:gridCol w:w="590"/>
        <w:gridCol w:w="75"/>
      </w:tblGrid>
      <w:tr>
        <w:trPr/>
        <w:tc>
          <w:tcPr>
            <w:tcW w:w="4310" w:type="dxa"/>
            <w:tcBorders/>
            <w:vAlign w:val="center"/>
          </w:tcPr>
          <w:p>
            <w:pPr>
              <w:pStyle w:val="TableContents"/>
              <w:bidi w:val="0"/>
              <w:spacing w:before="0" w:after="283"/>
              <w:jc w:val="left"/>
              <w:rPr/>
            </w:pPr>
            <w:r>
              <w:rPr/>
              <w:t> </w:t>
            </w:r>
            <w:bookmarkStart w:id="925" w:name="xdx_8B8_zI3o9tdgP0Kl"/>
            <w:bookmarkEnd w:id="925"/>
            <w:r>
              <w:rPr>
                <w:rFonts w:ascii="Times New Roman;Times;Serif" w:hAnsi="Times New Roman;Times;Serif"/>
                <w:sz w:val="20"/>
              </w:rPr>
              <w:t>Schedule of accounts payable and accrued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26" w:name="xdx_492_20251231_z9msqTbskCZb"/>
            <w:bookmarkEnd w:id="926"/>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27" w:name="xdx_499_20241231_z2bIRH4axsL4"/>
            <w:bookmarkEnd w:id="927"/>
          </w:p>
        </w:tc>
        <w:tc>
          <w:tcPr>
            <w:tcW w:w="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28" w:name="xdx_40E_eus-gaap--AccountsPayableCurrent"/>
            <w:bookmarkEnd w:id="928"/>
          </w:p>
        </w:tc>
      </w:tr>
      <w:tr>
        <w:trPr/>
        <w:tc>
          <w:tcPr>
            <w:tcW w:w="431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8,194</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1,902</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29" w:name="xdx_403_eus-gaap--AccruedSalariesCurrent"/>
            <w:bookmarkEnd w:id="929"/>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0" w:name="xdx_405_ecustom--AccruedResearchAndDevel"/>
            <w:bookmarkEnd w:id="930"/>
          </w:p>
        </w:tc>
      </w:tr>
      <w:tr>
        <w:trPr/>
        <w:tc>
          <w:tcPr>
            <w:tcW w:w="431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7,280</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8,033</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31" w:name="xdx_983_eus-gaap--OtherAccruedLiabilitie"/>
            <w:bookmarkEnd w:id="931"/>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32" w:name="xdx_981_eus-gaap--OtherAccruedLiabilitie"/>
            <w:bookmarkEnd w:id="932"/>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33" w:name="xdx_40B_eus-gaap--AccountsPayableAndAccr"/>
            <w:bookmarkEnd w:id="933"/>
          </w:p>
        </w:tc>
      </w:tr>
      <w:tr>
        <w:trPr/>
        <w:tc>
          <w:tcPr>
            <w:tcW w:w="431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16,353</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13,704</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720" w:after="720"/>
        <w:ind w:left="720" w:right="720" w:hanging="0"/>
        <w:jc w:val="left"/>
        <w:rPr/>
      </w:pPr>
      <w:bookmarkStart w:id="934" w:name="xdx_8AC_zXmqnhmifnpl"/>
      <w:bookmarkEnd w:id="934"/>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935" w:name="xdx_80F_eus-gaap--RestructuringAndRelate"/>
      <w:bookmarkEnd w:id="935"/>
      <w:r>
        <w:rPr>
          <w:rFonts w:ascii="Times New Roman;Times;Serif" w:hAnsi="Times New Roman;Times;Serif"/>
          <w:b/>
          <w:i w:val="false"/>
          <w:caps w:val="false"/>
          <w:smallCaps w:val="false"/>
          <w:sz w:val="20"/>
        </w:rPr>
        <w:t xml:space="preserve">3. </w:t>
      </w:r>
      <w:bookmarkStart w:id="936" w:name="xdx_82A_zdTtOEg8kkEj"/>
      <w:bookmarkEnd w:id="936"/>
      <w:r>
        <w:rPr>
          <w:rFonts w:ascii="Times New Roman;Times;Serif" w:hAnsi="Times New Roman;Times;Serif"/>
          <w:b/>
          <w:i w:val="false"/>
          <w:caps w:val="false"/>
          <w:smallCaps w:val="false"/>
          <w:sz w:val="20"/>
        </w:rPr>
        <w:t>Restructuring</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implemented a corporate restructuring, which included a reduction in force, designed to improve the Company’s operating model and cost structure.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restructuring, the Company implemented a reduction in workforce of approximately </w:t>
      </w:r>
      <w:bookmarkStart w:id="937" w:name="xdx_902_ecustom--ReductionInWorkforce_pi"/>
      <w:bookmarkEnd w:id="937"/>
      <w:r>
        <w:rPr>
          <w:rFonts w:ascii="Times New Roman;Times;Serif" w:hAnsi="Times New Roman;Times;Serif"/>
          <w:b w:val="false"/>
          <w:i w:val="false"/>
          <w:caps w:val="false"/>
          <w:smallCaps w:val="false"/>
          <w:sz w:val="20"/>
        </w:rPr>
        <w:t>30%, which was initiated in the first quarter of 2025. The Company recorded restructuring costs of $</w:t>
      </w:r>
      <w:bookmarkStart w:id="938" w:name="xdx_90B_eus-gaap--RestructuringCosts_pn5"/>
      <w:bookmarkEnd w:id="938"/>
      <w:r>
        <w:rPr>
          <w:rFonts w:ascii="Times New Roman;Times;Serif" w:hAnsi="Times New Roman;Times;Serif"/>
          <w:b w:val="false"/>
          <w:i w:val="false"/>
          <w:caps w:val="false"/>
          <w:smallCaps w:val="false"/>
          <w:sz w:val="20"/>
        </w:rPr>
        <w:t>0.6 million, during the year ended December 31, 2025, of which $</w:t>
      </w:r>
      <w:bookmarkStart w:id="939" w:name="xdx_90B_eus-gaap--RestructuringCosts_pn5"/>
      <w:bookmarkEnd w:id="939"/>
      <w:r>
        <w:rPr>
          <w:rFonts w:ascii="Times New Roman;Times;Serif" w:hAnsi="Times New Roman;Times;Serif"/>
          <w:b w:val="false"/>
          <w:i w:val="false"/>
          <w:caps w:val="false"/>
          <w:smallCaps w:val="false"/>
          <w:sz w:val="20"/>
        </w:rPr>
        <w:t>0.5 million is included in research and development expense and $</w:t>
      </w:r>
      <w:bookmarkStart w:id="940" w:name="xdx_90C_eus-gaap--RestructuringCosts_pn5"/>
      <w:bookmarkEnd w:id="940"/>
      <w:r>
        <w:rPr>
          <w:rFonts w:ascii="Times New Roman;Times;Serif" w:hAnsi="Times New Roman;Times;Serif"/>
          <w:b w:val="false"/>
          <w:i w:val="false"/>
          <w:caps w:val="false"/>
          <w:smallCaps w:val="false"/>
          <w:sz w:val="20"/>
        </w:rPr>
        <w:t xml:space="preserve">0.1 million is included in general administrative expense in the consolidated statements of operations and comprehensive loss. Restructuring costs primarily consisted of employee severance, continuing healthcare benefits and other employee-related costs. These benefits were fully paid out during the second quarter of 2025, and there is </w:t>
      </w:r>
      <w:bookmarkStart w:id="941" w:name="xdx_908_eus-gaap--RestructuringReserve_i"/>
      <w:bookmarkEnd w:id="941"/>
      <w:r>
        <w:rPr>
          <w:rFonts w:ascii="Times New Roman;Times;Serif" w:hAnsi="Times New Roman;Times;Serif"/>
          <w:b w:val="false"/>
          <w:i w:val="false"/>
          <w:caps w:val="false"/>
          <w:smallCaps w:val="false"/>
          <w:sz w:val="20"/>
        </w:rPr>
        <w:t>no remaining restructuring liability as of December 31, 2025.</w:t>
      </w:r>
    </w:p>
    <w:p>
      <w:pPr>
        <w:pStyle w:val="TextBody"/>
        <w:bidi w:val="0"/>
        <w:spacing w:before="0" w:after="0"/>
        <w:ind w:left="720" w:right="720" w:firstLine="440"/>
        <w:jc w:val="both"/>
        <w:rPr>
          <w:caps w:val="false"/>
          <w:smallCaps w:val="false"/>
        </w:rPr>
      </w:pPr>
      <w:bookmarkStart w:id="942" w:name="xdx_813_zoJ0GxaKOmD3"/>
      <w:bookmarkEnd w:id="942"/>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943" w:name="xdx_805_eus-gaap--FairValueDisclosuresTe"/>
      <w:bookmarkEnd w:id="943"/>
      <w:r>
        <w:rPr>
          <w:rFonts w:ascii="Times New Roman;Times;Serif" w:hAnsi="Times New Roman;Times;Serif"/>
          <w:b/>
          <w:i w:val="false"/>
          <w:caps w:val="false"/>
          <w:smallCaps w:val="false"/>
          <w:sz w:val="20"/>
        </w:rPr>
        <w:t xml:space="preserve">4. </w:t>
      </w:r>
      <w:bookmarkStart w:id="944" w:name="xdx_82C_z2mkrfP0YtKa"/>
      <w:bookmarkEnd w:id="944"/>
      <w:r>
        <w:rPr>
          <w:rFonts w:ascii="Times New Roman;Times;Serif" w:hAnsi="Times New Roman;Times;Serif"/>
          <w:b/>
          <w:i w:val="false"/>
          <w:caps w:val="false"/>
          <w:smallCaps w:val="false"/>
          <w:sz w:val="20"/>
        </w:rPr>
        <w:t>Fair Value Measurements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and cash equivalents, pre-paid advances,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pStyle w:val="TextBody"/>
        <w:bidi w:val="0"/>
        <w:spacing w:before="0" w:after="0"/>
        <w:ind w:left="720" w:right="720" w:firstLine="44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p>
      <w:pPr>
        <w:pStyle w:val="TextBody"/>
        <w:bidi w:val="0"/>
        <w:spacing w:before="0" w:after="0"/>
        <w:ind w:left="720" w:right="720" w:firstLine="440"/>
        <w:jc w:val="left"/>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the reporting entity to develop its own assumptions.</w:t>
      </w:r>
    </w:p>
    <w:p>
      <w:pPr>
        <w:pStyle w:val="TextBody"/>
        <w:bidi w:val="0"/>
        <w:spacing w:before="0" w:after="0"/>
        <w:ind w:left="720" w:right="720" w:firstLine="44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945" w:name="xdx_89C_eus-gaap--ScheduleOfFairValueAss"/>
      <w:bookmarkEnd w:id="945"/>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965" w:right="720" w:firstLine="446"/>
        <w:jc w:val="both"/>
        <w:rPr>
          <w:caps w:val="false"/>
          <w:smallCaps w:val="false"/>
        </w:rPr>
      </w:pPr>
      <w:r>
        <w:rPr>
          <w:caps w:val="false"/>
          <w:smallCaps w:val="false"/>
        </w:rPr>
        <w:t> </w:t>
      </w:r>
    </w:p>
    <w:tbl>
      <w:tblPr>
        <w:tblW w:w="8709" w:type="dxa"/>
        <w:jc w:val="left"/>
        <w:tblInd w:w="720" w:type="dxa"/>
        <w:tblLayout w:type="fixed"/>
        <w:tblCellMar>
          <w:top w:w="0" w:type="dxa"/>
          <w:left w:w="0" w:type="dxa"/>
          <w:bottom w:w="0" w:type="dxa"/>
          <w:right w:w="0" w:type="dxa"/>
        </w:tblCellMar>
      </w:tblPr>
      <w:tblGrid>
        <w:gridCol w:w="5840"/>
        <w:gridCol w:w="60"/>
        <w:gridCol w:w="125"/>
        <w:gridCol w:w="485"/>
        <w:gridCol w:w="60"/>
        <w:gridCol w:w="60"/>
        <w:gridCol w:w="176"/>
        <w:gridCol w:w="368"/>
        <w:gridCol w:w="60"/>
        <w:gridCol w:w="60"/>
        <w:gridCol w:w="125"/>
        <w:gridCol w:w="485"/>
        <w:gridCol w:w="60"/>
        <w:gridCol w:w="60"/>
        <w:gridCol w:w="125"/>
        <w:gridCol w:w="485"/>
        <w:gridCol w:w="75"/>
      </w:tblGrid>
      <w:tr>
        <w:trPr/>
        <w:tc>
          <w:tcPr>
            <w:tcW w:w="5840" w:type="dxa"/>
            <w:tcBorders/>
            <w:vAlign w:val="center"/>
          </w:tcPr>
          <w:p>
            <w:pPr>
              <w:pStyle w:val="TableContents"/>
              <w:bidi w:val="0"/>
              <w:spacing w:before="0" w:after="283"/>
              <w:jc w:val="left"/>
              <w:rPr/>
            </w:pPr>
            <w:r>
              <w:rPr/>
              <w:t> </w:t>
            </w:r>
            <w:bookmarkStart w:id="946" w:name="xdx_8B1_zGLpQmLWVvY5"/>
            <w:bookmarkEnd w:id="946"/>
            <w:r>
              <w:rPr>
                <w:rFonts w:ascii="Times New Roman;Times;Serif" w:hAnsi="Times New Roman;Times;Serif"/>
                <w:sz w:val="20"/>
              </w:rPr>
              <w:t>Schedule of fair value assets and liabilities measured on recurring basis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47" w:name="xdx_497_20250101__20251231__us-gaap--Fai"/>
            <w:bookmarkEnd w:id="947"/>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bookmarkStart w:id="948" w:name="xdx_49F_20250101__20251231__us-gaap--Fai"/>
            <w:bookmarkEnd w:id="948"/>
          </w:p>
        </w:tc>
        <w:tc>
          <w:tcPr>
            <w:tcW w:w="3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49" w:name="xdx_496_20250101__20251231__us-gaap--Fai"/>
            <w:bookmarkEnd w:id="949"/>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50" w:name="xdx_49D_20250101__20251231_zlNZuGry5Tpg"/>
            <w:bookmarkEnd w:id="950"/>
          </w:p>
        </w:tc>
        <w:tc>
          <w:tcPr>
            <w:tcW w:w="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4" w:type="dxa"/>
            <w:gridSpan w:val="14"/>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 December 31, 2025</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8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Level 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Level 2</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Level 3</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51" w:name="xdx_408_eus-gaap--AssetsAbstract_iB_z9qL"/>
            <w:bookmarkEnd w:id="951"/>
          </w:p>
        </w:tc>
      </w:tr>
      <w:tr>
        <w:trPr/>
        <w:tc>
          <w:tcPr>
            <w:tcW w:w="5840" w:type="dxa"/>
            <w:tcBorders/>
            <w:shd w:fill="CFF0FC"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52" w:name="xdx_40A_eus-gaap--FairValueOfAssetsAcqui"/>
            <w:bookmarkEnd w:id="952"/>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3" w:name="xdx_408_eus-gaap--LiabilitiesAbstract_iB"/>
            <w:bookmarkEnd w:id="953"/>
          </w:p>
        </w:tc>
      </w:tr>
      <w:tr>
        <w:trPr/>
        <w:tc>
          <w:tcPr>
            <w:tcW w:w="5840" w:type="dxa"/>
            <w:tcBorders/>
            <w:shd w:fill="CFF0FC"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CFF0FC" w:val="clear"/>
            <w:vAlign w:val="center"/>
          </w:tcPr>
          <w:p>
            <w:pPr>
              <w:pStyle w:val="TableContents"/>
              <w:bidi w:val="0"/>
              <w:spacing w:before="0" w:after="283"/>
              <w:jc w:val="center"/>
              <w:rPr>
                <w:caps w:val="false"/>
                <w:smallCaps w:val="false"/>
              </w:rPr>
            </w:pPr>
            <w:r>
              <w:rPr>
                <w:caps w:val="false"/>
                <w:smallCaps w:val="false"/>
              </w:rPr>
              <w:t> </w:t>
            </w:r>
            <w:bookmarkStart w:id="954" w:name="xdx_403_ecustom--FairValueWarrantLiabili"/>
            <w:bookmarkEnd w:id="954"/>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5" w:name="xdx_407_ecustom--PrePaidAdvance_pn3n3_z9"/>
            <w:bookmarkEnd w:id="955"/>
          </w:p>
        </w:tc>
      </w:tr>
      <w:tr>
        <w:trPr/>
        <w:tc>
          <w:tcPr>
            <w:tcW w:w="584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Advance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FF0FC"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8" w:type="dxa"/>
            <w:tcBorders/>
            <w:shd w:fill="CFF0FC"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4,142</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4,142</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720" w:after="720"/>
        <w:ind w:left="720" w:right="720" w:hanging="0"/>
        <w:jc w:val="left"/>
        <w:rPr/>
      </w:pPr>
      <w:r>
        <w:rPr/>
        <w:t> </w:t>
      </w:r>
    </w:p>
    <w:tbl>
      <w:tblPr>
        <w:tblW w:w="4509" w:type="dxa"/>
        <w:jc w:val="left"/>
        <w:tblInd w:w="720" w:type="dxa"/>
        <w:tblLayout w:type="fixed"/>
        <w:tblCellMar>
          <w:top w:w="0" w:type="dxa"/>
          <w:left w:w="0" w:type="dxa"/>
          <w:bottom w:w="0" w:type="dxa"/>
          <w:right w:w="0" w:type="dxa"/>
        </w:tblCellMar>
      </w:tblPr>
      <w:tblGrid>
        <w:gridCol w:w="1430"/>
        <w:gridCol w:w="60"/>
        <w:gridCol w:w="125"/>
        <w:gridCol w:w="590"/>
        <w:gridCol w:w="60"/>
        <w:gridCol w:w="60"/>
        <w:gridCol w:w="176"/>
        <w:gridCol w:w="368"/>
        <w:gridCol w:w="60"/>
        <w:gridCol w:w="60"/>
        <w:gridCol w:w="125"/>
        <w:gridCol w:w="485"/>
        <w:gridCol w:w="60"/>
        <w:gridCol w:w="60"/>
        <w:gridCol w:w="125"/>
        <w:gridCol w:w="590"/>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56" w:name="xdx_494_20240101__20241231__us-gaap--Fai"/>
            <w:bookmarkEnd w:id="956"/>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bookmarkStart w:id="957" w:name="xdx_49A_20240101__20241231__us-gaap--Fai"/>
            <w:bookmarkEnd w:id="957"/>
          </w:p>
        </w:tc>
        <w:tc>
          <w:tcPr>
            <w:tcW w:w="3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58" w:name="xdx_492_20240101__20241231__us-gaap--Fai"/>
            <w:bookmarkEnd w:id="958"/>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bookmarkStart w:id="959" w:name="xdx_496_20240101__20241231_z9R7ms4nEMng"/>
            <w:bookmarkEnd w:id="959"/>
          </w:p>
        </w:tc>
        <w:tc>
          <w:tcPr>
            <w:tcW w:w="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4" w:type="dxa"/>
            <w:gridSpan w:val="14"/>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 December 31, 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Level 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Level 2</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Level 3</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60" w:name="xdx_408_eus-gaap--AssetsAbstract_iB_zovy"/>
            <w:bookmarkEnd w:id="960"/>
          </w:p>
        </w:tc>
      </w:tr>
      <w:tr>
        <w:trPr/>
        <w:tc>
          <w:tcPr>
            <w:tcW w:w="1430" w:type="dxa"/>
            <w:tcBorders/>
            <w:shd w:fill="CFF0FC"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61" w:name="xdx_40A_eus-gaap--FairValueOfAssetsAcqui"/>
            <w:bookmarkEnd w:id="961"/>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2" w:name="xdx_408_eus-gaap--LiabilitiesAbstract_iB"/>
            <w:bookmarkEnd w:id="962"/>
          </w:p>
        </w:tc>
      </w:tr>
      <w:tr>
        <w:trPr/>
        <w:tc>
          <w:tcPr>
            <w:tcW w:w="1430" w:type="dxa"/>
            <w:tcBorders/>
            <w:shd w:fill="CFF0FC"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shd w:fill="CFF0FC"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CFF0FC" w:val="clear"/>
            <w:vAlign w:val="center"/>
          </w:tcPr>
          <w:p>
            <w:pPr>
              <w:pStyle w:val="TableContents"/>
              <w:bidi w:val="0"/>
              <w:spacing w:before="0" w:after="283"/>
              <w:jc w:val="center"/>
              <w:rPr>
                <w:caps w:val="false"/>
                <w:smallCaps w:val="false"/>
              </w:rPr>
            </w:pPr>
            <w:r>
              <w:rPr>
                <w:caps w:val="false"/>
                <w:smallCaps w:val="false"/>
              </w:rPr>
              <w:t> </w:t>
            </w:r>
            <w:bookmarkStart w:id="963" w:name="xdx_403_ecustom--FairValueWarrantLiabili"/>
            <w:bookmarkEnd w:id="963"/>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firstLine="446"/>
        <w:jc w:val="left"/>
        <w:rPr>
          <w:caps w:val="false"/>
          <w:smallCaps w:val="false"/>
        </w:rPr>
      </w:pPr>
      <w:bookmarkStart w:id="964" w:name="xdx_8A8_zKOCtgGMzpY9"/>
      <w:bookmarkEnd w:id="964"/>
      <w:r>
        <w:rPr>
          <w:caps w:val="false"/>
          <w:smallCaps w:val="false"/>
        </w:rPr>
        <w:t> </w:t>
      </w:r>
    </w:p>
    <w:p>
      <w:pPr>
        <w:pStyle w:val="TextBody"/>
        <w:bidi w:val="0"/>
        <w:spacing w:before="0" w:after="0"/>
        <w:ind w:left="720" w:right="720" w:firstLine="44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transfers between levels have occurred during the periods presented.</w:t>
      </w:r>
    </w:p>
    <w:p>
      <w:pPr>
        <w:pStyle w:val="TextBody"/>
        <w:bidi w:val="0"/>
        <w:spacing w:before="0" w:after="0"/>
        <w:ind w:left="720" w:right="720" w:firstLine="446"/>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Equivalents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comprised of money market funds, which are classified within Level 1 of the fair value hierarchy because they are valued using quoted market prices in active markets.</w:t>
      </w:r>
    </w:p>
    <w:p>
      <w:pPr>
        <w:pStyle w:val="TextBody"/>
        <w:bidi w:val="0"/>
        <w:spacing w:before="720" w:after="72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965" w:name="xdx_89B_eus-gaap--FairValueNetDerivative"/>
      <w:bookmarkEnd w:id="965"/>
      <w:r>
        <w:rPr>
          <w:rFonts w:ascii="Times New Roman;Times;Serif" w:hAnsi="Times New Roman;Times;Serif"/>
          <w:b w:val="false"/>
          <w:i w:val="false"/>
          <w:caps w:val="false"/>
          <w:smallCaps w:val="false"/>
          <w:sz w:val="20"/>
        </w:rPr>
        <w:t>The significant inputs used in the valuation models to measure the fair value of the warrants are as follows:</w:t>
      </w:r>
    </w:p>
    <w:p>
      <w:pPr>
        <w:pStyle w:val="TextBody"/>
        <w:bidi w:val="0"/>
        <w:spacing w:before="0" w:after="0"/>
        <w:ind w:left="965" w:right="720" w:firstLine="446"/>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6551"/>
        <w:gridCol w:w="60"/>
        <w:gridCol w:w="1039"/>
        <w:gridCol w:w="60"/>
        <w:gridCol w:w="1055"/>
      </w:tblGrid>
      <w:tr>
        <w:trPr/>
        <w:tc>
          <w:tcPr>
            <w:tcW w:w="6551" w:type="dxa"/>
            <w:tcBorders/>
            <w:vAlign w:val="center"/>
          </w:tcPr>
          <w:p>
            <w:pPr>
              <w:pStyle w:val="TableContents"/>
              <w:bidi w:val="0"/>
              <w:spacing w:before="0" w:after="283"/>
              <w:jc w:val="left"/>
              <w:rPr/>
            </w:pPr>
            <w:r>
              <w:rPr/>
              <w:t> </w:t>
            </w:r>
            <w:bookmarkStart w:id="966" w:name="xdx_8B7_zVNoOhIqU656"/>
            <w:bookmarkEnd w:id="966"/>
            <w:r>
              <w:rPr>
                <w:rFonts w:ascii="Times New Roman;Times;Serif" w:hAnsi="Times New Roman;Times;Serif"/>
                <w:sz w:val="20"/>
              </w:rPr>
              <w:t>Schedule of fair value, net derivative asset (liability) measured on recurring basis, unobservable input reconciliation</w:t>
            </w:r>
          </w:p>
        </w:tc>
        <w:tc>
          <w:tcPr>
            <w:tcW w:w="60" w:type="dxa"/>
            <w:tcBorders/>
            <w:vAlign w:val="center"/>
          </w:tcPr>
          <w:p>
            <w:pPr>
              <w:pStyle w:val="TableContents"/>
              <w:bidi w:val="0"/>
              <w:spacing w:before="0" w:after="283"/>
              <w:jc w:val="left"/>
              <w:rPr/>
            </w:pPr>
            <w:r>
              <w:rPr/>
              <w:t> </w:t>
            </w:r>
            <w:bookmarkStart w:id="967" w:name="xdx_49E_20250101__20251231__us-gaap--Sta"/>
            <w:bookmarkEnd w:id="967"/>
          </w:p>
        </w:tc>
        <w:tc>
          <w:tcPr>
            <w:tcW w:w="1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8" w:name="xdx_49F_20240101__20241231__us-gaap--Sta"/>
            <w:bookmarkEnd w:id="968"/>
          </w:p>
        </w:tc>
        <w:tc>
          <w:tcPr>
            <w:tcW w:w="1055" w:type="dxa"/>
            <w:tcBorders/>
            <w:vAlign w:val="center"/>
          </w:tcPr>
          <w:p>
            <w:pPr>
              <w:pStyle w:val="TableContents"/>
              <w:bidi w:val="0"/>
              <w:spacing w:before="0" w:after="283"/>
              <w:jc w:val="left"/>
              <w:rPr/>
            </w:pPr>
            <w:r>
              <w:rPr/>
              <w:t> </w:t>
            </w:r>
          </w:p>
        </w:tc>
      </w:tr>
      <w:tr>
        <w:trPr/>
        <w:tc>
          <w:tcPr>
            <w:tcW w:w="65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4" w:type="dxa"/>
            <w:gridSpan w:val="3"/>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Valuation Date</w:t>
            </w:r>
          </w:p>
        </w:tc>
      </w:tr>
      <w:tr>
        <w:trPr/>
        <w:tc>
          <w:tcPr>
            <w:tcW w:w="655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December 31, </w:t>
              <w:b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December 31, </w:t>
              <w:br/>
              <w:t>2024</w:t>
            </w:r>
          </w:p>
        </w:tc>
      </w:tr>
      <w:tr>
        <w:trPr/>
        <w:tc>
          <w:tcPr>
            <w:tcW w:w="655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price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69" w:name="xdx_98E_ecustom--CommonStockPricePerShar"/>
            <w:bookmarkEnd w:id="969"/>
          </w:p>
        </w:tc>
        <w:tc>
          <w:tcPr>
            <w:tcW w:w="1039"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70" w:name="xdx_98C_ecustom--CommonStockPricePerShar"/>
            <w:bookmarkEnd w:id="970"/>
          </w:p>
        </w:tc>
        <w:tc>
          <w:tcPr>
            <w:tcW w:w="105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w:t>
            </w:r>
          </w:p>
        </w:tc>
      </w:tr>
      <w:tr>
        <w:trPr/>
        <w:tc>
          <w:tcPr>
            <w:tcW w:w="65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1" w:name="xdx_980_eus-gaap--ShareBasedCompensation"/>
            <w:bookmarkEnd w:id="971"/>
          </w:p>
        </w:tc>
        <w:tc>
          <w:tcPr>
            <w:tcW w:w="10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2" w:name="xdx_982_eus-gaap--ShareBasedCompensation"/>
            <w:bookmarkEnd w:id="972"/>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bookmarkStart w:id="973" w:name="xdx_40D_eus-gaap--SharebasedCompensation"/>
            <w:bookmarkEnd w:id="973"/>
          </w:p>
        </w:tc>
      </w:tr>
      <w:tr>
        <w:trPr/>
        <w:tc>
          <w:tcPr>
            <w:tcW w:w="655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r>
      <w:tr>
        <w:trPr/>
        <w:tc>
          <w:tcPr>
            <w:tcW w:w="65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4" w:name="xdx_98A_eus-gaap--ShareBasedCompensation"/>
            <w:bookmarkEnd w:id="974"/>
          </w:p>
        </w:tc>
        <w:tc>
          <w:tcPr>
            <w:tcW w:w="10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75" w:name="xdx_983_eus-gaap--ShareBasedCompensation"/>
            <w:bookmarkEnd w:id="975"/>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bookmarkStart w:id="976" w:name="xdx_408_eus-gaap--ShareBasedCompensation"/>
            <w:bookmarkEnd w:id="976"/>
          </w:p>
        </w:tc>
      </w:tr>
      <w:tr>
        <w:trPr/>
        <w:tc>
          <w:tcPr>
            <w:tcW w:w="655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r>
    </w:tbl>
    <w:p>
      <w:pPr>
        <w:pStyle w:val="TextBody"/>
        <w:bidi w:val="0"/>
        <w:spacing w:before="0" w:after="0"/>
        <w:ind w:left="720" w:right="720" w:firstLine="446"/>
        <w:jc w:val="left"/>
        <w:rPr>
          <w:caps w:val="false"/>
          <w:smallCaps w:val="false"/>
        </w:rPr>
      </w:pPr>
      <w:bookmarkStart w:id="977" w:name="xdx_8AF_zsAmvCf1PCp3"/>
      <w:bookmarkEnd w:id="977"/>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978" w:name="xdx_89C_ecustom--ScheduleOfTheChangesInT"/>
      <w:bookmarkEnd w:id="978"/>
      <w:r>
        <w:rPr>
          <w:rFonts w:ascii="Times New Roman;Times;Serif" w:hAnsi="Times New Roman;Times;Serif"/>
          <w:b w:val="false"/>
          <w:i w:val="false"/>
          <w:caps w:val="false"/>
          <w:smallCaps w:val="false"/>
          <w:sz w:val="20"/>
        </w:rPr>
        <w:t>The following table presents the changes in the fair value of Level 3 liabilities for the year ended December 31, 2025 (in thousands):</w:t>
      </w:r>
    </w:p>
    <w:p>
      <w:pPr>
        <w:pStyle w:val="TextBody"/>
        <w:bidi w:val="0"/>
        <w:spacing w:before="0" w:after="0"/>
        <w:ind w:left="965" w:right="720" w:firstLine="446"/>
        <w:jc w:val="left"/>
        <w:rPr>
          <w:caps w:val="false"/>
          <w:smallCaps w:val="false"/>
        </w:rPr>
      </w:pPr>
      <w:r>
        <w:rPr>
          <w:caps w:val="false"/>
          <w:smallCaps w:val="false"/>
        </w:rPr>
        <w:t> </w:t>
      </w:r>
    </w:p>
    <w:tbl>
      <w:tblPr>
        <w:tblW w:w="5460" w:type="dxa"/>
        <w:jc w:val="left"/>
        <w:tblInd w:w="720" w:type="dxa"/>
        <w:tblLayout w:type="fixed"/>
        <w:tblCellMar>
          <w:top w:w="0" w:type="dxa"/>
          <w:left w:w="0" w:type="dxa"/>
          <w:bottom w:w="0" w:type="dxa"/>
          <w:right w:w="0" w:type="dxa"/>
        </w:tblCellMar>
      </w:tblPr>
      <w:tblGrid>
        <w:gridCol w:w="4640"/>
        <w:gridCol w:w="60"/>
        <w:gridCol w:w="136"/>
        <w:gridCol w:w="529"/>
        <w:gridCol w:w="95"/>
      </w:tblGrid>
      <w:tr>
        <w:trPr/>
        <w:tc>
          <w:tcPr>
            <w:tcW w:w="464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79" w:name="xdx_8B3_zaIMZ6zeM2gg"/>
            <w:bookmarkEnd w:id="979"/>
            <w:r>
              <w:rPr>
                <w:rFonts w:ascii="Times New Roman;Times;Serif" w:hAnsi="Times New Roman;Times;Serif"/>
                <w:b w:val="false"/>
                <w:i w:val="false"/>
                <w:caps w:val="false"/>
                <w:smallCaps w:val="false"/>
                <w:sz w:val="20"/>
              </w:rPr>
              <w:t>Schedule of changes in the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80" w:name="xdx_4B0_us-gaap--FairValueByFairValueHie"/>
            <w:bookmarkEnd w:id="980"/>
          </w:p>
        </w:tc>
        <w:tc>
          <w:tcPr>
            <w:tcW w:w="6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Warrant</w:t>
              <w:br/>
              <w:t>Liability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81" w:name="xdx_431_c20250101__20251231_ecustom--War"/>
            <w:bookmarkEnd w:id="981"/>
          </w:p>
        </w:tc>
      </w:tr>
      <w:tr>
        <w:trPr/>
        <w:tc>
          <w:tcPr>
            <w:tcW w:w="464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3,811</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82" w:name="xdx_408_eus-gaap--FairValueAdjustmentOfW"/>
            <w:bookmarkEnd w:id="982"/>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83" w:name="xdx_43F_c20250101__20251231_ecustom--War"/>
            <w:bookmarkEnd w:id="983"/>
          </w:p>
        </w:tc>
      </w:tr>
      <w:tr>
        <w:trPr/>
        <w:tc>
          <w:tcPr>
            <w:tcW w:w="464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9"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3,516</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firstLine="446"/>
        <w:jc w:val="left"/>
        <w:rPr>
          <w:caps w:val="false"/>
          <w:smallCaps w:val="false"/>
        </w:rPr>
      </w:pPr>
      <w:bookmarkStart w:id="984" w:name="xdx_8A9_zAoEW60U84gf"/>
      <w:bookmarkEnd w:id="984"/>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liability-classified warrants are recognized within the gain on warrant liability, a component of other income (expense) in the consolidated statements of operations and comprehensive loss.</w:t>
      </w:r>
    </w:p>
    <w:p>
      <w:pPr>
        <w:pStyle w:val="TextBody"/>
        <w:bidi w:val="0"/>
        <w:spacing w:before="0" w:after="0"/>
        <w:ind w:left="720" w:right="720" w:firstLine="446"/>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PPAs Liability</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Level 3 liabilities include the Pre-Paid Advance issued to the Company in November 2025 (as further described in Note 7), for which the Company elected the fair value option.</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Advance is classified within Level 3 of the fair value hierarchy as the fair value is derived using a Monte Carlo simulation model in a risk neutral framework, which uses significant unobservable inputs. The significant assumptions used in the valuation model include volatility, expected term, risk-free rates, and credit-adjusted discount rates.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985" w:name="xdx_893_ecustom--ScheduleOfTheChangesInT"/>
      <w:bookmarkEnd w:id="985"/>
      <w:r>
        <w:rPr>
          <w:rFonts w:ascii="Times New Roman;Times;Serif" w:hAnsi="Times New Roman;Times;Serif"/>
          <w:b w:val="false"/>
          <w:i w:val="false"/>
          <w:caps w:val="false"/>
          <w:smallCaps w:val="false"/>
          <w:sz w:val="20"/>
        </w:rPr>
        <w:t>The following table presents the changes in the fair value of Level 3 liabilities for the year ended December 31, 2025 (in thousands):</w:t>
      </w:r>
    </w:p>
    <w:p>
      <w:pPr>
        <w:pStyle w:val="TextBody"/>
        <w:bidi w:val="0"/>
        <w:spacing w:before="0" w:after="0"/>
        <w:ind w:left="965" w:right="720" w:firstLine="446"/>
        <w:jc w:val="both"/>
        <w:rPr>
          <w:caps w:val="false"/>
          <w:smallCaps w:val="false"/>
        </w:rPr>
      </w:pPr>
      <w:r>
        <w:rPr>
          <w:caps w:val="false"/>
          <w:smallCaps w:val="false"/>
        </w:rPr>
        <w:t> </w:t>
      </w:r>
    </w:p>
    <w:tbl>
      <w:tblPr>
        <w:tblW w:w="6029" w:type="dxa"/>
        <w:jc w:val="left"/>
        <w:tblInd w:w="720" w:type="dxa"/>
        <w:tblLayout w:type="fixed"/>
        <w:tblCellMar>
          <w:top w:w="0" w:type="dxa"/>
          <w:left w:w="0" w:type="dxa"/>
          <w:bottom w:w="0" w:type="dxa"/>
          <w:right w:w="0" w:type="dxa"/>
        </w:tblCellMar>
      </w:tblPr>
      <w:tblGrid>
        <w:gridCol w:w="4805"/>
        <w:gridCol w:w="60"/>
        <w:gridCol w:w="199"/>
        <w:gridCol w:w="870"/>
        <w:gridCol w:w="95"/>
      </w:tblGrid>
      <w:tr>
        <w:trPr/>
        <w:tc>
          <w:tcPr>
            <w:tcW w:w="480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86" w:name="xdx_8B9_zbBuWvX7jQ47"/>
            <w:bookmarkEnd w:id="986"/>
            <w:r>
              <w:rPr>
                <w:rFonts w:ascii="Times New Roman;Times;Serif" w:hAnsi="Times New Roman;Times;Serif"/>
                <w:b w:val="false"/>
                <w:i w:val="false"/>
                <w:caps w:val="false"/>
                <w:smallCaps w:val="false"/>
                <w:sz w:val="20"/>
              </w:rPr>
              <w:t>Schedule of the changes in the fair value of PPAs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87" w:name="xdx_4B7_us-gaap--FairValueByFairValueHie"/>
            <w:bookmarkEnd w:id="987"/>
          </w:p>
        </w:tc>
        <w:tc>
          <w:tcPr>
            <w:tcW w:w="106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PPAs Liability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988" w:name="xdx_435_c20250101__20251231_ecustom--Pre"/>
            <w:bookmarkEnd w:id="988"/>
          </w:p>
        </w:tc>
      </w:tr>
      <w:tr>
        <w:trPr/>
        <w:tc>
          <w:tcPr>
            <w:tcW w:w="480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shd w:fill="CFF0FC"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989" w:name="xdx_408_ecustom--IssuanceOfPrePaidAdvanc"/>
            <w:bookmarkEnd w:id="989"/>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Pre-Paid Advance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0" w:name="xdx_40F_ecustom--PartialConversionOfPreP"/>
            <w:bookmarkEnd w:id="990"/>
          </w:p>
        </w:tc>
      </w:tr>
      <w:tr>
        <w:trPr/>
        <w:tc>
          <w:tcPr>
            <w:tcW w:w="480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conversion of Pre-Paid Advance into common stock</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87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w:t>
            </w:r>
          </w:p>
        </w:tc>
        <w:tc>
          <w:tcPr>
            <w:tcW w:w="9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91" w:name="xdx_403_ecustom--ChangeInFairValueOfPreP"/>
            <w:bookmarkEnd w:id="991"/>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PPAs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92" w:name="xdx_43E_c20250101__20251231_ecustom--Pre"/>
            <w:bookmarkEnd w:id="992"/>
          </w:p>
        </w:tc>
      </w:tr>
      <w:tr>
        <w:trPr/>
        <w:tc>
          <w:tcPr>
            <w:tcW w:w="480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0"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4,142</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965" w:right="720" w:firstLine="446"/>
        <w:jc w:val="left"/>
        <w:rPr>
          <w:caps w:val="false"/>
          <w:smallCaps w:val="false"/>
        </w:rPr>
      </w:pPr>
      <w:bookmarkStart w:id="993" w:name="xdx_8AE_zxKxSIuFbrb3"/>
      <w:bookmarkEnd w:id="993"/>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Pre-Paid Advance are recognized within the loss on PPAs liability, a component of other income (expense) on the consolidated statements of operations and comprehensive loss.</w:t>
      </w:r>
    </w:p>
    <w:p>
      <w:pPr>
        <w:pStyle w:val="TextBody"/>
        <w:bidi w:val="0"/>
        <w:spacing w:before="0" w:after="0"/>
        <w:ind w:left="720" w:right="720" w:hanging="0"/>
        <w:jc w:val="left"/>
        <w:rPr>
          <w:caps w:val="false"/>
          <w:smallCaps w:val="false"/>
        </w:rPr>
      </w:pPr>
      <w:bookmarkStart w:id="994" w:name="xdx_811_zDKniCyQLfT8"/>
      <w:bookmarkEnd w:id="994"/>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995" w:name="xdx_80B_eus-gaap--LesseeOperatingLeasesT"/>
      <w:bookmarkEnd w:id="995"/>
      <w:r>
        <w:rPr>
          <w:rFonts w:ascii="Times New Roman;Times;Serif" w:hAnsi="Times New Roman;Times;Serif"/>
          <w:b/>
          <w:i w:val="false"/>
          <w:caps w:val="false"/>
          <w:smallCaps w:val="false"/>
          <w:sz w:val="20"/>
        </w:rPr>
        <w:t xml:space="preserve">5. </w:t>
      </w:r>
      <w:bookmarkStart w:id="996" w:name="xdx_821_zEJK2vGFTZI3"/>
      <w:bookmarkEnd w:id="996"/>
      <w:r>
        <w:rPr>
          <w:rFonts w:ascii="Times New Roman;Times;Serif" w:hAnsi="Times New Roman;Times;Serif"/>
          <w:b/>
          <w:i w:val="false"/>
          <w:caps w:val="false"/>
          <w:smallCaps w:val="false"/>
          <w:sz w:val="20"/>
        </w:rPr>
        <w:t>Leases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relevant guidance, the Company reassessed the lease classification and remeasured the lease liability as of the effective date of modification and recognized a lease liability and ROU asset of approximately $6.0 million on the Company’s consolidated balance sheets.</w:t>
      </w:r>
    </w:p>
    <w:p>
      <w:pPr>
        <w:pStyle w:val="TextBody"/>
        <w:bidi w:val="0"/>
        <w:spacing w:before="0" w:after="0"/>
        <w:ind w:left="720" w:right="720" w:firstLine="446"/>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997" w:name="xdx_892_eus-gaap--LeaseCostTableTextBloc"/>
      <w:bookmarkEnd w:id="997"/>
      <w:r>
        <w:rPr>
          <w:rFonts w:ascii="Times New Roman;Times;Serif" w:hAnsi="Times New Roman;Times;Serif"/>
          <w:b w:val="false"/>
          <w:i w:val="false"/>
          <w:caps w:val="false"/>
          <w:smallCaps w:val="false"/>
          <w:sz w:val="20"/>
        </w:rPr>
        <w:t>The components of lease expense included in the Company’s consolidated statements of operations and comprehensive loss include (in thousands):</w:t>
      </w:r>
    </w:p>
    <w:p>
      <w:pPr>
        <w:pStyle w:val="TextBody"/>
        <w:bidi w:val="0"/>
        <w:spacing w:before="0" w:after="0"/>
        <w:ind w:left="965" w:right="720" w:firstLine="446"/>
        <w:jc w:val="left"/>
        <w:rPr>
          <w:caps w:val="false"/>
          <w:smallCaps w:val="false"/>
        </w:rPr>
      </w:pPr>
      <w:r>
        <w:rPr>
          <w:caps w:val="false"/>
          <w:smallCaps w:val="false"/>
        </w:rPr>
        <w:t> </w:t>
      </w:r>
    </w:p>
    <w:tbl>
      <w:tblPr>
        <w:tblW w:w="4566" w:type="dxa"/>
        <w:jc w:val="left"/>
        <w:tblInd w:w="720" w:type="dxa"/>
        <w:tblLayout w:type="fixed"/>
        <w:tblCellMar>
          <w:top w:w="0" w:type="dxa"/>
          <w:left w:w="0" w:type="dxa"/>
          <w:bottom w:w="0" w:type="dxa"/>
          <w:right w:w="0" w:type="dxa"/>
        </w:tblCellMar>
      </w:tblPr>
      <w:tblGrid>
        <w:gridCol w:w="2495"/>
        <w:gridCol w:w="60"/>
        <w:gridCol w:w="180"/>
        <w:gridCol w:w="702"/>
        <w:gridCol w:w="86"/>
        <w:gridCol w:w="86"/>
        <w:gridCol w:w="180"/>
        <w:gridCol w:w="702"/>
        <w:gridCol w:w="75"/>
      </w:tblGrid>
      <w:tr>
        <w:trPr/>
        <w:tc>
          <w:tcPr>
            <w:tcW w:w="2495" w:type="dxa"/>
            <w:tcBorders/>
            <w:vAlign w:val="center"/>
          </w:tcPr>
          <w:p>
            <w:pPr>
              <w:pStyle w:val="TableContents"/>
              <w:bidi w:val="0"/>
              <w:spacing w:before="0" w:after="283"/>
              <w:jc w:val="left"/>
              <w:rPr/>
            </w:pPr>
            <w:r>
              <w:rPr/>
              <w:t> </w:t>
            </w:r>
            <w:bookmarkStart w:id="998" w:name="xdx_8B1_zPPX4ehe4iYj"/>
            <w:bookmarkEnd w:id="998"/>
            <w:r>
              <w:rPr>
                <w:rFonts w:ascii="Times New Roman;Times;Serif" w:hAnsi="Times New Roman;Times;Serif"/>
                <w:sz w:val="20"/>
              </w:rPr>
              <w:t>Components of lease expense</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999" w:name="xdx_496_20250101__20251231_zsWHSclODqej"/>
            <w:bookmarkEnd w:id="999"/>
          </w:p>
        </w:tc>
        <w:tc>
          <w:tcPr>
            <w:tcW w:w="7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1000" w:name="xdx_496_20240101__20241231_z5f7Mz7w1fKh"/>
            <w:bookmarkEnd w:id="1000"/>
          </w:p>
        </w:tc>
        <w:tc>
          <w:tcPr>
            <w:tcW w:w="70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6"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Years ended December 31,</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01" w:name="xdx_40C_eus-gaap--OperatingLeaseCost_pn3"/>
            <w:bookmarkEnd w:id="1001"/>
          </w:p>
        </w:tc>
      </w:tr>
      <w:tr>
        <w:trPr/>
        <w:tc>
          <w:tcPr>
            <w:tcW w:w="249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2"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w:t>
            </w:r>
          </w:p>
        </w:tc>
        <w:tc>
          <w:tcPr>
            <w:tcW w:w="86"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1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2"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02" w:name="xdx_40A_eus-gaap--VariableLeaseCost_pn3n"/>
            <w:bookmarkEnd w:id="1002"/>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3" w:name="xdx_404_eus-gaap--LeaseCost_pn3n3_uUSD_z"/>
            <w:bookmarkEnd w:id="1003"/>
          </w:p>
        </w:tc>
      </w:tr>
      <w:tr>
        <w:trPr/>
        <w:tc>
          <w:tcPr>
            <w:tcW w:w="249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expense, net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2"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86"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180"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2"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720" w:after="720"/>
        <w:ind w:left="720" w:right="720" w:hanging="0"/>
        <w:jc w:val="left"/>
        <w:rPr/>
      </w:pPr>
      <w:bookmarkStart w:id="1004" w:name="xdx_8A3_zf1tGafzPUWa"/>
      <w:bookmarkEnd w:id="1004"/>
      <w:r>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costs are primarily related to payments made to lessors for common area maintenance, property taxes, insurance, and other operating expenses. The Company did not have any short-term leases or finance leases for the years ended December 31, 2025 and 2024.</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005" w:name="xdx_89A_eus-gaap--ScheduleOfInterestRate"/>
      <w:bookmarkEnd w:id="1005"/>
      <w:r>
        <w:rPr>
          <w:rFonts w:ascii="Times New Roman;Times;Serif" w:hAnsi="Times New Roman;Times;Serif"/>
          <w:b w:val="false"/>
          <w:i w:val="false"/>
          <w:caps w:val="false"/>
          <w:smallCaps w:val="false"/>
          <w:sz w:val="20"/>
        </w:rPr>
        <w:t>The weighted average remaining lease term and weighted average discount rate for operating leases were as follows:</w:t>
      </w:r>
    </w:p>
    <w:p>
      <w:pPr>
        <w:pStyle w:val="TextBody"/>
        <w:bidi w:val="0"/>
        <w:spacing w:before="0" w:after="0"/>
        <w:ind w:left="720" w:right="720" w:firstLine="446"/>
        <w:jc w:val="left"/>
        <w:rPr>
          <w:caps w:val="false"/>
          <w:smallCaps w:val="false"/>
        </w:rPr>
      </w:pPr>
      <w:r>
        <w:rPr>
          <w:caps w:val="false"/>
          <w:smallCaps w:val="false"/>
        </w:rPr>
        <w:t> </w:t>
      </w:r>
    </w:p>
    <w:tbl>
      <w:tblPr>
        <w:tblW w:w="8560" w:type="dxa"/>
        <w:jc w:val="left"/>
        <w:tblInd w:w="720" w:type="dxa"/>
        <w:tblLayout w:type="fixed"/>
        <w:tblCellMar>
          <w:top w:w="0" w:type="dxa"/>
          <w:left w:w="0" w:type="dxa"/>
          <w:bottom w:w="0" w:type="dxa"/>
          <w:right w:w="0" w:type="dxa"/>
        </w:tblCellMar>
      </w:tblPr>
      <w:tblGrid>
        <w:gridCol w:w="7175"/>
        <w:gridCol w:w="60"/>
        <w:gridCol w:w="60"/>
        <w:gridCol w:w="380"/>
        <w:gridCol w:w="185"/>
        <w:gridCol w:w="60"/>
        <w:gridCol w:w="60"/>
        <w:gridCol w:w="380"/>
        <w:gridCol w:w="200"/>
      </w:tblGrid>
      <w:tr>
        <w:trPr/>
        <w:tc>
          <w:tcPr>
            <w:tcW w:w="7175" w:type="dxa"/>
            <w:tcBorders/>
            <w:vAlign w:val="center"/>
          </w:tcPr>
          <w:p>
            <w:pPr>
              <w:pStyle w:val="TableContents"/>
              <w:bidi w:val="0"/>
              <w:spacing w:before="0" w:after="283"/>
              <w:jc w:val="left"/>
              <w:rPr/>
            </w:pPr>
            <w:r>
              <w:rPr/>
              <w:t> </w:t>
            </w:r>
            <w:bookmarkStart w:id="1006" w:name="xdx_8B4_znMRro3iqjZ1"/>
            <w:bookmarkEnd w:id="1006"/>
            <w:r>
              <w:rPr>
                <w:rFonts w:ascii="Times New Roman;Times;Serif" w:hAnsi="Times New Roman;Times;Serif"/>
                <w:sz w:val="20"/>
              </w:rPr>
              <w:t>Summary of weighted average remaining lease term and weighted average discount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7" w:name="xdx_491_20251231_z4tMW9xO6LG7"/>
            <w:bookmarkEnd w:id="1007"/>
          </w:p>
        </w:tc>
        <w:tc>
          <w:tcPr>
            <w:tcW w:w="3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8" w:name="xdx_496_20241231_znX1CcMea3a7"/>
            <w:bookmarkEnd w:id="1008"/>
          </w:p>
        </w:tc>
        <w:tc>
          <w:tcPr>
            <w:tcW w:w="38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r>
          </w:p>
        </w:tc>
        <w:tc>
          <w:tcPr>
            <w:tcW w:w="2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20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09" w:name="xdx_40D_eus-gaap--OperatingLeaseWeighted"/>
            <w:bookmarkEnd w:id="1009"/>
          </w:p>
        </w:tc>
      </w:tr>
      <w:tr>
        <w:trPr/>
        <w:tc>
          <w:tcPr>
            <w:tcW w:w="717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lease term (in years)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8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00"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10" w:name="xdx_407_eus-gaap--OperatingLeaseWeighted"/>
            <w:bookmarkEnd w:id="1010"/>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discount rate percentage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965" w:right="720" w:firstLine="446"/>
        <w:jc w:val="left"/>
        <w:rPr>
          <w:caps w:val="false"/>
          <w:smallCaps w:val="false"/>
        </w:rPr>
      </w:pPr>
      <w:bookmarkStart w:id="1011" w:name="xdx_8AE_zu3dAvNWQhyd"/>
      <w:bookmarkEnd w:id="1011"/>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012" w:name="xdx_897_eus-gaap--ScheduleOfCashFlowSupp"/>
      <w:bookmarkEnd w:id="1012"/>
      <w:r>
        <w:rPr>
          <w:rFonts w:ascii="Times New Roman;Times;Serif" w:hAnsi="Times New Roman;Times;Serif"/>
          <w:b w:val="false"/>
          <w:i w:val="false"/>
          <w:caps w:val="false"/>
          <w:smallCaps w:val="false"/>
          <w:sz w:val="20"/>
        </w:rPr>
        <w:t>Supplemental cash flow information related to leases under which the Company is the lessee was as follows (amounts in thousands):</w:t>
      </w:r>
    </w:p>
    <w:p>
      <w:pPr>
        <w:pStyle w:val="TextBody"/>
        <w:bidi w:val="0"/>
        <w:spacing w:before="0" w:after="0"/>
        <w:ind w:left="965" w:right="720" w:firstLine="446"/>
        <w:jc w:val="left"/>
        <w:rPr>
          <w:caps w:val="false"/>
          <w:smallCaps w:val="false"/>
        </w:rPr>
      </w:pPr>
      <w:r>
        <w:rPr>
          <w:caps w:val="false"/>
          <w:smallCaps w:val="false"/>
        </w:rPr>
        <w:t> </w:t>
      </w:r>
    </w:p>
    <w:tbl>
      <w:tblPr>
        <w:tblW w:w="7866" w:type="dxa"/>
        <w:jc w:val="left"/>
        <w:tblInd w:w="720" w:type="dxa"/>
        <w:tblLayout w:type="fixed"/>
        <w:tblCellMar>
          <w:top w:w="0" w:type="dxa"/>
          <w:left w:w="0" w:type="dxa"/>
          <w:bottom w:w="0" w:type="dxa"/>
          <w:right w:w="0" w:type="dxa"/>
        </w:tblCellMar>
      </w:tblPr>
      <w:tblGrid>
        <w:gridCol w:w="5795"/>
        <w:gridCol w:w="60"/>
        <w:gridCol w:w="203"/>
        <w:gridCol w:w="546"/>
        <w:gridCol w:w="97"/>
        <w:gridCol w:w="97"/>
        <w:gridCol w:w="203"/>
        <w:gridCol w:w="790"/>
        <w:gridCol w:w="75"/>
      </w:tblGrid>
      <w:tr>
        <w:trPr/>
        <w:tc>
          <w:tcPr>
            <w:tcW w:w="5795" w:type="dxa"/>
            <w:tcBorders/>
            <w:vAlign w:val="center"/>
          </w:tcPr>
          <w:p>
            <w:pPr>
              <w:pStyle w:val="TableContents"/>
              <w:bidi w:val="0"/>
              <w:spacing w:before="0" w:after="283"/>
              <w:jc w:val="left"/>
              <w:rPr/>
            </w:pPr>
            <w:r>
              <w:rPr/>
              <w:t> </w:t>
            </w:r>
            <w:bookmarkStart w:id="1013" w:name="xdx_8B7_z2te7XyD1gT7"/>
            <w:bookmarkEnd w:id="1013"/>
            <w:r>
              <w:rPr>
                <w:rFonts w:ascii="Times New Roman;Times;Serif" w:hAnsi="Times New Roman;Times;Serif"/>
                <w:sz w:val="20"/>
              </w:rPr>
              <w:t>Supplemental cash flow information related to leases</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bookmarkStart w:id="1014" w:name="xdx_496_20250101__20251231_zAO2gG9NnIAd"/>
            <w:bookmarkEnd w:id="1014"/>
          </w:p>
        </w:tc>
        <w:tc>
          <w:tcPr>
            <w:tcW w:w="546"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bookmarkStart w:id="1015" w:name="xdx_496_20240101__20241231_zqbkCslH2Os"/>
            <w:bookmarkEnd w:id="1015"/>
          </w:p>
        </w:tc>
        <w:tc>
          <w:tcPr>
            <w:tcW w:w="7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6"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Years ended December 31,</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7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16" w:name="xdx_406_eus-gaap--OperatingLeasePayments"/>
            <w:bookmarkEnd w:id="1016"/>
          </w:p>
        </w:tc>
      </w:tr>
      <w:tr>
        <w:trPr/>
        <w:tc>
          <w:tcPr>
            <w:tcW w:w="579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leases</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6"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w:t>
            </w:r>
          </w:p>
        </w:tc>
        <w:tc>
          <w:tcPr>
            <w:tcW w:w="97"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FF0FC" w:val="clear"/>
            <w:vAlign w:val="center"/>
          </w:tcPr>
          <w:p>
            <w:pPr>
              <w:pStyle w:val="TableContents"/>
              <w:bidi w:val="0"/>
              <w:spacing w:before="0" w:after="283"/>
              <w:jc w:val="right"/>
              <w:rPr>
                <w:caps w:val="false"/>
                <w:smallCaps w:val="false"/>
              </w:rPr>
            </w:pPr>
            <w:r>
              <w:rPr>
                <w:caps w:val="false"/>
                <w:smallCaps w:val="false"/>
              </w:rPr>
              <w:t> </w:t>
            </w:r>
          </w:p>
        </w:tc>
        <w:tc>
          <w:tcPr>
            <w:tcW w:w="2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w:t>
            </w:r>
          </w:p>
        </w:tc>
        <w:tc>
          <w:tcPr>
            <w:tcW w:w="7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720" w:firstLine="446"/>
        <w:jc w:val="left"/>
        <w:rPr>
          <w:caps w:val="false"/>
          <w:smallCaps w:val="false"/>
        </w:rPr>
      </w:pPr>
      <w:bookmarkStart w:id="1017" w:name="xdx_8A7_zXoIhzmzx9Ck"/>
      <w:bookmarkEnd w:id="1017"/>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018" w:name="xdx_89A_eus-gaap--LesseeOperatingLeaseLi"/>
      <w:bookmarkEnd w:id="1018"/>
      <w:r>
        <w:rPr>
          <w:rFonts w:ascii="Times New Roman;Times;Serif" w:hAnsi="Times New Roman;Times;Serif"/>
          <w:b w:val="false"/>
          <w:i w:val="false"/>
          <w:caps w:val="false"/>
          <w:smallCaps w:val="false"/>
          <w:sz w:val="20"/>
        </w:rPr>
        <w:t>Maturities of operating lease liabilities as of December 31, 2025 were as follows (in thousands):</w:t>
      </w:r>
    </w:p>
    <w:p>
      <w:pPr>
        <w:pStyle w:val="TextBody"/>
        <w:bidi w:val="0"/>
        <w:spacing w:before="0" w:after="0"/>
        <w:ind w:left="965" w:right="720" w:firstLine="446"/>
        <w:jc w:val="left"/>
        <w:rPr>
          <w:caps w:val="false"/>
          <w:smallCaps w:val="false"/>
        </w:rPr>
      </w:pPr>
      <w:r>
        <w:rPr>
          <w:caps w:val="false"/>
          <w:smallCaps w:val="false"/>
        </w:rPr>
        <w:t> </w:t>
      </w:r>
    </w:p>
    <w:tbl>
      <w:tblPr>
        <w:tblW w:w="4170" w:type="dxa"/>
        <w:jc w:val="left"/>
        <w:tblInd w:w="720" w:type="dxa"/>
        <w:tblLayout w:type="fixed"/>
        <w:tblCellMar>
          <w:top w:w="0" w:type="dxa"/>
          <w:left w:w="0" w:type="dxa"/>
          <w:bottom w:w="0" w:type="dxa"/>
          <w:right w:w="0" w:type="dxa"/>
        </w:tblCellMar>
      </w:tblPr>
      <w:tblGrid>
        <w:gridCol w:w="3245"/>
        <w:gridCol w:w="60"/>
        <w:gridCol w:w="143"/>
        <w:gridCol w:w="627"/>
        <w:gridCol w:w="95"/>
      </w:tblGrid>
      <w:tr>
        <w:trPr/>
        <w:tc>
          <w:tcPr>
            <w:tcW w:w="3245" w:type="dxa"/>
            <w:tcBorders/>
            <w:vAlign w:val="center"/>
          </w:tcPr>
          <w:p>
            <w:pPr>
              <w:pStyle w:val="TableContents"/>
              <w:bidi w:val="0"/>
              <w:spacing w:before="0" w:after="283"/>
              <w:jc w:val="left"/>
              <w:rPr/>
            </w:pPr>
            <w:r>
              <w:rPr/>
              <w:t> </w:t>
            </w:r>
            <w:bookmarkStart w:id="1019" w:name="xdx_8B4_zvqgutZTxoWe"/>
            <w:bookmarkEnd w:id="1019"/>
            <w:r>
              <w:rPr>
                <w:rFonts w:ascii="Times New Roman;Times;Serif" w:hAnsi="Times New Roman;Times;Serif"/>
                <w:sz w:val="20"/>
              </w:rPr>
              <w:t>Maturities of operating lease liabilities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bookmarkStart w:id="1020" w:name="xdx_492_20251231_ztJ25SRmETp1"/>
            <w:bookmarkEnd w:id="1020"/>
          </w:p>
        </w:tc>
        <w:tc>
          <w:tcPr>
            <w:tcW w:w="62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u w:val="single"/>
              </w:rPr>
            </w:pPr>
            <w:r>
              <w:rPr>
                <w:rFonts w:ascii="Times New Roman;Times;Serif" w:hAnsi="Times New Roman;Times;Serif"/>
                <w:b/>
                <w:i w:val="false"/>
                <w:caps w:val="false"/>
                <w:smallCaps w:val="false"/>
                <w:sz w:val="16"/>
                <w:u w:val="single"/>
              </w:rPr>
              <w:t>Years ending December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Operating</w:t>
            </w:r>
            <w:r>
              <w:rPr>
                <w:rFonts w:ascii="Times New Roman;Times;Serif" w:hAnsi="Times New Roman;Times;Serif"/>
                <w:b w:val="false"/>
                <w:i w:val="false"/>
                <w:caps w:val="false"/>
                <w:smallCaps w:val="false"/>
                <w:sz w:val="16"/>
              </w:rPr>
              <w:br/>
            </w:r>
            <w:r>
              <w:rPr>
                <w:rFonts w:ascii="Times New Roman;Times;Serif" w:hAnsi="Times New Roman;Times;Serif"/>
                <w:b/>
                <w:i w:val="false"/>
                <w:caps w:val="false"/>
                <w:smallCaps w:val="false"/>
                <w:sz w:val="16"/>
              </w:rPr>
              <w:t>lease</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21" w:name="xdx_40B_eus-gaap--LesseeOperatingLeaseLi"/>
            <w:bookmarkEnd w:id="1021"/>
          </w:p>
        </w:tc>
      </w:tr>
      <w:tr>
        <w:trPr/>
        <w:tc>
          <w:tcPr>
            <w:tcW w:w="324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7"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22" w:name="xdx_409_eus-gaap--LesseeOperatingLeaseLi"/>
            <w:bookmarkEnd w:id="1022"/>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3" w:name="xdx_401_eus-gaap--LesseeOperatingLeaseLi"/>
            <w:bookmarkEnd w:id="1023"/>
          </w:p>
        </w:tc>
      </w:tr>
      <w:tr>
        <w:trPr/>
        <w:tc>
          <w:tcPr>
            <w:tcW w:w="324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24" w:name="xdx_40E_eus-gaap--LesseeOperatingLeaseLi"/>
            <w:bookmarkEnd w:id="1024"/>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5" w:name="xdx_401_eus-gaap--LesseeOperatingLeaseLi"/>
            <w:bookmarkEnd w:id="1025"/>
          </w:p>
        </w:tc>
      </w:tr>
      <w:tr>
        <w:trPr/>
        <w:tc>
          <w:tcPr>
            <w:tcW w:w="324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26" w:name="xdx_40E_eus-gaap--LesseeOperatingLeaseLi"/>
            <w:bookmarkEnd w:id="1026"/>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lease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27" w:name="xdx_404_eus-gaap--LesseeOperatingLeaseLi"/>
            <w:bookmarkEnd w:id="1027"/>
          </w:p>
        </w:tc>
      </w:tr>
      <w:tr>
        <w:trPr/>
        <w:tc>
          <w:tcPr>
            <w:tcW w:w="324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7" w:type="dxa"/>
            <w:tcBorders>
              <w:bottom w:val="single" w:sz="8"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w:t>
            </w:r>
          </w:p>
        </w:tc>
        <w:tc>
          <w:tcPr>
            <w:tcW w:w="95"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28" w:name="xdx_408_eus-gaap--OperatingLeaseLiabilit"/>
            <w:bookmarkEnd w:id="1028"/>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720" w:after="720"/>
        <w:ind w:left="720" w:right="720" w:hanging="0"/>
        <w:jc w:val="left"/>
        <w:rPr/>
      </w:pPr>
      <w:bookmarkStart w:id="1029" w:name="xdx_8A3_zxab3Tvussrb"/>
      <w:bookmarkEnd w:id="1029"/>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1030" w:name="xdx_803_eus-gaap--CommitmentsAndContinge"/>
      <w:bookmarkEnd w:id="1030"/>
      <w:r>
        <w:rPr>
          <w:rFonts w:ascii="Times New Roman;Times;Serif" w:hAnsi="Times New Roman;Times;Serif"/>
          <w:b/>
          <w:i w:val="false"/>
          <w:caps w:val="false"/>
          <w:smallCaps w:val="false"/>
          <w:sz w:val="20"/>
        </w:rPr>
        <w:t xml:space="preserve">6. </w:t>
      </w:r>
      <w:bookmarkStart w:id="1031" w:name="xdx_822_zmnsC6LNRFyj"/>
      <w:bookmarkEnd w:id="1031"/>
      <w:r>
        <w:rPr>
          <w:rFonts w:ascii="Times New Roman;Times;Serif" w:hAnsi="Times New Roman;Times;Serif"/>
          <w:b/>
          <w:i w:val="false"/>
          <w:caps w:val="false"/>
          <w:smallCaps w:val="false"/>
          <w:sz w:val="20"/>
        </w:rPr>
        <w:t>Commitments and Contingencies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0" w:after="0"/>
        <w:ind w:left="720" w:right="720" w:firstLine="440"/>
        <w:jc w:val="both"/>
        <w:rPr>
          <w:caps w:val="false"/>
          <w:smallCaps w:val="false"/>
        </w:rPr>
      </w:pPr>
      <w:bookmarkStart w:id="1032" w:name="xdx_813_zlNithz7G181"/>
      <w:bookmarkEnd w:id="1032"/>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1033" w:name="xdx_808_eus-gaap--DebtDisclosureTextBloc"/>
      <w:bookmarkEnd w:id="1033"/>
      <w:r>
        <w:rPr>
          <w:rFonts w:ascii="Times New Roman;Times;Serif" w:hAnsi="Times New Roman;Times;Serif"/>
          <w:b/>
          <w:i w:val="false"/>
          <w:caps w:val="false"/>
          <w:smallCaps w:val="false"/>
          <w:sz w:val="20"/>
        </w:rPr>
        <w:t xml:space="preserve">7. </w:t>
      </w:r>
      <w:bookmarkStart w:id="1034" w:name="xdx_82E_ztM1A1D2jUn8"/>
      <w:bookmarkEnd w:id="1034"/>
      <w:r>
        <w:rPr>
          <w:rFonts w:ascii="Times New Roman;Times;Serif" w:hAnsi="Times New Roman;Times;Serif"/>
          <w:b/>
          <w:i w:val="false"/>
          <w:caps w:val="false"/>
          <w:smallCaps w:val="false"/>
          <w:sz w:val="20"/>
        </w:rPr>
        <w:t>Pre-Paid Advance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the Pre-Paid Advance consisting of an aggregate principal amount of $</w:t>
      </w:r>
      <w:bookmarkStart w:id="1035" w:name="xdx_900_eus-gaap--DebtInstrumentFaceAmou"/>
      <w:bookmarkEnd w:id="1035"/>
      <w:r>
        <w:rPr>
          <w:rFonts w:ascii="Times New Roman;Times;Serif" w:hAnsi="Times New Roman;Times;Serif"/>
          <w:b w:val="false"/>
          <w:i w:val="false"/>
          <w:caps w:val="false"/>
          <w:smallCaps w:val="false"/>
          <w:sz w:val="20"/>
        </w:rPr>
        <w:t xml:space="preserve">7.5 million, at a purchase price equal to </w:t>
      </w:r>
      <w:bookmarkStart w:id="1036" w:name="xdx_900_ecustom--DebtInstrumentCarryingA"/>
      <w:bookmarkEnd w:id="1036"/>
      <w:r>
        <w:rPr>
          <w:rFonts w:ascii="Times New Roman;Times;Serif" w:hAnsi="Times New Roman;Times;Serif"/>
          <w:b w:val="false"/>
          <w:i w:val="false"/>
          <w:caps w:val="false"/>
          <w:smallCaps w:val="false"/>
          <w:sz w:val="20"/>
        </w:rPr>
        <w:t>95% of the face amount. The purchase resulted in gross proceeds to the Company of $</w:t>
      </w:r>
      <w:bookmarkStart w:id="1037" w:name="xdx_90D_ecustom--GrossProceedsFromPrePai"/>
      <w:bookmarkEnd w:id="1037"/>
      <w:r>
        <w:rPr>
          <w:rFonts w:ascii="Times New Roman;Times;Serif" w:hAnsi="Times New Roman;Times;Serif"/>
          <w:b w:val="false"/>
          <w:i w:val="false"/>
          <w:caps w:val="false"/>
          <w:smallCaps w:val="false"/>
          <w:sz w:val="20"/>
        </w:rPr>
        <w:t>7.13 million.</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Pre-Paid Advance matures on </w:t>
      </w:r>
      <w:bookmarkStart w:id="1038" w:name="xdx_905_eus-gaap--DebtInstrumentMaturity"/>
      <w:bookmarkEnd w:id="1038"/>
      <w:r>
        <w:rPr>
          <w:rFonts w:ascii="Times New Roman;Times;Serif" w:hAnsi="Times New Roman;Times;Serif"/>
          <w:b w:val="false"/>
          <w:i w:val="false"/>
          <w:caps w:val="false"/>
          <w:smallCaps w:val="false"/>
          <w:sz w:val="20"/>
        </w:rPr>
        <w:t xml:space="preserve">November 21, 2026, and accrues interest at </w:t>
      </w:r>
      <w:bookmarkStart w:id="1039" w:name="xdx_906_eus-gaap--DebtInstrumentInterest"/>
      <w:bookmarkEnd w:id="1039"/>
      <w:r>
        <w:rPr>
          <w:rFonts w:ascii="Times New Roman;Times;Serif" w:hAnsi="Times New Roman;Times;Serif"/>
          <w:b w:val="false"/>
          <w:i w:val="false"/>
          <w:caps w:val="false"/>
          <w:smallCaps w:val="false"/>
          <w:sz w:val="20"/>
        </w:rPr>
        <w:t xml:space="preserve">4% per annum, subject to an increase to </w:t>
      </w:r>
      <w:bookmarkStart w:id="1040" w:name="xdx_905_ecustom--DefaultInterestRatePerc"/>
      <w:bookmarkEnd w:id="1040"/>
      <w:r>
        <w:rPr>
          <w:rFonts w:ascii="Times New Roman;Times;Serif" w:hAnsi="Times New Roman;Times;Serif"/>
          <w:b w:val="false"/>
          <w:i w:val="false"/>
          <w:caps w:val="false"/>
          <w:smallCaps w:val="false"/>
          <w:sz w:val="20"/>
        </w:rPr>
        <w:t xml:space="preserve">18% upon certain Events of Default (as defined in the PPAs). The Company may, at its option, on any date the VWAP of the Company’s common stock is less than the Fixed Price, prepay all or part of the outstanding Pre-Paid Advance, plus a </w:t>
      </w:r>
      <w:bookmarkStart w:id="1041" w:name="xdx_907_ecustom--DebtInstrumentPrepaymen"/>
      <w:bookmarkEnd w:id="1041"/>
      <w:r>
        <w:rPr>
          <w:rFonts w:ascii="Times New Roman;Times;Serif" w:hAnsi="Times New Roman;Times;Serif"/>
          <w:b w:val="false"/>
          <w:i w:val="false"/>
          <w:caps w:val="false"/>
          <w:smallCaps w:val="false"/>
          <w:sz w:val="20"/>
        </w:rPr>
        <w:t>10% premium and any accrued and unpaid interest.</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Advance may be repaid in cash or, at each Investor’s option via written notice (each, a “Purchase Notice”), converted into shares of the Company’s common stock at a purchase price per share equal to the lower of (a) $</w:t>
      </w:r>
      <w:bookmarkStart w:id="1042" w:name="xdx_90C_eus-gaap--SharesIssuedPricePerSh"/>
      <w:bookmarkEnd w:id="1042"/>
      <w:r>
        <w:rPr>
          <w:rFonts w:ascii="Times New Roman;Times;Serif" w:hAnsi="Times New Roman;Times;Serif"/>
          <w:b w:val="false"/>
          <w:i w:val="false"/>
          <w:caps w:val="false"/>
          <w:smallCaps w:val="false"/>
          <w:sz w:val="20"/>
        </w:rPr>
        <w:t xml:space="preserve">69.50 (the “Fixed Price”) and (b) </w:t>
      </w:r>
      <w:bookmarkStart w:id="1043" w:name="xdx_90D_ecustom--PrePaidAdvanceVolumeWei"/>
      <w:bookmarkEnd w:id="1043"/>
      <w:r>
        <w:rPr>
          <w:rFonts w:ascii="Times New Roman;Times;Serif" w:hAnsi="Times New Roman;Times;Serif"/>
          <w:b w:val="false"/>
          <w:i w:val="false"/>
          <w:caps w:val="false"/>
          <w:smallCaps w:val="false"/>
          <w:sz w:val="20"/>
        </w:rPr>
        <w:t>95% of the lowest daily volume weighted average price (“VWAP”) of the Company’s common stock for the seven trading days preceding the Purchase Notice (such price, the “Market Price”), at all times subject to a floor of $11.50 (the “Floor Price”). The Investors may also elect to use the Fixed Price in any Purchase Notice even if it is greater or less than the Market Price.</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under the PPAs is subject to further limitations and conditions, including that the shares of common stock beneficially owned by each Investor and its affiliates at any one time will not exceed 4.99% of the then-outstanding shares of the Company’s common stock. Pursuant to the rules of The Nasdaq Capital Market, the total aggregate number of shares issuable under the terms of the PPAs and the SEPA (as defined in Note 8) was initially limited to a number equivalent to </w:t>
      </w:r>
      <w:bookmarkStart w:id="1044" w:name="xdx_907_ecustom--PercentageOfOutstanding"/>
      <w:bookmarkEnd w:id="1044"/>
      <w:r>
        <w:rPr>
          <w:rFonts w:ascii="Times New Roman;Times;Serif" w:hAnsi="Times New Roman;Times;Serif"/>
          <w:b w:val="false"/>
          <w:i w:val="false"/>
          <w:caps w:val="false"/>
          <w:smallCaps w:val="false"/>
          <w:sz w:val="20"/>
        </w:rPr>
        <w:t>19.99% of the outstanding shares of the common stock as of November 17, 2025 (the “Exchange Cap”). On December 30, 2025, the Company’s stockholders’ approved the issuance of shares under the PPAs and the SEPA in excess of the Exchange Cap.</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bookmarkStart w:id="1045" w:name="xdx_904_ecustom--PrePaidAdvanceAgreement"/>
      <w:bookmarkEnd w:id="1045"/>
      <w:r>
        <w:rPr>
          <w:rFonts w:ascii="Times New Roman;Times;Serif" w:hAnsi="Times New Roman;Times;Serif"/>
          <w:b w:val="false"/>
          <w:i w:val="false"/>
          <w:caps w:val="false"/>
          <w:smallCaps w:val="false"/>
          <w:sz w:val="20"/>
        </w:rPr>
        <w:t>In the event certain events occur, including (i) the failure to maintain a closing stock price greater than the Floor Price for any five of seven consecutive trading days, (ii) any of the shares to be issued pursuant to the PPAs are not eligible to be sold pursuant to an effective registration statement for a period of 10 consecutive trading days or (iii) the Company has issued substantially all of the shares available under the Exchange Cap (as defined below) (the date on which any event described in (i) through (iii) occurs, the “Amortization Event Date”), the Company will be required to make monthly cash payments equal to the lesser of 18% of each Investor’s respective initial Pre-Paid Advance amount, or the outstanding principal balance of such Pre-Paid Advance on the Amortization Event Date, plus a 10% payment premium and any accrued and unpaid interest. Such payments will continue until either all amounts outstanding under the Pre-Paid Advance are paid in full or certain cure conditions have been met.</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election to account for the Pre-Paid Advance under the fair value option in ASC 825, the Pre-Paid Advance was initially recorded at fair value at issuance and is remeasured to fair value at each reporting date, with changes in fair value recognized in earnings within the loss on PPAs liability on the consolidated statements of operations and comprehensive loss. The Company estimates the fair value of the Pre-Paid Advance using the Monte Carlo simulation model, which uses significant unobservable inputs (Level 3). See Note 4 for significant assumptions used in determining the fair value.</w:t>
      </w:r>
    </w:p>
    <w:p>
      <w:pPr>
        <w:pStyle w:val="TextBody"/>
        <w:bidi w:val="0"/>
        <w:spacing w:before="0" w:after="0"/>
        <w:ind w:left="720" w:right="720" w:firstLine="475"/>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F-39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issuance costs of $</w:t>
      </w:r>
      <w:bookmarkStart w:id="1046" w:name="xdx_900_eus-gaap--PaymentsOfDebtIssuance"/>
      <w:bookmarkEnd w:id="1046"/>
      <w:r>
        <w:rPr>
          <w:rFonts w:ascii="Times New Roman;Times;Serif" w:hAnsi="Times New Roman;Times;Serif"/>
          <w:b w:val="false"/>
          <w:i w:val="false"/>
          <w:caps w:val="false"/>
          <w:smallCaps w:val="false"/>
          <w:sz w:val="20"/>
        </w:rPr>
        <w:t>0.7 million, which were expensed as incurred, as required under the fair value option, and such costs are presented within other income (expense) on the consolidated statements of operations and comprehensive loss.</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issuance date to December 31, 2025, the Company issued common stock to the Investors in settlement of approximately $</w:t>
      </w:r>
      <w:bookmarkStart w:id="1047" w:name="xdx_90C_eus-gaap--SettlementLiabilitiesC"/>
      <w:bookmarkEnd w:id="1047"/>
      <w:r>
        <w:rPr>
          <w:rFonts w:ascii="Times New Roman;Times;Serif" w:hAnsi="Times New Roman;Times;Serif"/>
          <w:b w:val="false"/>
          <w:i w:val="false"/>
          <w:caps w:val="false"/>
          <w:smallCaps w:val="false"/>
          <w:sz w:val="20"/>
        </w:rPr>
        <w:t>3.1 million in principal and accrued interest under the Pre-Paid Advance. The remaining principal and accrued interest under the Pre-Paid Advance has been converted into common stock as of March 2026 (refer to Note 14).</w:t>
      </w:r>
    </w:p>
    <w:p>
      <w:pPr>
        <w:pStyle w:val="TextBody"/>
        <w:bidi w:val="0"/>
        <w:spacing w:before="0" w:after="0"/>
        <w:ind w:left="720" w:right="720" w:firstLine="475"/>
        <w:jc w:val="both"/>
        <w:rPr>
          <w:caps w:val="false"/>
          <w:smallCaps w:val="false"/>
        </w:rPr>
      </w:pPr>
      <w:r>
        <w:rPr>
          <w:caps w:val="false"/>
          <w:smallCaps w:val="false"/>
        </w:rPr>
        <w:t> </w:t>
      </w:r>
    </w:p>
    <w:p>
      <w:pPr>
        <w:pStyle w:val="TextBody"/>
        <w:bidi w:val="0"/>
        <w:spacing w:before="0" w:after="0"/>
        <w:ind w:left="720" w:right="720" w:firstLine="4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principal balance of the Pre-Paid Advance was $</w:t>
      </w:r>
      <w:bookmarkStart w:id="1048" w:name="xdx_904_ecustom--PrePaidAdvanceRemaining"/>
      <w:bookmarkEnd w:id="1048"/>
      <w:r>
        <w:rPr>
          <w:rFonts w:ascii="Times New Roman;Times;Serif" w:hAnsi="Times New Roman;Times;Serif"/>
          <w:b w:val="false"/>
          <w:i w:val="false"/>
          <w:caps w:val="false"/>
          <w:smallCaps w:val="false"/>
          <w:sz w:val="20"/>
        </w:rPr>
        <w:t>4.5 million. The Pre-Paid Advance had a fair value of $</w:t>
      </w:r>
      <w:bookmarkStart w:id="1049" w:name="xdx_90E_eus-gaap--DebtInstrumentFairValu"/>
      <w:bookmarkEnd w:id="1049"/>
      <w:r>
        <w:rPr>
          <w:rFonts w:ascii="Times New Roman;Times;Serif" w:hAnsi="Times New Roman;Times;Serif"/>
          <w:b w:val="false"/>
          <w:i w:val="false"/>
          <w:caps w:val="false"/>
          <w:smallCaps w:val="false"/>
          <w:sz w:val="20"/>
        </w:rPr>
        <w:t>4.1 million as of that date and is classified as a current obligation in the accompanying consolidated balance sheets.</w:t>
      </w:r>
    </w:p>
    <w:p>
      <w:pPr>
        <w:pStyle w:val="TextBody"/>
        <w:bidi w:val="0"/>
        <w:spacing w:before="0" w:after="0"/>
        <w:ind w:left="720" w:right="720" w:hanging="0"/>
        <w:jc w:val="both"/>
        <w:rPr>
          <w:caps w:val="false"/>
          <w:smallCaps w:val="false"/>
        </w:rPr>
      </w:pPr>
      <w:bookmarkStart w:id="1050" w:name="xdx_81D_zi3X3rsOoYOi"/>
      <w:bookmarkEnd w:id="1050"/>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1051" w:name="xdx_80F_eus-gaap--StockholdersEquityNote"/>
      <w:bookmarkEnd w:id="1051"/>
      <w:r>
        <w:rPr>
          <w:rFonts w:ascii="Times New Roman;Times;Serif" w:hAnsi="Times New Roman;Times;Serif"/>
          <w:b/>
          <w:i w:val="false"/>
          <w:caps w:val="false"/>
          <w:smallCaps w:val="false"/>
          <w:sz w:val="20"/>
        </w:rPr>
        <w:t xml:space="preserve">8. </w:t>
      </w:r>
      <w:bookmarkStart w:id="1052" w:name="xdx_826_z5pFlTHOlWe2"/>
      <w:bookmarkEnd w:id="1052"/>
      <w:r>
        <w:rPr>
          <w:rFonts w:ascii="Times New Roman;Times;Serif" w:hAnsi="Times New Roman;Times;Serif"/>
          <w:b/>
          <w:i w:val="false"/>
          <w:caps w:val="false"/>
          <w:smallCaps w:val="false"/>
          <w:sz w:val="20"/>
        </w:rPr>
        <w:t>Stockholders’ Equity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securities of Delaware corporation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1053" w:name="xdx_90F_eus-gaap--PreferredStockSharesAu"/>
      <w:bookmarkEnd w:id="1053"/>
      <w:r>
        <w:rPr>
          <w:rFonts w:ascii="Times New Roman;Times;Serif" w:hAnsi="Times New Roman;Times;Serif"/>
          <w:b w:val="false"/>
          <w:i w:val="false"/>
          <w:caps w:val="false"/>
          <w:smallCaps w:val="false"/>
          <w:sz w:val="20"/>
        </w:rPr>
        <w:t>200,000,000 shares of preferred stock, par value $</w:t>
      </w:r>
      <w:bookmarkStart w:id="1054" w:name="xdx_90E_eus-gaap--PreferredStockParOrSta"/>
      <w:bookmarkEnd w:id="1054"/>
      <w:r>
        <w:rPr>
          <w:rFonts w:ascii="Times New Roman;Times;Serif" w:hAnsi="Times New Roman;Times;Serif"/>
          <w:b w:val="false"/>
          <w:i w:val="false"/>
          <w:caps w:val="false"/>
          <w:smallCaps w:val="false"/>
          <w:sz w:val="20"/>
        </w:rPr>
        <w:t xml:space="preserve">0.0001 per share, </w:t>
      </w:r>
      <w:bookmarkStart w:id="1055" w:name="xdx_90C_eus-gaap--CommonStockSharesAutho"/>
      <w:bookmarkEnd w:id="1055"/>
      <w:r>
        <w:rPr>
          <w:rFonts w:ascii="Times New Roman;Times;Serif" w:hAnsi="Times New Roman;Times;Serif"/>
          <w:b w:val="false"/>
          <w:i w:val="false"/>
          <w:caps w:val="false"/>
          <w:smallCaps w:val="false"/>
          <w:sz w:val="20"/>
        </w:rPr>
        <w:t>350,000,000 shares of common stock, par value $</w:t>
      </w:r>
      <w:bookmarkStart w:id="1056" w:name="xdx_903_eus-gaap--CommonStockParOrStated"/>
      <w:bookmarkEnd w:id="1056"/>
      <w:r>
        <w:rPr>
          <w:rFonts w:ascii="Times New Roman;Times;Serif" w:hAnsi="Times New Roman;Times;Serif"/>
          <w:b w:val="false"/>
          <w:i w:val="false"/>
          <w:caps w:val="false"/>
          <w:smallCaps w:val="false"/>
          <w:sz w:val="20"/>
        </w:rPr>
        <w:t xml:space="preserve">0.0001 per share, and </w:t>
      </w:r>
      <w:bookmarkStart w:id="1057" w:name="xdx_900_eus-gaap--CommonStockSharesAutho"/>
      <w:bookmarkEnd w:id="1057"/>
      <w:r>
        <w:rPr>
          <w:rFonts w:ascii="Times New Roman;Times;Serif" w:hAnsi="Times New Roman;Times;Serif"/>
          <w:b w:val="false"/>
          <w:i w:val="false"/>
          <w:caps w:val="false"/>
          <w:smallCaps w:val="false"/>
          <w:sz w:val="20"/>
        </w:rPr>
        <w:t>15,368,569 shares of Class B common stock, par value $</w:t>
      </w:r>
      <w:bookmarkStart w:id="1058" w:name="xdx_902_eus-gaap--CommonStockParOrStated"/>
      <w:bookmarkEnd w:id="1058"/>
      <w:r>
        <w:rPr>
          <w:rFonts w:ascii="Times New Roman;Times;Serif" w:hAnsi="Times New Roman;Times;Serif"/>
          <w:b w:val="false"/>
          <w:i w:val="false"/>
          <w:caps w:val="false"/>
          <w:smallCaps w:val="false"/>
          <w:sz w:val="20"/>
        </w:rPr>
        <w:t>0.0001 per share.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bookmarkStart w:id="1059" w:name="xdx_90D_eus-gaap--ConversionOfStockDescr"/>
      <w:bookmarkEnd w:id="1059"/>
      <w:r>
        <w:rPr>
          <w:rFonts w:ascii="Times New Roman;Times;Serif" w:hAnsi="Times New Roman;Times;Serif"/>
          <w:b w:val="false"/>
          <w:i w:val="false"/>
          <w:caps w:val="false"/>
          <w:smallCaps w:val="false"/>
          <w:sz w:val="20"/>
        </w:rPr>
        <w:t xml:space="preserve">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w:t>
      </w:r>
      <w:bookmarkStart w:id="1060" w:name="xdx_90D_ecustom--PeriodRelatedToChanging"/>
      <w:bookmarkEnd w:id="1060"/>
      <w:r>
        <w:rPr>
          <w:rFonts w:ascii="Times New Roman;Times;Serif" w:hAnsi="Times New Roman;Times;Serif"/>
          <w:b w:val="false"/>
          <w:i w:val="false"/>
          <w:caps w:val="false"/>
          <w:smallCaps w:val="false"/>
          <w:sz w:val="20"/>
        </w:rPr>
        <w:t>61 days’ notice to the Company.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provided in the Company’s amended and restated certificate of incorporation or as required by applicable law, on any matter that is submitted to a vote by the Company’s stockholders, holders of the Company’s common stock are entitled to </w:t>
      </w:r>
      <w:bookmarkStart w:id="1061" w:name="xdx_90A_eus-gaap--CommonStockVotingRight"/>
      <w:bookmarkEnd w:id="1061"/>
      <w:r>
        <w:rPr>
          <w:rFonts w:ascii="Times New Roman;Times;Serif" w:hAnsi="Times New Roman;Times;Serif"/>
          <w:b w:val="false"/>
          <w:i w:val="false"/>
          <w:caps w:val="false"/>
          <w:smallCaps w:val="false"/>
          <w:sz w:val="20"/>
        </w:rPr>
        <w:t>one vote per share of common stock, and holders of the Company’s Class B common stock are not entitled to any votes per share of Class B common stock, including for the election of directors.</w:t>
      </w:r>
    </w:p>
    <w:p>
      <w:pPr>
        <w:pStyle w:val="TextBody"/>
        <w:bidi w:val="0"/>
        <w:spacing w:before="0" w:after="0"/>
        <w:ind w:left="720" w:right="720" w:firstLine="440"/>
        <w:jc w:val="both"/>
        <w:rPr>
          <w:caps w:val="false"/>
          <w:smallCaps w:val="false"/>
        </w:rPr>
      </w:pPr>
      <w:bookmarkStart w:id="1062" w:name="xdx_230_zOM9kxh3mfYd"/>
      <w:bookmarkEnd w:id="1062"/>
      <w:r>
        <w:rPr>
          <w:caps w:val="false"/>
          <w:smallCaps w:val="false"/>
        </w:rPr>
        <w:t> </w:t>
      </w:r>
    </w:p>
    <w:p>
      <w:pPr>
        <w:pStyle w:val="TextBody"/>
        <w:bidi w:val="0"/>
        <w:spacing w:before="0" w:after="0"/>
        <w:ind w:left="720" w:right="720" w:firstLine="44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November 2025 Standby Equity Purchase Agreement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in connection with the entry into the PPAs (as defined in Note 1), the Company entered into a Standby Equity Purchase Agreement (the “SEPA”) with Yorkville pursuant to which the Company has the right to sell to Yorkville up to $</w:t>
      </w:r>
      <w:bookmarkStart w:id="1063" w:name="xdx_905_eus-gaap--CommonStockValue_iI_pn"/>
      <w:bookmarkEnd w:id="1063"/>
      <w:r>
        <w:rPr>
          <w:rFonts w:ascii="Times New Roman;Times;Serif" w:hAnsi="Times New Roman;Times;Serif"/>
          <w:b w:val="false"/>
          <w:i w:val="false"/>
          <w:caps w:val="false"/>
          <w:smallCaps w:val="false"/>
          <w:sz w:val="20"/>
        </w:rPr>
        <w:t>15.0 million of shares of common stock (the “Commitment Amount”, and such shares, the “SEPA Shares”),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 “SEPA Advance”) the Company requests from Yorkville may be for a number of SEPA Shares up to </w:t>
      </w:r>
      <w:bookmarkStart w:id="1064" w:name="xdx_90D_ecustom--PercentageOfAverageDail"/>
      <w:bookmarkEnd w:id="1064"/>
      <w:r>
        <w:rPr>
          <w:rFonts w:ascii="Times New Roman;Times;Serif" w:hAnsi="Times New Roman;Times;Serif"/>
          <w:b w:val="false"/>
          <w:i w:val="false"/>
          <w:caps w:val="false"/>
          <w:smallCaps w:val="false"/>
          <w:sz w:val="20"/>
        </w:rPr>
        <w:t xml:space="preserve">100% of the average daily trading volume of the Company’s common stock on The Nasdaq Capital Market during the five trading days immediately prior to the date of the Company’s request. The SEPA Shares delivered by the Company will be purchased by Yorkville at a price equal to </w:t>
      </w:r>
      <w:bookmarkStart w:id="1065" w:name="xdx_907_eus-gaap--SharebasedCompensation"/>
      <w:bookmarkEnd w:id="1065"/>
      <w:r>
        <w:rPr>
          <w:rFonts w:ascii="Times New Roman;Times;Serif" w:hAnsi="Times New Roman;Times;Serif"/>
          <w:b w:val="false"/>
          <w:i w:val="false"/>
          <w:caps w:val="false"/>
          <w:smallCaps w:val="false"/>
          <w:sz w:val="20"/>
        </w:rPr>
        <w:t>97% of the lowest daily VWAP of the Company’s common stock during the three trading days prior to the request, subject to a minimum price that may be specified in the Company’s request.</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request a SEPA Advance until all amounts outstanding under the Pre-Paid Advance (as defined in Note 1) have been repaid in full, unless an Amortization Event (as defined in Note 7) has occurred and is continuing, provided that all proceeds from any such SEPA Advance are used to repay the obligations outstanding under the Pre-Paid Advance.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under the SEPA is subject to further limitations and conditions, including that the shares of common stock beneficially owned by each Investor and its affiliates at any one time will not exceed </w:t>
      </w:r>
      <w:bookmarkStart w:id="1066" w:name="xdx_90B_ecustom--PercentageOfOutstanding"/>
      <w:bookmarkEnd w:id="1066"/>
      <w:r>
        <w:rPr>
          <w:rFonts w:ascii="Times New Roman;Times;Serif" w:hAnsi="Times New Roman;Times;Serif"/>
          <w:b w:val="false"/>
          <w:i w:val="false"/>
          <w:caps w:val="false"/>
          <w:smallCaps w:val="false"/>
          <w:sz w:val="20"/>
        </w:rPr>
        <w:t xml:space="preserve">4.99% of the then-outstanding shares of the Company’s common stock. Pursuant to the rules of The Nasdaq Capital Market, the total aggregate number of shares issuable under the terms of the PPAs (as defined in Note 7) and the SEPA was initially limited to a number equivalent to </w:t>
      </w:r>
      <w:bookmarkStart w:id="1067" w:name="xdx_903_ecustom--PercentageOfOutstanding"/>
      <w:bookmarkEnd w:id="1067"/>
      <w:r>
        <w:rPr>
          <w:rFonts w:ascii="Times New Roman;Times;Serif" w:hAnsi="Times New Roman;Times;Serif"/>
          <w:b w:val="false"/>
          <w:i w:val="false"/>
          <w:caps w:val="false"/>
          <w:smallCaps w:val="false"/>
          <w:sz w:val="20"/>
        </w:rPr>
        <w:t>19.99% of the outstanding shares of the common stock as of November 17, 2025 (the “Exchange Cap”). On December 30, 2025, the Company’s stockholders approved the issuance of shares under the PPAs and the SEPA in excess of the Exchange Cap.</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for Yorkville’s commitment to purchase SEPA Shares, the Company paid Yorkville a cash structuring fee and issued </w:t>
      </w:r>
      <w:bookmarkStart w:id="1068" w:name="xdx_909_eus-gaap--CommonStockSharesIssue"/>
      <w:bookmarkEnd w:id="1068"/>
      <w:r>
        <w:rPr>
          <w:rFonts w:ascii="Times New Roman;Times;Serif" w:hAnsi="Times New Roman;Times;Serif"/>
          <w:b w:val="false"/>
          <w:i w:val="false"/>
          <w:caps w:val="false"/>
          <w:smallCaps w:val="false"/>
          <w:sz w:val="20"/>
        </w:rPr>
        <w:t>4,868 shares of common stock to Yorkville. Such fees, totaling approximately $</w:t>
      </w:r>
      <w:bookmarkStart w:id="1069" w:name="xdx_909_ecustom--StandbyEquityPurchaseAg"/>
      <w:bookmarkEnd w:id="1069"/>
      <w:r>
        <w:rPr>
          <w:rFonts w:ascii="Times New Roman;Times;Serif" w:hAnsi="Times New Roman;Times;Serif"/>
          <w:b w:val="false"/>
          <w:i w:val="false"/>
          <w:caps w:val="false"/>
          <w:smallCaps w:val="false"/>
          <w:sz w:val="20"/>
        </w:rPr>
        <w:t>0.3 million, were expensed as incurred and are presented as a component of other income (expense) on the consolidated statements of operations and comprehensive loss. During the year ended December 31, 2025, no SEPA Shares were sold under the SEPA.</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2024 Offering and Warrant Issuance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Company closed on an offering (the “December 2024 Offering”) of </w:t>
      </w:r>
      <w:bookmarkStart w:id="1070" w:name="xdx_90E_eus-gaap--CommonStockSharesIssue"/>
      <w:bookmarkEnd w:id="1070"/>
      <w:r>
        <w:rPr>
          <w:rFonts w:ascii="Times New Roman;Times;Serif" w:hAnsi="Times New Roman;Times;Serif"/>
          <w:b w:val="false"/>
          <w:i w:val="false"/>
          <w:caps w:val="false"/>
          <w:smallCaps w:val="false"/>
          <w:sz w:val="20"/>
        </w:rPr>
        <w:t>193,581 shares of common stock at a price of $</w:t>
      </w:r>
      <w:bookmarkStart w:id="1071" w:name="xdx_905_eus-gaap--SaleOfStockPricePerSha"/>
      <w:bookmarkEnd w:id="1071"/>
      <w:r>
        <w:rPr>
          <w:rFonts w:ascii="Times New Roman;Times;Serif" w:hAnsi="Times New Roman;Times;Serif"/>
          <w:b w:val="false"/>
          <w:i w:val="false"/>
          <w:caps w:val="false"/>
          <w:smallCaps w:val="false"/>
          <w:sz w:val="20"/>
        </w:rPr>
        <w:t xml:space="preserve">47.60 per share with accompanying warrants to purchase up to </w:t>
      </w:r>
      <w:bookmarkStart w:id="1072" w:name="xdx_90D_eus-gaap--ClassOfWarrantOrRightN"/>
      <w:bookmarkEnd w:id="1072"/>
      <w:r>
        <w:rPr>
          <w:rFonts w:ascii="Times New Roman;Times;Serif" w:hAnsi="Times New Roman;Times;Serif"/>
          <w:b w:val="false"/>
          <w:i w:val="false"/>
          <w:caps w:val="false"/>
          <w:smallCaps w:val="false"/>
          <w:sz w:val="20"/>
        </w:rPr>
        <w:t>193,581 shares of common stock, which have an exercise price of $</w:t>
      </w:r>
      <w:bookmarkStart w:id="1073" w:name="xdx_90F_eus-gaap--ClassOfWarrantOrRightE"/>
      <w:bookmarkEnd w:id="1073"/>
      <w:r>
        <w:rPr>
          <w:rFonts w:ascii="Times New Roman;Times;Serif" w:hAnsi="Times New Roman;Times;Serif"/>
          <w:b w:val="false"/>
          <w:i w:val="false"/>
          <w:caps w:val="false"/>
          <w:smallCaps w:val="false"/>
          <w:sz w:val="20"/>
        </w:rPr>
        <w:t>59.50 per share (the “Warrants”). The gross proceeds from the December 2024 Offering were approximately $</w:t>
      </w:r>
      <w:bookmarkStart w:id="1074" w:name="xdx_90B_ecustom--AggregateGrossProceeds_"/>
      <w:bookmarkEnd w:id="1074"/>
      <w:r>
        <w:rPr>
          <w:rFonts w:ascii="Times New Roman;Times;Serif" w:hAnsi="Times New Roman;Times;Serif"/>
          <w:b w:val="false"/>
          <w:i w:val="false"/>
          <w:caps w:val="false"/>
          <w:smallCaps w:val="false"/>
          <w:sz w:val="20"/>
        </w:rPr>
        <w:t>9.2 million, before deducting $</w:t>
      </w:r>
      <w:bookmarkStart w:id="1075" w:name="xdx_908_ecustom--PlacementAgentFees_iI_p"/>
      <w:bookmarkEnd w:id="1075"/>
      <w:r>
        <w:rPr>
          <w:rFonts w:ascii="Times New Roman;Times;Serif" w:hAnsi="Times New Roman;Times;Serif"/>
          <w:b w:val="false"/>
          <w:i w:val="false"/>
          <w:caps w:val="false"/>
          <w:smallCaps w:val="false"/>
          <w:sz w:val="20"/>
        </w:rPr>
        <w:t xml:space="preserve">0.7 million of placement agent fees and other offering expenses payable by the Company. As discussed in Note 4, the Company recorded a liability at fair value related to the issuance of the Warrants, with changes in fair value each reporting period recognized as a component of other income (loss) in the Company’s consolidated statements of operations and comprehensive loss. The accompanying Warrants became exercisable on June 20, 2025 and will expire five years from the date of initial exercisability. There were </w:t>
      </w:r>
      <w:bookmarkStart w:id="1076" w:name="xdx_90C_ecustom--ClassOfWarrantOrRightOu"/>
      <w:bookmarkEnd w:id="1076"/>
      <w:r>
        <w:rPr>
          <w:rFonts w:ascii="Times New Roman;Times;Serif" w:hAnsi="Times New Roman;Times;Serif"/>
          <w:b w:val="false"/>
          <w:i w:val="false"/>
          <w:caps w:val="false"/>
          <w:smallCaps w:val="false"/>
          <w:sz w:val="20"/>
        </w:rPr>
        <w:t>193,581 Warrants outstanding and exercisable at December 31, 2025.</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left"/>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Equity Incentive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2025 and 2024, the total number of common shares authorized for issuance under the 2020 Plan was </w:t>
      </w:r>
      <w:bookmarkStart w:id="1077" w:name="xdx_904_ecustom--CommonSharesAuthorizedF"/>
      <w:bookmarkEnd w:id="1077"/>
      <w:r>
        <w:rPr>
          <w:rFonts w:ascii="Times New Roman;Times;Serif" w:hAnsi="Times New Roman;Times;Serif"/>
          <w:b w:val="false"/>
          <w:i w:val="false"/>
          <w:caps w:val="false"/>
          <w:smallCaps w:val="false"/>
          <w:sz w:val="20"/>
        </w:rPr>
        <w:t xml:space="preserve">245,477 and </w:t>
      </w:r>
      <w:bookmarkStart w:id="1078" w:name="xdx_907_ecustom--CommonSharesAuthorizedF"/>
      <w:bookmarkEnd w:id="1078"/>
      <w:r>
        <w:rPr>
          <w:rFonts w:ascii="Times New Roman;Times;Serif" w:hAnsi="Times New Roman;Times;Serif"/>
          <w:b w:val="false"/>
          <w:i w:val="false"/>
          <w:caps w:val="false"/>
          <w:smallCaps w:val="false"/>
          <w:sz w:val="20"/>
        </w:rPr>
        <w:t xml:space="preserve">214,708,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w:t>
      </w:r>
      <w:bookmarkStart w:id="1079" w:name="xdx_904_eus-gaap--ShareBasedCompensation"/>
      <w:bookmarkEnd w:id="1079"/>
      <w:r>
        <w:rPr>
          <w:rFonts w:ascii="Times New Roman;Times;Serif" w:hAnsi="Times New Roman;Times;Serif"/>
          <w:b w:val="false"/>
          <w:i w:val="false"/>
          <w:caps w:val="false"/>
          <w:smallCaps w:val="false"/>
          <w:sz w:val="20"/>
        </w:rPr>
        <w:t xml:space="preserve">ten years. Awards under the 2020 Plan generally vest at </w:t>
      </w:r>
      <w:bookmarkStart w:id="1080" w:name="xdx_902_eus-gaap--SharebasedCompensation"/>
      <w:bookmarkEnd w:id="1080"/>
      <w:r>
        <w:rPr>
          <w:rFonts w:ascii="Times New Roman;Times;Serif" w:hAnsi="Times New Roman;Times;Serif"/>
          <w:b w:val="false"/>
          <w:i w:val="false"/>
          <w:caps w:val="false"/>
          <w:smallCaps w:val="false"/>
          <w:sz w:val="20"/>
        </w:rPr>
        <w:t xml:space="preserve">25% one year from the vesting commencement date and ratably each month thereafter for a period of </w:t>
      </w:r>
      <w:bookmarkStart w:id="1081" w:name="xdx_903_eus-gaap--ShareBasedCompensation"/>
      <w:bookmarkEnd w:id="1081"/>
      <w:r>
        <w:rPr>
          <w:rFonts w:ascii="Times New Roman;Times;Serif" w:hAnsi="Times New Roman;Times;Serif"/>
          <w:b w:val="false"/>
          <w:i w:val="false"/>
          <w:caps w:val="false"/>
          <w:smallCaps w:val="false"/>
          <w:sz w:val="20"/>
        </w:rPr>
        <w:t>36 months, subject to continuous service.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bookmarkStart w:id="1082" w:name="xdx_898_eus-gaap--ScheduleOfEmployeeServ"/>
      <w:bookmarkEnd w:id="1082"/>
      <w:r>
        <w:rPr>
          <w:rFonts w:ascii="Times New Roman;Times;Serif" w:hAnsi="Times New Roman;Times;Serif"/>
          <w:b w:val="false"/>
          <w:i w:val="false"/>
          <w:caps w:val="false"/>
          <w:smallCaps w:val="false"/>
          <w:sz w:val="20"/>
        </w:rPr>
        <w:t>Stock-based compensation expense recognized for all equity awards under the 2020 Plan has been reported in the consolidated statements of operations and comprehensive loss as follows (in thousands):</w:t>
      </w:r>
    </w:p>
    <w:p>
      <w:pPr>
        <w:pStyle w:val="TextBody"/>
        <w:bidi w:val="0"/>
        <w:spacing w:before="0" w:after="0"/>
        <w:ind w:left="720" w:right="720" w:firstLine="440"/>
        <w:jc w:val="both"/>
        <w:rPr>
          <w:caps w:val="false"/>
          <w:smallCaps w:val="false"/>
        </w:rPr>
      </w:pPr>
      <w:r>
        <w:rPr>
          <w:caps w:val="false"/>
          <w:smallCaps w:val="false"/>
        </w:rPr>
        <w:t> </w:t>
      </w:r>
    </w:p>
    <w:tbl>
      <w:tblPr>
        <w:tblW w:w="6021" w:type="dxa"/>
        <w:jc w:val="left"/>
        <w:tblInd w:w="720" w:type="dxa"/>
        <w:tblLayout w:type="fixed"/>
        <w:tblCellMar>
          <w:top w:w="0" w:type="dxa"/>
          <w:left w:w="0" w:type="dxa"/>
          <w:bottom w:w="0" w:type="dxa"/>
          <w:right w:w="0" w:type="dxa"/>
        </w:tblCellMar>
      </w:tblPr>
      <w:tblGrid>
        <w:gridCol w:w="3950"/>
        <w:gridCol w:w="60"/>
        <w:gridCol w:w="178"/>
        <w:gridCol w:w="714"/>
        <w:gridCol w:w="76"/>
        <w:gridCol w:w="76"/>
        <w:gridCol w:w="178"/>
        <w:gridCol w:w="714"/>
        <w:gridCol w:w="75"/>
      </w:tblGrid>
      <w:tr>
        <w:trPr/>
        <w:tc>
          <w:tcPr>
            <w:tcW w:w="3950" w:type="dxa"/>
            <w:tcBorders/>
            <w:vAlign w:val="center"/>
          </w:tcPr>
          <w:p>
            <w:pPr>
              <w:pStyle w:val="TableContents"/>
              <w:bidi w:val="0"/>
              <w:spacing w:before="0" w:after="283"/>
              <w:jc w:val="center"/>
              <w:rPr/>
            </w:pPr>
            <w:r>
              <w:rPr/>
              <w:t> </w:t>
            </w:r>
            <w:bookmarkStart w:id="1083" w:name="xdx_8B8_zK9KjHQNh9cg"/>
            <w:bookmarkEnd w:id="1083"/>
            <w:r>
              <w:rPr>
                <w:rFonts w:ascii="Times New Roman;Times;Serif" w:hAnsi="Times New Roman;Times;Serif"/>
                <w:sz w:val="20"/>
              </w:rPr>
              <w:t>Schedule of stock-based compensation expense</w:t>
            </w:r>
          </w:p>
        </w:tc>
        <w:tc>
          <w:tcPr>
            <w:tcW w:w="60" w:type="dxa"/>
            <w:tcBorders/>
            <w:vAlign w:val="center"/>
          </w:tcPr>
          <w:p>
            <w:pPr>
              <w:pStyle w:val="TableContents"/>
              <w:bidi w:val="0"/>
              <w:spacing w:before="0" w:after="283"/>
              <w:jc w:val="left"/>
              <w:rPr/>
            </w:pPr>
            <w:r>
              <w:rPr/>
              <w:t> </w:t>
            </w:r>
          </w:p>
        </w:tc>
        <w:tc>
          <w:tcPr>
            <w:tcW w:w="1936"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7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bookmarkStart w:id="1084" w:name="xdx_980_eus-gaap--ShareBasedCompensation"/>
            <w:bookmarkEnd w:id="1084"/>
          </w:p>
        </w:tc>
        <w:tc>
          <w:tcPr>
            <w:tcW w:w="714" w:type="dxa"/>
            <w:tcBorders/>
            <w:shd w:fill="CCEEFF" w:val="clear"/>
            <w:vAlign w:val="center"/>
          </w:tcPr>
          <w:p>
            <w:pPr>
              <w:pStyle w:val="TableContents"/>
              <w:bidi w:val="0"/>
              <w:spacing w:before="0" w:after="283"/>
              <w:jc w:val="right"/>
              <w:rPr/>
            </w:pPr>
            <w:r>
              <w:rPr/>
              <w:t>2,199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bookmarkStart w:id="1085" w:name="xdx_983_eus-gaap--ShareBasedCompensation"/>
            <w:bookmarkEnd w:id="1085"/>
          </w:p>
        </w:tc>
        <w:tc>
          <w:tcPr>
            <w:tcW w:w="714" w:type="dxa"/>
            <w:tcBorders/>
            <w:shd w:fill="CCEEFF" w:val="clear"/>
            <w:vAlign w:val="center"/>
          </w:tcPr>
          <w:p>
            <w:pPr>
              <w:pStyle w:val="TableContents"/>
              <w:bidi w:val="0"/>
              <w:spacing w:before="0" w:after="283"/>
              <w:jc w:val="right"/>
              <w:rPr/>
            </w:pPr>
            <w:r>
              <w:rPr/>
              <w:t>4,238</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6" w:name="xdx_985_eus-gaap--ShareBasedCompensation"/>
            <w:bookmarkEnd w:id="1086"/>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3,235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87" w:name="xdx_988_eus-gaap--ShareBasedCompensation"/>
            <w:bookmarkEnd w:id="1087"/>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4,683</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88" w:name="xdx_98A_eus-gaap--ShareBasedCompensation"/>
            <w:bookmarkEnd w:id="1088"/>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5,434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089" w:name="xdx_98A_eus-gaap--ShareBasedCompensation"/>
            <w:bookmarkEnd w:id="1089"/>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8,921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bookmarkStart w:id="1090" w:name="xdx_8A4_zdLUNY0TU3Nc"/>
      <w:bookmarkEnd w:id="1090"/>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left"/>
        <w:rPr>
          <w:rFonts w:ascii="Times New Roman;Times;Serif" w:hAnsi="Times New Roman;Times;Serif"/>
          <w:b w:val="false"/>
          <w:i w:val="false"/>
          <w:caps w:val="false"/>
          <w:smallCaps w:val="false"/>
          <w:sz w:val="20"/>
        </w:rPr>
      </w:pPr>
      <w:bookmarkStart w:id="1091" w:name="xdx_89D_eus-gaap--ScheduleOfShareBasedCo"/>
      <w:bookmarkEnd w:id="1091"/>
      <w:r>
        <w:rPr>
          <w:rFonts w:ascii="Times New Roman;Times;Serif" w:hAnsi="Times New Roman;Times;Serif"/>
          <w:b w:val="false"/>
          <w:i w:val="false"/>
          <w:caps w:val="false"/>
          <w:smallCaps w:val="false"/>
          <w:sz w:val="20"/>
        </w:rPr>
        <w:t>The following table summarizes RSU activity under the 2020 Plan for the year ended December 31, 2025:</w:t>
      </w:r>
    </w:p>
    <w:p>
      <w:pPr>
        <w:pStyle w:val="TextBody"/>
        <w:bidi w:val="0"/>
        <w:spacing w:before="0" w:after="0"/>
        <w:ind w:left="720" w:right="720" w:firstLine="446"/>
        <w:jc w:val="left"/>
        <w:rPr>
          <w:caps w:val="false"/>
          <w:smallCaps w:val="false"/>
        </w:rPr>
      </w:pPr>
      <w:r>
        <w:rPr>
          <w:caps w:val="false"/>
          <w:smallCaps w:val="false"/>
        </w:rPr>
        <w:t> </w:t>
      </w:r>
    </w:p>
    <w:tbl>
      <w:tblPr>
        <w:tblW w:w="4879" w:type="dxa"/>
        <w:jc w:val="left"/>
        <w:tblInd w:w="720" w:type="dxa"/>
        <w:tblLayout w:type="fixed"/>
        <w:tblCellMar>
          <w:top w:w="0" w:type="dxa"/>
          <w:left w:w="0" w:type="dxa"/>
          <w:bottom w:w="0" w:type="dxa"/>
          <w:right w:w="0" w:type="dxa"/>
        </w:tblCellMar>
      </w:tblPr>
      <w:tblGrid>
        <w:gridCol w:w="2855"/>
        <w:gridCol w:w="60"/>
        <w:gridCol w:w="60"/>
        <w:gridCol w:w="60"/>
        <w:gridCol w:w="755"/>
        <w:gridCol w:w="95"/>
        <w:gridCol w:w="60"/>
        <w:gridCol w:w="146"/>
        <w:gridCol w:w="713"/>
        <w:gridCol w:w="75"/>
      </w:tblGrid>
      <w:tr>
        <w:trPr/>
        <w:tc>
          <w:tcPr>
            <w:tcW w:w="2855" w:type="dxa"/>
            <w:tcBorders/>
            <w:vAlign w:val="center"/>
          </w:tcPr>
          <w:p>
            <w:pPr>
              <w:pStyle w:val="TableContents"/>
              <w:bidi w:val="0"/>
              <w:spacing w:before="0" w:after="283"/>
              <w:jc w:val="center"/>
              <w:rPr/>
            </w:pPr>
            <w:r>
              <w:rPr/>
              <w:t> </w:t>
            </w:r>
            <w:bookmarkStart w:id="1092" w:name="xdx_8B5_zAJ6hY3TrpZh"/>
            <w:bookmarkEnd w:id="1092"/>
            <w:r>
              <w:rPr>
                <w:rFonts w:ascii="Times New Roman;Times;Serif" w:hAnsi="Times New Roman;Times;Serif"/>
                <w:sz w:val="20"/>
              </w:rPr>
              <w:t>Summary of restricted stock units</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Weighted -</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3" w:name="xdx_98E_eus-gaap--ShareBasedCompensation"/>
            <w:bookmarkEnd w:id="1093"/>
          </w:p>
        </w:tc>
        <w:tc>
          <w:tcPr>
            <w:tcW w:w="755" w:type="dxa"/>
            <w:tcBorders/>
            <w:shd w:fill="CCEEFF" w:val="clear"/>
            <w:vAlign w:val="center"/>
          </w:tcPr>
          <w:p>
            <w:pPr>
              <w:pStyle w:val="TableContents"/>
              <w:bidi w:val="0"/>
              <w:spacing w:before="0" w:after="283"/>
              <w:jc w:val="right"/>
              <w:rPr/>
            </w:pPr>
            <w:r>
              <w:rPr/>
              <w:t>31,060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1094" w:name="xdx_988_eus-gaap--ShareBasedCompensation"/>
            <w:bookmarkEnd w:id="1094"/>
          </w:p>
        </w:tc>
        <w:tc>
          <w:tcPr>
            <w:tcW w:w="713" w:type="dxa"/>
            <w:tcBorders/>
            <w:shd w:fill="CCEEFF" w:val="clear"/>
            <w:vAlign w:val="center"/>
          </w:tcPr>
          <w:p>
            <w:pPr>
              <w:pStyle w:val="TableContents"/>
              <w:bidi w:val="0"/>
              <w:spacing w:before="0" w:after="283"/>
              <w:jc w:val="right"/>
              <w:rPr/>
            </w:pPr>
            <w:r>
              <w:rPr/>
              <w:t>124.00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5" w:name="xdx_981_eus-gaap--ShareBasedCompensation"/>
            <w:bookmarkEnd w:id="1095"/>
          </w:p>
        </w:tc>
        <w:tc>
          <w:tcPr>
            <w:tcW w:w="755" w:type="dxa"/>
            <w:tcBorders/>
            <w:shd w:fill="FFFFFF" w:val="clear"/>
            <w:vAlign w:val="center"/>
          </w:tcPr>
          <w:p>
            <w:pPr>
              <w:pStyle w:val="TableContents"/>
              <w:bidi w:val="0"/>
              <w:spacing w:before="0" w:after="283"/>
              <w:jc w:val="right"/>
              <w:rPr/>
            </w:pPr>
            <w:r>
              <w:rPr/>
              <w:t>37,260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1096" w:name="xdx_98F_eus-gaap--ShareBasedCompensation"/>
            <w:bookmarkEnd w:id="1096"/>
          </w:p>
        </w:tc>
        <w:tc>
          <w:tcPr>
            <w:tcW w:w="713" w:type="dxa"/>
            <w:tcBorders/>
            <w:shd w:fill="FFFFFF" w:val="clear"/>
            <w:vAlign w:val="center"/>
          </w:tcPr>
          <w:p>
            <w:pPr>
              <w:pStyle w:val="TableContents"/>
              <w:bidi w:val="0"/>
              <w:spacing w:before="0" w:after="283"/>
              <w:jc w:val="right"/>
              <w:rPr/>
            </w:pPr>
            <w:r>
              <w:rPr/>
              <w:t>16.00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7" w:name="xdx_980_eus-gaap--ShareBasedCompensation"/>
            <w:bookmarkEnd w:id="1097"/>
          </w:p>
        </w:tc>
        <w:tc>
          <w:tcPr>
            <w:tcW w:w="755" w:type="dxa"/>
            <w:tcBorders/>
            <w:shd w:fill="CCEEFF" w:val="clear"/>
            <w:vAlign w:val="center"/>
          </w:tcPr>
          <w:p>
            <w:pPr>
              <w:pStyle w:val="TableContents"/>
              <w:bidi w:val="0"/>
              <w:spacing w:before="0" w:after="283"/>
              <w:jc w:val="right"/>
              <w:rPr/>
            </w:pPr>
            <w:r>
              <w:rPr/>
              <w:t>(14,565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1098" w:name="xdx_987_eus-gaap--ShareBasedCompensation"/>
            <w:bookmarkEnd w:id="1098"/>
          </w:p>
        </w:tc>
        <w:tc>
          <w:tcPr>
            <w:tcW w:w="713" w:type="dxa"/>
            <w:tcBorders/>
            <w:shd w:fill="CCEEFF" w:val="clear"/>
            <w:vAlign w:val="center"/>
          </w:tcPr>
          <w:p>
            <w:pPr>
              <w:pStyle w:val="TableContents"/>
              <w:bidi w:val="0"/>
              <w:spacing w:before="0" w:after="283"/>
              <w:jc w:val="right"/>
              <w:rPr/>
            </w:pPr>
            <w:r>
              <w:rPr/>
              <w:t>119.00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sz w:val="20"/>
              </w:rPr>
            </w:pPr>
            <w:r>
              <w:rPr>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99" w:name="xdx_987_eus-gaap--ShareBasedCompensation"/>
            <w:bookmarkEnd w:id="1099"/>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bookmarkStart w:id="1100" w:name="xdx_98F_eus-gaap--ShareBasedCompensation"/>
            <w:bookmarkEnd w:id="1100"/>
          </w:p>
        </w:tc>
        <w:tc>
          <w:tcPr>
            <w:tcW w:w="713" w:type="dxa"/>
            <w:tcBorders/>
            <w:shd w:fill="FFFFFF" w:val="clear"/>
            <w:vAlign w:val="center"/>
          </w:tcPr>
          <w:p>
            <w:pPr>
              <w:pStyle w:val="TableContents"/>
              <w:bidi w:val="0"/>
              <w:spacing w:before="0" w:after="283"/>
              <w:jc w:val="right"/>
              <w:rPr/>
            </w:pPr>
            <w:r>
              <w:rPr/>
              <w:t>54.50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sz w:val="20"/>
              </w:rPr>
            </w:pPr>
            <w:r>
              <w:rPr>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01" w:name="xdx_984_eus-gaap--ShareBasedCompensation"/>
            <w:bookmarkEnd w:id="1101"/>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48,678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bookmarkStart w:id="1102" w:name="xdx_98F_eus-gaap--ShareBasedCompensation"/>
            <w:bookmarkEnd w:id="1102"/>
          </w:p>
        </w:tc>
        <w:tc>
          <w:tcPr>
            <w:tcW w:w="713"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both"/>
        <w:rPr>
          <w:caps w:val="false"/>
          <w:smallCaps w:val="false"/>
        </w:rPr>
      </w:pPr>
      <w:bookmarkStart w:id="1103" w:name="xdx_8AC_zC5YIajG840f"/>
      <w:bookmarkEnd w:id="1103"/>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unrecognized stock-based compensation expense for RSUs was $</w:t>
      </w:r>
      <w:bookmarkStart w:id="1104" w:name="xdx_90B_eus-gaap--EmployeeServiceShareBa"/>
      <w:bookmarkEnd w:id="1104"/>
      <w:r>
        <w:rPr>
          <w:rFonts w:ascii="Times New Roman;Times;Serif" w:hAnsi="Times New Roman;Times;Serif"/>
          <w:b w:val="false"/>
          <w:i w:val="false"/>
          <w:caps w:val="false"/>
          <w:smallCaps w:val="false"/>
          <w:sz w:val="20"/>
        </w:rPr>
        <w:t xml:space="preserve">2.2 million, which is expected to be recognized over a remaining weighted-average period of approximately </w:t>
      </w:r>
      <w:bookmarkStart w:id="1105" w:name="xdx_904_eus-gaap--EmployeeServiceShareBa"/>
      <w:bookmarkEnd w:id="1105"/>
      <w:r>
        <w:rPr>
          <w:rFonts w:ascii="Times New Roman;Times;Serif" w:hAnsi="Times New Roman;Times;Serif"/>
          <w:b w:val="false"/>
          <w:i w:val="false"/>
          <w:caps w:val="false"/>
          <w:smallCaps w:val="false"/>
          <w:sz w:val="20"/>
        </w:rPr>
        <w:t>2.7 years.</w:t>
      </w:r>
    </w:p>
    <w:p>
      <w:pPr>
        <w:pStyle w:val="TextBody"/>
        <w:bidi w:val="0"/>
        <w:spacing w:before="0" w:after="0"/>
        <w:ind w:left="720" w:right="720" w:firstLine="446"/>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bookmarkStart w:id="1106" w:name="xdx_239_zbSjlldRZZC7"/>
      <w:bookmarkEnd w:id="1106"/>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107" w:name="xdx_89A_eus-gaap--ScheduleOfShareBasedCo"/>
      <w:bookmarkEnd w:id="1107"/>
      <w:r>
        <w:rPr>
          <w:rFonts w:ascii="Times New Roman;Times;Serif" w:hAnsi="Times New Roman;Times;Serif"/>
          <w:b w:val="false"/>
          <w:i w:val="false"/>
          <w:caps w:val="false"/>
          <w:smallCaps w:val="false"/>
          <w:sz w:val="20"/>
        </w:rPr>
        <w:t>The following table summarizes stock option activity under the 2020 Plan for the year ended December 31, 2025:</w:t>
      </w:r>
    </w:p>
    <w:p>
      <w:pPr>
        <w:pStyle w:val="TextBody"/>
        <w:bidi w:val="0"/>
        <w:spacing w:before="0" w:after="0"/>
        <w:ind w:left="720" w:right="720" w:firstLine="446"/>
        <w:jc w:val="both"/>
        <w:rPr>
          <w:caps w:val="false"/>
          <w:smallCaps w:val="false"/>
        </w:rPr>
      </w:pPr>
      <w:r>
        <w:rPr>
          <w:caps w:val="false"/>
          <w:smallCaps w:val="false"/>
        </w:rPr>
        <w:t> </w:t>
      </w:r>
    </w:p>
    <w:tbl>
      <w:tblPr>
        <w:tblW w:w="8187" w:type="dxa"/>
        <w:jc w:val="left"/>
        <w:tblInd w:w="720" w:type="dxa"/>
        <w:tblLayout w:type="fixed"/>
        <w:tblCellMar>
          <w:top w:w="0" w:type="dxa"/>
          <w:left w:w="0" w:type="dxa"/>
          <w:bottom w:w="0" w:type="dxa"/>
          <w:right w:w="0" w:type="dxa"/>
        </w:tblCellMar>
      </w:tblPr>
      <w:tblGrid>
        <w:gridCol w:w="4115"/>
        <w:gridCol w:w="60"/>
        <w:gridCol w:w="63"/>
        <w:gridCol w:w="736"/>
        <w:gridCol w:w="80"/>
        <w:gridCol w:w="60"/>
        <w:gridCol w:w="142"/>
        <w:gridCol w:w="672"/>
        <w:gridCol w:w="60"/>
        <w:gridCol w:w="60"/>
        <w:gridCol w:w="123"/>
        <w:gridCol w:w="782"/>
        <w:gridCol w:w="60"/>
        <w:gridCol w:w="60"/>
        <w:gridCol w:w="336"/>
        <w:gridCol w:w="703"/>
        <w:gridCol w:w="75"/>
      </w:tblGrid>
      <w:tr>
        <w:trPr/>
        <w:tc>
          <w:tcPr>
            <w:tcW w:w="4115" w:type="dxa"/>
            <w:tcBorders/>
            <w:shd w:fill="FFFFFF" w:val="clear"/>
            <w:vAlign w:val="center"/>
          </w:tcPr>
          <w:p>
            <w:pPr>
              <w:pStyle w:val="TableContents"/>
              <w:bidi w:val="0"/>
              <w:spacing w:before="0" w:after="283"/>
              <w:jc w:val="center"/>
              <w:rPr/>
            </w:pPr>
            <w:r>
              <w:rPr/>
              <w:t> </w:t>
            </w:r>
            <w:bookmarkStart w:id="1108" w:name="xdx_8B2_zfxUqR83N1l5"/>
            <w:bookmarkEnd w:id="1108"/>
            <w:r>
              <w:rPr>
                <w:rFonts w:ascii="Times New Roman;Times;Serif" w:hAnsi="Times New Roman;Times;Serif"/>
                <w:sz w:val="20"/>
              </w:rPr>
              <w:t>Summary of stock option activity</w:t>
            </w:r>
            <w:r>
              <w:rPr/>
              <w:t> </w:t>
            </w:r>
          </w:p>
        </w:tc>
        <w:tc>
          <w:tcPr>
            <w:tcW w:w="60" w:type="dxa"/>
            <w:tcBorders/>
            <w:shd w:fill="FFFFFF" w:val="clear"/>
            <w:vAlign w:val="center"/>
          </w:tcPr>
          <w:p>
            <w:pPr>
              <w:pStyle w:val="TableContents"/>
              <w:bidi w:val="0"/>
              <w:spacing w:before="0" w:after="283"/>
              <w:jc w:val="left"/>
              <w:rPr/>
            </w:pPr>
            <w:r>
              <w:rPr/>
              <w:t> </w:t>
            </w:r>
          </w:p>
        </w:tc>
        <w:tc>
          <w:tcPr>
            <w:tcW w:w="799" w:type="dxa"/>
            <w:gridSpan w:val="2"/>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b/>
                <w:sz w:val="16"/>
              </w:rPr>
              <w:t>Number of</w:t>
            </w:r>
            <w:r>
              <w:rPr>
                <w:sz w:val="16"/>
              </w:rPr>
              <w:br/>
            </w:r>
            <w:r>
              <w:rPr>
                <w:b/>
                <w:sz w:val="16"/>
              </w:rPr>
              <w:t>Options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4" w:type="dxa"/>
            <w:gridSpan w:val="2"/>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b/>
                <w:sz w:val="16"/>
              </w:rPr>
              <w:t>Weighted -</w:t>
            </w:r>
            <w:r>
              <w:rPr>
                <w:sz w:val="16"/>
              </w:rPr>
              <w:br/>
            </w:r>
            <w:r>
              <w:rPr>
                <w:b/>
                <w:sz w:val="16"/>
              </w:rPr>
              <w:t>Average</w:t>
            </w:r>
            <w:r>
              <w:rPr>
                <w:sz w:val="16"/>
              </w:rPr>
              <w:br/>
            </w:r>
            <w:r>
              <w:rPr>
                <w:b/>
                <w:sz w:val="16"/>
              </w:rPr>
              <w:t>Exercise</w:t>
            </w:r>
            <w:r>
              <w:rPr>
                <w:sz w:val="16"/>
              </w:rPr>
              <w:br/>
            </w:r>
            <w:r>
              <w:rPr>
                <w:b/>
                <w:sz w:val="16"/>
              </w:rPr>
              <w:t>Price Per</w:t>
            </w:r>
            <w:r>
              <w:rPr>
                <w:sz w:val="16"/>
              </w:rPr>
              <w:br/>
            </w:r>
            <w:r>
              <w:rPr>
                <w:b/>
                <w:sz w:val="16"/>
              </w:rPr>
              <w:t>Share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b/>
                <w:sz w:val="16"/>
              </w:rPr>
              <w:t>Weighted -</w:t>
            </w:r>
            <w:r>
              <w:rPr>
                <w:sz w:val="16"/>
              </w:rPr>
              <w:br/>
            </w:r>
            <w:r>
              <w:rPr>
                <w:b/>
                <w:sz w:val="16"/>
              </w:rPr>
              <w:t>Average</w:t>
            </w:r>
            <w:r>
              <w:rPr>
                <w:sz w:val="16"/>
              </w:rPr>
              <w:br/>
            </w:r>
            <w:r>
              <w:rPr>
                <w:b/>
                <w:sz w:val="16"/>
              </w:rPr>
              <w:t>Remaining</w:t>
            </w:r>
            <w:r>
              <w:rPr>
                <w:sz w:val="16"/>
              </w:rPr>
              <w:br/>
            </w:r>
            <w:r>
              <w:rPr>
                <w:b/>
                <w:sz w:val="16"/>
              </w:rPr>
              <w:t>Contractual</w:t>
            </w:r>
            <w:r>
              <w:rPr>
                <w:sz w:val="16"/>
              </w:rPr>
              <w:br/>
            </w:r>
            <w:r>
              <w:rPr>
                <w:b/>
                <w:sz w:val="16"/>
              </w:rPr>
              <w:t>Term</w:t>
            </w:r>
            <w:r>
              <w:rPr>
                <w:sz w:val="16"/>
              </w:rPr>
              <w:br/>
            </w:r>
            <w:r>
              <w:rPr>
                <w:b/>
                <w:sz w:val="16"/>
              </w:rPr>
              <w:t>(in years)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b/>
                <w:sz w:val="16"/>
              </w:rPr>
              <w:t>Aggregate</w:t>
            </w:r>
            <w:r>
              <w:rPr>
                <w:sz w:val="16"/>
              </w:rPr>
              <w:br/>
            </w:r>
            <w:r>
              <w:rPr>
                <w:b/>
                <w:sz w:val="16"/>
              </w:rPr>
              <w:t>Intrinsic</w:t>
            </w:r>
            <w:r>
              <w:rPr>
                <w:sz w:val="16"/>
              </w:rPr>
              <w:br/>
            </w:r>
            <w:r>
              <w:rPr>
                <w:b/>
                <w:sz w:val="16"/>
              </w:rPr>
              <w:t xml:space="preserve">Value </w:t>
            </w:r>
            <w:r>
              <w:rPr>
                <w:sz w:val="16"/>
              </w:rPr>
              <w:br/>
            </w:r>
            <w:r>
              <w:rPr>
                <w:b/>
                <w:sz w:val="16"/>
              </w:rPr>
              <w:t>(in thousands)</w:t>
            </w:r>
          </w:p>
        </w:tc>
        <w:tc>
          <w:tcPr>
            <w:tcW w:w="75" w:type="dxa"/>
            <w:tcBorders/>
            <w:shd w:fill="FFFFFF" w:val="clear"/>
            <w:vAlign w:val="center"/>
          </w:tcPr>
          <w:p>
            <w:pPr>
              <w:pStyle w:val="TableContents"/>
              <w:bidi w:val="0"/>
              <w:spacing w:before="0" w:after="283"/>
              <w:jc w:val="center"/>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1109" w:name="xdx_984_eus-gaap--ShareBasedCompensation"/>
            <w:bookmarkEnd w:id="1109"/>
          </w:p>
        </w:tc>
        <w:tc>
          <w:tcPr>
            <w:tcW w:w="736" w:type="dxa"/>
            <w:tcBorders/>
            <w:shd w:fill="CCEEFF" w:val="clear"/>
            <w:vAlign w:val="center"/>
          </w:tcPr>
          <w:p>
            <w:pPr>
              <w:pStyle w:val="TableContents"/>
              <w:bidi w:val="0"/>
              <w:spacing w:before="0" w:after="283"/>
              <w:jc w:val="right"/>
              <w:rPr>
                <w:sz w:val="20"/>
              </w:rPr>
            </w:pPr>
            <w:r>
              <w:rPr>
                <w:sz w:val="20"/>
              </w:rPr>
              <w:t>121,920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bookmarkStart w:id="1110" w:name="xdx_98B_eus-gaap--ShareBasedCompensation"/>
            <w:bookmarkEnd w:id="1110"/>
          </w:p>
        </w:tc>
        <w:tc>
          <w:tcPr>
            <w:tcW w:w="672" w:type="dxa"/>
            <w:tcBorders/>
            <w:shd w:fill="CCEEFF" w:val="clear"/>
            <w:vAlign w:val="center"/>
          </w:tcPr>
          <w:p>
            <w:pPr>
              <w:pStyle w:val="TableContents"/>
              <w:bidi w:val="0"/>
              <w:spacing w:before="0" w:after="283"/>
              <w:jc w:val="right"/>
              <w:rPr>
                <w:sz w:val="20"/>
              </w:rPr>
            </w:pPr>
            <w:r>
              <w:rPr>
                <w:sz w:val="20"/>
              </w:rPr>
              <w:t>382.50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1" w:name="xdx_98C_eus-gaap--SharebasedCompensation"/>
            <w:bookmarkEnd w:id="1111"/>
          </w:p>
        </w:tc>
        <w:tc>
          <w:tcPr>
            <w:tcW w:w="905" w:type="dxa"/>
            <w:gridSpan w:val="2"/>
            <w:tcBorders/>
            <w:shd w:fill="CCEEFF" w:val="clear"/>
            <w:vAlign w:val="center"/>
          </w:tcPr>
          <w:p>
            <w:pPr>
              <w:pStyle w:val="TableContents"/>
              <w:bidi w:val="0"/>
              <w:spacing w:before="0" w:after="283"/>
              <w:jc w:val="right"/>
              <w:rPr>
                <w:sz w:val="20"/>
              </w:rPr>
            </w:pPr>
            <w:r>
              <w:rPr>
                <w:sz w:val="20"/>
              </w:rPr>
              <w:t>7.59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20"/>
              </w:rPr>
            </w:pPr>
            <w:r>
              <w:rPr>
                <w:sz w:val="20"/>
              </w:rPr>
              <w:t>$</w:t>
            </w:r>
            <w:bookmarkStart w:id="1112" w:name="xdx_982_eus-gaap--ShareBasedCompensation"/>
            <w:bookmarkEnd w:id="1112"/>
          </w:p>
        </w:tc>
        <w:tc>
          <w:tcPr>
            <w:tcW w:w="7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1113" w:name="xdx_988_eus-gaap--ShareBasedCompensation"/>
            <w:bookmarkEnd w:id="1113"/>
          </w:p>
        </w:tc>
        <w:tc>
          <w:tcPr>
            <w:tcW w:w="736" w:type="dxa"/>
            <w:tcBorders/>
            <w:shd w:fill="FFFFFF" w:val="clear"/>
            <w:vAlign w:val="center"/>
          </w:tcPr>
          <w:p>
            <w:pPr>
              <w:pStyle w:val="TableContents"/>
              <w:bidi w:val="0"/>
              <w:spacing w:before="0" w:after="283"/>
              <w:jc w:val="right"/>
              <w:rPr>
                <w:sz w:val="20"/>
              </w:rPr>
            </w:pPr>
            <w:r>
              <w:rPr>
                <w:sz w:val="20"/>
              </w:rPr>
              <w:t>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20"/>
              </w:rPr>
            </w:pPr>
            <w:r>
              <w:rPr>
                <w:sz w:val="20"/>
              </w:rPr>
              <w:t>$</w:t>
            </w:r>
            <w:bookmarkStart w:id="1114" w:name="xdx_98C_eus-gaap--ShareBasedCompensation"/>
            <w:bookmarkEnd w:id="1114"/>
          </w:p>
        </w:tc>
        <w:tc>
          <w:tcPr>
            <w:tcW w:w="672" w:type="dxa"/>
            <w:tcBorders/>
            <w:shd w:fill="FFFFFF" w:val="clear"/>
            <w:vAlign w:val="center"/>
          </w:tcPr>
          <w:p>
            <w:pPr>
              <w:pStyle w:val="TableContents"/>
              <w:bidi w:val="0"/>
              <w:spacing w:before="0" w:after="283"/>
              <w:jc w:val="right"/>
              <w:rPr>
                <w:sz w:val="20"/>
              </w:rPr>
            </w:pPr>
            <w:r>
              <w:rPr>
                <w:sz w:val="20"/>
              </w:rPr>
              <w:t>34.00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righ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1115" w:name="xdx_985_eus-gaap--StockIssuedDuringPerio"/>
            <w:bookmarkEnd w:id="1115"/>
          </w:p>
        </w:tc>
        <w:tc>
          <w:tcPr>
            <w:tcW w:w="73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bookmarkStart w:id="1116" w:name="xdx_989_eus-gaap--ShareBasedCompensation"/>
            <w:bookmarkEnd w:id="1116"/>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39"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righ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Forfeited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1117" w:name="xdx_986_eus-gaap--ShareBasedCompensation"/>
            <w:bookmarkEnd w:id="1117"/>
          </w:p>
        </w:tc>
        <w:tc>
          <w:tcPr>
            <w:tcW w:w="736" w:type="dxa"/>
            <w:tcBorders/>
            <w:shd w:fill="FFFFFF" w:val="clear"/>
            <w:vAlign w:val="center"/>
          </w:tcPr>
          <w:p>
            <w:pPr>
              <w:pStyle w:val="TableContents"/>
              <w:bidi w:val="0"/>
              <w:spacing w:before="0" w:after="283"/>
              <w:jc w:val="right"/>
              <w:rPr>
                <w:sz w:val="20"/>
              </w:rPr>
            </w:pPr>
            <w:r>
              <w:rPr>
                <w:sz w:val="20"/>
              </w:rPr>
              <w:t>(3,011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20"/>
              </w:rPr>
            </w:pPr>
            <w:r>
              <w:rPr>
                <w:sz w:val="20"/>
              </w:rPr>
              <w:t>$</w:t>
            </w:r>
            <w:bookmarkStart w:id="1118" w:name="xdx_989_eus-gaap--ShareBasedCompensation"/>
            <w:bookmarkEnd w:id="1118"/>
          </w:p>
        </w:tc>
        <w:tc>
          <w:tcPr>
            <w:tcW w:w="672" w:type="dxa"/>
            <w:tcBorders/>
            <w:shd w:fill="FFFFFF" w:val="clear"/>
            <w:vAlign w:val="center"/>
          </w:tcPr>
          <w:p>
            <w:pPr>
              <w:pStyle w:val="TableContents"/>
              <w:bidi w:val="0"/>
              <w:spacing w:before="0" w:after="283"/>
              <w:jc w:val="right"/>
              <w:rPr>
                <w:sz w:val="20"/>
              </w:rPr>
            </w:pPr>
            <w:r>
              <w:rPr>
                <w:sz w:val="20"/>
              </w:rPr>
              <w:t>277.00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righ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Expired</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9" w:name="xdx_98F_eus-gaap--ShareBasedCompensation"/>
            <w:bookmarkEnd w:id="1119"/>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bookmarkStart w:id="1120" w:name="xdx_98B_eus-gaap--ShareBasedCompensation"/>
            <w:bookmarkEnd w:id="1120"/>
          </w:p>
        </w:tc>
        <w:tc>
          <w:tcPr>
            <w:tcW w:w="672" w:type="dxa"/>
            <w:tcBorders/>
            <w:shd w:fill="CCEEFF" w:val="clear"/>
            <w:vAlign w:val="center"/>
          </w:tcPr>
          <w:p>
            <w:pPr>
              <w:pStyle w:val="TableContents"/>
              <w:bidi w:val="0"/>
              <w:spacing w:before="0" w:after="283"/>
              <w:jc w:val="right"/>
              <w:rPr>
                <w:sz w:val="20"/>
              </w:rPr>
            </w:pPr>
            <w:r>
              <w:rPr>
                <w:sz w:val="20"/>
              </w:rPr>
              <w:t>424.00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39"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righ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Balance at December 31, 2025</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50" w:type="dxa"/>
            </w:tcMar>
            <w:vAlign w:val="center"/>
          </w:tcPr>
          <w:p>
            <w:pPr>
              <w:pStyle w:val="TableContents"/>
              <w:bidi w:val="0"/>
              <w:spacing w:before="0" w:after="283"/>
              <w:jc w:val="left"/>
              <w:rPr/>
            </w:pPr>
            <w:r>
              <w:rPr/>
              <w:t> </w:t>
            </w:r>
            <w:bookmarkStart w:id="1121" w:name="xdx_98F_eus-gaap--ShareBasedCompensation"/>
            <w:bookmarkEnd w:id="1121"/>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117,582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20"/>
              </w:rPr>
            </w:pPr>
            <w:r>
              <w:rPr>
                <w:sz w:val="20"/>
              </w:rPr>
              <w:t>$</w:t>
            </w:r>
            <w:bookmarkStart w:id="1122" w:name="xdx_983_eus-gaap--ShareBasedCompensation"/>
            <w:bookmarkEnd w:id="1122"/>
          </w:p>
        </w:tc>
        <w:tc>
          <w:tcPr>
            <w:tcW w:w="672" w:type="dxa"/>
            <w:tcBorders/>
            <w:shd w:fill="FFFFFF" w:val="clear"/>
            <w:vAlign w:val="center"/>
          </w:tcPr>
          <w:p>
            <w:pPr>
              <w:pStyle w:val="TableContents"/>
              <w:bidi w:val="0"/>
              <w:spacing w:before="0" w:after="283"/>
              <w:jc w:val="right"/>
              <w:rPr>
                <w:sz w:val="20"/>
              </w:rPr>
            </w:pPr>
            <w:r>
              <w:rPr>
                <w:sz w:val="20"/>
              </w:rPr>
              <w:t>384.00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sz w:val="20"/>
              </w:rPr>
            </w:pPr>
            <w:bookmarkStart w:id="1123" w:name="xdx_902_eus-gaap--SharebasedCompensation"/>
            <w:bookmarkEnd w:id="1123"/>
            <w:r>
              <w:rPr>
                <w:sz w:val="20"/>
              </w:rPr>
              <w:t>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sz w:val="20"/>
              </w:rPr>
            </w:pPr>
            <w:r>
              <w:rPr>
                <w:sz w:val="20"/>
              </w:rPr>
              <w:t>$</w:t>
            </w:r>
            <w:bookmarkStart w:id="1124" w:name="xdx_98A_eus-gaap--ShareBasedCompensation"/>
            <w:bookmarkEnd w:id="1124"/>
          </w:p>
        </w:tc>
        <w:tc>
          <w:tcPr>
            <w:tcW w:w="70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bookmarkStart w:id="1125" w:name="xdx_981_eus-gaap--ShareBasedCompensation"/>
            <w:bookmarkEnd w:id="1125"/>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117,582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bookmarkStart w:id="1126" w:name="xdx_98B_eus-gaap--ShareBasedCompensation"/>
            <w:bookmarkEnd w:id="1126"/>
          </w:p>
        </w:tc>
        <w:tc>
          <w:tcPr>
            <w:tcW w:w="672" w:type="dxa"/>
            <w:tcBorders/>
            <w:shd w:fill="CCEEFF" w:val="clear"/>
            <w:vAlign w:val="center"/>
          </w:tcPr>
          <w:p>
            <w:pPr>
              <w:pStyle w:val="TableContents"/>
              <w:bidi w:val="0"/>
              <w:spacing w:before="0" w:after="283"/>
              <w:jc w:val="right"/>
              <w:rPr>
                <w:sz w:val="20"/>
              </w:rPr>
            </w:pPr>
            <w:r>
              <w:rPr>
                <w:sz w:val="20"/>
              </w:rPr>
              <w:t>384.00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1127" w:name="xdx_988_eus-gaap--SharebasedCompensation"/>
            <w:bookmarkEnd w:id="1127"/>
          </w:p>
        </w:tc>
        <w:tc>
          <w:tcPr>
            <w:tcW w:w="782" w:type="dxa"/>
            <w:tcBorders/>
            <w:shd w:fill="CCEEFF" w:val="clear"/>
            <w:vAlign w:val="center"/>
          </w:tcPr>
          <w:p>
            <w:pPr>
              <w:pStyle w:val="TableContents"/>
              <w:bidi w:val="0"/>
              <w:spacing w:before="0" w:after="283"/>
              <w:jc w:val="right"/>
              <w:rPr>
                <w:sz w:val="20"/>
              </w:rPr>
            </w:pPr>
            <w:r>
              <w:rPr>
                <w:sz w:val="20"/>
              </w:rPr>
              <w:t>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20"/>
              </w:rPr>
            </w:pPr>
            <w:r>
              <w:rPr>
                <w:sz w:val="20"/>
              </w:rPr>
              <w:t>$</w:t>
            </w:r>
          </w:p>
        </w:tc>
        <w:tc>
          <w:tcPr>
            <w:tcW w:w="7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sz w:val="20"/>
              </w:rPr>
            </w:pPr>
            <w:r>
              <w:rPr>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50" w:type="dxa"/>
            </w:tcMar>
            <w:vAlign w:val="center"/>
          </w:tcPr>
          <w:p>
            <w:pPr>
              <w:pStyle w:val="TableContents"/>
              <w:bidi w:val="0"/>
              <w:spacing w:before="0" w:after="283"/>
              <w:jc w:val="left"/>
              <w:rPr/>
            </w:pPr>
            <w:r>
              <w:rPr/>
              <w:t> </w:t>
            </w:r>
            <w:bookmarkStart w:id="1128" w:name="xdx_98F_eus-gaap--ShareBasedCompensation"/>
            <w:bookmarkEnd w:id="1128"/>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97,973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sz w:val="20"/>
              </w:rPr>
            </w:pPr>
            <w:r>
              <w:rPr>
                <w:sz w:val="20"/>
              </w:rPr>
              <w:t>$</w:t>
            </w:r>
            <w:bookmarkStart w:id="1129" w:name="xdx_981_eus-gaap--ShareBasedCompensation"/>
            <w:bookmarkEnd w:id="1129"/>
          </w:p>
        </w:tc>
        <w:tc>
          <w:tcPr>
            <w:tcW w:w="672" w:type="dxa"/>
            <w:tcBorders/>
            <w:shd w:fill="FFFFFF" w:val="clear"/>
            <w:vAlign w:val="center"/>
          </w:tcPr>
          <w:p>
            <w:pPr>
              <w:pStyle w:val="TableContents"/>
              <w:bidi w:val="0"/>
              <w:spacing w:before="0" w:after="283"/>
              <w:jc w:val="right"/>
              <w:rPr>
                <w:sz w:val="20"/>
              </w:rPr>
            </w:pPr>
            <w:r>
              <w:rPr>
                <w:sz w:val="20"/>
              </w:rPr>
              <w:t>421.00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1130" w:name="xdx_98B_eus-gaap--SharebasedCompensation"/>
            <w:bookmarkEnd w:id="1130"/>
          </w:p>
        </w:tc>
        <w:tc>
          <w:tcPr>
            <w:tcW w:w="782" w:type="dxa"/>
            <w:tcBorders/>
            <w:shd w:fill="FFFFFF" w:val="clear"/>
            <w:vAlign w:val="center"/>
          </w:tcPr>
          <w:p>
            <w:pPr>
              <w:pStyle w:val="TableContents"/>
              <w:bidi w:val="0"/>
              <w:spacing w:before="0" w:after="283"/>
              <w:jc w:val="right"/>
              <w:rPr>
                <w:sz w:val="20"/>
              </w:rPr>
            </w:pPr>
            <w:r>
              <w:rPr>
                <w:sz w:val="20"/>
              </w:rPr>
              <w:t>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sz w:val="20"/>
              </w:rPr>
            </w:pPr>
            <w:r>
              <w:rPr>
                <w:sz w:val="20"/>
              </w:rPr>
              <w:t>$</w:t>
            </w:r>
          </w:p>
        </w:tc>
        <w:tc>
          <w:tcPr>
            <w:tcW w:w="70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both"/>
        <w:rPr>
          <w:caps w:val="false"/>
          <w:smallCaps w:val="false"/>
        </w:rPr>
      </w:pPr>
      <w:bookmarkStart w:id="1131" w:name="xdx_8A0_zU1Oy2LvYUKg"/>
      <w:bookmarkEnd w:id="1131"/>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unrecognized stock-based compensation cost for unvested common stock options was $</w:t>
      </w:r>
      <w:bookmarkStart w:id="1132" w:name="xdx_90C_eus-gaap--EmployeeServiceShareBa"/>
      <w:bookmarkEnd w:id="1132"/>
      <w:r>
        <w:rPr>
          <w:rFonts w:ascii="Times New Roman;Times;Serif" w:hAnsi="Times New Roman;Times;Serif"/>
          <w:b w:val="false"/>
          <w:i w:val="false"/>
          <w:caps w:val="false"/>
          <w:smallCaps w:val="false"/>
          <w:sz w:val="20"/>
        </w:rPr>
        <w:t xml:space="preserve">2.7 million, which is expected to be recognized over a remaining weighted-average period of approximately </w:t>
      </w:r>
      <w:bookmarkStart w:id="1133" w:name="xdx_907_eus-gaap--EmployeeServiceShareBa"/>
      <w:bookmarkEnd w:id="1133"/>
      <w:r>
        <w:rPr>
          <w:rFonts w:ascii="Times New Roman;Times;Serif" w:hAnsi="Times New Roman;Times;Serif"/>
          <w:b w:val="false"/>
          <w:i w:val="false"/>
          <w:caps w:val="false"/>
          <w:smallCaps w:val="false"/>
          <w:sz w:val="20"/>
        </w:rPr>
        <w:t>1.1 years. The weighted- average grant date fair value of stock options granted during the years ended December 31, 2025 and 2024 was $</w:t>
      </w:r>
      <w:bookmarkStart w:id="1134" w:name="xdx_901_eus-gaap--ShareBasedCompensation"/>
      <w:bookmarkEnd w:id="1134"/>
      <w:r>
        <w:rPr>
          <w:rFonts w:ascii="Times New Roman;Times;Serif" w:hAnsi="Times New Roman;Times;Serif"/>
          <w:b w:val="false"/>
          <w:i w:val="false"/>
          <w:caps w:val="false"/>
          <w:smallCaps w:val="false"/>
          <w:sz w:val="20"/>
        </w:rPr>
        <w:t>25.50 per share and $</w:t>
      </w:r>
      <w:bookmarkStart w:id="1135" w:name="xdx_900_eus-gaap--ShareBasedCompensation"/>
      <w:bookmarkEnd w:id="1135"/>
      <w:r>
        <w:rPr>
          <w:rFonts w:ascii="Times New Roman;Times;Serif" w:hAnsi="Times New Roman;Times;Serif"/>
          <w:b w:val="false"/>
          <w:i w:val="false"/>
          <w:caps w:val="false"/>
          <w:smallCaps w:val="false"/>
          <w:sz w:val="20"/>
        </w:rPr>
        <w:t>102.00 per share, respectively. The total fair value of options vested during the years ended December 31, 2025 and 2024 was $</w:t>
      </w:r>
      <w:bookmarkStart w:id="1136" w:name="xdx_90F_eus-gaap--SharebasedCompensation"/>
      <w:bookmarkEnd w:id="1136"/>
      <w:r>
        <w:rPr>
          <w:rFonts w:ascii="Times New Roman;Times;Serif" w:hAnsi="Times New Roman;Times;Serif"/>
          <w:b w:val="false"/>
          <w:i w:val="false"/>
          <w:caps w:val="false"/>
          <w:smallCaps w:val="false"/>
          <w:sz w:val="20"/>
        </w:rPr>
        <w:t>4.3 million and $</w:t>
      </w:r>
      <w:bookmarkStart w:id="1137" w:name="xdx_904_eus-gaap--SharebasedCompensation"/>
      <w:bookmarkEnd w:id="1137"/>
      <w:r>
        <w:rPr>
          <w:rFonts w:ascii="Times New Roman;Times;Serif" w:hAnsi="Times New Roman;Times;Serif"/>
          <w:b w:val="false"/>
          <w:i w:val="false"/>
          <w:caps w:val="false"/>
          <w:smallCaps w:val="false"/>
          <w:sz w:val="20"/>
        </w:rPr>
        <w:t>9.7 million, respectively. Upon option exercise, the Company issues new shares of its common stock.</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bookmarkStart w:id="1138" w:name="xdx_89A_eus-gaap--ScheduleOfShareBasedPa"/>
      <w:bookmarkEnd w:id="1138"/>
      <w:r>
        <w:rPr>
          <w:rFonts w:ascii="Times New Roman;Times;Serif" w:hAnsi="Times New Roman;Times;Serif"/>
          <w:b w:val="false"/>
          <w:i w:val="false"/>
          <w:caps w:val="false"/>
          <w:smallCaps w:val="false"/>
          <w:sz w:val="20"/>
        </w:rPr>
        <w:t>The assumptions used in the Black-Scholes option pricing model to determine the fair value of stock option grants were as follows:</w:t>
      </w:r>
    </w:p>
    <w:p>
      <w:pPr>
        <w:pStyle w:val="TextBody"/>
        <w:bidi w:val="0"/>
        <w:spacing w:before="0" w:after="0"/>
        <w:ind w:left="720" w:right="720" w:firstLine="440"/>
        <w:jc w:val="left"/>
        <w:rPr>
          <w:caps w:val="false"/>
          <w:smallCaps w:val="false"/>
        </w:rPr>
      </w:pPr>
      <w:r>
        <w:rPr>
          <w:caps w:val="false"/>
          <w:smallCaps w:val="false"/>
        </w:rPr>
        <w:t> </w:t>
      </w:r>
    </w:p>
    <w:tbl>
      <w:tblPr>
        <w:tblW w:w="5858" w:type="dxa"/>
        <w:jc w:val="left"/>
        <w:tblInd w:w="720" w:type="dxa"/>
        <w:tblLayout w:type="fixed"/>
        <w:tblCellMar>
          <w:top w:w="0" w:type="dxa"/>
          <w:left w:w="0" w:type="dxa"/>
          <w:bottom w:w="0" w:type="dxa"/>
          <w:right w:w="0" w:type="dxa"/>
        </w:tblCellMar>
      </w:tblPr>
      <w:tblGrid>
        <w:gridCol w:w="3845"/>
        <w:gridCol w:w="60"/>
        <w:gridCol w:w="935"/>
        <w:gridCol w:w="66"/>
        <w:gridCol w:w="952"/>
      </w:tblGrid>
      <w:tr>
        <w:trPr/>
        <w:tc>
          <w:tcPr>
            <w:tcW w:w="3845" w:type="dxa"/>
            <w:tcBorders/>
            <w:vAlign w:val="center"/>
          </w:tcPr>
          <w:p>
            <w:pPr>
              <w:pStyle w:val="TableContents"/>
              <w:bidi w:val="0"/>
              <w:spacing w:before="0" w:after="283"/>
              <w:jc w:val="left"/>
              <w:rPr>
                <w:sz w:val="16"/>
              </w:rPr>
            </w:pPr>
            <w:bookmarkStart w:id="1139" w:name="xdx_8B9_zK94jrZnzkYh"/>
            <w:bookmarkEnd w:id="1139"/>
            <w:r>
              <w:rPr>
                <w:sz w:val="16"/>
              </w:rPr>
              <w:t>Schedule of assumptions used in Black-Scholes Model </w:t>
            </w:r>
          </w:p>
        </w:tc>
        <w:tc>
          <w:tcPr>
            <w:tcW w:w="60" w:type="dxa"/>
            <w:tcBorders/>
            <w:vAlign w:val="center"/>
          </w:tcPr>
          <w:p>
            <w:pPr>
              <w:pStyle w:val="TableContents"/>
              <w:bidi w:val="0"/>
              <w:spacing w:before="0" w:after="283"/>
              <w:jc w:val="left"/>
              <w:rPr/>
            </w:pPr>
            <w:r>
              <w:rPr/>
              <w:t> </w:t>
            </w:r>
            <w:bookmarkStart w:id="1140" w:name="xdx_49C_20250101__20251231__us-gaap--Der"/>
            <w:bookmarkEnd w:id="1140"/>
          </w:p>
        </w:tc>
        <w:tc>
          <w:tcPr>
            <w:tcW w:w="93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1141" w:name="xdx_491_20240101__20241231__us-gaap--Der"/>
            <w:bookmarkEnd w:id="1141"/>
          </w:p>
        </w:tc>
        <w:tc>
          <w:tcPr>
            <w:tcW w:w="952" w:type="dxa"/>
            <w:tcBorders/>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53" w:type="dxa"/>
            <w:gridSpan w:val="3"/>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Years ended December 31,</w:t>
            </w:r>
          </w:p>
        </w:tc>
      </w:tr>
      <w:tr>
        <w:trPr/>
        <w:tc>
          <w:tcPr>
            <w:tcW w:w="3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2025</w:t>
            </w:r>
          </w:p>
        </w:tc>
        <w:tc>
          <w:tcPr>
            <w:tcW w:w="66" w:type="dxa"/>
            <w:tcBorders/>
            <w:shd w:fill="FFFFFF" w:val="clear"/>
            <w:vAlign w:val="center"/>
          </w:tcPr>
          <w:p>
            <w:pPr>
              <w:pStyle w:val="TableContents"/>
              <w:bidi w:val="0"/>
              <w:spacing w:before="0" w:after="283"/>
              <w:jc w:val="left"/>
              <w:rPr/>
            </w:pPr>
            <w:r>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2024</w:t>
            </w:r>
            <w:bookmarkStart w:id="1142" w:name="xdx_402_eus-gaap--ShareBasedCompensation"/>
            <w:bookmarkEnd w:id="1142"/>
          </w:p>
        </w:tc>
      </w:tr>
      <w:tr>
        <w:trPr/>
        <w:tc>
          <w:tcPr>
            <w:tcW w:w="3845" w:type="dxa"/>
            <w:tcBorders/>
            <w:shd w:fill="CFF0FC" w:val="clear"/>
            <w:vAlign w:val="center"/>
          </w:tcPr>
          <w:p>
            <w:pPr>
              <w:pStyle w:val="TableContents"/>
              <w:bidi w:val="0"/>
              <w:spacing w:before="0" w:after="283"/>
              <w:jc w:val="left"/>
              <w:rPr>
                <w:sz w:val="20"/>
              </w:rPr>
            </w:pPr>
            <w:r>
              <w:rPr>
                <w:sz w:val="20"/>
              </w:rPr>
              <w:t>Expected volatility</w:t>
            </w:r>
          </w:p>
        </w:tc>
        <w:tc>
          <w:tcPr>
            <w:tcW w:w="60"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sz w:val="20"/>
              </w:rPr>
            </w:pPr>
            <w:r>
              <w:rPr>
                <w:sz w:val="20"/>
              </w:rPr>
              <w:t>95.3%</w:t>
            </w:r>
          </w:p>
        </w:tc>
        <w:tc>
          <w:tcPr>
            <w:tcW w:w="6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right"/>
              <w:rPr>
                <w:sz w:val="20"/>
              </w:rPr>
            </w:pPr>
            <w:r>
              <w:rPr>
                <w:sz w:val="20"/>
              </w:rPr>
              <w:t>88.7%</w:t>
            </w:r>
            <w:bookmarkStart w:id="1143" w:name="xdx_401_eus-gaap--ShareBasedCompensation"/>
            <w:bookmarkEnd w:id="1143"/>
          </w:p>
        </w:tc>
      </w:tr>
      <w:tr>
        <w:trPr/>
        <w:tc>
          <w:tcPr>
            <w:tcW w:w="3845" w:type="dxa"/>
            <w:tcBorders/>
            <w:shd w:fill="FFFFFF" w:val="clear"/>
            <w:vAlign w:val="center"/>
          </w:tcPr>
          <w:p>
            <w:pPr>
              <w:pStyle w:val="TableContents"/>
              <w:bidi w:val="0"/>
              <w:spacing w:before="0" w:after="283"/>
              <w:jc w:val="left"/>
              <w:rPr>
                <w:sz w:val="20"/>
              </w:rPr>
            </w:pPr>
            <w:r>
              <w:rPr>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20"/>
              </w:rPr>
            </w:pPr>
            <w:r>
              <w:rPr>
                <w:sz w:val="20"/>
              </w:rPr>
              <w:t>3.65%</w:t>
            </w:r>
          </w:p>
        </w:tc>
        <w:tc>
          <w:tcPr>
            <w:tcW w:w="6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right"/>
              <w:rPr>
                <w:sz w:val="20"/>
              </w:rPr>
            </w:pPr>
            <w:r>
              <w:rPr>
                <w:sz w:val="20"/>
              </w:rPr>
              <w:t>4.25%</w:t>
            </w:r>
            <w:bookmarkStart w:id="1144" w:name="xdx_409_eus-gaap--ShareBasedCompensation"/>
            <w:bookmarkEnd w:id="1144"/>
          </w:p>
        </w:tc>
      </w:tr>
      <w:tr>
        <w:trPr/>
        <w:tc>
          <w:tcPr>
            <w:tcW w:w="3845" w:type="dxa"/>
            <w:tcBorders/>
            <w:shd w:fill="CFF0FC" w:val="clear"/>
            <w:vAlign w:val="center"/>
          </w:tcPr>
          <w:p>
            <w:pPr>
              <w:pStyle w:val="TableContents"/>
              <w:bidi w:val="0"/>
              <w:spacing w:before="0" w:after="283"/>
              <w:jc w:val="left"/>
              <w:rPr>
                <w:sz w:val="20"/>
              </w:rPr>
            </w:pPr>
            <w:r>
              <w:rPr>
                <w:sz w:val="20"/>
              </w:rPr>
              <w:t>Expected dividend yield</w:t>
            </w:r>
          </w:p>
        </w:tc>
        <w:tc>
          <w:tcPr>
            <w:tcW w:w="60"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sz w:val="20"/>
              </w:rPr>
            </w:pPr>
            <w:r>
              <w:rPr>
                <w:sz w:val="20"/>
              </w:rPr>
              <w:t>0.0%</w:t>
            </w:r>
          </w:p>
        </w:tc>
        <w:tc>
          <w:tcPr>
            <w:tcW w:w="6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right"/>
              <w:rPr>
                <w:sz w:val="20"/>
              </w:rPr>
            </w:pPr>
            <w:r>
              <w:rPr>
                <w:sz w:val="20"/>
              </w:rPr>
              <w:t>0.0%</w:t>
            </w:r>
          </w:p>
        </w:tc>
      </w:tr>
      <w:tr>
        <w:trPr/>
        <w:tc>
          <w:tcPr>
            <w:tcW w:w="3845" w:type="dxa"/>
            <w:tcBorders/>
            <w:shd w:fill="FFFFFF" w:val="clear"/>
            <w:vAlign w:val="center"/>
          </w:tcPr>
          <w:p>
            <w:pPr>
              <w:pStyle w:val="TableContents"/>
              <w:bidi w:val="0"/>
              <w:spacing w:before="0" w:after="283"/>
              <w:jc w:val="left"/>
              <w:rPr>
                <w:sz w:val="20"/>
              </w:rPr>
            </w:pPr>
            <w:r>
              <w:rPr>
                <w:sz w:val="20"/>
              </w:rPr>
              <w:t>Expected term</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20"/>
              </w:rPr>
            </w:pPr>
            <w:bookmarkStart w:id="1145" w:name="xdx_90A_ecustom--SharebasedCompensationA"/>
            <w:bookmarkEnd w:id="1145"/>
            <w:r>
              <w:rPr>
                <w:sz w:val="20"/>
              </w:rPr>
              <w:t>5.29 years</w:t>
            </w:r>
          </w:p>
        </w:tc>
        <w:tc>
          <w:tcPr>
            <w:tcW w:w="6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right"/>
              <w:rPr>
                <w:sz w:val="20"/>
              </w:rPr>
            </w:pPr>
            <w:bookmarkStart w:id="1146" w:name="xdx_904_ecustom--SharebasedCompensationA"/>
            <w:bookmarkEnd w:id="1146"/>
            <w:r>
              <w:rPr>
                <w:sz w:val="20"/>
              </w:rPr>
              <w:t>5.95 years</w:t>
            </w:r>
          </w:p>
        </w:tc>
      </w:tr>
    </w:tbl>
    <w:p>
      <w:pPr>
        <w:pStyle w:val="TextBody"/>
        <w:bidi w:val="0"/>
        <w:spacing w:before="0" w:after="0"/>
        <w:ind w:left="720" w:right="720" w:firstLine="446"/>
        <w:jc w:val="both"/>
        <w:rPr>
          <w:caps w:val="false"/>
          <w:smallCaps w:val="false"/>
        </w:rPr>
      </w:pPr>
      <w:bookmarkStart w:id="1147" w:name="xdx_8A6_zX2Hf8uoodb9"/>
      <w:bookmarkEnd w:id="1147"/>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The Company bases the risk-free interest rate assumption on the U.S. Treasury’s rates for U.S. Treasury zero-coupon bonds with maturities similar to those of the expected term of the award being valued.</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The Company bases the expected dividend yield assumption on the fact that it has never paid cash dividends and has no present plans to pay cash dividends.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bidi w:val="0"/>
        <w:spacing w:before="0" w:after="0"/>
        <w:ind w:left="720" w:right="720" w:firstLine="44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2020, the Company’s board of directors and stockholders approved the BioAtla, Inc. Employee Stock Purchase Plan (the “ESPP”). The ESPP permits participants to purchase common stock through payroll deductions of up to </w:t>
      </w:r>
      <w:bookmarkStart w:id="1148" w:name="xdx_90A_eus-gaap--SharebasedCompensation"/>
      <w:bookmarkEnd w:id="1148"/>
      <w:r>
        <w:rPr>
          <w:rFonts w:ascii="Times New Roman;Times;Serif" w:hAnsi="Times New Roman;Times;Serif"/>
          <w:b w:val="false"/>
          <w:i w:val="false"/>
          <w:caps w:val="false"/>
          <w:smallCaps w:val="false"/>
          <w:sz w:val="20"/>
        </w:rPr>
        <w:t xml:space="preserve">15% of their eligible compensation. As of December 31, 2025 and 2024, a total of </w:t>
      </w:r>
      <w:bookmarkStart w:id="1149" w:name="xdx_900_eus-gaap--CommonStockSharesAutho"/>
      <w:bookmarkEnd w:id="1149"/>
      <w:r>
        <w:rPr>
          <w:rFonts w:ascii="Times New Roman;Times;Serif" w:hAnsi="Times New Roman;Times;Serif"/>
          <w:b w:val="false"/>
          <w:i w:val="false"/>
          <w:caps w:val="false"/>
          <w:smallCaps w:val="false"/>
          <w:sz w:val="20"/>
        </w:rPr>
        <w:t xml:space="preserve">60,717 shares and </w:t>
      </w:r>
      <w:bookmarkStart w:id="1150" w:name="xdx_90B_eus-gaap--CommonStockSharesAutho"/>
      <w:bookmarkEnd w:id="1150"/>
      <w:r>
        <w:rPr>
          <w:rFonts w:ascii="Times New Roman;Times;Serif" w:hAnsi="Times New Roman;Times;Serif"/>
          <w:b w:val="false"/>
          <w:i w:val="false"/>
          <w:caps w:val="false"/>
          <w:smallCaps w:val="false"/>
          <w:sz w:val="20"/>
        </w:rPr>
        <w:t xml:space="preserve">45,632 shares, respectively, of common stock were authorized for issuance under the ESPP. The number of shares of common stock authorized for issuance will automatically increase on January 1 of each calendar year, from January 1, 2021 through January 1, 2030 by the least of (i) </w:t>
      </w:r>
      <w:bookmarkStart w:id="1151" w:name="xdx_90A_eus-gaap--ShareBasedCompensation"/>
      <w:bookmarkEnd w:id="1151"/>
      <w:r>
        <w:rPr>
          <w:rFonts w:ascii="Times New Roman;Times;Serif" w:hAnsi="Times New Roman;Times;Serif"/>
          <w:b w:val="false"/>
          <w:i w:val="false"/>
          <w:caps w:val="false"/>
          <w:smallCaps w:val="false"/>
          <w:sz w:val="20"/>
        </w:rPr>
        <w:t xml:space="preserve">1.0% of the total number of common shares of our common stock outstanding on December 31 of the preceding calendar year (calculated on a fully diluted basis), (ii) </w:t>
      </w:r>
      <w:bookmarkStart w:id="1152" w:name="xdx_905_eus-gaap--ShareBasedCompensation"/>
      <w:bookmarkEnd w:id="1152"/>
      <w:r>
        <w:rPr>
          <w:rFonts w:ascii="Times New Roman;Times;Serif" w:hAnsi="Times New Roman;Times;Serif"/>
          <w:b w:val="false"/>
          <w:i w:val="false"/>
          <w:caps w:val="false"/>
          <w:smallCaps w:val="false"/>
          <w:sz w:val="20"/>
        </w:rPr>
        <w:t xml:space="preserve">18,593 common shares or (iii) a number determined by the Company’s board of directors that is less than (i) and (ii). The Company issued </w:t>
      </w:r>
      <w:bookmarkStart w:id="1153" w:name="xdx_904_eus-gaap--CommonStockSharesIssue"/>
      <w:bookmarkEnd w:id="1153"/>
      <w:r>
        <w:rPr>
          <w:rFonts w:ascii="Times New Roman;Times;Serif" w:hAnsi="Times New Roman;Times;Serif"/>
          <w:b w:val="false"/>
          <w:i w:val="false"/>
          <w:caps w:val="false"/>
          <w:smallCaps w:val="false"/>
          <w:sz w:val="20"/>
        </w:rPr>
        <w:t xml:space="preserve">5,136 and </w:t>
      </w:r>
      <w:bookmarkStart w:id="1154" w:name="xdx_901_eus-gaap--CommonStockSharesIssue"/>
      <w:bookmarkEnd w:id="1154"/>
      <w:r>
        <w:rPr>
          <w:rFonts w:ascii="Times New Roman;Times;Serif" w:hAnsi="Times New Roman;Times;Serif"/>
          <w:b w:val="false"/>
          <w:i w:val="false"/>
          <w:caps w:val="false"/>
          <w:smallCaps w:val="false"/>
          <w:sz w:val="20"/>
        </w:rPr>
        <w:t xml:space="preserve">5,308 shares of common stock under the ESPP during the years ended December 31, 2025 and 2024, respectively. As of December 31, 2025, </w:t>
      </w:r>
      <w:bookmarkStart w:id="1155" w:name="xdx_90A_eus-gaap--CommonStockCapitalShar"/>
      <w:bookmarkEnd w:id="1155"/>
      <w:r>
        <w:rPr>
          <w:rFonts w:ascii="Times New Roman;Times;Serif" w:hAnsi="Times New Roman;Times;Serif"/>
          <w:b w:val="false"/>
          <w:i w:val="false"/>
          <w:caps w:val="false"/>
          <w:smallCaps w:val="false"/>
          <w:sz w:val="20"/>
        </w:rPr>
        <w:t>43,786 shares of common stock remained available for issuance under the ESPP. Stock-based compensation expense related to the ESPP for the twelve months ended December 31, 2025 and 2024 was $</w:t>
      </w:r>
      <w:bookmarkStart w:id="1156" w:name="xdx_904_eus-gaap--EmployeeBenefitsAndSha"/>
      <w:bookmarkEnd w:id="1156"/>
      <w:r>
        <w:rPr>
          <w:rFonts w:ascii="Times New Roman;Times;Serif" w:hAnsi="Times New Roman;Times;Serif"/>
          <w:b w:val="false"/>
          <w:i w:val="false"/>
          <w:caps w:val="false"/>
          <w:smallCaps w:val="false"/>
          <w:sz w:val="20"/>
        </w:rPr>
        <w:t>0.1 million and $</w:t>
      </w:r>
      <w:bookmarkStart w:id="1157" w:name="xdx_903_eus-gaap--EmployeeBenefitsAndSha"/>
      <w:bookmarkEnd w:id="1157"/>
      <w:r>
        <w:rPr>
          <w:rFonts w:ascii="Times New Roman;Times;Serif" w:hAnsi="Times New Roman;Times;Serif"/>
          <w:b w:val="false"/>
          <w:i w:val="false"/>
          <w:caps w:val="false"/>
          <w:smallCaps w:val="false"/>
          <w:sz w:val="20"/>
        </w:rPr>
        <w:t>0.2 million, respectively.</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Reserved for Future Issuance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0"/>
        <w:jc w:val="left"/>
        <w:rPr>
          <w:rFonts w:ascii="Times New Roman;Times;Serif" w:hAnsi="Times New Roman;Times;Serif"/>
          <w:b w:val="false"/>
          <w:i w:val="false"/>
          <w:caps w:val="false"/>
          <w:smallCaps w:val="false"/>
          <w:sz w:val="20"/>
        </w:rPr>
      </w:pPr>
      <w:bookmarkStart w:id="1158" w:name="xdx_89F_ecustom--ScheduleOfCommonStockRe"/>
      <w:bookmarkEnd w:id="1158"/>
      <w:r>
        <w:rPr>
          <w:rFonts w:ascii="Times New Roman;Times;Serif" w:hAnsi="Times New Roman;Times;Serif"/>
          <w:b w:val="false"/>
          <w:i w:val="false"/>
          <w:caps w:val="false"/>
          <w:smallCaps w:val="false"/>
          <w:sz w:val="20"/>
        </w:rPr>
        <w:t>Common stock reserved for future issuance are as follows in common equivalent shares:</w:t>
      </w:r>
    </w:p>
    <w:p>
      <w:pPr>
        <w:pStyle w:val="TextBody"/>
        <w:bidi w:val="0"/>
        <w:spacing w:before="0" w:after="0"/>
        <w:ind w:left="720" w:right="720" w:firstLine="44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6790"/>
        <w:gridCol w:w="60"/>
        <w:gridCol w:w="60"/>
        <w:gridCol w:w="800"/>
        <w:gridCol w:w="60"/>
        <w:gridCol w:w="60"/>
        <w:gridCol w:w="60"/>
        <w:gridCol w:w="800"/>
        <w:gridCol w:w="75"/>
      </w:tblGrid>
      <w:tr>
        <w:trPr/>
        <w:tc>
          <w:tcPr>
            <w:tcW w:w="6790" w:type="dxa"/>
            <w:tcBorders/>
            <w:vAlign w:val="center"/>
          </w:tcPr>
          <w:p>
            <w:pPr>
              <w:pStyle w:val="TableContents"/>
              <w:bidi w:val="0"/>
              <w:spacing w:before="0" w:after="283"/>
              <w:jc w:val="center"/>
              <w:rPr/>
            </w:pPr>
            <w:r>
              <w:rPr/>
              <w:t> </w:t>
            </w:r>
            <w:bookmarkStart w:id="1159" w:name="xdx_8B7_zfLNE0x2sfAe"/>
            <w:bookmarkEnd w:id="1159"/>
            <w:r>
              <w:rPr>
                <w:rFonts w:ascii="Times New Roman;Times;Serif" w:hAnsi="Times New Roman;Times;Serif"/>
                <w:sz w:val="20"/>
              </w:rPr>
              <w:t>Schedule of common stock reserved for future issuance</w:t>
            </w: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r>
          </w:p>
        </w:tc>
        <w:tc>
          <w:tcPr>
            <w:tcW w:w="75" w:type="dxa"/>
            <w:tcBorders/>
            <w:vAlign w:val="center"/>
          </w:tcPr>
          <w:p>
            <w:pPr>
              <w:pStyle w:val="TableContents"/>
              <w:bidi w:val="0"/>
              <w:spacing w:before="0" w:after="283"/>
              <w:jc w:val="left"/>
              <w:rPr/>
            </w:pPr>
            <w:r>
              <w:rPr/>
              <w:t> </w:t>
            </w:r>
          </w:p>
        </w:tc>
      </w:tr>
      <w:tr>
        <w:trPr/>
        <w:tc>
          <w:tcPr>
            <w:tcW w:w="6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75" w:type="dxa"/>
            <w:tcBorders/>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pPr>
            <w:r>
              <w:rPr/>
              <w:t>Warrants for the 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0" w:name="xdx_989_ecustom--WarrantForThePurchaseOf"/>
            <w:bookmarkEnd w:id="1160"/>
          </w:p>
        </w:tc>
        <w:tc>
          <w:tcPr>
            <w:tcW w:w="800" w:type="dxa"/>
            <w:tcBorders/>
            <w:shd w:fill="CCEEFF" w:val="clear"/>
            <w:vAlign w:val="center"/>
          </w:tcPr>
          <w:p>
            <w:pPr>
              <w:pStyle w:val="TableContents"/>
              <w:bidi w:val="0"/>
              <w:spacing w:before="0" w:after="283"/>
              <w:jc w:val="right"/>
              <w:rPr/>
            </w:pPr>
            <w:r>
              <w:rPr/>
              <w:t>193,581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1" w:name="xdx_986_ecustom--WarrantForThePurchaseOf"/>
            <w:bookmarkEnd w:id="1161"/>
          </w:p>
        </w:tc>
        <w:tc>
          <w:tcPr>
            <w:tcW w:w="800" w:type="dxa"/>
            <w:tcBorders/>
            <w:shd w:fill="CCEEFF" w:val="clear"/>
            <w:vAlign w:val="center"/>
          </w:tcPr>
          <w:p>
            <w:pPr>
              <w:pStyle w:val="TableContents"/>
              <w:bidi w:val="0"/>
              <w:spacing w:before="0" w:after="283"/>
              <w:jc w:val="right"/>
              <w:rPr/>
            </w:pPr>
            <w:r>
              <w:rPr/>
              <w:t>193,581</w:t>
            </w:r>
          </w:p>
        </w:tc>
        <w:tc>
          <w:tcPr>
            <w:tcW w:w="75"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Common stock options and restricted stock units issued and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62" w:name="xdx_981_eus-gaap--CommonStockSharesOutst"/>
            <w:bookmarkEnd w:id="1162"/>
          </w:p>
        </w:tc>
        <w:tc>
          <w:tcPr>
            <w:tcW w:w="800" w:type="dxa"/>
            <w:tcBorders/>
            <w:shd w:fill="FFFFFF" w:val="clear"/>
            <w:vAlign w:val="center"/>
          </w:tcPr>
          <w:p>
            <w:pPr>
              <w:pStyle w:val="TableContents"/>
              <w:bidi w:val="0"/>
              <w:spacing w:before="0" w:after="283"/>
              <w:jc w:val="right"/>
              <w:rPr/>
            </w:pPr>
            <w:r>
              <w:rPr/>
              <w:t>166,257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63" w:name="xdx_98D_eus-gaap--CommonStockSharesOutst"/>
            <w:bookmarkEnd w:id="1163"/>
          </w:p>
        </w:tc>
        <w:tc>
          <w:tcPr>
            <w:tcW w:w="800" w:type="dxa"/>
            <w:tcBorders/>
            <w:shd w:fill="FFFFFF" w:val="clear"/>
            <w:vAlign w:val="center"/>
          </w:tcPr>
          <w:p>
            <w:pPr>
              <w:pStyle w:val="TableContents"/>
              <w:bidi w:val="0"/>
              <w:spacing w:before="0" w:after="283"/>
              <w:jc w:val="right"/>
              <w:rPr/>
            </w:pPr>
            <w:r>
              <w:rPr/>
              <w:t>152,980</w:t>
            </w:r>
          </w:p>
        </w:tc>
        <w:tc>
          <w:tcPr>
            <w:tcW w:w="75"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pPr>
            <w:r>
              <w:rPr/>
              <w:t>Awards available for future issuance under the 2020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4" w:name="xdx_98D_ecustom--AwardsAvailableForFutur"/>
            <w:bookmarkEnd w:id="1164"/>
          </w:p>
        </w:tc>
        <w:tc>
          <w:tcPr>
            <w:tcW w:w="800" w:type="dxa"/>
            <w:tcBorders/>
            <w:shd w:fill="CCEEFF" w:val="clear"/>
            <w:vAlign w:val="center"/>
          </w:tcPr>
          <w:p>
            <w:pPr>
              <w:pStyle w:val="TableContents"/>
              <w:bidi w:val="0"/>
              <w:spacing w:before="0" w:after="283"/>
              <w:jc w:val="right"/>
              <w:rPr/>
            </w:pPr>
            <w:r>
              <w:rPr/>
              <w:t>26,013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5" w:name="xdx_985_ecustom--AwardsAvailableForFutur"/>
            <w:bookmarkEnd w:id="1165"/>
          </w:p>
        </w:tc>
        <w:tc>
          <w:tcPr>
            <w:tcW w:w="800" w:type="dxa"/>
            <w:tcBorders/>
            <w:shd w:fill="CCEEFF" w:val="clear"/>
            <w:vAlign w:val="center"/>
          </w:tcPr>
          <w:p>
            <w:pPr>
              <w:pStyle w:val="TableContents"/>
              <w:bidi w:val="0"/>
              <w:spacing w:before="0" w:after="283"/>
              <w:jc w:val="right"/>
              <w:rPr/>
            </w:pPr>
            <w:r>
              <w:rPr/>
              <w:t>23,086</w:t>
            </w:r>
          </w:p>
        </w:tc>
        <w:tc>
          <w:tcPr>
            <w:tcW w:w="75"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Awards available for future issuance under the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66" w:name="xdx_985_ecustom--AwardsAvailableForFutur"/>
            <w:bookmarkEnd w:id="1166"/>
          </w:p>
        </w:tc>
        <w:tc>
          <w:tcPr>
            <w:tcW w:w="800" w:type="dxa"/>
            <w:tcBorders/>
            <w:shd w:fill="FFFFFF" w:val="clear"/>
            <w:vAlign w:val="center"/>
          </w:tcPr>
          <w:p>
            <w:pPr>
              <w:pStyle w:val="TableContents"/>
              <w:bidi w:val="0"/>
              <w:spacing w:before="0" w:after="283"/>
              <w:jc w:val="right"/>
              <w:rPr/>
            </w:pPr>
            <w:r>
              <w:rPr/>
              <w:t>43,786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67" w:name="xdx_984_ecustom--AwardsAvailableForFutur"/>
            <w:bookmarkEnd w:id="1167"/>
          </w:p>
        </w:tc>
        <w:tc>
          <w:tcPr>
            <w:tcW w:w="800" w:type="dxa"/>
            <w:tcBorders/>
            <w:shd w:fill="FFFFFF" w:val="clear"/>
            <w:vAlign w:val="center"/>
          </w:tcPr>
          <w:p>
            <w:pPr>
              <w:pStyle w:val="TableContents"/>
              <w:bidi w:val="0"/>
              <w:spacing w:before="0" w:after="283"/>
              <w:jc w:val="right"/>
              <w:rPr/>
            </w:pPr>
            <w:r>
              <w:rPr/>
              <w:t>33,837</w:t>
            </w:r>
          </w:p>
        </w:tc>
        <w:tc>
          <w:tcPr>
            <w:tcW w:w="75" w:type="dxa"/>
            <w:tcBorders/>
            <w:shd w:fill="FFFFFF" w:val="clear"/>
            <w:vAlign w:val="center"/>
          </w:tcPr>
          <w:p>
            <w:pPr>
              <w:pStyle w:val="TableContents"/>
              <w:bidi w:val="0"/>
              <w:spacing w:before="0" w:after="283"/>
              <w:jc w:val="left"/>
              <w:rPr/>
            </w:pPr>
            <w:r>
              <w:rPr/>
              <w:t> </w:t>
            </w:r>
          </w:p>
        </w:tc>
      </w:tr>
      <w:tr>
        <w:trPr/>
        <w:tc>
          <w:tcPr>
            <w:tcW w:w="6790" w:type="dxa"/>
            <w:tcBorders/>
            <w:shd w:fill="CCEEFF" w:val="clear"/>
            <w:vAlign w:val="center"/>
          </w:tcPr>
          <w:p>
            <w:pPr>
              <w:pStyle w:val="TableContents"/>
              <w:bidi w:val="0"/>
              <w:spacing w:before="0" w:after="283"/>
              <w:jc w:val="left"/>
              <w:rPr/>
            </w:pPr>
            <w:r>
              <w:rPr/>
              <w:t>Shares available for future conversions of PPAs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8" w:name="xdx_98E_ecustom--SharesAvailableForFutur"/>
            <w:bookmarkEnd w:id="1168"/>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9" w:name="xdx_98A_ecustom--SharesAvailableForFutur"/>
            <w:bookmarkEnd w:id="1169"/>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90" w:type="dxa"/>
            <w:tcBorders/>
            <w:shd w:fill="FFFFFF" w:val="clear"/>
            <w:vAlign w:val="center"/>
          </w:tcPr>
          <w:p>
            <w:pPr>
              <w:pStyle w:val="TableContents"/>
              <w:bidi w:val="0"/>
              <w:spacing w:before="0" w:after="283"/>
              <w:jc w:val="left"/>
              <w:rPr/>
            </w:pPr>
            <w:r>
              <w:rPr/>
              <w:t>Total common stock reserved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0" w:name="xdx_986_eus-gaap--CommonStockCapitalShar"/>
            <w:bookmarkEnd w:id="1170"/>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566,560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71" w:name="xdx_98A_eus-gaap--CommonStockCapitalShar"/>
            <w:bookmarkEnd w:id="1171"/>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403,484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bookmarkStart w:id="1172" w:name="xdx_8A4_zBkxSRG4HkI9"/>
      <w:bookmarkEnd w:id="1172"/>
      <w:r>
        <w:rPr>
          <w:caps w:val="false"/>
          <w:smallCaps w:val="false"/>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1173" w:name="xdx_801_ecustom--CollaborationLicenseAnd"/>
      <w:bookmarkEnd w:id="1173"/>
      <w:r>
        <w:rPr>
          <w:rFonts w:ascii="Times New Roman;Times;Serif" w:hAnsi="Times New Roman;Times;Serif"/>
          <w:b/>
          <w:i w:val="false"/>
          <w:caps w:val="false"/>
          <w:smallCaps w:val="false"/>
          <w:sz w:val="20"/>
        </w:rPr>
        <w:t xml:space="preserve">9. </w:t>
      </w:r>
      <w:bookmarkStart w:id="1174" w:name="xdx_821_zXbBz6173iNh"/>
      <w:bookmarkEnd w:id="1174"/>
      <w:r>
        <w:rPr>
          <w:rFonts w:ascii="Times New Roman;Times;Serif" w:hAnsi="Times New Roman;Times;Serif"/>
          <w:b/>
          <w:i w:val="false"/>
          <w:caps w:val="false"/>
          <w:smallCaps w:val="false"/>
          <w:sz w:val="20"/>
        </w:rPr>
        <w:t>Collaboration, License and Option Agreements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Co-Development and Collaboration Agreement with BeOne Medicines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w:t>
      </w:r>
      <w:bookmarkStart w:id="1175" w:name="xdx_908_ecustom--CollaborationAgreementS"/>
      <w:bookmarkEnd w:id="1175"/>
      <w:r>
        <w:rPr>
          <w:rFonts w:ascii="Times New Roman;Times;Serif" w:hAnsi="Times New Roman;Times;Serif"/>
          <w:b w:val="false"/>
          <w:i w:val="false"/>
          <w:caps w:val="false"/>
          <w:smallCaps w:val="false"/>
          <w:sz w:val="20"/>
        </w:rPr>
        <w:t xml:space="preserve">2019 and </w:t>
      </w:r>
      <w:bookmarkStart w:id="1176" w:name="xdx_90C_ecustom--CollaborationAgreementS"/>
      <w:bookmarkEnd w:id="1176"/>
      <w:r>
        <w:rPr>
          <w:rFonts w:ascii="Times New Roman;Times;Serif" w:hAnsi="Times New Roman;Times;Serif"/>
          <w:b w:val="false"/>
          <w:i w:val="false"/>
          <w:caps w:val="false"/>
          <w:smallCaps w:val="false"/>
          <w:sz w:val="20"/>
        </w:rPr>
        <w:t>2021 and the Company received a total of $</w:t>
      </w:r>
      <w:bookmarkStart w:id="1177" w:name="xdx_908_ecustom--UpfrontNonRefundablePay"/>
      <w:bookmarkEnd w:id="1177"/>
      <w:r>
        <w:rPr>
          <w:rFonts w:ascii="Times New Roman;Times;Serif" w:hAnsi="Times New Roman;Times;Serif"/>
          <w:b w:val="false"/>
          <w:i w:val="false"/>
          <w:caps w:val="false"/>
          <w:smallCaps w:val="false"/>
          <w:sz w:val="20"/>
        </w:rPr>
        <w:t>25.0 million in non-refundable payments from BeOne during that time.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w:t>
      </w:r>
      <w:bookmarkStart w:id="1178" w:name="xdx_90E_eus-gaap--DeferredRevenueCurrent"/>
      <w:bookmarkEnd w:id="1178"/>
      <w:r>
        <w:rPr>
          <w:rFonts w:ascii="Times New Roman;Times;Serif" w:hAnsi="Times New Roman;Times;Serif"/>
          <w:b w:val="false"/>
          <w:i w:val="false"/>
          <w:caps w:val="false"/>
          <w:smallCaps w:val="false"/>
          <w:sz w:val="20"/>
        </w:rPr>
        <w:t>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revenue related to the collaboration agreement with BeOne during the years ended December 31, 2025 and 2024. The Company had a $</w:t>
      </w:r>
      <w:bookmarkStart w:id="1179" w:name="xdx_905_ecustom--LiabilityToLicensor_iI_"/>
      <w:bookmarkStart w:id="1180" w:name="xdx_900_ecustom--LiabilityToLicensor_iI_"/>
      <w:bookmarkEnd w:id="1179"/>
      <w:bookmarkEnd w:id="1180"/>
      <w:r>
        <w:rPr>
          <w:rFonts w:ascii="Times New Roman;Times;Serif" w:hAnsi="Times New Roman;Times;Serif"/>
          <w:b w:val="false"/>
          <w:i w:val="false"/>
          <w:caps w:val="false"/>
          <w:smallCaps w:val="false"/>
          <w:sz w:val="20"/>
        </w:rPr>
        <w:t>19.8 million liability to licensor as of December 31, 2025 and 2024.</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F-44</w:t>
      </w:r>
    </w:p>
    <w:p>
      <w:pPr>
        <w:pStyle w:val="TextBody"/>
        <w:bidi w:val="0"/>
        <w:spacing w:before="0" w:after="0"/>
        <w:ind w:left="720" w:right="720" w:hanging="0"/>
        <w:jc w:val="left"/>
        <w:rPr/>
      </w:pPr>
      <w:r>
        <w:rPr/>
        <w:t> </w:t>
      </w:r>
    </w:p>
    <w:p>
      <w:pPr>
        <w:pStyle w:val="TextBody"/>
        <w:bidi w:val="0"/>
        <w:spacing w:before="720" w:after="72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and Supply Agreement with Bristol-Myers Squibb</w:t>
      </w:r>
    </w:p>
    <w:p>
      <w:pPr>
        <w:pStyle w:val="TextBody"/>
        <w:bidi w:val="0"/>
        <w:spacing w:before="0" w:after="0"/>
        <w:ind w:left="720" w:right="720" w:firstLine="245"/>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Company and Bristol-Myers Squibb Company (“BMS”) entered into a clinical trial collaboration and supply agreement (the “BMS Agreement”). Under the terms of the BMS Agreement, BioAtla and BMS collaborate on clinical trials of separate combination therapies using two of BioAtla’s CAB ADCs, mecbotamab vedotin (BA3011) and ozuriftamab vedotin (BA3021), each in combination with Opdivo® (nivolumab), BMS’ proprietary anti-PD-1 monoclonal antibody product. The Company serves as the study sponsor of the scheduled studies and is responsible for costs associated with the trial execution. BMS provides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the Company’s mecbotamab vedotin and ozuriftamab vedotin combination study trials. There was no impact to the Company’s financial results for the years ended December 31, 2025 or 2024 as a result of this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 with Context Therapeutics Inc.</w:t>
      </w:r>
    </w:p>
    <w:p>
      <w:pPr>
        <w:pStyle w:val="TextBody"/>
        <w:bidi w:val="0"/>
        <w:spacing w:before="0" w:after="0"/>
        <w:ind w:left="720" w:right="720" w:firstLine="245"/>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w:t>
      </w:r>
      <w:bookmarkStart w:id="1181" w:name="xdx_90A_ecustom--MaximumPotentialAggrega"/>
      <w:bookmarkEnd w:id="1181"/>
      <w:r>
        <w:rPr>
          <w:rFonts w:ascii="Times New Roman;Times;Serif" w:hAnsi="Times New Roman;Times;Serif"/>
          <w:b w:val="false"/>
          <w:i w:val="false"/>
          <w:caps w:val="false"/>
          <w:smallCaps w:val="false"/>
          <w:sz w:val="20"/>
        </w:rPr>
        <w:t>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10).</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Further, the Company determined that there were no significant financing components, noncash consideration, or amounts that may be refunded to the customer.</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 In November 2025, the Company received the first $2.0 million milestone payment under the Context License Agreement for progress with their CAB-Nectin-4 x CD3 TCE. All other variable consideration remains fully constrained as of December 31, 2025.</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1182" w:name="xdx_909_eus-gaap--Revenues_pn5n6_uUSD_c2"/>
      <w:bookmarkEnd w:id="1182"/>
      <w:r>
        <w:rPr>
          <w:rFonts w:ascii="Times New Roman;Times;Serif" w:hAnsi="Times New Roman;Times;Serif"/>
          <w:b w:val="false"/>
          <w:i w:val="false"/>
          <w:caps w:val="false"/>
          <w:smallCaps w:val="false"/>
          <w:sz w:val="20"/>
        </w:rPr>
        <w:t>2.0 million and $</w:t>
      </w:r>
      <w:bookmarkStart w:id="1183" w:name="xdx_904_eus-gaap--Revenues_pn5n6_uUSD_c2"/>
      <w:bookmarkEnd w:id="1183"/>
      <w:r>
        <w:rPr>
          <w:rFonts w:ascii="Times New Roman;Times;Serif" w:hAnsi="Times New Roman;Times;Serif"/>
          <w:b w:val="false"/>
          <w:i w:val="false"/>
          <w:caps w:val="false"/>
          <w:smallCaps w:val="false"/>
          <w:sz w:val="20"/>
        </w:rPr>
        <w:t>11.0 million of revenue related to the Context License Agreement for the years ended December 31, 2025 and 2024, respectively, included in Collaboration and Other Revenue.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caps w:val="false"/>
          <w:smallCaps w:val="false"/>
        </w:rPr>
      </w:pPr>
      <w:bookmarkStart w:id="1184" w:name="xdx_811_z15bN62xYQx1"/>
      <w:bookmarkEnd w:id="1184"/>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F-45</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1185" w:name="xdx_800_eus-gaap--RelatedPartyTransactio"/>
      <w:bookmarkEnd w:id="1185"/>
      <w:r>
        <w:rPr>
          <w:rFonts w:ascii="Times New Roman;Times;Serif" w:hAnsi="Times New Roman;Times;Serif"/>
          <w:b/>
          <w:i w:val="false"/>
          <w:caps w:val="false"/>
          <w:smallCaps w:val="false"/>
          <w:sz w:val="20"/>
        </w:rPr>
        <w:t xml:space="preserve">10. </w:t>
      </w:r>
      <w:bookmarkStart w:id="1186" w:name="xdx_82C_zhxvuXwOsgye"/>
      <w:bookmarkEnd w:id="1186"/>
      <w:r>
        <w:rPr>
          <w:rFonts w:ascii="Times New Roman;Times;Serif" w:hAnsi="Times New Roman;Times;Serif"/>
          <w:b/>
          <w:i w:val="false"/>
          <w:caps w:val="false"/>
          <w:smallCaps w:val="false"/>
          <w:sz w:val="20"/>
        </w:rPr>
        <w:t>Related Party Transactions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Inversagen, LLC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w:t>
      </w:r>
      <w:bookmarkStart w:id="1187" w:name="xdx_904_ecustom--OptionsGrantsRelatedToR"/>
      <w:bookmarkEnd w:id="1187"/>
      <w:r>
        <w:rPr>
          <w:rFonts w:ascii="Times New Roman;Times;Serif" w:hAnsi="Times New Roman;Times;Serif"/>
          <w:b w:val="false"/>
          <w:i w:val="false"/>
          <w:caps w:val="false"/>
          <w:smallCaps w:val="false"/>
          <w:sz w:val="20"/>
        </w:rPr>
        <w:t>10 years to acquire the immuno-oncology antibody in return for royalty payments in the low-single digits during the applicable royalty term. No payments have been made to date.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Inversagen has only nominal assets and liabilities and is a VIE as the entity lacks sufficient equity to finance its activities without additional subordinated financial support. The Company does not consolidate Inversagen as it is not the primary beneficiary; the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2025 and 2024.</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Inversagen is a related party of the Company. Dr. Jay Short and his spouse serve as managers of Inversagen.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BioAtla Holdings, LLC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w:t>
      </w:r>
      <w:bookmarkStart w:id="1188" w:name="xdx_905_ecustom--OptionsGrantsRelatedToR"/>
      <w:bookmarkEnd w:id="1188"/>
      <w:r>
        <w:rPr>
          <w:rFonts w:ascii="Times New Roman;Times;Serif" w:hAnsi="Times New Roman;Times;Serif"/>
          <w:b w:val="false"/>
          <w:i w:val="false"/>
          <w:caps w:val="false"/>
          <w:smallCaps w:val="false"/>
          <w:sz w:val="20"/>
        </w:rPr>
        <w:t>10 years to acquire the ACT Preparations and ACT Treatments in return for royalty payments in the low-single digits during the applicable royalty term. The Company has not exercised its option and no payments have been made to date under these agreements.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effective January 1, 2020, the Company entered into a Royalty Sharing Agreement whereby the Company agreed to share with BioAtla Holdings </w:t>
      </w:r>
      <w:bookmarkStart w:id="1189" w:name="xdx_904_ecustom--ShareOfRoyaltiesUnderRo"/>
      <w:bookmarkEnd w:id="1189"/>
      <w:r>
        <w:rPr>
          <w:rFonts w:ascii="Times New Roman;Times;Serif" w:hAnsi="Times New Roman;Times;Serif"/>
          <w:b w:val="false"/>
          <w:i w:val="false"/>
          <w:caps w:val="false"/>
          <w:smallCaps w:val="false"/>
          <w:sz w:val="20"/>
        </w:rPr>
        <w:t>50% of the royalties it receives from its Exclusive License Agreement with EXUMA Biotech Corp.</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2025 and 2024.</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Holdings is a related party of the Company. Dr. Jay Short and his spouse serve as managers of BioAtla Holdings.</w:t>
      </w:r>
    </w:p>
    <w:p>
      <w:pPr>
        <w:pStyle w:val="TextBody"/>
        <w:bidi w:val="0"/>
        <w:spacing w:before="0" w:after="0"/>
        <w:ind w:left="720" w:right="720" w:firstLine="440"/>
        <w:jc w:val="both"/>
        <w:rPr>
          <w:caps w:val="false"/>
          <w:smallCaps w:val="false"/>
        </w:rPr>
      </w:pPr>
      <w:bookmarkStart w:id="1190" w:name="xdx_234_zRizWBfKSGd"/>
      <w:bookmarkEnd w:id="1190"/>
      <w:r>
        <w:rPr>
          <w:caps w:val="false"/>
          <w:smallCaps w:val="false"/>
        </w:rPr>
        <w:t> </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F-46</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Himalaya Therapeutics SEZC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Rights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the Company to an IL-22 non-CAB-antibody. Payments to the Company may include upfront payments, milestone payments and double digit royalties, which represent a variable interest held by the Company, but no payments have been made to the Company to date.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Himalaya Therapeutics SEZC is a VIE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2025 and 2024 associated with its variable interest in Himalaya Therapeutics SEZC, and has no exposure to Himalaya Therapeutics SEZC losses.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Himalaya Therapeutics SEZC is a related party as Dr. Jay Short and his spouse serve as directors, and Dr. Short’s spouse also serves as an officer of such entity.</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Services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191" w:name="xdx_900_ecustom--DescriptionOfAgreementW"/>
      <w:bookmarkEnd w:id="1191"/>
      <w:r>
        <w:rPr>
          <w:rFonts w:ascii="Times New Roman;Times;Serif" w:hAnsi="Times New Roman;Times;Serif"/>
          <w:b w:val="false"/>
          <w:i w:val="false"/>
          <w:caps w:val="false"/>
          <w:smallCaps w:val="false"/>
          <w:sz w:val="20"/>
        </w:rPr>
        <w:t>In January 2024, the Company entered into an amended Clinical Trial Services Agreement (as so amended, the “Clinical Trial Services Agreement”) with Himalaya Therapeutics SEZC (“Himalaya”). Under the Clinical Trial Services Agreement, BioAtla paid Himalaya for services related to the initiation of clinical trials for evalstotug in China for a period of 12 months. All payments have been made under the Clinical Trial Services Agreement as of December 31, 2024.</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Transaction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bookmarkStart w:id="1192" w:name="xdx_908_ecustom--DescriptionOfAgreementW"/>
      <w:bookmarkEnd w:id="1192"/>
      <w:r>
        <w:rPr>
          <w:rFonts w:ascii="Times New Roman;Times;Serif" w:hAnsi="Times New Roman;Times;Serif"/>
          <w:b w:val="false"/>
          <w:i w:val="false"/>
          <w:caps w:val="false"/>
          <w:smallCaps w:val="false"/>
          <w:sz w:val="20"/>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recognized $</w:t>
      </w:r>
      <w:bookmarkStart w:id="1193" w:name="xdx_901_eus-gaap--ResearchAndDevelopment"/>
      <w:bookmarkEnd w:id="1193"/>
      <w:r>
        <w:rPr>
          <w:rFonts w:ascii="Times New Roman;Times;Serif" w:hAnsi="Times New Roman;Times;Serif"/>
          <w:b w:val="false"/>
          <w:i w:val="false"/>
          <w:caps w:val="false"/>
          <w:smallCaps w:val="false"/>
          <w:sz w:val="20"/>
        </w:rPr>
        <w:t>0.3 million related to the transactions with Himalaya, compared to $</w:t>
      </w:r>
      <w:bookmarkStart w:id="1194" w:name="xdx_90F_eus-gaap--ResearchAndDevelopment"/>
      <w:bookmarkEnd w:id="1194"/>
      <w:r>
        <w:rPr>
          <w:rFonts w:ascii="Times New Roman;Times;Serif" w:hAnsi="Times New Roman;Times;Serif"/>
          <w:b w:val="false"/>
          <w:i w:val="false"/>
          <w:caps w:val="false"/>
          <w:smallCaps w:val="false"/>
          <w:sz w:val="20"/>
        </w:rPr>
        <w:t>2.2 million for the year ended December 31, 2024. The Company did not have any amounts due from or due to Himalaya as of December 31, 2025 or 2024.</w:t>
      </w:r>
    </w:p>
    <w:p>
      <w:pPr>
        <w:pStyle w:val="TextBody"/>
        <w:bidi w:val="0"/>
        <w:spacing w:before="0" w:after="0"/>
        <w:ind w:left="720" w:right="720" w:firstLine="440"/>
        <w:jc w:val="both"/>
        <w:rPr>
          <w:caps w:val="false"/>
          <w:smallCaps w:val="false"/>
        </w:rPr>
      </w:pPr>
      <w:bookmarkStart w:id="1195" w:name="xdx_236_zyAQA7EZ1sXa"/>
      <w:bookmarkEnd w:id="1195"/>
      <w:r>
        <w:rPr>
          <w:caps w:val="false"/>
          <w:smallCaps w:val="false"/>
        </w:rPr>
        <w:t> </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F-47</w:t>
      </w:r>
    </w:p>
    <w:p>
      <w:pPr>
        <w:pStyle w:val="TextBody"/>
        <w:bidi w:val="0"/>
        <w:spacing w:before="0" w:after="0"/>
        <w:ind w:left="720" w:right="720" w:hanging="0"/>
        <w:jc w:val="left"/>
        <w:rPr/>
      </w:pPr>
      <w:r>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Himalaya Parent LLC</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Jay Short and his spouse serve as managers of Himalaya Parent LLC. The Company does not have a variable interest in Himalaya Parent LLC.</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 3021 SPV, LLC </w:t>
      </w:r>
    </w:p>
    <w:p>
      <w:pPr>
        <w:pStyle w:val="TextBody"/>
        <w:bidi w:val="0"/>
        <w:spacing w:before="0" w:after="0"/>
        <w:ind w:left="720" w:right="720" w:firstLine="110"/>
        <w:jc w:val="both"/>
        <w:rPr>
          <w:caps w:val="false"/>
          <w:smallCaps w:val="false"/>
        </w:rPr>
      </w:pPr>
      <w:r>
        <w:rPr>
          <w:caps w:val="false"/>
          <w:smallCaps w:val="false"/>
        </w:rPr>
        <w:t> </w:t>
      </w:r>
    </w:p>
    <w:p>
      <w:pPr>
        <w:pStyle w:val="TextBody"/>
        <w:bidi w:val="0"/>
        <w:spacing w:before="0" w:after="0"/>
        <w:ind w:left="720" w:right="720" w:firstLine="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December 31, 2025.  The Company determined that BioAtla is the primary beneficiary of the SPV as of December 31, 2025.</w:t>
      </w:r>
    </w:p>
    <w:p>
      <w:pPr>
        <w:pStyle w:val="TextBody"/>
        <w:bidi w:val="0"/>
        <w:spacing w:before="0" w:after="0"/>
        <w:ind w:left="720" w:right="720" w:firstLine="440"/>
        <w:jc w:val="both"/>
        <w:rPr>
          <w:caps w:val="false"/>
          <w:smallCaps w:val="false"/>
        </w:rPr>
      </w:pPr>
      <w:bookmarkStart w:id="1196" w:name="xdx_813_zAsNUUbuhVuc"/>
      <w:bookmarkEnd w:id="1196"/>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1197" w:name="xdx_808_eus-gaap--PensionAndOtherPostret"/>
      <w:bookmarkEnd w:id="1197"/>
      <w:r>
        <w:rPr>
          <w:rFonts w:ascii="Times New Roman;Times;Serif" w:hAnsi="Times New Roman;Times;Serif"/>
          <w:b/>
          <w:i w:val="false"/>
          <w:caps w:val="false"/>
          <w:smallCaps w:val="false"/>
          <w:sz w:val="20"/>
        </w:rPr>
        <w:t xml:space="preserve">11. </w:t>
      </w:r>
      <w:bookmarkStart w:id="1198" w:name="xdx_821_zoZFGbwHOp94"/>
      <w:bookmarkEnd w:id="1198"/>
      <w:r>
        <w:rPr>
          <w:rFonts w:ascii="Times New Roman;Times;Serif" w:hAnsi="Times New Roman;Times;Serif"/>
          <w:b/>
          <w:i w:val="false"/>
          <w:caps w:val="false"/>
          <w:smallCaps w:val="false"/>
          <w:sz w:val="20"/>
        </w:rPr>
        <w:t>401(k) Plan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w:t>
      </w:r>
      <w:bookmarkStart w:id="1199" w:name="xdx_90A_eus-gaap--DefinedContributionPla"/>
      <w:bookmarkEnd w:id="1199"/>
      <w:r>
        <w:rPr>
          <w:rFonts w:ascii="Times New Roman;Times;Serif" w:hAnsi="Times New Roman;Times;Serif"/>
          <w:b w:val="false"/>
          <w:i w:val="false"/>
          <w:caps w:val="false"/>
          <w:smallCaps w:val="false"/>
          <w:sz w:val="20"/>
        </w:rPr>
        <w:t>not made any matching contributions.</w:t>
      </w:r>
    </w:p>
    <w:p>
      <w:pPr>
        <w:pStyle w:val="TextBody"/>
        <w:bidi w:val="0"/>
        <w:spacing w:before="0" w:after="0"/>
        <w:ind w:left="720" w:right="720" w:hanging="0"/>
        <w:jc w:val="both"/>
        <w:rPr>
          <w:caps w:val="false"/>
          <w:smallCaps w:val="false"/>
        </w:rPr>
      </w:pPr>
      <w:bookmarkStart w:id="1200" w:name="xdx_815_z6woR7n3U2Yc"/>
      <w:bookmarkEnd w:id="1200"/>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1201" w:name="xdx_80C_eus-gaap--IncomeTaxDisclosureTex"/>
      <w:bookmarkEnd w:id="1201"/>
      <w:r>
        <w:rPr>
          <w:rFonts w:ascii="Times New Roman;Times;Serif" w:hAnsi="Times New Roman;Times;Serif"/>
          <w:b/>
          <w:i w:val="false"/>
          <w:caps w:val="false"/>
          <w:smallCaps w:val="false"/>
          <w:sz w:val="20"/>
        </w:rPr>
        <w:t>12.</w:t>
      </w:r>
      <w:bookmarkStart w:id="1202" w:name="xdx_82D_zySBYmYWWHUb"/>
      <w:bookmarkEnd w:id="1202"/>
      <w:r>
        <w:rPr>
          <w:rFonts w:ascii="Times New Roman;Times;Serif" w:hAnsi="Times New Roman;Times;Serif"/>
          <w:b/>
          <w:i w:val="false"/>
          <w:caps w:val="false"/>
          <w:smallCaps w:val="false"/>
          <w:sz w:val="20"/>
        </w:rPr>
        <w:t xml:space="preserve"> Income Taxes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bookmarkStart w:id="1203" w:name="xdx_897_eus-gaap--ScheduleOfUnrecognized"/>
      <w:bookmarkEnd w:id="1203"/>
      <w:r>
        <w:rPr>
          <w:rFonts w:ascii="Times New Roman;Times;Serif" w:hAnsi="Times New Roman;Times;Serif"/>
          <w:b w:val="false"/>
          <w:i w:val="false"/>
          <w:caps w:val="false"/>
          <w:smallCaps w:val="false"/>
          <w:sz w:val="20"/>
        </w:rPr>
        <w:t>A reconciliation of income tax expense computed at the U.S. federal statutory income tax rate to the Company’s income tax expense is as follows (in thousands):</w:t>
      </w:r>
      <w:bookmarkStart w:id="1204" w:name="xdx_912_eus-gaap--ForeignCountryMember_z"/>
      <w:bookmarkEnd w:id="1204"/>
      <w:r>
        <w:rPr>
          <w:rFonts w:ascii="Times New Roman;Times;Serif" w:hAnsi="Times New Roman;Times;Serif"/>
          <w:b w:val="false"/>
          <w:i w:val="false"/>
          <w:caps w:val="false"/>
          <w:smallCaps w:val="false"/>
          <w:sz w:val="20"/>
        </w:rPr>
        <w:t>U.S. Federal Statutory Income Tax Rate [Member]</w:t>
      </w:r>
    </w:p>
    <w:p>
      <w:pPr>
        <w:pStyle w:val="TextBody"/>
        <w:bidi w:val="0"/>
        <w:spacing w:before="0" w:after="0"/>
        <w:ind w:left="720" w:right="720" w:firstLine="440"/>
        <w:jc w:val="both"/>
        <w:rPr>
          <w:caps w:val="false"/>
          <w:smallCaps w:val="false"/>
        </w:rPr>
      </w:pPr>
      <w:r>
        <w:rPr>
          <w:caps w:val="false"/>
          <w:smallCaps w:val="false"/>
        </w:rPr>
        <w:t> </w:t>
      </w:r>
      <w:bookmarkStart w:id="1205" w:name="xdx_8B7_zH6wkrRqmFzd"/>
      <w:bookmarkEnd w:id="1205"/>
      <w:r>
        <w:rPr>
          <w:rFonts w:ascii="Times New Roman;Times;Serif" w:hAnsi="Times New Roman;Times;Serif"/>
          <w:b w:val="false"/>
          <w:i w:val="false"/>
          <w:caps w:val="false"/>
          <w:smallCaps w:val="false"/>
          <w:sz w:val="20"/>
        </w:rPr>
        <w:t>Schedule of reconciliation of income tax expense</w:t>
      </w:r>
    </w:p>
    <w:tbl>
      <w:tblPr>
        <w:tblW w:w="7185" w:type="dxa"/>
        <w:jc w:val="left"/>
        <w:tblInd w:w="720" w:type="dxa"/>
        <w:tblLayout w:type="fixed"/>
        <w:tblCellMar>
          <w:top w:w="0" w:type="dxa"/>
          <w:left w:w="0" w:type="dxa"/>
          <w:bottom w:w="0" w:type="dxa"/>
          <w:right w:w="0" w:type="dxa"/>
        </w:tblCellMar>
      </w:tblPr>
      <w:tblGrid>
        <w:gridCol w:w="5195"/>
        <w:gridCol w:w="60"/>
        <w:gridCol w:w="140"/>
        <w:gridCol w:w="755"/>
        <w:gridCol w:w="95"/>
        <w:gridCol w:w="60"/>
        <w:gridCol w:w="60"/>
        <w:gridCol w:w="515"/>
        <w:gridCol w:w="305"/>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Year Ended </w:t>
              <w:br/>
              <w:t>December 31, 2025</w:t>
            </w:r>
          </w:p>
        </w:tc>
        <w:tc>
          <w:tcPr>
            <w:tcW w:w="30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30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Tax computed at the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206" w:name="xdx_988_eus-gaap--IncomeTaxReconciliatio"/>
            <w:bookmarkEnd w:id="1206"/>
          </w:p>
        </w:tc>
        <w:tc>
          <w:tcPr>
            <w:tcW w:w="755" w:type="dxa"/>
            <w:tcBorders/>
            <w:shd w:fill="CCEEFF" w:val="clear"/>
            <w:vAlign w:val="center"/>
          </w:tcPr>
          <w:p>
            <w:pPr>
              <w:pStyle w:val="TableContents"/>
              <w:bidi w:val="0"/>
              <w:spacing w:before="0" w:after="283"/>
              <w:jc w:val="right"/>
              <w:rPr/>
            </w:pPr>
            <w:r>
              <w:rPr/>
              <w:t>(12,518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07" w:name="xdx_98A_eus-gaap--EffectiveIncomeTaxRate"/>
            <w:bookmarkEnd w:id="1207"/>
          </w:p>
        </w:tc>
        <w:tc>
          <w:tcPr>
            <w:tcW w:w="515"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left"/>
              <w:rPr>
                <w:sz w:val="20"/>
              </w:rPr>
            </w:pPr>
            <w:r>
              <w:rPr>
                <w:sz w:val="20"/>
              </w:rPr>
              <w:t xml:space="preserve">State and local income taxes, net of federal income tax effect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08" w:name="xdx_986_eus-gaap--IncomeTaxReconciliatio"/>
            <w:bookmarkEnd w:id="1208"/>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9" w:name="xdx_984_eus-gaap--EffectiveIncomeTaxRate"/>
            <w:bookmarkEnd w:id="1209"/>
          </w:p>
        </w:tc>
        <w:tc>
          <w:tcPr>
            <w:tcW w:w="515"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Research and development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10" w:name="xdx_980_eus-gaap--IncomeTaxReconciliatio"/>
            <w:bookmarkEnd w:id="1210"/>
          </w:p>
        </w:tc>
        <w:tc>
          <w:tcPr>
            <w:tcW w:w="755" w:type="dxa"/>
            <w:tcBorders/>
            <w:shd w:fill="FFFFFF" w:val="clear"/>
            <w:vAlign w:val="center"/>
          </w:tcPr>
          <w:p>
            <w:pPr>
              <w:pStyle w:val="TableContents"/>
              <w:bidi w:val="0"/>
              <w:spacing w:before="0" w:after="283"/>
              <w:jc w:val="right"/>
              <w:rPr/>
            </w:pPr>
            <w:r>
              <w:rPr/>
              <w:t>(1,279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1" w:name="xdx_98A_eus-gaap--EffectiveIncomeTaxRate"/>
            <w:bookmarkEnd w:id="1211"/>
          </w:p>
        </w:tc>
        <w:tc>
          <w:tcPr>
            <w:tcW w:w="515" w:type="dxa"/>
            <w:tcBorders/>
            <w:shd w:fill="FFFFFF" w:val="clear"/>
            <w:vAlign w:val="center"/>
          </w:tcPr>
          <w:p>
            <w:pPr>
              <w:pStyle w:val="TableContents"/>
              <w:bidi w:val="0"/>
              <w:spacing w:before="0" w:after="283"/>
              <w:jc w:val="right"/>
              <w:rPr/>
            </w:pPr>
            <w:r>
              <w:rPr/>
              <w:t>2.1</w:t>
            </w:r>
          </w:p>
        </w:tc>
        <w:tc>
          <w:tcPr>
            <w:tcW w:w="305"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Orphan drug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12" w:name="xdx_986_ecustom--EffectiveIncomeTaxRateR"/>
            <w:bookmarkEnd w:id="1212"/>
          </w:p>
        </w:tc>
        <w:tc>
          <w:tcPr>
            <w:tcW w:w="755" w:type="dxa"/>
            <w:tcBorders/>
            <w:shd w:fill="CCEEFF" w:val="clear"/>
            <w:vAlign w:val="center"/>
          </w:tcPr>
          <w:p>
            <w:pPr>
              <w:pStyle w:val="TableContents"/>
              <w:bidi w:val="0"/>
              <w:spacing w:before="0" w:after="283"/>
              <w:jc w:val="right"/>
              <w:rPr/>
            </w:pPr>
            <w:r>
              <w:rPr/>
              <w:t>(533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3" w:name="xdx_98A_ecustom--EffectiveIncomeTaxRateR"/>
            <w:bookmarkEnd w:id="1213"/>
          </w:p>
        </w:tc>
        <w:tc>
          <w:tcPr>
            <w:tcW w:w="515" w:type="dxa"/>
            <w:tcBorders/>
            <w:shd w:fill="CCEEFF" w:val="clear"/>
            <w:vAlign w:val="center"/>
          </w:tcPr>
          <w:p>
            <w:pPr>
              <w:pStyle w:val="TableContents"/>
              <w:bidi w:val="0"/>
              <w:spacing w:before="0" w:after="283"/>
              <w:jc w:val="right"/>
              <w:rPr/>
            </w:pPr>
            <w:r>
              <w:rPr/>
              <w:t>0.9</w:t>
            </w:r>
          </w:p>
        </w:tc>
        <w:tc>
          <w:tcPr>
            <w:tcW w:w="305"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14" w:name="xdx_984_eus-gaap--IncomeTaxReconciliatio"/>
            <w:bookmarkEnd w:id="1214"/>
          </w:p>
        </w:tc>
        <w:tc>
          <w:tcPr>
            <w:tcW w:w="755" w:type="dxa"/>
            <w:tcBorders/>
            <w:shd w:fill="FFFFFF" w:val="clear"/>
            <w:vAlign w:val="center"/>
          </w:tcPr>
          <w:p>
            <w:pPr>
              <w:pStyle w:val="TableContents"/>
              <w:bidi w:val="0"/>
              <w:spacing w:before="0" w:after="283"/>
              <w:jc w:val="right"/>
              <w:rPr/>
            </w:pPr>
            <w:r>
              <w:rPr/>
              <w:t>12,829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5" w:name="xdx_985_eus-gaap--EffectiveIncomeTaxRate"/>
            <w:bookmarkEnd w:id="1215"/>
          </w:p>
        </w:tc>
        <w:tc>
          <w:tcPr>
            <w:tcW w:w="515" w:type="dxa"/>
            <w:tcBorders/>
            <w:shd w:fill="FFFFFF" w:val="clear"/>
            <w:vAlign w:val="center"/>
          </w:tcPr>
          <w:p>
            <w:pPr>
              <w:pStyle w:val="TableContents"/>
              <w:bidi w:val="0"/>
              <w:spacing w:before="0" w:after="283"/>
              <w:jc w:val="right"/>
              <w:rPr/>
            </w:pPr>
            <w:r>
              <w:rPr/>
              <w:t>(21.5</w:t>
            </w:r>
          </w:p>
        </w:tc>
        <w:tc>
          <w:tcPr>
            <w:tcW w:w="305"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Permanent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16" w:name="xdx_988_ecustom--EffectiveIncomeTaxRateR"/>
            <w:bookmarkEnd w:id="1216"/>
          </w:p>
        </w:tc>
        <w:tc>
          <w:tcPr>
            <w:tcW w:w="755"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7" w:name="xdx_98D_ecustom--EffectiveIncomeTaxRateR"/>
            <w:bookmarkEnd w:id="1217"/>
          </w:p>
        </w:tc>
        <w:tc>
          <w:tcPr>
            <w:tcW w:w="515" w:type="dxa"/>
            <w:tcBorders/>
            <w:shd w:fill="FFFFFF" w:val="clear"/>
            <w:vAlign w:val="center"/>
          </w:tcPr>
          <w:p>
            <w:pPr>
              <w:pStyle w:val="TableContents"/>
              <w:bidi w:val="0"/>
              <w:spacing w:before="0" w:after="283"/>
              <w:jc w:val="right"/>
              <w:rPr/>
            </w:pPr>
            <w:r>
              <w:rPr/>
              <w:t>(0.2</w:t>
            </w:r>
          </w:p>
        </w:tc>
        <w:tc>
          <w:tcPr>
            <w:tcW w:w="305"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Equity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18" w:name="xdx_98C_eus-gaap--IncomeTaxReconciliatio"/>
            <w:bookmarkEnd w:id="1218"/>
          </w:p>
        </w:tc>
        <w:tc>
          <w:tcPr>
            <w:tcW w:w="755" w:type="dxa"/>
            <w:tcBorders/>
            <w:shd w:fill="CCEEFF" w:val="clear"/>
            <w:vAlign w:val="center"/>
          </w:tcPr>
          <w:p>
            <w:pPr>
              <w:pStyle w:val="TableContents"/>
              <w:bidi w:val="0"/>
              <w:spacing w:before="0" w:after="283"/>
              <w:jc w:val="right"/>
              <w:rPr/>
            </w:pPr>
            <w:r>
              <w:rPr/>
              <w:t>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9" w:name="xdx_981_eus-gaap--EffectiveIncomeTaxRate"/>
            <w:bookmarkEnd w:id="1219"/>
          </w:p>
        </w:tc>
        <w:tc>
          <w:tcPr>
            <w:tcW w:w="515" w:type="dxa"/>
            <w:tcBorders/>
            <w:shd w:fill="CCEEFF" w:val="clear"/>
            <w:vAlign w:val="center"/>
          </w:tcPr>
          <w:p>
            <w:pPr>
              <w:pStyle w:val="TableContents"/>
              <w:bidi w:val="0"/>
              <w:spacing w:before="0" w:after="283"/>
              <w:jc w:val="right"/>
              <w:rPr/>
            </w:pPr>
            <w:r>
              <w:rPr/>
              <w:t>(0.7</w:t>
            </w:r>
          </w:p>
        </w:tc>
        <w:tc>
          <w:tcPr>
            <w:tcW w:w="305"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left"/>
              <w:rPr/>
            </w:pPr>
            <w:r>
              <w:rPr/>
              <w:t>Nondeductible officer’s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20" w:name="xdx_985_eus-gaap--IncomeTaxReconciliatio"/>
            <w:bookmarkEnd w:id="1220"/>
          </w:p>
        </w:tc>
        <w:tc>
          <w:tcPr>
            <w:tcW w:w="755" w:type="dxa"/>
            <w:tcBorders/>
            <w:shd w:fill="FFFFFF" w:val="clear"/>
            <w:vAlign w:val="center"/>
          </w:tcPr>
          <w:p>
            <w:pPr>
              <w:pStyle w:val="TableContents"/>
              <w:bidi w:val="0"/>
              <w:spacing w:before="0" w:after="283"/>
              <w:jc w:val="right"/>
              <w:rPr/>
            </w:pPr>
            <w:r>
              <w:rPr/>
              <w:t>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1" w:name="xdx_986_eus-gaap--EffectiveIncomeTaxRate"/>
            <w:bookmarkEnd w:id="1221"/>
          </w:p>
        </w:tc>
        <w:tc>
          <w:tcPr>
            <w:tcW w:w="515" w:type="dxa"/>
            <w:tcBorders/>
            <w:shd w:fill="FFFFFF" w:val="clear"/>
            <w:vAlign w:val="center"/>
          </w:tcPr>
          <w:p>
            <w:pPr>
              <w:pStyle w:val="TableContents"/>
              <w:bidi w:val="0"/>
              <w:spacing w:before="0" w:after="283"/>
              <w:jc w:val="right"/>
              <w:rPr/>
            </w:pPr>
            <w:r>
              <w:rPr/>
              <w:t>(1.6</w:t>
            </w:r>
          </w:p>
        </w:tc>
        <w:tc>
          <w:tcPr>
            <w:tcW w:w="305"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22" w:name="xdx_984_eus-gaap--IncomeTaxReconciliatio"/>
            <w:bookmarkEnd w:id="1222"/>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3" w:name="xdx_98C_eus-gaap--EffectiveIncomeTaxRate"/>
            <w:bookmarkEnd w:id="1223"/>
          </w:p>
        </w:tc>
        <w:tc>
          <w:tcPr>
            <w:tcW w:w="51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left"/>
              <w:rPr/>
            </w:pPr>
            <w:r>
              <w:rPr/>
              <w:t>Other,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4" w:name="xdx_984_eus-gaap--IncomeTaxReconciliatio"/>
            <w:bookmarkEnd w:id="1224"/>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5" w:name="xdx_982_eus-gaap--EffectiveIncomeTaxRate"/>
            <w:bookmarkEnd w:id="1225"/>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26" w:name="xdx_98C_eus-gaap--IncomeTaxExpenseBenefi"/>
            <w:bookmarkEnd w:id="1226"/>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27" w:name="xdx_98E_eus-gaap--EffectiveIncomeTaxRate"/>
            <w:bookmarkEnd w:id="1227"/>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720" w:after="72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229"/>
        <w:gridCol w:w="8536"/>
      </w:tblGrid>
      <w:tr>
        <w:trPr/>
        <w:tc>
          <w:tcPr>
            <w:tcW w:w="8765" w:type="dxa"/>
            <w:gridSpan w:val="2"/>
            <w:tcBorders/>
            <w:vAlign w:val="center"/>
          </w:tcPr>
          <w:p>
            <w:pPr>
              <w:pStyle w:val="TableContents"/>
              <w:bidi w:val="0"/>
              <w:spacing w:before="60" w:after="60"/>
              <w:jc w:val="left"/>
              <w:rPr>
                <w:bdr w:val="single" w:sz="8" w:space="1" w:color="000000"/>
              </w:rPr>
            </w:pPr>
            <w:r>
              <w:rPr>
                <w:bdr w:val="single" w:sz="8" w:space="1" w:color="000000"/>
              </w:rPr>
              <w:t> </w:t>
            </w:r>
          </w:p>
        </w:tc>
      </w:tr>
      <w:tr>
        <w:trPr/>
        <w:tc>
          <w:tcPr>
            <w:tcW w:w="229" w:type="dxa"/>
            <w:tcBorders/>
            <w:vAlign w:val="center"/>
          </w:tcPr>
          <w:p>
            <w:pPr>
              <w:pStyle w:val="TableContents"/>
              <w:bidi w:val="0"/>
              <w:spacing w:before="0" w:after="283"/>
              <w:jc w:val="left"/>
              <w:rPr>
                <w:sz w:val="16"/>
              </w:rPr>
            </w:pPr>
            <w:bookmarkStart w:id="1228" w:name="xdx_F06_zz1QWD4hMa9e"/>
            <w:bookmarkEnd w:id="1228"/>
            <w:r>
              <w:rPr>
                <w:position w:val="5"/>
                <w:sz w:val="13"/>
                <w:sz w:val="16"/>
              </w:rPr>
              <w:t>(1)</w:t>
            </w:r>
            <w:r>
              <w:rPr>
                <w:sz w:val="16"/>
              </w:rPr>
              <w:t> </w:t>
            </w:r>
          </w:p>
        </w:tc>
        <w:tc>
          <w:tcPr>
            <w:tcW w:w="8536" w:type="dxa"/>
            <w:tcBorders/>
            <w:vAlign w:val="center"/>
          </w:tcPr>
          <w:p>
            <w:pPr>
              <w:pStyle w:val="TableContents"/>
              <w:bidi w:val="0"/>
              <w:spacing w:before="0" w:after="283"/>
              <w:jc w:val="both"/>
              <w:rPr>
                <w:sz w:val="16"/>
              </w:rPr>
            </w:pPr>
            <w:bookmarkStart w:id="1229" w:name="xdx_F13_zllKiuQ2DvOe"/>
            <w:bookmarkEnd w:id="1229"/>
            <w:r>
              <w:rPr>
                <w:sz w:val="16"/>
              </w:rPr>
              <w:t>The state that contributes to the majority (greater than 50%) of the tax effect in this category was California for year ending December 31, 2025.</w:t>
            </w:r>
          </w:p>
        </w:tc>
      </w:tr>
    </w:tbl>
    <w:p>
      <w:pPr>
        <w:pStyle w:val="TextBody"/>
        <w:bidi w:val="0"/>
        <w:spacing w:before="0" w:after="0"/>
        <w:ind w:left="720" w:right="720" w:firstLine="446"/>
        <w:jc w:val="both"/>
        <w:rPr>
          <w:caps w:val="false"/>
          <w:smallCaps w:val="false"/>
        </w:rPr>
      </w:pPr>
      <w:bookmarkStart w:id="1230" w:name="xdx_230_z5sbNM3mciq4"/>
      <w:bookmarkEnd w:id="1230"/>
      <w:r>
        <w:rPr>
          <w:caps w:val="false"/>
          <w:smallCaps w:val="false"/>
        </w:rPr>
        <w:t> </w:t>
      </w:r>
    </w:p>
    <w:p>
      <w:pPr>
        <w:pStyle w:val="TextBody"/>
        <w:bidi w:val="0"/>
        <w:spacing w:before="0" w:after="0"/>
        <w:ind w:left="720" w:right="720" w:firstLine="446"/>
        <w:jc w:val="both"/>
        <w:rPr>
          <w:caps w:val="false"/>
          <w:smallCaps w:val="false"/>
        </w:rPr>
      </w:pPr>
      <w:bookmarkStart w:id="1231" w:name="xdx_230_zy4OSHnhEZV6"/>
      <w:bookmarkEnd w:id="1231"/>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prior to the adoption of ASU 2023-09, a reconciliation of the income tax expense computed at the U.S. federal statutory income tax rate to the Company’s income tax expense is as follows (in thousands):</w:t>
      </w:r>
    </w:p>
    <w:p>
      <w:pPr>
        <w:pStyle w:val="TextBody"/>
        <w:bidi w:val="0"/>
        <w:spacing w:before="0" w:after="0"/>
        <w:ind w:left="720" w:right="720" w:firstLine="446"/>
        <w:jc w:val="left"/>
        <w:rPr>
          <w:caps w:val="false"/>
          <w:smallCaps w:val="false"/>
        </w:rPr>
      </w:pPr>
      <w:r>
        <w:rPr>
          <w:caps w:val="false"/>
          <w:smallCaps w:val="false"/>
        </w:rPr>
        <w:t> </w:t>
      </w:r>
    </w:p>
    <w:tbl>
      <w:tblPr>
        <w:tblW w:w="6464" w:type="dxa"/>
        <w:jc w:val="left"/>
        <w:tblInd w:w="720" w:type="dxa"/>
        <w:tblLayout w:type="fixed"/>
        <w:tblCellMar>
          <w:top w:w="0" w:type="dxa"/>
          <w:left w:w="0" w:type="dxa"/>
          <w:bottom w:w="0" w:type="dxa"/>
          <w:right w:w="0" w:type="dxa"/>
        </w:tblCellMar>
      </w:tblPr>
      <w:tblGrid>
        <w:gridCol w:w="4880"/>
        <w:gridCol w:w="60"/>
        <w:gridCol w:w="221"/>
        <w:gridCol w:w="1193"/>
        <w:gridCol w:w="110"/>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32" w:name="xdx_492_20240101__20241231_z1LofuJx1g93"/>
            <w:bookmarkEnd w:id="123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 xml:space="preserve">Year Ended </w:t>
              <w:br/>
              <w:t>December 31, 2024</w:t>
            </w:r>
          </w:p>
        </w:tc>
        <w:tc>
          <w:tcPr>
            <w:tcW w:w="110" w:type="dxa"/>
            <w:tcBorders/>
            <w:vAlign w:val="center"/>
          </w:tcPr>
          <w:p>
            <w:pPr>
              <w:pStyle w:val="TableContents"/>
              <w:bidi w:val="0"/>
              <w:spacing w:before="0" w:after="283"/>
              <w:jc w:val="left"/>
              <w:rPr/>
            </w:pPr>
            <w:r>
              <w:rPr/>
              <w:t> </w:t>
            </w:r>
            <w:bookmarkStart w:id="1233" w:name="xdx_400_eus-gaap--IncomeTaxReconciliatio"/>
            <w:bookmarkEnd w:id="1233"/>
          </w:p>
        </w:tc>
      </w:tr>
      <w:tr>
        <w:trPr/>
        <w:tc>
          <w:tcPr>
            <w:tcW w:w="4880" w:type="dxa"/>
            <w:tcBorders/>
            <w:shd w:fill="CCEEFF" w:val="clear"/>
            <w:vAlign w:val="center"/>
          </w:tcPr>
          <w:p>
            <w:pPr>
              <w:pStyle w:val="TableContents"/>
              <w:bidi w:val="0"/>
              <w:spacing w:before="0" w:after="283"/>
              <w:jc w:val="left"/>
              <w:rPr/>
            </w:pPr>
            <w:r>
              <w:rPr/>
              <w:t>Tax computed at the federal statutory rate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(14,653</w:t>
            </w:r>
          </w:p>
        </w:tc>
        <w:tc>
          <w:tcPr>
            <w:tcW w:w="110" w:type="dxa"/>
            <w:tcBorders/>
            <w:shd w:fill="CCEEFF" w:val="clear"/>
            <w:vAlign w:val="center"/>
          </w:tcPr>
          <w:p>
            <w:pPr>
              <w:pStyle w:val="TableContents"/>
              <w:bidi w:val="0"/>
              <w:spacing w:before="0" w:after="283"/>
              <w:jc w:val="left"/>
              <w:rPr/>
            </w:pPr>
            <w:r>
              <w:rPr/>
              <w:t>)</w:t>
            </w:r>
            <w:bookmarkStart w:id="1234" w:name="xdx_40C_eus-gaap--IncomeTaxReconciliatio"/>
            <w:bookmarkEnd w:id="1234"/>
          </w:p>
        </w:tc>
      </w:tr>
      <w:tr>
        <w:trPr/>
        <w:tc>
          <w:tcPr>
            <w:tcW w:w="4880" w:type="dxa"/>
            <w:tcBorders/>
            <w:shd w:fill="FFFFFF" w:val="clear"/>
            <w:vAlign w:val="center"/>
          </w:tcPr>
          <w:p>
            <w:pPr>
              <w:pStyle w:val="TableContents"/>
              <w:bidi w:val="0"/>
              <w:spacing w:before="0" w:after="283"/>
              <w:jc w:val="left"/>
              <w:rPr/>
            </w:pPr>
            <w:r>
              <w:rPr/>
              <w:t>State income taxes, net of federal tax benefit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w:t>
            </w:r>
            <w:bookmarkStart w:id="1235" w:name="xdx_40A_eus-gaap--IncomeTaxReconciliatio"/>
            <w:bookmarkEnd w:id="1235"/>
          </w:p>
        </w:tc>
      </w:tr>
      <w:tr>
        <w:trPr/>
        <w:tc>
          <w:tcPr>
            <w:tcW w:w="4880" w:type="dxa"/>
            <w:tcBorders/>
            <w:shd w:fill="CCEEFF" w:val="clear"/>
            <w:vAlign w:val="center"/>
          </w:tcPr>
          <w:p>
            <w:pPr>
              <w:pStyle w:val="TableContents"/>
              <w:bidi w:val="0"/>
              <w:spacing w:before="0" w:after="283"/>
              <w:jc w:val="left"/>
              <w:rPr/>
            </w:pPr>
            <w:r>
              <w:rPr/>
              <w:t>Nondeductible executive compensation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369</w:t>
            </w:r>
          </w:p>
        </w:tc>
        <w:tc>
          <w:tcPr>
            <w:tcW w:w="110" w:type="dxa"/>
            <w:tcBorders/>
            <w:shd w:fill="CCEEFF" w:val="clear"/>
            <w:vAlign w:val="center"/>
          </w:tcPr>
          <w:p>
            <w:pPr>
              <w:pStyle w:val="TableContents"/>
              <w:bidi w:val="0"/>
              <w:spacing w:before="0" w:after="283"/>
              <w:jc w:val="left"/>
              <w:rPr/>
            </w:pPr>
            <w:r>
              <w:rPr/>
              <w:t> </w:t>
            </w:r>
            <w:bookmarkStart w:id="1236" w:name="xdx_400_eus-gaap--AllocatedShareBasedCom"/>
            <w:bookmarkEnd w:id="1236"/>
          </w:p>
        </w:tc>
      </w:tr>
      <w:tr>
        <w:trPr/>
        <w:tc>
          <w:tcPr>
            <w:tcW w:w="488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294</w:t>
            </w:r>
          </w:p>
        </w:tc>
        <w:tc>
          <w:tcPr>
            <w:tcW w:w="110" w:type="dxa"/>
            <w:tcBorders/>
            <w:shd w:fill="FFFFFF" w:val="clear"/>
            <w:vAlign w:val="center"/>
          </w:tcPr>
          <w:p>
            <w:pPr>
              <w:pStyle w:val="TableContents"/>
              <w:bidi w:val="0"/>
              <w:spacing w:before="0" w:after="283"/>
              <w:jc w:val="left"/>
              <w:rPr/>
            </w:pPr>
            <w:r>
              <w:rPr/>
              <w:t> </w:t>
            </w:r>
            <w:bookmarkStart w:id="1237" w:name="xdx_403_eus-gaap--IncomeTaxReconciliatio"/>
            <w:bookmarkEnd w:id="1237"/>
          </w:p>
        </w:tc>
      </w:tr>
      <w:tr>
        <w:trPr/>
        <w:tc>
          <w:tcPr>
            <w:tcW w:w="4880" w:type="dxa"/>
            <w:tcBorders/>
            <w:shd w:fill="CCEEFF" w:val="clear"/>
            <w:vAlign w:val="center"/>
          </w:tcPr>
          <w:p>
            <w:pPr>
              <w:pStyle w:val="TableContents"/>
              <w:bidi w:val="0"/>
              <w:spacing w:before="0" w:after="283"/>
              <w:jc w:val="left"/>
              <w:rPr/>
            </w:pPr>
            <w:r>
              <w:rPr/>
              <w:t>Research and development and orphan drug credits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(3,789</w:t>
            </w:r>
          </w:p>
        </w:tc>
        <w:tc>
          <w:tcPr>
            <w:tcW w:w="110" w:type="dxa"/>
            <w:tcBorders/>
            <w:shd w:fill="CCEEFF" w:val="clear"/>
            <w:vAlign w:val="center"/>
          </w:tcPr>
          <w:p>
            <w:pPr>
              <w:pStyle w:val="TableContents"/>
              <w:bidi w:val="0"/>
              <w:spacing w:before="0" w:after="283"/>
              <w:jc w:val="left"/>
              <w:rPr/>
            </w:pPr>
            <w:r>
              <w:rPr/>
              <w:t>)</w:t>
            </w:r>
            <w:bookmarkStart w:id="1238" w:name="xdx_40D_eus-gaap--UnrecognizedTaxBenefit"/>
            <w:bookmarkEnd w:id="1238"/>
          </w:p>
        </w:tc>
      </w:tr>
      <w:tr>
        <w:trPr/>
        <w:tc>
          <w:tcPr>
            <w:tcW w:w="4880" w:type="dxa"/>
            <w:tcBorders/>
            <w:shd w:fill="FFFFFF" w:val="clear"/>
            <w:vAlign w:val="center"/>
          </w:tcPr>
          <w:p>
            <w:pPr>
              <w:pStyle w:val="TableContents"/>
              <w:bidi w:val="0"/>
              <w:spacing w:before="0" w:after="283"/>
              <w:jc w:val="left"/>
              <w:rPr/>
            </w:pPr>
            <w:r>
              <w:rPr/>
              <w:t>Uncertain tax positions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947</w:t>
            </w:r>
          </w:p>
        </w:tc>
        <w:tc>
          <w:tcPr>
            <w:tcW w:w="110" w:type="dxa"/>
            <w:tcBorders/>
            <w:shd w:fill="FFFFFF" w:val="clear"/>
            <w:vAlign w:val="center"/>
          </w:tcPr>
          <w:p>
            <w:pPr>
              <w:pStyle w:val="TableContents"/>
              <w:bidi w:val="0"/>
              <w:spacing w:before="0" w:after="283"/>
              <w:jc w:val="left"/>
              <w:rPr/>
            </w:pPr>
            <w:r>
              <w:rPr/>
              <w:t> </w:t>
            </w:r>
            <w:bookmarkStart w:id="1239" w:name="xdx_40F_eus-gaap--IncomeTaxReconciliatio"/>
            <w:bookmarkEnd w:id="1239"/>
          </w:p>
        </w:tc>
      </w:tr>
      <w:tr>
        <w:trPr/>
        <w:tc>
          <w:tcPr>
            <w:tcW w:w="4880" w:type="dxa"/>
            <w:tcBorders/>
            <w:shd w:fill="CCEEFF" w:val="clear"/>
            <w:vAlign w:val="center"/>
          </w:tcPr>
          <w:p>
            <w:pPr>
              <w:pStyle w:val="TableContents"/>
              <w:bidi w:val="0"/>
              <w:spacing w:before="0" w:after="283"/>
              <w:jc w:val="left"/>
              <w:rPr/>
            </w:pPr>
            <w:r>
              <w:rPr/>
              <w:t>Other,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(132</w:t>
            </w:r>
          </w:p>
        </w:tc>
        <w:tc>
          <w:tcPr>
            <w:tcW w:w="110" w:type="dxa"/>
            <w:tcBorders/>
            <w:shd w:fill="CCEEFF" w:val="clear"/>
            <w:vAlign w:val="center"/>
          </w:tcPr>
          <w:p>
            <w:pPr>
              <w:pStyle w:val="TableContents"/>
              <w:bidi w:val="0"/>
              <w:spacing w:before="0" w:after="283"/>
              <w:jc w:val="left"/>
              <w:rPr/>
            </w:pPr>
            <w:r>
              <w:rPr/>
              <w:t>)</w:t>
            </w:r>
            <w:bookmarkStart w:id="1240" w:name="xdx_400_eus-gaap--IncomeTaxReconciliatio"/>
            <w:bookmarkEnd w:id="1240"/>
          </w:p>
        </w:tc>
      </w:tr>
      <w:tr>
        <w:trPr/>
        <w:tc>
          <w:tcPr>
            <w:tcW w:w="488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17,013</w:t>
            </w:r>
          </w:p>
        </w:tc>
        <w:tc>
          <w:tcPr>
            <w:tcW w:w="110" w:type="dxa"/>
            <w:tcBorders/>
            <w:shd w:fill="FFFFFF" w:val="clear"/>
            <w:vAlign w:val="center"/>
          </w:tcPr>
          <w:p>
            <w:pPr>
              <w:pStyle w:val="TableContents"/>
              <w:bidi w:val="0"/>
              <w:spacing w:before="0" w:after="283"/>
              <w:jc w:val="left"/>
              <w:rPr/>
            </w:pPr>
            <w:r>
              <w:rPr/>
              <w:t> </w:t>
            </w:r>
            <w:bookmarkStart w:id="1241" w:name="xdx_407_eus-gaap--IncomeTaxExpenseBenefi"/>
            <w:bookmarkEnd w:id="1241"/>
          </w:p>
        </w:tc>
      </w:tr>
      <w:tr>
        <w:trPr/>
        <w:tc>
          <w:tcPr>
            <w:tcW w:w="488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left"/>
        <w:rPr>
          <w:caps w:val="false"/>
          <w:smallCaps w:val="false"/>
        </w:rPr>
      </w:pPr>
      <w:bookmarkStart w:id="1242" w:name="xdx_8AD_zE2U4DEFqmqc"/>
      <w:bookmarkEnd w:id="1242"/>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Company’s loss was entirely domestic. </w:t>
      </w:r>
      <w:bookmarkStart w:id="1243" w:name="xdx_904_eus-gaap--DeferredIncomeTaxExpen"/>
      <w:bookmarkEnd w:id="1243"/>
      <w:r>
        <w:rPr>
          <w:rFonts w:ascii="Times New Roman;Times;Serif" w:hAnsi="Times New Roman;Times;Serif"/>
          <w:b w:val="false"/>
          <w:i w:val="false"/>
          <w:caps w:val="false"/>
          <w:smallCaps w:val="false"/>
          <w:sz w:val="20"/>
        </w:rPr>
        <w:t xml:space="preserve">No current or deferred income tax expense was incurred and </w:t>
      </w:r>
      <w:bookmarkStart w:id="1244" w:name="xdx_904_eus-gaap--IncomeTaxesPaid_pn3n3_"/>
      <w:bookmarkEnd w:id="1244"/>
      <w:r>
        <w:rPr>
          <w:rFonts w:ascii="Times New Roman;Times;Serif" w:hAnsi="Times New Roman;Times;Serif"/>
          <w:b w:val="false"/>
          <w:i w:val="false"/>
          <w:caps w:val="false"/>
          <w:smallCaps w:val="false"/>
          <w:sz w:val="20"/>
        </w:rPr>
        <w:t>no cash income taxes were paid during the year ended December 31, 2025.</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245" w:name="xdx_893_eus-gaap--ScheduleOfDeferredTaxA"/>
      <w:bookmarkEnd w:id="1245"/>
      <w:r>
        <w:rPr>
          <w:rFonts w:ascii="Times New Roman;Times;Serif" w:hAnsi="Times New Roman;Times;Serif"/>
          <w:b w:val="false"/>
          <w:i w:val="false"/>
          <w:caps w:val="false"/>
          <w:smallCaps w:val="false"/>
          <w:sz w:val="20"/>
        </w:rPr>
        <w:t>The Company’s net deferred tax assets (liabilities) are as follows (in thousands):</w:t>
      </w:r>
    </w:p>
    <w:p>
      <w:pPr>
        <w:pStyle w:val="TextBody"/>
        <w:bidi w:val="0"/>
        <w:spacing w:before="0" w:after="0"/>
        <w:ind w:left="720" w:right="720" w:firstLine="446"/>
        <w:jc w:val="left"/>
        <w:rPr>
          <w:caps w:val="false"/>
          <w:smallCaps w:val="false"/>
        </w:rPr>
      </w:pPr>
      <w:r>
        <w:rPr>
          <w:caps w:val="false"/>
          <w:smallCaps w:val="false"/>
        </w:rPr>
        <w:t> </w:t>
      </w:r>
      <w:bookmarkStart w:id="1246" w:name="xdx_8B3_z98yewNUXBXa"/>
      <w:bookmarkEnd w:id="1246"/>
      <w:r>
        <w:rPr>
          <w:rFonts w:ascii="Times New Roman;Times;Serif" w:hAnsi="Times New Roman;Times;Serif"/>
          <w:b w:val="false"/>
          <w:i w:val="false"/>
          <w:caps w:val="false"/>
          <w:smallCaps w:val="false"/>
          <w:sz w:val="20"/>
        </w:rPr>
        <w:t>Schedule net deferred tax assets (liabilities)</w:t>
      </w:r>
    </w:p>
    <w:tbl>
      <w:tblPr>
        <w:tblW w:w="5525" w:type="dxa"/>
        <w:jc w:val="left"/>
        <w:tblInd w:w="720" w:type="dxa"/>
        <w:tblLayout w:type="fixed"/>
        <w:tblCellMar>
          <w:top w:w="0" w:type="dxa"/>
          <w:left w:w="0" w:type="dxa"/>
          <w:bottom w:w="0" w:type="dxa"/>
          <w:right w:w="0" w:type="dxa"/>
        </w:tblCellMar>
      </w:tblPr>
      <w:tblGrid>
        <w:gridCol w:w="3170"/>
        <w:gridCol w:w="60"/>
        <w:gridCol w:w="140"/>
        <w:gridCol w:w="875"/>
        <w:gridCol w:w="95"/>
        <w:gridCol w:w="60"/>
        <w:gridCol w:w="140"/>
        <w:gridCol w:w="875"/>
        <w:gridCol w:w="110"/>
      </w:tblGrid>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bookmarkStart w:id="1247" w:name="xdx_49C_20251231_zCbuDlF8fCx6"/>
            <w:bookmarkEnd w:id="1247"/>
          </w:p>
        </w:tc>
        <w:tc>
          <w:tcPr>
            <w:tcW w:w="87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bottom w:val="single" w:sz="8" w:space="0" w:color="000000"/>
            </w:tcBorders>
            <w:tcMar>
              <w:bottom w:w="28" w:type="dxa"/>
            </w:tcMar>
            <w:vAlign w:val="center"/>
          </w:tcPr>
          <w:p>
            <w:pPr>
              <w:pStyle w:val="TableContents"/>
              <w:bidi w:val="0"/>
              <w:spacing w:before="0" w:after="283"/>
              <w:jc w:val="center"/>
              <w:rPr/>
            </w:pPr>
            <w:r>
              <w:rPr/>
              <w:t> </w:t>
            </w:r>
            <w:bookmarkStart w:id="1248" w:name="xdx_490_20241231_zAx3vN6WuPne"/>
            <w:bookmarkEnd w:id="1248"/>
          </w:p>
        </w:tc>
        <w:tc>
          <w:tcPr>
            <w:tcW w:w="1075" w:type="dxa"/>
            <w:gridSpan w:val="3"/>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49" w:name="xdx_405_eus-gaap--DeferredTaxAssetsOpera"/>
            <w:bookmarkEnd w:id="1249"/>
          </w:p>
        </w:tc>
      </w:tr>
      <w:tr>
        <w:trPr/>
        <w:tc>
          <w:tcPr>
            <w:tcW w:w="3170" w:type="dxa"/>
            <w:tcBorders/>
            <w:shd w:fill="FFFFFF" w:val="clear"/>
            <w:vAlign w:val="center"/>
          </w:tcPr>
          <w:p>
            <w:pPr>
              <w:pStyle w:val="TableContents"/>
              <w:bidi w:val="0"/>
              <w:spacing w:before="0" w:after="283"/>
              <w:jc w:val="left"/>
              <w:rPr/>
            </w:pPr>
            <w:r>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51,463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33,799</w:t>
            </w:r>
          </w:p>
        </w:tc>
        <w:tc>
          <w:tcPr>
            <w:tcW w:w="110" w:type="dxa"/>
            <w:tcBorders/>
            <w:shd w:fill="FFFFFF" w:val="clear"/>
            <w:vAlign w:val="center"/>
          </w:tcPr>
          <w:p>
            <w:pPr>
              <w:pStyle w:val="TableContents"/>
              <w:bidi w:val="0"/>
              <w:spacing w:before="0" w:after="283"/>
              <w:jc w:val="left"/>
              <w:rPr/>
            </w:pPr>
            <w:r>
              <w:rPr/>
              <w:t> </w:t>
            </w:r>
            <w:bookmarkStart w:id="1250" w:name="xdx_408_eus-gaap--DeferredTaxLiabilityNo"/>
            <w:bookmarkEnd w:id="1250"/>
          </w:p>
        </w:tc>
      </w:tr>
      <w:tr>
        <w:trPr/>
        <w:tc>
          <w:tcPr>
            <w:tcW w:w="3170" w:type="dxa"/>
            <w:tcBorders/>
            <w:shd w:fill="CCEEFF" w:val="clear"/>
            <w:vAlign w:val="center"/>
          </w:tcPr>
          <w:p>
            <w:pPr>
              <w:pStyle w:val="TableContents"/>
              <w:bidi w:val="0"/>
              <w:spacing w:before="0" w:after="283"/>
              <w:jc w:val="left"/>
              <w:rPr/>
            </w:pPr>
            <w:r>
              <w:rPr/>
              <w:t>Liability to licensor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4,159</w:t>
            </w:r>
          </w:p>
        </w:tc>
        <w:tc>
          <w:tcPr>
            <w:tcW w:w="110" w:type="dxa"/>
            <w:tcBorders/>
            <w:shd w:fill="CCEEFF" w:val="clear"/>
            <w:vAlign w:val="center"/>
          </w:tcPr>
          <w:p>
            <w:pPr>
              <w:pStyle w:val="TableContents"/>
              <w:bidi w:val="0"/>
              <w:spacing w:before="0" w:after="283"/>
              <w:jc w:val="left"/>
              <w:rPr/>
            </w:pPr>
            <w:r>
              <w:rPr/>
              <w:t> </w:t>
            </w:r>
            <w:bookmarkStart w:id="1251" w:name="xdx_400_eus-gaap--DeferredTaxAssetsGoodw"/>
            <w:bookmarkEnd w:id="1251"/>
          </w:p>
        </w:tc>
      </w:tr>
      <w:tr>
        <w:trPr/>
        <w:tc>
          <w:tcPr>
            <w:tcW w:w="317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2,683</w:t>
            </w:r>
          </w:p>
        </w:tc>
        <w:tc>
          <w:tcPr>
            <w:tcW w:w="110" w:type="dxa"/>
            <w:tcBorders/>
            <w:shd w:fill="FFFFFF" w:val="clear"/>
            <w:vAlign w:val="center"/>
          </w:tcPr>
          <w:p>
            <w:pPr>
              <w:pStyle w:val="TableContents"/>
              <w:bidi w:val="0"/>
              <w:spacing w:before="0" w:after="283"/>
              <w:jc w:val="left"/>
              <w:rPr/>
            </w:pPr>
            <w:r>
              <w:rPr/>
              <w:t> </w:t>
            </w:r>
            <w:bookmarkStart w:id="1252" w:name="xdx_40D_ecustom--LeaseLiability_iI_pn3n3"/>
            <w:bookmarkEnd w:id="1252"/>
          </w:p>
        </w:tc>
      </w:tr>
      <w:tr>
        <w:trPr/>
        <w:tc>
          <w:tcPr>
            <w:tcW w:w="317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w:t>
            </w:r>
          </w:p>
        </w:tc>
        <w:tc>
          <w:tcPr>
            <w:tcW w:w="110" w:type="dxa"/>
            <w:tcBorders/>
            <w:shd w:fill="CCEEFF" w:val="clear"/>
            <w:vAlign w:val="center"/>
          </w:tcPr>
          <w:p>
            <w:pPr>
              <w:pStyle w:val="TableContents"/>
              <w:bidi w:val="0"/>
              <w:spacing w:before="0" w:after="283"/>
              <w:jc w:val="left"/>
              <w:rPr/>
            </w:pPr>
            <w:r>
              <w:rPr/>
              <w:t> </w:t>
            </w:r>
            <w:bookmarkStart w:id="1253" w:name="xdx_40E_eus-gaap--DeferredTaxAssetsTaxDe"/>
            <w:bookmarkEnd w:id="1253"/>
          </w:p>
        </w:tc>
      </w:tr>
      <w:tr>
        <w:trPr/>
        <w:tc>
          <w:tcPr>
            <w:tcW w:w="3170" w:type="dxa"/>
            <w:tcBorders/>
            <w:shd w:fill="FFFFFF" w:val="clear"/>
            <w:vAlign w:val="center"/>
          </w:tcPr>
          <w:p>
            <w:pPr>
              <w:pStyle w:val="TableContents"/>
              <w:bidi w:val="0"/>
              <w:spacing w:before="0" w:after="283"/>
              <w:jc w:val="left"/>
              <w:rPr/>
            </w:pPr>
            <w:r>
              <w:rPr/>
              <w:t>Accrued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556</w:t>
            </w:r>
          </w:p>
        </w:tc>
        <w:tc>
          <w:tcPr>
            <w:tcW w:w="110" w:type="dxa"/>
            <w:tcBorders/>
            <w:shd w:fill="FFFFFF" w:val="clear"/>
            <w:vAlign w:val="center"/>
          </w:tcPr>
          <w:p>
            <w:pPr>
              <w:pStyle w:val="TableContents"/>
              <w:bidi w:val="0"/>
              <w:spacing w:before="0" w:after="283"/>
              <w:jc w:val="left"/>
              <w:rPr/>
            </w:pPr>
            <w:r>
              <w:rPr/>
              <w:t> </w:t>
            </w:r>
            <w:bookmarkStart w:id="1254" w:name="xdx_408_eus-gaap--DeferredTaxAssetsTaxCr"/>
            <w:bookmarkEnd w:id="1254"/>
          </w:p>
        </w:tc>
      </w:tr>
      <w:tr>
        <w:trPr/>
        <w:tc>
          <w:tcPr>
            <w:tcW w:w="3170" w:type="dxa"/>
            <w:tcBorders/>
            <w:shd w:fill="CCEEFF" w:val="clear"/>
            <w:vAlign w:val="center"/>
          </w:tcPr>
          <w:p>
            <w:pPr>
              <w:pStyle w:val="TableContents"/>
              <w:bidi w:val="0"/>
              <w:spacing w:before="0" w:after="283"/>
              <w:jc w:val="left"/>
              <w:rPr/>
            </w:pPr>
            <w:r>
              <w:rPr/>
              <w:t>Research credit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13,221</w:t>
            </w:r>
          </w:p>
        </w:tc>
        <w:tc>
          <w:tcPr>
            <w:tcW w:w="110" w:type="dxa"/>
            <w:tcBorders/>
            <w:shd w:fill="CCEEFF" w:val="clear"/>
            <w:vAlign w:val="center"/>
          </w:tcPr>
          <w:p>
            <w:pPr>
              <w:pStyle w:val="TableContents"/>
              <w:bidi w:val="0"/>
              <w:spacing w:before="0" w:after="283"/>
              <w:jc w:val="left"/>
              <w:rPr/>
            </w:pPr>
            <w:r>
              <w:rPr/>
              <w:t> </w:t>
            </w:r>
            <w:bookmarkStart w:id="1255" w:name="xdx_40D_ecustom--Section174CostCapitaliz"/>
            <w:bookmarkEnd w:id="1255"/>
          </w:p>
        </w:tc>
      </w:tr>
      <w:tr>
        <w:trPr/>
        <w:tc>
          <w:tcPr>
            <w:tcW w:w="3170" w:type="dxa"/>
            <w:tcBorders/>
            <w:shd w:fill="FFFFFF" w:val="clear"/>
            <w:vAlign w:val="center"/>
          </w:tcPr>
          <w:p>
            <w:pPr>
              <w:pStyle w:val="TableContents"/>
              <w:bidi w:val="0"/>
              <w:spacing w:before="0" w:after="283"/>
              <w:jc w:val="left"/>
              <w:rPr/>
            </w:pPr>
            <w:r>
              <w:rPr/>
              <w:t>Section 174 cost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36,951</w:t>
            </w:r>
          </w:p>
        </w:tc>
        <w:tc>
          <w:tcPr>
            <w:tcW w:w="110" w:type="dxa"/>
            <w:tcBorders/>
            <w:shd w:fill="FFFFFF" w:val="clear"/>
            <w:vAlign w:val="center"/>
          </w:tcPr>
          <w:p>
            <w:pPr>
              <w:pStyle w:val="TableContents"/>
              <w:bidi w:val="0"/>
              <w:spacing w:before="0" w:after="283"/>
              <w:jc w:val="left"/>
              <w:rPr/>
            </w:pPr>
            <w:r>
              <w:rPr/>
              <w:t> </w:t>
            </w:r>
            <w:bookmarkStart w:id="1256" w:name="xdx_404_ecustom--Section59ECostCapitaliz"/>
            <w:bookmarkEnd w:id="1256"/>
          </w:p>
        </w:tc>
      </w:tr>
      <w:tr>
        <w:trPr/>
        <w:tc>
          <w:tcPr>
            <w:tcW w:w="3170" w:type="dxa"/>
            <w:tcBorders/>
            <w:shd w:fill="CCEEFF" w:val="clear"/>
            <w:vAlign w:val="center"/>
          </w:tcPr>
          <w:p>
            <w:pPr>
              <w:pStyle w:val="TableContents"/>
              <w:bidi w:val="0"/>
              <w:spacing w:before="0" w:after="283"/>
              <w:jc w:val="left"/>
              <w:rPr/>
            </w:pPr>
            <w:r>
              <w:rPr/>
              <w:t>Section 59(e) cost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7,350</w:t>
            </w:r>
          </w:p>
        </w:tc>
        <w:tc>
          <w:tcPr>
            <w:tcW w:w="110" w:type="dxa"/>
            <w:tcBorders/>
            <w:shd w:fill="CCEEFF" w:val="clear"/>
            <w:vAlign w:val="center"/>
          </w:tcPr>
          <w:p>
            <w:pPr>
              <w:pStyle w:val="TableContents"/>
              <w:bidi w:val="0"/>
              <w:spacing w:before="0" w:after="283"/>
              <w:jc w:val="left"/>
              <w:rPr/>
            </w:pPr>
            <w:r>
              <w:rPr/>
              <w:t> </w:t>
            </w:r>
            <w:bookmarkStart w:id="1257" w:name="xdx_400_eus-gaap--DeferredTaxAssetsTaxDe"/>
            <w:bookmarkEnd w:id="1257"/>
          </w:p>
        </w:tc>
      </w:tr>
      <w:tr>
        <w:trPr/>
        <w:tc>
          <w:tcPr>
            <w:tcW w:w="31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3,938</w:t>
            </w:r>
          </w:p>
        </w:tc>
        <w:tc>
          <w:tcPr>
            <w:tcW w:w="110" w:type="dxa"/>
            <w:tcBorders/>
            <w:shd w:fill="FFFFFF" w:val="clear"/>
            <w:vAlign w:val="center"/>
          </w:tcPr>
          <w:p>
            <w:pPr>
              <w:pStyle w:val="TableContents"/>
              <w:bidi w:val="0"/>
              <w:spacing w:before="0" w:after="283"/>
              <w:jc w:val="left"/>
              <w:rPr/>
            </w:pPr>
            <w:r>
              <w:rPr/>
              <w:t> </w:t>
            </w:r>
            <w:bookmarkStart w:id="1258" w:name="xdx_408_eus-gaap--DeferredGainOnSaleOfPr"/>
            <w:bookmarkEnd w:id="1258"/>
          </w:p>
        </w:tc>
      </w:tr>
      <w:tr>
        <w:trPr/>
        <w:tc>
          <w:tcPr>
            <w:tcW w:w="3170" w:type="dxa"/>
            <w:tcBorders/>
            <w:shd w:fill="CCEEFF" w:val="clear"/>
            <w:vAlign w:val="center"/>
          </w:tcPr>
          <w:p>
            <w:pPr>
              <w:pStyle w:val="TableContents"/>
              <w:bidi w:val="0"/>
              <w:spacing w:before="0" w:after="283"/>
              <w:jc w:val="left"/>
              <w:rPr/>
            </w:pPr>
            <w:r>
              <w:rPr/>
              <w:t>Deferred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59" w:name="xdx_402_ecustom--DeferredTaxAssetsFixedA"/>
            <w:bookmarkEnd w:id="1259"/>
          </w:p>
        </w:tc>
      </w:tr>
      <w:tr>
        <w:trPr/>
        <w:tc>
          <w:tcPr>
            <w:tcW w:w="3170" w:type="dxa"/>
            <w:tcBorders/>
            <w:shd w:fill="FFFFFF" w:val="clear"/>
            <w:vAlign w:val="center"/>
          </w:tcPr>
          <w:p>
            <w:pPr>
              <w:pStyle w:val="TableContents"/>
              <w:bidi w:val="0"/>
              <w:spacing w:before="0" w:after="283"/>
              <w:jc w:val="left"/>
              <w:rPr/>
            </w:pPr>
            <w:r>
              <w:rPr/>
              <w:t>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60" w:name="xdx_408_eus-gaap--DeferredTaxAssetsOther"/>
            <w:bookmarkEnd w:id="1260"/>
          </w:p>
        </w:tc>
      </w:tr>
      <w:tr>
        <w:trPr/>
        <w:tc>
          <w:tcPr>
            <w:tcW w:w="31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bookmarkStart w:id="1261" w:name="xdx_401_eus-gaap--DeferredTaxAssetsGross"/>
            <w:bookmarkEnd w:id="1261"/>
          </w:p>
        </w:tc>
      </w:tr>
      <w:tr>
        <w:trPr/>
        <w:tc>
          <w:tcPr>
            <w:tcW w:w="3170" w:type="dxa"/>
            <w:tcBorders/>
            <w:shd w:fill="FFFFFF" w:val="clear"/>
            <w:vAlign w:val="center"/>
          </w:tcPr>
          <w:p>
            <w:pPr>
              <w:pStyle w:val="TableContents"/>
              <w:bidi w:val="0"/>
              <w:spacing w:before="0" w:after="283"/>
              <w:jc w:val="left"/>
              <w:rPr/>
            </w:pPr>
            <w:r>
              <w:rPr/>
              <w:t>Gross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117,094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102,838</w:t>
            </w:r>
          </w:p>
        </w:tc>
        <w:tc>
          <w:tcPr>
            <w:tcW w:w="110" w:type="dxa"/>
            <w:tcBorders/>
            <w:shd w:fill="FFFFFF" w:val="clear"/>
            <w:vAlign w:val="center"/>
          </w:tcPr>
          <w:p>
            <w:pPr>
              <w:pStyle w:val="TableContents"/>
              <w:bidi w:val="0"/>
              <w:spacing w:before="0" w:after="283"/>
              <w:jc w:val="left"/>
              <w:rPr/>
            </w:pPr>
            <w:r>
              <w:rPr/>
              <w:t> </w:t>
            </w:r>
            <w:bookmarkStart w:id="1262" w:name="xdx_403_eus-gaap--DeferredTaxAssetsValua"/>
            <w:bookmarkEnd w:id="1262"/>
          </w:p>
        </w:tc>
      </w:tr>
      <w:tr>
        <w:trPr/>
        <w:tc>
          <w:tcPr>
            <w:tcW w:w="3170"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(102,655</w:t>
            </w:r>
          </w:p>
        </w:tc>
        <w:tc>
          <w:tcPr>
            <w:tcW w:w="110" w:type="dxa"/>
            <w:tcBorders/>
            <w:shd w:fill="CCEEFF" w:val="clear"/>
            <w:vAlign w:val="center"/>
          </w:tcPr>
          <w:p>
            <w:pPr>
              <w:pStyle w:val="TableContents"/>
              <w:bidi w:val="0"/>
              <w:spacing w:before="0" w:after="283"/>
              <w:jc w:val="left"/>
              <w:rPr/>
            </w:pPr>
            <w:r>
              <w:rPr/>
              <w:t>)</w:t>
            </w:r>
            <w:bookmarkStart w:id="1263" w:name="xdx_408_eus-gaap--DeferredTaxAssetsNet_i"/>
            <w:bookmarkEnd w:id="1263"/>
          </w:p>
        </w:tc>
      </w:tr>
      <w:tr>
        <w:trPr/>
        <w:tc>
          <w:tcPr>
            <w:tcW w:w="317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183</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4" w:name="xdx_40D_eus-gaap--DeferredTaxLiabilities"/>
            <w:bookmarkEnd w:id="1264"/>
          </w:p>
        </w:tc>
      </w:tr>
      <w:tr>
        <w:trPr/>
        <w:tc>
          <w:tcPr>
            <w:tcW w:w="3170" w:type="dxa"/>
            <w:tcBorders/>
            <w:shd w:fill="FFFFFF" w:val="clear"/>
            <w:vAlign w:val="center"/>
          </w:tcPr>
          <w:p>
            <w:pPr>
              <w:pStyle w:val="TableContents"/>
              <w:bidi w:val="0"/>
              <w:spacing w:before="0" w:after="283"/>
              <w:jc w:val="left"/>
              <w:rPr/>
            </w:pPr>
            <w:r>
              <w:rPr/>
              <w:t>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w:t>
            </w:r>
          </w:p>
        </w:tc>
        <w:tc>
          <w:tcPr>
            <w:tcW w:w="110" w:type="dxa"/>
            <w:tcBorders/>
            <w:shd w:fill="FFFFFF" w:val="clear"/>
            <w:vAlign w:val="center"/>
          </w:tcPr>
          <w:p>
            <w:pPr>
              <w:pStyle w:val="TableContents"/>
              <w:bidi w:val="0"/>
              <w:spacing w:before="0" w:after="283"/>
              <w:jc w:val="left"/>
              <w:rPr/>
            </w:pPr>
            <w:r>
              <w:rPr/>
              <w:t>)</w:t>
            </w:r>
            <w:bookmarkStart w:id="1265" w:name="xdx_40F_eus-gaap--DeferredTaxLiabilities"/>
            <w:bookmarkEnd w:id="1265"/>
          </w:p>
        </w:tc>
      </w:tr>
      <w:tr>
        <w:trPr/>
        <w:tc>
          <w:tcPr>
            <w:tcW w:w="3170"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jc w:val="left"/>
              <w:rPr/>
            </w:pPr>
            <w:r>
              <w:rPr/>
              <w:t>)</w:t>
            </w:r>
            <w:bookmarkStart w:id="1266" w:name="xdx_409_eus-gaap--DeferredTaxLiabilities"/>
            <w:bookmarkEnd w:id="1266"/>
          </w:p>
        </w:tc>
      </w:tr>
      <w:tr>
        <w:trPr/>
        <w:tc>
          <w:tcPr>
            <w:tcW w:w="3170"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(183</w:t>
            </w:r>
          </w:p>
        </w:tc>
        <w:tc>
          <w:tcPr>
            <w:tcW w:w="110" w:type="dxa"/>
            <w:tcBorders/>
            <w:shd w:fill="FFFFFF" w:val="clear"/>
            <w:vAlign w:val="center"/>
          </w:tcPr>
          <w:p>
            <w:pPr>
              <w:pStyle w:val="TableContents"/>
              <w:bidi w:val="0"/>
              <w:spacing w:before="0" w:after="283"/>
              <w:jc w:val="left"/>
              <w:rPr/>
            </w:pPr>
            <w:r>
              <w:rPr/>
              <w:t>)</w:t>
            </w:r>
            <w:bookmarkStart w:id="1267" w:name="xdx_408_eus-gaap--DeferredTaxAssetsLiabi"/>
            <w:bookmarkEnd w:id="1267"/>
          </w:p>
        </w:tc>
      </w:tr>
      <w:tr>
        <w:trPr/>
        <w:tc>
          <w:tcPr>
            <w:tcW w:w="3170"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both"/>
        <w:rPr>
          <w:caps w:val="false"/>
          <w:smallCaps w:val="false"/>
        </w:rPr>
      </w:pPr>
      <w:bookmarkStart w:id="1268" w:name="xdx_8A1_zseOh2aU2Eel"/>
      <w:bookmarkEnd w:id="1268"/>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of approximately $</w:t>
      </w:r>
      <w:bookmarkStart w:id="1269" w:name="xdx_900_eus-gaap--DeferredTaxAssetsValua"/>
      <w:bookmarkEnd w:id="1269"/>
      <w:r>
        <w:rPr>
          <w:rFonts w:ascii="Times New Roman;Times;Serif" w:hAnsi="Times New Roman;Times;Serif"/>
          <w:b w:val="false"/>
          <w:i w:val="false"/>
          <w:caps w:val="false"/>
          <w:smallCaps w:val="false"/>
          <w:sz w:val="20"/>
        </w:rPr>
        <w:t>115.9 million as of December 31, 2025 has been established to offset the deferred tax assets as the Company has determined that it is not more likely than not that these assets will be realized. The valuation allowance increased by approximately $</w:t>
      </w:r>
      <w:bookmarkStart w:id="1270" w:name="xdx_90B_eus-gaap--ValuationAllowanceDefe"/>
      <w:bookmarkEnd w:id="1270"/>
      <w:r>
        <w:rPr>
          <w:rFonts w:ascii="Times New Roman;Times;Serif" w:hAnsi="Times New Roman;Times;Serif"/>
          <w:b w:val="false"/>
          <w:i w:val="false"/>
          <w:caps w:val="false"/>
          <w:smallCaps w:val="false"/>
          <w:sz w:val="20"/>
        </w:rPr>
        <w:t>13.3 million during 2025.</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caps w:val="false"/>
          <w:smallCaps w:val="false"/>
        </w:rPr>
      </w:pPr>
      <w:bookmarkStart w:id="1271" w:name="xdx_23D_zhBvTWwMhyKi"/>
      <w:bookmarkEnd w:id="1271"/>
      <w:r>
        <w:rPr>
          <w:caps w:val="false"/>
          <w:smallCaps w:val="false"/>
        </w:rPr>
        <w:t> </w:t>
      </w:r>
    </w:p>
    <w:p>
      <w:pPr>
        <w:pStyle w:val="TextBody"/>
        <w:bidi w:val="0"/>
        <w:spacing w:before="0" w:after="0"/>
        <w:ind w:left="720" w:right="720" w:firstLine="440"/>
        <w:jc w:val="both"/>
        <w:rPr>
          <w:caps w:val="false"/>
          <w:smallCaps w:val="false"/>
        </w:rPr>
      </w:pPr>
      <w:bookmarkStart w:id="1272" w:name="xdx_23E_zuYFiJc84WRj"/>
      <w:bookmarkEnd w:id="1272"/>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F-49</w:t>
      </w:r>
    </w:p>
    <w:p>
      <w:pPr>
        <w:pStyle w:val="TextBody"/>
        <w:bidi w:val="0"/>
        <w:spacing w:before="0" w:after="0"/>
        <w:ind w:left="720" w:right="720" w:hanging="0"/>
        <w:jc w:val="left"/>
        <w:rPr/>
      </w:pPr>
      <w:r>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had federal and state net operating loss carryforwards of approximately $</w:t>
      </w:r>
      <w:bookmarkStart w:id="1273" w:name="xdx_901_ecustom--FederalNetOperatingLoss"/>
      <w:bookmarkEnd w:id="1273"/>
      <w:r>
        <w:rPr>
          <w:rFonts w:ascii="Times New Roman;Times;Serif" w:hAnsi="Times New Roman;Times;Serif"/>
          <w:b w:val="false"/>
          <w:i w:val="false"/>
          <w:caps w:val="false"/>
          <w:smallCaps w:val="false"/>
          <w:sz w:val="20"/>
        </w:rPr>
        <w:t>244.4 million and $</w:t>
      </w:r>
      <w:bookmarkStart w:id="1274" w:name="xdx_90A_ecustom--StateNetOperatingLossCa"/>
      <w:bookmarkEnd w:id="1274"/>
      <w:r>
        <w:rPr>
          <w:rFonts w:ascii="Times New Roman;Times;Serif" w:hAnsi="Times New Roman;Times;Serif"/>
          <w:b w:val="false"/>
          <w:i w:val="false"/>
          <w:caps w:val="false"/>
          <w:smallCaps w:val="false"/>
          <w:sz w:val="20"/>
        </w:rPr>
        <w:t xml:space="preserve">2.2 million, respectively. </w:t>
      </w:r>
      <w:bookmarkStart w:id="1275" w:name="xdx_906_eus-gaap--TaxCreditCarryforwardL"/>
      <w:bookmarkEnd w:id="1275"/>
      <w:r>
        <w:rPr>
          <w:rFonts w:ascii="Times New Roman;Times;Serif" w:hAnsi="Times New Roman;Times;Serif"/>
          <w:b w:val="false"/>
          <w:i w:val="false"/>
          <w:caps w:val="false"/>
          <w:smallCaps w:val="false"/>
          <w:sz w:val="20"/>
        </w:rPr>
        <w:t>The federal net operating loss and approximately $1.1 million of state net operating losses can be carried forward indefinitely, subject to an 80% limitation against taxable income. The remaining state net operating losses of approximately $1.1 million will begin to expire in 2042, unless previously utilized.</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had federal and California research and development credit carryforwards of approximately $</w:t>
      </w:r>
      <w:bookmarkStart w:id="1276" w:name="xdx_908_eus-gaap--TaxCreditCarryforwardA"/>
      <w:bookmarkEnd w:id="1276"/>
      <w:r>
        <w:rPr>
          <w:rFonts w:ascii="Times New Roman;Times;Serif" w:hAnsi="Times New Roman;Times;Serif"/>
          <w:b w:val="false"/>
          <w:i w:val="false"/>
          <w:caps w:val="false"/>
          <w:smallCaps w:val="false"/>
          <w:sz w:val="20"/>
        </w:rPr>
        <w:t>11.8 million and $</w:t>
      </w:r>
      <w:bookmarkStart w:id="1277" w:name="xdx_906_eus-gaap--TaxCreditCarryforwardA"/>
      <w:bookmarkEnd w:id="1277"/>
      <w:r>
        <w:rPr>
          <w:rFonts w:ascii="Times New Roman;Times;Serif" w:hAnsi="Times New Roman;Times;Serif"/>
          <w:b w:val="false"/>
          <w:i w:val="false"/>
          <w:caps w:val="false"/>
          <w:smallCaps w:val="false"/>
          <w:sz w:val="20"/>
        </w:rPr>
        <w:t xml:space="preserve">4.0 million, respectively. The federal credit carryforwards will begin to expire in </w:t>
      </w:r>
      <w:bookmarkStart w:id="1278" w:name="xdx_90F_ecustom--TaxCreditCarryforwardEx"/>
      <w:bookmarkEnd w:id="1278"/>
      <w:r>
        <w:rPr>
          <w:rFonts w:ascii="Times New Roman;Times;Serif" w:hAnsi="Times New Roman;Times;Serif"/>
          <w:b w:val="false"/>
          <w:i w:val="false"/>
          <w:caps w:val="false"/>
          <w:smallCaps w:val="false"/>
          <w:sz w:val="20"/>
        </w:rPr>
        <w:t>2040, unless previously utilized. The California credits will carry forward indefinitely.</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also had federal orphan drug credit carryforwards of approximately $</w:t>
      </w:r>
      <w:bookmarkStart w:id="1279" w:name="xdx_909_ecustom--OrphanDrugCredit_pn5n6_"/>
      <w:bookmarkEnd w:id="1279"/>
      <w:r>
        <w:rPr>
          <w:rFonts w:ascii="Times New Roman;Times;Serif" w:hAnsi="Times New Roman;Times;Serif"/>
          <w:b w:val="false"/>
          <w:i w:val="false"/>
          <w:caps w:val="false"/>
          <w:smallCaps w:val="false"/>
          <w:sz w:val="20"/>
        </w:rPr>
        <w:t xml:space="preserve">5.6 million. The orphan drug credit carryforwards will begin to expire in </w:t>
      </w:r>
      <w:bookmarkStart w:id="1280" w:name="xdx_90C_ecustom--OrphanDrugCreditCarryfo"/>
      <w:bookmarkEnd w:id="1280"/>
      <w:r>
        <w:rPr>
          <w:rFonts w:ascii="Times New Roman;Times;Serif" w:hAnsi="Times New Roman;Times;Serif"/>
          <w:b w:val="false"/>
          <w:i w:val="false"/>
          <w:caps w:val="false"/>
          <w:smallCaps w:val="false"/>
          <w:sz w:val="20"/>
        </w:rPr>
        <w:t>2041, unless previously utilized.</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Internal Revenue Code (“IRC”) </w:t>
      </w:r>
      <w:bookmarkStart w:id="1281" w:name="xdx_90A_ecustom--AnnualOperatingLossCarr"/>
      <w:bookmarkEnd w:id="1281"/>
      <w:r>
        <w:rPr>
          <w:rFonts w:ascii="Times New Roman;Times;Serif" w:hAnsi="Times New Roman;Times;Serif"/>
          <w:b w:val="false"/>
          <w:i w:val="false"/>
          <w:caps w:val="false"/>
          <w:smallCaps w:val="false"/>
          <w:sz w:val="20"/>
        </w:rPr>
        <w:t>Sections 382 and 383, annual use of the Company’s net operating loss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further clarification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6"/>
        <w:jc w:val="left"/>
        <w:rPr>
          <w:rFonts w:ascii="Times New Roman;Times;Serif" w:hAnsi="Times New Roman;Times;Serif"/>
          <w:b w:val="false"/>
          <w:i w:val="false"/>
          <w:caps w:val="false"/>
          <w:smallCaps w:val="false"/>
          <w:sz w:val="20"/>
        </w:rPr>
      </w:pPr>
      <w:bookmarkStart w:id="1282" w:name="xdx_895_eus-gaap--ScheduleOfUnrecognized"/>
      <w:bookmarkEnd w:id="1282"/>
      <w:r>
        <w:rPr>
          <w:rFonts w:ascii="Times New Roman;Times;Serif" w:hAnsi="Times New Roman;Times;Serif"/>
          <w:b w:val="false"/>
          <w:i w:val="false"/>
          <w:caps w:val="false"/>
          <w:smallCaps w:val="false"/>
          <w:sz w:val="20"/>
        </w:rPr>
        <w:t>A reconciliation of the beginning and ending unrecognized tax benefit amount is as follows (in thousands):</w:t>
      </w:r>
    </w:p>
    <w:p>
      <w:pPr>
        <w:pStyle w:val="TextBody"/>
        <w:bidi w:val="0"/>
        <w:spacing w:before="0" w:after="0"/>
        <w:ind w:left="720" w:right="720" w:firstLine="446"/>
        <w:jc w:val="left"/>
        <w:rPr>
          <w:caps w:val="false"/>
          <w:smallCaps w:val="false"/>
        </w:rPr>
      </w:pPr>
      <w:r>
        <w:rPr>
          <w:caps w:val="false"/>
          <w:smallCaps w:val="false"/>
        </w:rPr>
        <w:t> </w:t>
      </w:r>
      <w:bookmarkStart w:id="1283" w:name="xdx_8BD_zxeP4Y1kM2H"/>
      <w:bookmarkEnd w:id="1283"/>
      <w:r>
        <w:rPr>
          <w:rFonts w:ascii="Times New Roman;Times;Serif" w:hAnsi="Times New Roman;Times;Serif"/>
          <w:b w:val="false"/>
          <w:i w:val="false"/>
          <w:caps w:val="false"/>
          <w:smallCaps w:val="false"/>
          <w:sz w:val="20"/>
        </w:rPr>
        <w:t>Schedule of unrecognized tax benefit amount</w:t>
      </w:r>
    </w:p>
    <w:tbl>
      <w:tblPr>
        <w:tblW w:w="6395" w:type="dxa"/>
        <w:jc w:val="left"/>
        <w:tblInd w:w="720" w:type="dxa"/>
        <w:tblLayout w:type="fixed"/>
        <w:tblCellMar>
          <w:top w:w="0" w:type="dxa"/>
          <w:left w:w="0" w:type="dxa"/>
          <w:bottom w:w="0" w:type="dxa"/>
          <w:right w:w="0" w:type="dxa"/>
        </w:tblCellMar>
      </w:tblPr>
      <w:tblGrid>
        <w:gridCol w:w="4295"/>
        <w:gridCol w:w="60"/>
        <w:gridCol w:w="78"/>
        <w:gridCol w:w="78"/>
        <w:gridCol w:w="735"/>
        <w:gridCol w:w="78"/>
        <w:gridCol w:w="78"/>
        <w:gridCol w:w="183"/>
        <w:gridCol w:w="735"/>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center"/>
              <w:rPr/>
            </w:pPr>
            <w:r>
              <w:rPr/>
              <w:t> </w:t>
            </w:r>
          </w:p>
        </w:tc>
        <w:tc>
          <w:tcPr>
            <w:tcW w:w="78" w:type="dxa"/>
            <w:tcBorders>
              <w:bottom w:val="single" w:sz="8" w:space="0" w:color="000000"/>
            </w:tcBorders>
            <w:tcMar>
              <w:bottom w:w="28" w:type="dxa"/>
            </w:tcMar>
            <w:vAlign w:val="center"/>
          </w:tcPr>
          <w:p>
            <w:pPr>
              <w:pStyle w:val="TableContents"/>
              <w:bidi w:val="0"/>
              <w:spacing w:before="0" w:after="283"/>
              <w:jc w:val="center"/>
              <w:rPr/>
            </w:pPr>
            <w:r>
              <w:rPr/>
              <w:t> </w:t>
            </w:r>
          </w:p>
        </w:tc>
        <w:tc>
          <w:tcPr>
            <w:tcW w:w="73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8" w:type="dxa"/>
            <w:tcBorders>
              <w:bottom w:val="single" w:sz="8" w:space="0" w:color="000000"/>
            </w:tcBorders>
            <w:tcMar>
              <w:bottom w:w="28" w:type="dxa"/>
            </w:tcMar>
            <w:vAlign w:val="center"/>
          </w:tcPr>
          <w:p>
            <w:pPr>
              <w:pStyle w:val="TableContents"/>
              <w:bidi w:val="0"/>
              <w:spacing w:before="0" w:after="283"/>
              <w:jc w:val="center"/>
              <w:rPr/>
            </w:pPr>
            <w:r>
              <w:rPr/>
              <w:t> </w:t>
            </w:r>
          </w:p>
        </w:tc>
        <w:tc>
          <w:tcPr>
            <w:tcW w:w="996" w:type="dxa"/>
            <w:gridSpan w:val="3"/>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5" w:type="dxa"/>
            <w:gridSpan w:val="7"/>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3"/>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Unrecognized tax benefits - beginning</w:t>
            </w:r>
          </w:p>
        </w:tc>
        <w:tc>
          <w:tcPr>
            <w:tcW w:w="60" w:type="dxa"/>
            <w:tcBorders/>
            <w:shd w:fill="CCEEFF" w:val="clear"/>
            <w:vAlign w:val="center"/>
          </w:tcPr>
          <w:p>
            <w:pPr>
              <w:pStyle w:val="TableContents"/>
              <w:bidi w:val="0"/>
              <w:spacing w:before="0" w:after="283"/>
              <w:jc w:val="left"/>
              <w:rPr/>
            </w:pPr>
            <w:r>
              <w:rPr/>
              <w:t> </w:t>
            </w:r>
          </w:p>
        </w:tc>
        <w:tc>
          <w:tcPr>
            <w:tcW w:w="156" w:type="dxa"/>
            <w:gridSpan w:val="2"/>
            <w:tcBorders/>
            <w:shd w:fill="CCEEFF" w:val="clear"/>
            <w:vAlign w:val="center"/>
          </w:tcPr>
          <w:p>
            <w:pPr>
              <w:pStyle w:val="TableContents"/>
              <w:bidi w:val="0"/>
              <w:spacing w:before="0" w:after="283"/>
              <w:jc w:val="left"/>
              <w:rPr/>
            </w:pPr>
            <w:r>
              <w:rPr/>
              <w:t>$</w:t>
            </w:r>
            <w:bookmarkStart w:id="1284" w:name="xdx_989_eus-gaap--UnrecognizedTaxBenefit"/>
            <w:bookmarkEnd w:id="1284"/>
          </w:p>
        </w:tc>
        <w:tc>
          <w:tcPr>
            <w:tcW w:w="735" w:type="dxa"/>
            <w:tcBorders/>
            <w:shd w:fill="CCEEFF" w:val="clear"/>
            <w:vAlign w:val="center"/>
          </w:tcPr>
          <w:p>
            <w:pPr>
              <w:pStyle w:val="TableContents"/>
              <w:bidi w:val="0"/>
              <w:spacing w:before="0" w:after="283"/>
              <w:jc w:val="right"/>
              <w:rPr/>
            </w:pPr>
            <w:r>
              <w:rPr/>
              <w:t>4,582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1285" w:name="xdx_987_eus-gaap--UnrecognizedTaxBenefit"/>
            <w:bookmarkEnd w:id="1285"/>
          </w:p>
        </w:tc>
        <w:tc>
          <w:tcPr>
            <w:tcW w:w="735" w:type="dxa"/>
            <w:tcBorders/>
            <w:shd w:fill="CCEEFF" w:val="clear"/>
            <w:vAlign w:val="center"/>
          </w:tcPr>
          <w:p>
            <w:pPr>
              <w:pStyle w:val="TableContents"/>
              <w:bidi w:val="0"/>
              <w:spacing w:before="0" w:after="283"/>
              <w:jc w:val="right"/>
              <w:rPr/>
            </w:pPr>
            <w:r>
              <w:rPr/>
              <w:t>3,602</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Gross increases - tax positions in prior period</w:t>
            </w:r>
          </w:p>
        </w:tc>
        <w:tc>
          <w:tcPr>
            <w:tcW w:w="60" w:type="dxa"/>
            <w:tcBorders/>
            <w:shd w:fill="FFFFFF" w:val="clear"/>
            <w:vAlign w:val="center"/>
          </w:tcPr>
          <w:p>
            <w:pPr>
              <w:pStyle w:val="TableContents"/>
              <w:bidi w:val="0"/>
              <w:spacing w:before="0" w:after="283"/>
              <w:jc w:val="left"/>
              <w:rPr/>
            </w:pPr>
            <w:r>
              <w:rPr/>
              <w:t> </w:t>
            </w:r>
          </w:p>
        </w:tc>
        <w:tc>
          <w:tcPr>
            <w:tcW w:w="156" w:type="dxa"/>
            <w:gridSpan w:val="2"/>
            <w:tcBorders/>
            <w:shd w:fill="FFFFFF" w:val="clear"/>
            <w:vAlign w:val="center"/>
          </w:tcPr>
          <w:p>
            <w:pPr>
              <w:pStyle w:val="TableContents"/>
              <w:bidi w:val="0"/>
              <w:spacing w:before="0" w:after="283"/>
              <w:jc w:val="left"/>
              <w:rPr/>
            </w:pPr>
            <w:r>
              <w:rPr/>
              <w:t> </w:t>
            </w:r>
            <w:bookmarkStart w:id="1286" w:name="xdx_981_eus-gaap--UnrecognizedTaxBenefit"/>
            <w:bookmarkEnd w:id="1286"/>
          </w:p>
        </w:tc>
        <w:tc>
          <w:tcPr>
            <w:tcW w:w="735" w:type="dxa"/>
            <w:tcBorders/>
            <w:shd w:fill="FFFFFF" w:val="clear"/>
            <w:vAlign w:val="center"/>
          </w:tcPr>
          <w:p>
            <w:pPr>
              <w:pStyle w:val="TableContents"/>
              <w:bidi w:val="0"/>
              <w:spacing w:before="0" w:after="283"/>
              <w:jc w:val="right"/>
              <w:rPr/>
            </w:pPr>
            <w:r>
              <w:rPr/>
              <w:t>52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287" w:name="xdx_98B_eus-gaap--UnrecognizedTaxBenefit"/>
            <w:bookmarkEnd w:id="1287"/>
          </w:p>
        </w:tc>
        <w:tc>
          <w:tcPr>
            <w:tcW w:w="73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Gross increase – current-period tax positions</w:t>
            </w:r>
          </w:p>
        </w:tc>
        <w:tc>
          <w:tcPr>
            <w:tcW w:w="60" w:type="dxa"/>
            <w:tcBorders/>
            <w:shd w:fill="CCEEFF" w:val="clear"/>
            <w:vAlign w:val="center"/>
          </w:tcPr>
          <w:p>
            <w:pPr>
              <w:pStyle w:val="TableContents"/>
              <w:bidi w:val="0"/>
              <w:spacing w:before="0" w:after="283"/>
              <w:jc w:val="left"/>
              <w:rPr/>
            </w:pPr>
            <w:r>
              <w:rPr/>
              <w:t> </w:t>
            </w:r>
          </w:p>
        </w:tc>
        <w:tc>
          <w:tcPr>
            <w:tcW w:w="156" w:type="dxa"/>
            <w:gridSpan w:val="2"/>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88" w:name="xdx_984_eus-gaap--UnrecognizedTaxBenefit"/>
            <w:bookmarkEnd w:id="1288"/>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717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89" w:name="xdx_989_eus-gaap--UnrecognizedTaxBenefit"/>
            <w:bookmarkEnd w:id="1289"/>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pPr>
            <w:r>
              <w:rPr/>
              <w:t>980</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Unrecognized tax benefits - ending</w:t>
            </w:r>
          </w:p>
        </w:tc>
        <w:tc>
          <w:tcPr>
            <w:tcW w:w="60" w:type="dxa"/>
            <w:tcBorders/>
            <w:shd w:fill="FFFFFF" w:val="clear"/>
            <w:vAlign w:val="center"/>
          </w:tcPr>
          <w:p>
            <w:pPr>
              <w:pStyle w:val="TableContents"/>
              <w:bidi w:val="0"/>
              <w:spacing w:before="0" w:after="283"/>
              <w:jc w:val="left"/>
              <w:rPr/>
            </w:pPr>
            <w:r>
              <w:rPr/>
              <w:t> </w:t>
            </w:r>
          </w:p>
        </w:tc>
        <w:tc>
          <w:tcPr>
            <w:tcW w:w="156" w:type="dxa"/>
            <w:gridSpan w:val="2"/>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90" w:name="xdx_984_eus-gaap--UnrecognizedTaxBenefit"/>
            <w:bookmarkEnd w:id="1290"/>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5,351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91" w:name="xdx_988_eus-gaap--UnrecognizedTaxBenefit"/>
            <w:bookmarkEnd w:id="1291"/>
          </w:p>
        </w:tc>
        <w:tc>
          <w:tcPr>
            <w:tcW w:w="735" w:type="dxa"/>
            <w:tcBorders>
              <w:bottom w:val="double" w:sz="6" w:space="0" w:color="000000"/>
            </w:tcBorders>
            <w:shd w:fill="FFFFFF" w:val="clear"/>
            <w:tcMar>
              <w:bottom w:w="28" w:type="dxa"/>
            </w:tcMar>
            <w:vAlign w:val="center"/>
          </w:tcPr>
          <w:p>
            <w:pPr>
              <w:pStyle w:val="TableContents"/>
              <w:bidi w:val="0"/>
              <w:spacing w:before="0" w:after="283"/>
              <w:jc w:val="right"/>
              <w:rPr/>
            </w:pPr>
            <w:r>
              <w:rPr/>
              <w:t>4,582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firstLine="446"/>
        <w:jc w:val="both"/>
        <w:rPr>
          <w:caps w:val="false"/>
          <w:smallCaps w:val="false"/>
        </w:rPr>
      </w:pPr>
      <w:bookmarkStart w:id="1292" w:name="xdx_8A6_z7M0ttFHYTv1"/>
      <w:bookmarkEnd w:id="1292"/>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gross unrecognized tax benefits of approximately $5.4 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consolidated balance sheets and has not recognized interest or penalties in the consolidated statements of operations and comprehensive income for the year ended December 31, 2025.</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United States and various state jurisdictions. The Company is subject to examination by tax authorities in those jurisdictions since 2022 and 2021, respectively, and forward. However,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pStyle w:val="TextBody"/>
        <w:bidi w:val="0"/>
        <w:spacing w:before="0" w:after="0"/>
        <w:ind w:left="720" w:right="720" w:firstLine="440"/>
        <w:jc w:val="both"/>
        <w:rPr>
          <w:caps w:val="false"/>
          <w:smallCaps w:val="false"/>
        </w:rPr>
      </w:pPr>
      <w:r>
        <w:rPr>
          <w:caps w:val="false"/>
          <w:smallCaps w:val="false"/>
        </w:rPr>
        <w:t> </w:t>
      </w:r>
    </w:p>
    <w:p>
      <w:pPr>
        <w:pStyle w:val="TextBody"/>
        <w:bidi w:val="0"/>
        <w:spacing w:before="0" w:after="0"/>
        <w:ind w:left="720" w:right="720" w:firstLine="440"/>
        <w:jc w:val="both"/>
        <w:rPr>
          <w:caps w:val="false"/>
          <w:smallCaps w:val="false"/>
        </w:rPr>
      </w:pPr>
      <w:bookmarkStart w:id="1293" w:name="xdx_23F_zCQyWFEKiAQd"/>
      <w:bookmarkEnd w:id="1293"/>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F-50</w:t>
      </w:r>
    </w:p>
    <w:p>
      <w:pPr>
        <w:pStyle w:val="TextBody"/>
        <w:bidi w:val="0"/>
        <w:spacing w:before="0" w:after="0"/>
        <w:ind w:left="720" w:right="720" w:hanging="0"/>
        <w:jc w:val="left"/>
        <w:rPr/>
      </w:pPr>
      <w:r>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“Act”) was signed into law. The Act reinstates and makes permanent 100% first-year bonus depreciation under Section 168(k) for qualified property acquired and placed in service after January 19, 2025. Additionally, the Act permanently allows immediate expensing of domestic research and experimentation expenditures under Section 174 for tax years beginning after December 31, 2024. The Company has reflected the effects of the Act in its income tax provision in accordance with ASC 740 and there was no material impact.</w:t>
      </w:r>
    </w:p>
    <w:p>
      <w:pPr>
        <w:pStyle w:val="TextBody"/>
        <w:bidi w:val="0"/>
        <w:spacing w:before="0" w:after="0"/>
        <w:ind w:left="720" w:right="720" w:hanging="0"/>
        <w:jc w:val="both"/>
        <w:rPr>
          <w:caps w:val="false"/>
          <w:smallCaps w:val="false"/>
        </w:rPr>
      </w:pPr>
      <w:bookmarkStart w:id="1294" w:name="xdx_81A_zZi08jpVWkSf"/>
      <w:bookmarkEnd w:id="1294"/>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bookmarkStart w:id="1295" w:name="xdx_80D_eus-gaap--SegmentReportingDisclo"/>
      <w:bookmarkEnd w:id="1295"/>
      <w:r>
        <w:rPr>
          <w:rFonts w:ascii="Times New Roman;Times;Serif" w:hAnsi="Times New Roman;Times;Serif"/>
          <w:b/>
          <w:i w:val="false"/>
          <w:caps w:val="false"/>
          <w:smallCaps w:val="false"/>
          <w:sz w:val="20"/>
        </w:rPr>
        <w:t>13.</w:t>
      </w:r>
      <w:bookmarkStart w:id="1296" w:name="xdx_82F_z6iCNN3dlDS9"/>
      <w:bookmarkEnd w:id="1296"/>
      <w:r>
        <w:rPr>
          <w:rFonts w:ascii="Times New Roman;Times;Serif" w:hAnsi="Times New Roman;Times;Serif"/>
          <w:b/>
          <w:i w:val="false"/>
          <w:caps w:val="false"/>
          <w:smallCaps w:val="false"/>
          <w:sz w:val="20"/>
        </w:rPr>
        <w:t xml:space="preserve"> Segment Information</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consolidated balance sheets as total assets. The CODM evaluates performance and allocates resources based on consolidated net income or loss that also is reported on the consolidated statements of operations and comprehensive loss as net loss, and cash used in operations.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bookmarkStart w:id="1297" w:name="xdx_89F_eus-gaap--ScheduleOfSegmentRepor"/>
      <w:bookmarkEnd w:id="1297"/>
      <w:r>
        <w:rPr>
          <w:rFonts w:ascii="Times New Roman;Times;Serif" w:hAnsi="Times New Roman;Times;Serif"/>
          <w:b w:val="false"/>
          <w:i w:val="false"/>
          <w:caps w:val="false"/>
          <w:smallCaps w:val="false"/>
          <w:sz w:val="20"/>
        </w:rPr>
        <w:t>The following table provides R&amp;D expenses by program with a reconciliation to net loss for the periods indicated, which are regularly reviewed by the CODM:</w:t>
      </w:r>
    </w:p>
    <w:p>
      <w:pPr>
        <w:pStyle w:val="TextBody"/>
        <w:bidi w:val="0"/>
        <w:spacing w:before="0" w:after="0"/>
        <w:ind w:left="720" w:right="720" w:firstLine="446"/>
        <w:jc w:val="both"/>
        <w:rPr>
          <w:caps w:val="false"/>
          <w:smallCaps w:val="false"/>
        </w:rPr>
      </w:pPr>
      <w:r>
        <w:rPr>
          <w:caps w:val="false"/>
          <w:smallCaps w:val="false"/>
        </w:rPr>
        <w:t> </w:t>
      </w:r>
      <w:bookmarkStart w:id="1298" w:name="xdx_8B8_z9F6woinGyY"/>
      <w:bookmarkEnd w:id="1298"/>
      <w:r>
        <w:rPr>
          <w:rFonts w:ascii="Times New Roman;Times;Serif" w:hAnsi="Times New Roman;Times;Serif"/>
          <w:b w:val="false"/>
          <w:i w:val="false"/>
          <w:caps w:val="false"/>
          <w:smallCaps w:val="false"/>
          <w:sz w:val="20"/>
        </w:rPr>
        <w:t>Schedule of segment expenses reviewed by the CDMO</w:t>
      </w:r>
    </w:p>
    <w:tbl>
      <w:tblPr>
        <w:tblW w:w="7076" w:type="dxa"/>
        <w:jc w:val="left"/>
        <w:tblInd w:w="720" w:type="dxa"/>
        <w:tblLayout w:type="fixed"/>
        <w:tblCellMar>
          <w:top w:w="0" w:type="dxa"/>
          <w:left w:w="0" w:type="dxa"/>
          <w:bottom w:w="0" w:type="dxa"/>
          <w:right w:w="0" w:type="dxa"/>
        </w:tblCellMar>
      </w:tblPr>
      <w:tblGrid>
        <w:gridCol w:w="4940"/>
        <w:gridCol w:w="60"/>
        <w:gridCol w:w="141"/>
        <w:gridCol w:w="764"/>
        <w:gridCol w:w="96"/>
        <w:gridCol w:w="60"/>
        <w:gridCol w:w="141"/>
        <w:gridCol w:w="764"/>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Years Ended December 31,</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2024</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vAlign w:val="center"/>
          </w:tcPr>
          <w:p>
            <w:pPr>
              <w:pStyle w:val="TableContents"/>
              <w:bidi w:val="0"/>
              <w:spacing w:before="0" w:after="283"/>
              <w:jc w:val="center"/>
              <w:rPr>
                <w:b/>
                <w:sz w:val="16"/>
              </w:rPr>
            </w:pPr>
            <w:r>
              <w:rPr>
                <w:b/>
                <w:sz w:val="16"/>
              </w:rPr>
              <w:t>(in thousands)</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Collaboration and other 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1299" w:name="xdx_98F_eus-gaap--RevenueFromCollaborati"/>
            <w:bookmarkEnd w:id="1299"/>
          </w:p>
        </w:tc>
        <w:tc>
          <w:tcPr>
            <w:tcW w:w="764" w:type="dxa"/>
            <w:tcBorders/>
            <w:shd w:fill="CCEEFF" w:val="clear"/>
            <w:vAlign w:val="center"/>
          </w:tcPr>
          <w:p>
            <w:pPr>
              <w:pStyle w:val="TableContents"/>
              <w:bidi w:val="0"/>
              <w:spacing w:before="0" w:after="283"/>
              <w:jc w:val="right"/>
              <w:rPr/>
            </w:pPr>
            <w:r>
              <w:rPr/>
              <w:t>2,000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1300" w:name="xdx_98D_eus-gaap--RevenueFromCollaborati"/>
            <w:bookmarkEnd w:id="1300"/>
          </w:p>
        </w:tc>
        <w:tc>
          <w:tcPr>
            <w:tcW w:w="764" w:type="dxa"/>
            <w:tcBorders/>
            <w:shd w:fill="CCEEFF" w:val="clear"/>
            <w:vAlign w:val="center"/>
          </w:tcPr>
          <w:p>
            <w:pPr>
              <w:pStyle w:val="TableContents"/>
              <w:bidi w:val="0"/>
              <w:spacing w:before="0" w:after="283"/>
              <w:jc w:val="right"/>
              <w:rPr/>
            </w:pPr>
            <w:r>
              <w:rPr/>
              <w:t>11,000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Program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Mecbotamab vedotin, BA3011 (CAB AXL-ADC)</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01" w:name="xdx_984_eus-gaap--ResearchAndDevelopment"/>
            <w:bookmarkEnd w:id="1301"/>
          </w:p>
        </w:tc>
        <w:tc>
          <w:tcPr>
            <w:tcW w:w="764" w:type="dxa"/>
            <w:tcBorders/>
            <w:shd w:fill="CCEEFF" w:val="clear"/>
            <w:vAlign w:val="center"/>
          </w:tcPr>
          <w:p>
            <w:pPr>
              <w:pStyle w:val="TableContents"/>
              <w:bidi w:val="0"/>
              <w:spacing w:before="0" w:after="283"/>
              <w:jc w:val="right"/>
              <w:rPr/>
            </w:pPr>
            <w:r>
              <w:rPr/>
              <w:t>7,848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02" w:name="xdx_980_eus-gaap--ResearchAndDevelopment"/>
            <w:bookmarkEnd w:id="1302"/>
          </w:p>
        </w:tc>
        <w:tc>
          <w:tcPr>
            <w:tcW w:w="764" w:type="dxa"/>
            <w:tcBorders/>
            <w:shd w:fill="CCEEFF" w:val="clear"/>
            <w:vAlign w:val="center"/>
          </w:tcPr>
          <w:p>
            <w:pPr>
              <w:pStyle w:val="TableContents"/>
              <w:bidi w:val="0"/>
              <w:spacing w:before="0" w:after="283"/>
              <w:jc w:val="right"/>
              <w:rPr/>
            </w:pPr>
            <w:r>
              <w:rPr/>
              <w:t>12,934</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Ozuriftamab vedotin, BA3021 (CAB ROR2-ADC)</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03" w:name="xdx_98B_eus-gaap--ResearchAndDevelopment"/>
            <w:bookmarkEnd w:id="1303"/>
          </w:p>
        </w:tc>
        <w:tc>
          <w:tcPr>
            <w:tcW w:w="764" w:type="dxa"/>
            <w:tcBorders/>
            <w:shd w:fill="FFFFFF" w:val="clear"/>
            <w:vAlign w:val="center"/>
          </w:tcPr>
          <w:p>
            <w:pPr>
              <w:pStyle w:val="TableContents"/>
              <w:bidi w:val="0"/>
              <w:spacing w:before="0" w:after="283"/>
              <w:jc w:val="right"/>
              <w:rPr/>
            </w:pPr>
            <w:r>
              <w:rPr/>
              <w:t>5,446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04" w:name="xdx_981_eus-gaap--ResearchAndDevelopment"/>
            <w:bookmarkEnd w:id="1304"/>
          </w:p>
        </w:tc>
        <w:tc>
          <w:tcPr>
            <w:tcW w:w="764" w:type="dxa"/>
            <w:tcBorders/>
            <w:shd w:fill="FFFFFF" w:val="clear"/>
            <w:vAlign w:val="center"/>
          </w:tcPr>
          <w:p>
            <w:pPr>
              <w:pStyle w:val="TableContents"/>
              <w:bidi w:val="0"/>
              <w:spacing w:before="0" w:after="283"/>
              <w:jc w:val="right"/>
              <w:rPr/>
            </w:pPr>
            <w:r>
              <w:rPr/>
              <w:t>8,962</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Evalstotug, BA3071 (CAB CTLA-4)</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05" w:name="xdx_989_eus-gaap--ResearchAndDevelopment"/>
            <w:bookmarkEnd w:id="1305"/>
          </w:p>
        </w:tc>
        <w:tc>
          <w:tcPr>
            <w:tcW w:w="764" w:type="dxa"/>
            <w:tcBorders/>
            <w:shd w:fill="CCEEFF" w:val="clear"/>
            <w:vAlign w:val="center"/>
          </w:tcPr>
          <w:p>
            <w:pPr>
              <w:pStyle w:val="TableContents"/>
              <w:bidi w:val="0"/>
              <w:spacing w:before="0" w:after="283"/>
              <w:jc w:val="right"/>
              <w:rPr/>
            </w:pPr>
            <w:r>
              <w:rPr/>
              <w:t>5,026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06" w:name="xdx_982_eus-gaap--ResearchAndDevelopment"/>
            <w:bookmarkEnd w:id="1306"/>
          </w:p>
        </w:tc>
        <w:tc>
          <w:tcPr>
            <w:tcW w:w="764" w:type="dxa"/>
            <w:tcBorders/>
            <w:shd w:fill="CCEEFF" w:val="clear"/>
            <w:vAlign w:val="center"/>
          </w:tcPr>
          <w:p>
            <w:pPr>
              <w:pStyle w:val="TableContents"/>
              <w:bidi w:val="0"/>
              <w:spacing w:before="0" w:after="283"/>
              <w:jc w:val="right"/>
              <w:rPr/>
            </w:pPr>
            <w:r>
              <w:rPr/>
              <w:t>9,103</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BA3182 (CAB EpCAM x CAB CD3)</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07" w:name="xdx_98C_eus-gaap--ResearchAndDevelopment"/>
            <w:bookmarkEnd w:id="1307"/>
          </w:p>
        </w:tc>
        <w:tc>
          <w:tcPr>
            <w:tcW w:w="764" w:type="dxa"/>
            <w:tcBorders/>
            <w:shd w:fill="FFFFFF" w:val="clear"/>
            <w:vAlign w:val="center"/>
          </w:tcPr>
          <w:p>
            <w:pPr>
              <w:pStyle w:val="TableContents"/>
              <w:bidi w:val="0"/>
              <w:spacing w:before="0" w:after="283"/>
              <w:jc w:val="right"/>
              <w:rPr/>
            </w:pPr>
            <w:r>
              <w:rPr/>
              <w:t>7,869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08" w:name="xdx_981_eus-gaap--ResearchAndDevelopment"/>
            <w:bookmarkEnd w:id="1308"/>
          </w:p>
        </w:tc>
        <w:tc>
          <w:tcPr>
            <w:tcW w:w="764" w:type="dxa"/>
            <w:tcBorders/>
            <w:shd w:fill="FFFFFF" w:val="clear"/>
            <w:vAlign w:val="center"/>
          </w:tcPr>
          <w:p>
            <w:pPr>
              <w:pStyle w:val="TableContents"/>
              <w:bidi w:val="0"/>
              <w:spacing w:before="0" w:after="283"/>
              <w:jc w:val="right"/>
              <w:rPr/>
            </w:pPr>
            <w:r>
              <w:rPr/>
              <w:t>5,111</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Other CAB Programs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09" w:name="xdx_985_eus-gaap--ResearchAndDevelopment"/>
            <w:bookmarkEnd w:id="1309"/>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3,768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10" w:name="xdx_987_eus-gaap--ResearchAndDevelopment"/>
            <w:bookmarkEnd w:id="1310"/>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6,912</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Total program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11" w:name="xdx_98E_eus-gaap--ResearchAndDevelopment"/>
            <w:bookmarkEnd w:id="1311"/>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29,957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12" w:name="xdx_984_eus-gaap--ResearchAndDevelopment"/>
            <w:bookmarkEnd w:id="1312"/>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43,022</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Personnel and related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13" w:name="xdx_987_eus-gaap--ResearchAndDevelopment"/>
            <w:bookmarkEnd w:id="1313"/>
          </w:p>
        </w:tc>
        <w:tc>
          <w:tcPr>
            <w:tcW w:w="764" w:type="dxa"/>
            <w:tcBorders/>
            <w:shd w:fill="CCEEFF" w:val="clear"/>
            <w:vAlign w:val="center"/>
          </w:tcPr>
          <w:p>
            <w:pPr>
              <w:pStyle w:val="TableContents"/>
              <w:bidi w:val="0"/>
              <w:spacing w:before="0" w:after="283"/>
              <w:jc w:val="right"/>
              <w:rPr/>
            </w:pPr>
            <w:r>
              <w:rPr/>
              <w:t>8,180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14" w:name="xdx_983_eus-gaap--ResearchAndDevelopment"/>
            <w:bookmarkEnd w:id="1314"/>
          </w:p>
        </w:tc>
        <w:tc>
          <w:tcPr>
            <w:tcW w:w="764" w:type="dxa"/>
            <w:tcBorders/>
            <w:shd w:fill="CCEEFF" w:val="clear"/>
            <w:vAlign w:val="center"/>
          </w:tcPr>
          <w:p>
            <w:pPr>
              <w:pStyle w:val="TableContents"/>
              <w:bidi w:val="0"/>
              <w:spacing w:before="0" w:after="283"/>
              <w:jc w:val="right"/>
              <w:rPr/>
            </w:pPr>
            <w:r>
              <w:rPr/>
              <w:t>12,082</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Equity-based compensation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15" w:name="xdx_988_eus-gaap--ResearchAndDevelopment"/>
            <w:bookmarkEnd w:id="1315"/>
          </w:p>
        </w:tc>
        <w:tc>
          <w:tcPr>
            <w:tcW w:w="764" w:type="dxa"/>
            <w:tcBorders/>
            <w:shd w:fill="FFFFFF" w:val="clear"/>
            <w:vAlign w:val="center"/>
          </w:tcPr>
          <w:p>
            <w:pPr>
              <w:pStyle w:val="TableContents"/>
              <w:bidi w:val="0"/>
              <w:spacing w:before="0" w:after="283"/>
              <w:jc w:val="right"/>
              <w:rPr/>
            </w:pPr>
            <w:r>
              <w:rPr/>
              <w:t>2,199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16" w:name="xdx_98C_eus-gaap--ResearchAndDevelopment"/>
            <w:bookmarkEnd w:id="1316"/>
          </w:p>
        </w:tc>
        <w:tc>
          <w:tcPr>
            <w:tcW w:w="764" w:type="dxa"/>
            <w:tcBorders/>
            <w:shd w:fill="FFFFFF" w:val="clear"/>
            <w:vAlign w:val="center"/>
          </w:tcPr>
          <w:p>
            <w:pPr>
              <w:pStyle w:val="TableContents"/>
              <w:bidi w:val="0"/>
              <w:spacing w:before="0" w:after="283"/>
              <w:jc w:val="right"/>
              <w:rPr/>
            </w:pPr>
            <w:r>
              <w:rPr/>
              <w:t>4,238</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Facilities and other</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17" w:name="xdx_985_eus-gaap--ResearchAndDevelopment"/>
            <w:bookmarkEnd w:id="1317"/>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3,237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18" w:name="xdx_986_eus-gaap--ResearchAndDevelopment"/>
            <w:bookmarkEnd w:id="1318"/>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3,753</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19" w:name="xdx_980_eus-gaap--ResearchAndDevelopment"/>
            <w:bookmarkEnd w:id="1319"/>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43,573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0" w:name="xdx_98C_eus-gaap--ResearchAndDevelopment"/>
            <w:bookmarkEnd w:id="1320"/>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63,095</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Personnel and related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21" w:name="xdx_989_eus-gaap--GeneralAndAdministrati"/>
            <w:bookmarkEnd w:id="1321"/>
          </w:p>
        </w:tc>
        <w:tc>
          <w:tcPr>
            <w:tcW w:w="764" w:type="dxa"/>
            <w:tcBorders/>
            <w:shd w:fill="FFFFFF" w:val="clear"/>
            <w:vAlign w:val="center"/>
          </w:tcPr>
          <w:p>
            <w:pPr>
              <w:pStyle w:val="TableContents"/>
              <w:bidi w:val="0"/>
              <w:spacing w:before="0" w:after="283"/>
              <w:jc w:val="right"/>
              <w:rPr/>
            </w:pPr>
            <w:r>
              <w:rPr/>
              <w:t>5,286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322" w:name="xdx_982_eus-gaap--GeneralAndAdministrati"/>
            <w:bookmarkEnd w:id="1322"/>
          </w:p>
        </w:tc>
        <w:tc>
          <w:tcPr>
            <w:tcW w:w="764" w:type="dxa"/>
            <w:tcBorders/>
            <w:shd w:fill="FFFFFF" w:val="clear"/>
            <w:vAlign w:val="center"/>
          </w:tcPr>
          <w:p>
            <w:pPr>
              <w:pStyle w:val="TableContents"/>
              <w:bidi w:val="0"/>
              <w:spacing w:before="0" w:after="283"/>
              <w:jc w:val="right"/>
              <w:rPr/>
            </w:pPr>
            <w:r>
              <w:rPr/>
              <w:t>7,213</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Equity-based compensation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23" w:name="xdx_98E_eus-gaap--GeneralAndAdministrati"/>
            <w:bookmarkEnd w:id="1323"/>
          </w:p>
        </w:tc>
        <w:tc>
          <w:tcPr>
            <w:tcW w:w="764" w:type="dxa"/>
            <w:tcBorders/>
            <w:shd w:fill="CCEEFF" w:val="clear"/>
            <w:vAlign w:val="center"/>
          </w:tcPr>
          <w:p>
            <w:pPr>
              <w:pStyle w:val="TableContents"/>
              <w:bidi w:val="0"/>
              <w:spacing w:before="0" w:after="283"/>
              <w:jc w:val="right"/>
              <w:rPr/>
            </w:pPr>
            <w:r>
              <w:rPr/>
              <w:t>3,235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1324" w:name="xdx_983_eus-gaap--GeneralAndAdministrati"/>
            <w:bookmarkEnd w:id="1324"/>
          </w:p>
        </w:tc>
        <w:tc>
          <w:tcPr>
            <w:tcW w:w="764" w:type="dxa"/>
            <w:tcBorders/>
            <w:shd w:fill="CCEEFF" w:val="clear"/>
            <w:vAlign w:val="center"/>
          </w:tcPr>
          <w:p>
            <w:pPr>
              <w:pStyle w:val="TableContents"/>
              <w:bidi w:val="0"/>
              <w:spacing w:before="0" w:after="283"/>
              <w:jc w:val="right"/>
              <w:rPr/>
            </w:pPr>
            <w:r>
              <w:rPr/>
              <w:t>4,683</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Facilities and other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5" w:name="xdx_988_eus-gaap--GeneralAndAdministrati"/>
            <w:bookmarkEnd w:id="1325"/>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9,211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6" w:name="xdx_98D_eus-gaap--GeneralAndAdministrati"/>
            <w:bookmarkEnd w:id="1326"/>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9,952</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27" w:name="xdx_988_eus-gaap--GeneralAndAdministrati"/>
            <w:bookmarkEnd w:id="1327"/>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17,732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28" w:name="xdx_989_eus-gaap--GeneralAndAdministrati"/>
            <w:bookmarkEnd w:id="1328"/>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21,848</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Interest and other income (expense)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9" w:name="xdx_98A_eus-gaap--OtherNonoperatingIncom"/>
            <w:bookmarkEnd w:id="1329"/>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30" w:name="xdx_98B_eus-gaap--OtherNonoperatingIncom"/>
            <w:bookmarkEnd w:id="1330"/>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4,167</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31" w:name="xdx_989_eus-gaap--NetIncomeLoss_pn3n3_c2"/>
            <w:bookmarkEnd w:id="1331"/>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(59,607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332" w:name="xdx_987_eus-gaap--NetIncomeLoss_pn3n3_c2"/>
            <w:bookmarkEnd w:id="1332"/>
          </w:p>
        </w:tc>
        <w:tc>
          <w:tcPr>
            <w:tcW w:w="764" w:type="dxa"/>
            <w:tcBorders>
              <w:bottom w:val="double" w:sz="6" w:space="0" w:color="000000"/>
            </w:tcBorders>
            <w:shd w:fill="CCEEFF" w:val="clear"/>
            <w:tcMar>
              <w:bottom w:w="28" w:type="dxa"/>
            </w:tcMar>
            <w:vAlign w:val="center"/>
          </w:tcPr>
          <w:p>
            <w:pPr>
              <w:pStyle w:val="TableContents"/>
              <w:bidi w:val="0"/>
              <w:spacing w:before="0" w:after="283"/>
              <w:jc w:val="right"/>
              <w:rPr/>
            </w:pPr>
            <w:r>
              <w:rPr/>
              <w:t>(69,776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720" w:hanging="0"/>
        <w:jc w:val="left"/>
        <w:rPr>
          <w:caps w:val="false"/>
          <w:smallCaps w:val="false"/>
        </w:rPr>
      </w:pPr>
      <w:bookmarkStart w:id="1333" w:name="xdx_8AE_zmjz8jMqmKZ8"/>
      <w:bookmarkEnd w:id="1333"/>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bookmarkStart w:id="1334" w:name="xdx_810_zEYt1ACodabd"/>
      <w:bookmarkEnd w:id="1334"/>
      <w:r>
        <w:rPr>
          <w:rFonts w:ascii="Times New Roman;Times;Serif" w:hAnsi="Times New Roman;Times;Serif"/>
          <w:b w:val="false"/>
          <w:i w:val="false"/>
          <w:caps w:val="false"/>
          <w:smallCaps w:val="false"/>
          <w:sz w:val="20"/>
          <w:bdr w:val="single" w:sz="8" w:space="1" w:color="000000"/>
        </w:rPr>
        <w:t>F-51</w:t>
      </w:r>
    </w:p>
    <w:p>
      <w:pPr>
        <w:pStyle w:val="TextBody"/>
        <w:bidi w:val="0"/>
        <w:spacing w:before="0" w:after="0"/>
        <w:ind w:left="720" w:right="720" w:hanging="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bookmarkStart w:id="1335" w:name="xdx_80F_eus-gaap--SubsequentEventsTextBl"/>
      <w:bookmarkEnd w:id="1335"/>
      <w:r>
        <w:rPr>
          <w:rFonts w:ascii="Times New Roman;Times;Serif" w:hAnsi="Times New Roman;Times;Serif"/>
          <w:b/>
          <w:i w:val="false"/>
          <w:caps w:val="false"/>
          <w:smallCaps w:val="false"/>
          <w:sz w:val="20"/>
        </w:rPr>
        <w:t xml:space="preserve">14. </w:t>
      </w:r>
      <w:bookmarkStart w:id="1336" w:name="xdx_82F_zqxCT8ZlmHoj"/>
      <w:bookmarkEnd w:id="1336"/>
      <w:r>
        <w:rPr>
          <w:rFonts w:ascii="Times New Roman;Times;Serif" w:hAnsi="Times New Roman;Times;Serif"/>
          <w:b/>
          <w:i w:val="false"/>
          <w:caps w:val="false"/>
          <w:smallCaps w:val="false"/>
          <w:sz w:val="20"/>
        </w:rPr>
        <w:t>Subsequent Events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consolidated financial statements as of and for the year ended December 31, 2025, the Company has completed an evaluation of all subsequent events through March 31, 2026, which represents the date the consolidated financial statements were issued, for events requiring adjustment to or disclosure in the financial statements. The Company has further evaluated subsequent events for disclosure purposes through October 19, 2026. Except as described below or elsewhere in these consolidated financial statements, the Company has concluded that no subsequent event has occurred that requires disclosure or adjustment to the financial statements.</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Advance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balance of $</w:t>
      </w:r>
      <w:bookmarkStart w:id="1337" w:name="xdx_907_eus-gaap--ConvertibleDebtCurrent"/>
      <w:bookmarkEnd w:id="1337"/>
      <w:r>
        <w:rPr>
          <w:rFonts w:ascii="Times New Roman;Times;Serif" w:hAnsi="Times New Roman;Times;Serif"/>
          <w:b w:val="false"/>
          <w:i w:val="false"/>
          <w:caps w:val="false"/>
          <w:smallCaps w:val="false"/>
          <w:sz w:val="20"/>
        </w:rPr>
        <w:t>4.5 million as of December 31, 2025 under the Pre-Paid Advance was fully converted into common stock subsequent to the balance sheet date.</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bookmarkStart w:id="1338" w:name="xdx_904_eus-gaap--CommonStockSharesIssue"/>
      <w:bookmarkEnd w:id="1338"/>
      <w:r>
        <w:rPr>
          <w:rFonts w:ascii="Times New Roman;Times;Serif" w:hAnsi="Times New Roman;Times;Serif"/>
          <w:b w:val="false"/>
          <w:i w:val="false"/>
          <w:caps w:val="false"/>
          <w:smallCaps w:val="false"/>
          <w:sz w:val="20"/>
        </w:rPr>
        <w:t xml:space="preserve"> 48,092 SEPA shares had been sold under the SEPA, with gross proceeds to the Company totaling approximately $</w:t>
      </w:r>
      <w:bookmarkStart w:id="1339" w:name="xdx_907_eus-gaap--ProceedsFromIssuanceOf"/>
      <w:bookmarkEnd w:id="1339"/>
      <w:r>
        <w:rPr>
          <w:rFonts w:ascii="Times New Roman;Times;Serif" w:hAnsi="Times New Roman;Times;Serif"/>
          <w:b w:val="false"/>
          <w:i w:val="false"/>
          <w:caps w:val="false"/>
          <w:smallCaps w:val="false"/>
          <w:sz w:val="20"/>
        </w:rPr>
        <w:t>0.4 million.</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 2026, the Company announced that it has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the Company is implementing a restructuring plan that includes a workforce reduction of approximately </w:t>
      </w:r>
      <w:bookmarkStart w:id="1340" w:name="xdx_907_ecustom--ReductionInWorkforce_pi"/>
      <w:bookmarkEnd w:id="1340"/>
      <w:r>
        <w:rPr>
          <w:rFonts w:ascii="Times New Roman;Times;Serif" w:hAnsi="Times New Roman;Times;Serif"/>
          <w:b w:val="false"/>
          <w:i w:val="false"/>
          <w:caps w:val="false"/>
          <w:smallCaps w:val="false"/>
          <w:sz w:val="20"/>
        </w:rPr>
        <w:t>70%.</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and Related Share Consolidation</w:t>
      </w:r>
    </w:p>
    <w:p>
      <w:pPr>
        <w:pStyle w:val="TextBody"/>
        <w:bidi w:val="0"/>
        <w:spacing w:before="0" w:after="0"/>
        <w:ind w:left="720" w:right="720" w:firstLine="446"/>
        <w:jc w:val="both"/>
        <w:rPr>
          <w:caps w:val="false"/>
          <w:smallCaps w:val="false"/>
        </w:rPr>
      </w:pPr>
      <w:r>
        <w:rPr>
          <w:caps w:val="false"/>
          <w:smallCaps w:val="false"/>
        </w:rPr>
        <w:t> </w:t>
      </w:r>
    </w:p>
    <w:p>
      <w:pPr>
        <w:pStyle w:val="TextBody"/>
        <w:bidi w:val="0"/>
        <w:spacing w:before="0" w:after="0"/>
        <w:ind w:left="720" w:right="720" w:firstLine="4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Company’s stockholders approved the Agreement and Plan of Merger, as amended from time to time, including pursuant to Amendment No. 1 to Agreement and Plan of Merger, pursuant to which (i) a wholly owned subsidiary (the “Merger Sub”) of the Company will merge with and into the Company, with the Company surviving (the “Merger”), and (ii) every fifty (50) shares of common stock of the Company issued and outstanding, or held as treasury stock, will be converted into one (1) share of common stock of the surviving corporation, which shall be the Company (the “Share Consolidation”). The effective date of the Merger and the related Share Consolidation was April 6, 2026. Consequently, all issued and outstanding shares of stock, stock option awards, and per share data have been retroactively adjusted in these financial statements to reflect the Share Consolidation for all periods presented. The authorized shares and par value of the common stock and preferred stock remain unchanged. No fractional shares were issued in connection with the Share Consolidation.</w:t>
      </w:r>
    </w:p>
    <w:p>
      <w:pPr>
        <w:pStyle w:val="TextBody"/>
        <w:bidi w:val="0"/>
        <w:spacing w:before="0" w:after="0"/>
        <w:ind w:left="720" w:right="720" w:firstLine="446"/>
        <w:jc w:val="both"/>
        <w:rPr>
          <w:caps w:val="false"/>
          <w:smallCaps w:val="false"/>
        </w:rPr>
      </w:pPr>
      <w:bookmarkStart w:id="1341" w:name="xdx_815_zmmxHi0vyuO1"/>
      <w:bookmarkEnd w:id="1341"/>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F-52</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val="false"/>
          <w:smallCaps w:val="false"/>
          <w:color w:val="FF0000"/>
        </w:rPr>
      </w:pPr>
      <w:r>
        <w:rPr>
          <w:caps w:val="false"/>
          <w:smallCaps w:val="false"/>
          <w:color w:val="FF0000"/>
        </w:rPr>
        <w:t>  </w:t>
      </w:r>
    </w:p>
    <w:p>
      <w:pPr>
        <w:pStyle w:val="TextBody"/>
        <w:bidi w:val="0"/>
        <w:spacing w:before="60" w:after="60"/>
        <w:ind w:left="720" w:right="720" w:hanging="0"/>
        <w:jc w:val="left"/>
        <w:rPr>
          <w:bdr w:val="single" w:sz="32" w:space="1" w:color="000000"/>
        </w:rPr>
      </w:pPr>
      <w:r>
        <w:rPr>
          <w:bdr w:val="single" w:sz="32" w:space="1" w:color="000000"/>
        </w:rPr>
        <w:t> </w:t>
      </w:r>
    </w:p>
    <w:p>
      <w:pPr>
        <w:pStyle w:val="TextBody"/>
        <w:bidi w:val="0"/>
        <w:spacing w:before="0" w:after="0"/>
        <w:ind w:left="720" w:right="720" w:hanging="0"/>
        <w:jc w:val="center"/>
        <w:rPr>
          <w:caps w:val="false"/>
          <w:smallCaps w:val="false"/>
          <w:color w:val="FF0000"/>
        </w:rPr>
      </w:pPr>
      <w:r>
        <w:rPr>
          <w:caps w:val="false"/>
          <w:smallCaps w:val="false"/>
          <w:color w:val="FF0000"/>
        </w:rPr>
        <w:t> </w:t>
      </w:r>
    </w:p>
    <w:p>
      <w:pPr>
        <w:pStyle w:val="TextBody"/>
        <w:bidi w:val="0"/>
        <w:spacing w:before="0" w:after="0"/>
        <w:ind w:left="720" w:right="720" w:hanging="0"/>
        <w:jc w:val="center"/>
        <w:rPr>
          <w:caps w:val="false"/>
          <w:smallCaps w:val="false"/>
          <w:color w:val="FF0000"/>
        </w:rPr>
      </w:pPr>
      <w:r>
        <w:rPr>
          <w:caps w:val="false"/>
          <w:smallCaps w:val="false"/>
          <w:color w:val="FF0000"/>
        </w:rPr>
        <w:drawing>
          <wp:inline distT="0" distB="0" distL="0" distR="0">
            <wp:extent cx="1333500"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0" cy="676275"/>
                    </a:xfrm>
                    <a:prstGeom prst="rect">
                      <a:avLst/>
                    </a:prstGeom>
                  </pic:spPr>
                </pic:pic>
              </a:graphicData>
            </a:graphic>
          </wp:inline>
        </w:drawing>
      </w:r>
    </w:p>
    <w:p>
      <w:pPr>
        <w:pStyle w:val="TextBody"/>
        <w:bidi w:val="0"/>
        <w:spacing w:before="0" w:after="0"/>
        <w:ind w:left="720" w:right="720" w:hanging="0"/>
        <w:jc w:val="center"/>
        <w:rPr>
          <w:caps w:val="false"/>
          <w:smallCaps w:val="false"/>
          <w:color w:val="FF0000"/>
        </w:rPr>
      </w:pPr>
      <w:r>
        <w:rPr>
          <w:caps w:val="false"/>
          <w:smallCaps w:val="false"/>
          <w:color w:val="FF0000"/>
        </w:rPr>
        <w:t> </w:t>
      </w:r>
    </w:p>
    <w:p>
      <w:pPr>
        <w:pStyle w:val="TextBody"/>
        <w:bidi w:val="0"/>
        <w:spacing w:before="0" w:after="0"/>
        <w:ind w:left="720" w:right="72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Up to 8,182,110 Shares of Common Stock</w:t>
      </w:r>
    </w:p>
    <w:p>
      <w:pPr>
        <w:pStyle w:val="TextBody"/>
        <w:bidi w:val="0"/>
        <w:spacing w:before="0" w:after="0"/>
        <w:ind w:left="720" w:right="720" w:hanging="0"/>
        <w:jc w:val="center"/>
        <w:rPr>
          <w:caps w:val="false"/>
          <w:smallCaps w:val="false"/>
          <w:color w:val="231F20"/>
        </w:rPr>
      </w:pPr>
      <w:r>
        <w:rPr>
          <w:caps w:val="false"/>
          <w:smallCaps w:val="false"/>
          <w:color w:val="231F20"/>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val="false"/>
          <w:smallCaps w:val="false"/>
          <w:color w:val="231F20"/>
          <w:sz w:val="24"/>
        </w:rPr>
      </w:pPr>
      <w:r>
        <w:rPr>
          <w:rFonts w:ascii="Times New Roman;Times;Serif" w:hAnsi="Times New Roman;Times;Serif"/>
          <w:b/>
          <w:i w:val="false"/>
          <w:caps w:val="false"/>
          <w:smallCaps w:val="false"/>
          <w:color w:val="231F20"/>
          <w:sz w:val="24"/>
        </w:rPr>
        <w:t>PROSPECTUS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60" w:after="6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caps w:val="false"/>
          <w:smallCaps w:val="false"/>
        </w:rPr>
      </w:pPr>
      <w:r>
        <w:rPr>
          <w:caps w:val="false"/>
          <w:smallCaps w:val="false"/>
        </w:rPr>
        <w:t>          </w:t>
      </w:r>
      <w:r>
        <w:rPr>
          <w:rFonts w:ascii="Times New Roman;Times;Serif" w:hAnsi="Times New Roman;Times;Serif"/>
          <w:b/>
          <w:i w:val="false"/>
          <w:caps w:val="false"/>
          <w:smallCaps w:val="false"/>
          <w:color w:val="231F20"/>
          <w:sz w:val="20"/>
        </w:rPr>
        <w:t>, 2026</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60" w:after="60"/>
        <w:ind w:left="720" w:right="720" w:hanging="0"/>
        <w:jc w:val="left"/>
        <w:rPr>
          <w:bdr w:val="single" w:sz="8" w:space="1" w:color="000000"/>
        </w:rPr>
      </w:pPr>
      <w:r>
        <w:rPr>
          <w:bdr w:val="single" w:sz="8" w:space="1" w:color="000000"/>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bdr w:val="single" w:sz="8" w:space="1" w:color="000000"/>
        </w:rPr>
      </w:pPr>
      <w:r>
        <w:rPr>
          <w:bdr w:val="single" w:sz="8" w:space="1" w:color="000000"/>
        </w:rPr>
        <w:t> </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 II</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720" w:right="720" w:hanging="0"/>
        <w:jc w:val="center"/>
        <w:rPr>
          <w:caps w:val="false"/>
          <w:smallCaps w:val="false"/>
        </w:rPr>
      </w:pPr>
      <w:r>
        <w:rPr>
          <w:caps w:val="false"/>
          <w:smallCaps w:val="false"/>
        </w:rPr>
        <w:t> </w:t>
      </w:r>
    </w:p>
    <w:tbl>
      <w:tblPr>
        <w:tblW w:w="5088" w:type="dxa"/>
        <w:jc w:val="left"/>
        <w:tblInd w:w="720" w:type="dxa"/>
        <w:tblLayout w:type="fixed"/>
        <w:tblCellMar>
          <w:top w:w="0" w:type="dxa"/>
          <w:left w:w="0" w:type="dxa"/>
          <w:bottom w:w="0" w:type="dxa"/>
          <w:right w:w="0" w:type="dxa"/>
        </w:tblCellMar>
      </w:tblPr>
      <w:tblGrid>
        <w:gridCol w:w="38"/>
        <w:gridCol w:w="80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val="false"/>
                <w:caps w:val="false"/>
                <w:smallCaps w:val="false"/>
              </w:rPr>
            </w:pPr>
            <w:r>
              <w:rPr>
                <w:i w:val="false"/>
                <w:caps w:val="false"/>
                <w:smallCaps w:val="false"/>
              </w:rPr>
              <w:t>Item 13.</w:t>
            </w:r>
          </w:p>
        </w:tc>
        <w:tc>
          <w:tcPr>
            <w:tcW w:w="4250" w:type="dxa"/>
            <w:tcBorders/>
            <w:vAlign w:val="center"/>
          </w:tcPr>
          <w:p>
            <w:pPr>
              <w:pStyle w:val="TableContents"/>
              <w:bidi w:val="0"/>
              <w:spacing w:before="0" w:after="283"/>
              <w:jc w:val="left"/>
              <w:rPr/>
            </w:pPr>
            <w:r>
              <w:rPr/>
              <w:t>Other Expenses of Issuance and Distribution</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is a statement of the estimated expenses (other than underwriting discounts and commissions) to be incurred by our company in connection with the issuance and distribution of the securities registered under this registration statement.</w:t>
      </w:r>
    </w:p>
    <w:p>
      <w:pPr>
        <w:pStyle w:val="TextBody"/>
        <w:bidi w:val="0"/>
        <w:spacing w:before="0" w:after="0"/>
        <w:ind w:left="820" w:right="831" w:firstLine="400"/>
        <w:jc w:val="left"/>
        <w:rPr>
          <w:caps w:val="false"/>
          <w:smallCaps w:val="false"/>
          <w:color w:val="231F20"/>
        </w:rPr>
      </w:pPr>
      <w:r>
        <w:rPr>
          <w:caps w:val="false"/>
          <w:smallCaps w:val="false"/>
          <w:color w:val="231F20"/>
        </w:rPr>
        <w:t> </w:t>
      </w:r>
    </w:p>
    <w:tbl>
      <w:tblPr>
        <w:tblW w:w="3690" w:type="dxa"/>
        <w:jc w:val="left"/>
        <w:tblInd w:w="720" w:type="dxa"/>
        <w:tblLayout w:type="fixed"/>
        <w:tblCellMar>
          <w:top w:w="0" w:type="dxa"/>
          <w:left w:w="0" w:type="dxa"/>
          <w:bottom w:w="0" w:type="dxa"/>
          <w:right w:w="0" w:type="dxa"/>
        </w:tblCellMar>
      </w:tblPr>
      <w:tblGrid>
        <w:gridCol w:w="2480"/>
        <w:gridCol w:w="60"/>
        <w:gridCol w:w="125"/>
        <w:gridCol w:w="95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color w:val="231F20"/>
                <w:sz w:val="20"/>
              </w:rPr>
            </w:pPr>
            <w:r>
              <w:rPr>
                <w:color w:val="231F20"/>
                <w:sz w:val="20"/>
              </w:rPr>
              <w:t>925.40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30,000.00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Legal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75,000.00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Printing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20,000.00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4,074.60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48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130,000.00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720" w:hanging="0"/>
        <w:jc w:val="left"/>
        <w:rPr>
          <w:caps w:val="false"/>
          <w:smallCaps w:val="false"/>
        </w:rPr>
      </w:pPr>
      <w:r>
        <w:rPr>
          <w:caps w:val="false"/>
          <w:smallCaps w:val="false"/>
        </w:rPr>
        <w:t> </w:t>
      </w:r>
    </w:p>
    <w:tbl>
      <w:tblPr>
        <w:tblW w:w="4773" w:type="dxa"/>
        <w:jc w:val="left"/>
        <w:tblInd w:w="720" w:type="dxa"/>
        <w:tblLayout w:type="fixed"/>
        <w:tblCellMar>
          <w:top w:w="0" w:type="dxa"/>
          <w:left w:w="0" w:type="dxa"/>
          <w:bottom w:w="0" w:type="dxa"/>
          <w:right w:w="0" w:type="dxa"/>
        </w:tblCellMar>
      </w:tblPr>
      <w:tblGrid>
        <w:gridCol w:w="38"/>
        <w:gridCol w:w="80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val="false"/>
                <w:caps w:val="false"/>
                <w:smallCaps w:val="false"/>
              </w:rPr>
            </w:pPr>
            <w:r>
              <w:rPr>
                <w:i w:val="false"/>
                <w:caps w:val="false"/>
                <w:smallCaps w:val="false"/>
              </w:rPr>
              <w:t>Item 14.</w:t>
            </w:r>
          </w:p>
        </w:tc>
        <w:tc>
          <w:tcPr>
            <w:tcW w:w="3935" w:type="dxa"/>
            <w:tcBorders/>
            <w:vAlign w:val="center"/>
          </w:tcPr>
          <w:p>
            <w:pPr>
              <w:pStyle w:val="TableContents"/>
              <w:bidi w:val="0"/>
              <w:spacing w:before="0" w:after="283"/>
              <w:jc w:val="left"/>
              <w:rPr/>
            </w:pPr>
            <w:r>
              <w:rPr/>
              <w:t>Indemnification of Directors and Officers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Article V of our amended and restated bylaws provides for indemnification of our directors, officers, employees and other agents to the maximum extent permitted by the Delaware General Corporation Law. In addition, we have entered into indemnification agreements with our officers and directors, whereby we have agreed to indemnify our directors and officers to the fullest extent permitted by law.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Under the SEPA, Yorkville has agreed to indemnify us, our directors and officers and each person who controls us against certain liabilities under the Securities Act arising from written information furnished by Yorkville specifically for inclusion in this registration statement.</w:t>
      </w:r>
    </w:p>
    <w:p>
      <w:pPr>
        <w:pStyle w:val="TextBody"/>
        <w:bidi w:val="0"/>
        <w:spacing w:before="0" w:after="0"/>
        <w:ind w:left="820" w:right="886" w:firstLine="400"/>
        <w:jc w:val="both"/>
        <w:rPr>
          <w:caps w:val="false"/>
          <w:smallCaps w:val="false"/>
          <w:color w:val="231F20"/>
        </w:rPr>
      </w:pPr>
      <w:r>
        <w:rPr>
          <w:caps w:val="false"/>
          <w:smallCaps w:val="false"/>
          <w:color w:val="231F20"/>
        </w:rPr>
        <w:t> </w:t>
      </w:r>
    </w:p>
    <w:tbl>
      <w:tblPr>
        <w:tblW w:w="4803" w:type="dxa"/>
        <w:jc w:val="left"/>
        <w:tblInd w:w="720" w:type="dxa"/>
        <w:tblLayout w:type="fixed"/>
        <w:tblCellMar>
          <w:top w:w="0" w:type="dxa"/>
          <w:left w:w="0" w:type="dxa"/>
          <w:bottom w:w="0" w:type="dxa"/>
          <w:right w:w="0" w:type="dxa"/>
        </w:tblCellMar>
      </w:tblPr>
      <w:tblGrid>
        <w:gridCol w:w="38"/>
        <w:gridCol w:w="845"/>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Item 15.</w:t>
            </w:r>
          </w:p>
        </w:tc>
        <w:tc>
          <w:tcPr>
            <w:tcW w:w="3920" w:type="dxa"/>
            <w:tcBorders/>
            <w:vAlign w:val="center"/>
          </w:tcPr>
          <w:p>
            <w:pPr>
              <w:pStyle w:val="TableContents"/>
              <w:bidi w:val="0"/>
              <w:spacing w:before="0" w:after="283"/>
              <w:jc w:val="both"/>
              <w:rPr>
                <w:b/>
                <w:i/>
              </w:rPr>
            </w:pPr>
            <w:r>
              <w:rPr>
                <w:b/>
                <w:i/>
              </w:rPr>
              <w:t>Recent Sales of Unregistered Securities.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securities within the past three years which were not registered under the Securities Act except as set forth below. The registrant believes that, unless otherwise noted, all of the transactions described in this Item 15 were exempt from registration under the Securities Act pursuant to Section 4(a)(2) of the Securities Act.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 3021 SPV LLC Common Units</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into an Investment Agreement with Inversagen AI, LLC (“Inversagen AI”) and Alliance International Resources Corp., pursuant to which, subject to the completion of financings by Inversagen AI, the Company agreed to sell common units of BA 3021 SPV LLC, a subsidiary of the Company (the “SPV”), to Inversagen AI in a private placement over multiple closings, such that upon completion of the transaction Inversagen AI would own an aggregate of 35% of the common units of the SPV in exchange for an aggregate of $40 million. Inversagen AI is a related party of the Company, as Dr. Short and his spouse serve as managers of Inversagen AI. The SPV common units are to be sold in reliance on the exemption from registration provided by Section 4(a)(2) of the Securities Act. As of the date of this registration statement, the transaction has not closed, the SPV has not issued any common units, and the Company is in discussions to potentially restructure the transaction pending the outcome of its strategic process.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Junior Preferred Stock</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2026, the Company’s board of directors authorized the issuance of one (1) share of Series A Junior Preferred Stock, par value $0.0001 per share (the “Series A Preferred Share”), to Jay M. Short, Ph.D., the Company’s Chairman, Chief Executive Officer and co-founder, for a purchase price of $0.01. On the same date, the Company filed a Certificate of Designation of Series A Junior Preferred Stock with the Secretary of State of the State of Delaware. The Series A Preferred Share entitled its holder to vote, together with the holders of common stock as a single class, solely on a proposal to approve a reverse stock split of the common stock and related matters, and to cast a number of votes equal to the number of shares of common stock outstanding on the applicable record date, all of which votes were required to be cast “for” such proposal if it was approved by at least two-thirds of the voting power of the common stock present and entitled to vote thereon, and “against” such proposal otherwise. The Series A Preferred Share was not entitled to dividends, was not transferable without the prior consent of the board of directors and was redeemable at the option of the board of directors for $0.01. On January 30, 2026, the Company redeemed the Series A Preferred Share for $0.01 and filed a Certificate of Elimination with the Secretary of State of the State of Delaware eliminating the Series A Junior Preferred Stock from the Company’s amended and restated certificate of incorporation. The Series A Preferred Share was issued in reliance on the exemption from registration provided by Section 4(a)(2) of the Securities Act as a transaction with an accredited investor not involving a public offering.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entered into the Standby Equity Purchase Agreement (the “SEPA”) with YA II PN, Ltd. (“Yorkville”), pursuant to which the Company has the right, but not the obligation, to sell to Yorkville up to $40,000,000 of shares of its common stock (the “Advance Shares”) at the Company’s request at any time during the 36 months following the date of the SEPA, subject to the terms and conditions set forth therein. Any Advance Shares will be purchased by Yorkville at a price equal to 97% of the lowest daily VWAP of the common stock during the three consecutive trading days commencing on the date the Company delivers an Advance Notice, subject to certain limitations, including that Yorkville may not purchase shares that would result in Yorkville and its affiliates beneficially owning more than 4.99% of the then outstanding voting power or number of shares of common stock. As of the date of this registration statement, the Company has not issued any Advance Shares under the SEPA. The Company has registered for resale under this registration statement up to 8,000,000 Advance Shares.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 Fee Warrants</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Yorkville’s execution and delivery of the SEPA, the Company agreed to pay Yorkville a commitment fee of $500,000 (the “Commitment Fee”), one-half of which was payable within five days of the date of the SEPA and the remaining one-half of which is payable on or before December 31, 2026, in each case, at the Company’s election, either in cash or by the issuance to Yorkville of warrants (the “Commitment Fee Warrants”) to purchase shares of common stock (the “Commitment Shares”). On October 16, 2026, the Company issued to Yorkville Commitment Fee Warrants exercisable for up to 182,110 Commitment Shares at an exercise price of $0.0001 per share in payment of the first installment of the Commitment Fee. No separate cash consideration was received by the Company for the issuance of the Commitment Fee Warrants.</w:t>
      </w:r>
    </w:p>
    <w:p>
      <w:pPr>
        <w:pStyle w:val="TextBody"/>
        <w:bidi w:val="0"/>
        <w:spacing w:before="0" w:after="0"/>
        <w:ind w:left="720" w:right="720" w:hanging="0"/>
        <w:jc w:val="left"/>
        <w:rPr>
          <w:caps w:val="false"/>
          <w:smallCaps w:val="false"/>
        </w:rPr>
      </w:pPr>
      <w:r>
        <w:rPr>
          <w:caps w:val="false"/>
          <w:smallCaps w:val="false"/>
        </w:rPr>
        <w:t> </w:t>
      </w:r>
    </w:p>
    <w:tbl>
      <w:tblPr>
        <w:tblW w:w="1548" w:type="dxa"/>
        <w:jc w:val="left"/>
        <w:tblInd w:w="720" w:type="dxa"/>
        <w:tblLayout w:type="fixed"/>
        <w:tblCellMar>
          <w:top w:w="0" w:type="dxa"/>
          <w:left w:w="0" w:type="dxa"/>
          <w:bottom w:w="0" w:type="dxa"/>
          <w:right w:w="0" w:type="dxa"/>
        </w:tblCellMar>
      </w:tblPr>
      <w:tblGrid>
        <w:gridCol w:w="38"/>
        <w:gridCol w:w="71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b/>
                <w:sz w:val="20"/>
              </w:rPr>
            </w:pPr>
            <w:r>
              <w:rPr>
                <w:b/>
                <w:sz w:val="20"/>
              </w:rPr>
              <w:t>Item 16.</w:t>
            </w:r>
          </w:p>
        </w:tc>
        <w:tc>
          <w:tcPr>
            <w:tcW w:w="800" w:type="dxa"/>
            <w:tcBorders/>
            <w:vAlign w:val="center"/>
          </w:tcPr>
          <w:p>
            <w:pPr>
              <w:pStyle w:val="TableContents"/>
              <w:bidi w:val="0"/>
              <w:spacing w:before="0" w:after="283"/>
              <w:jc w:val="both"/>
              <w:rPr>
                <w:i/>
              </w:rPr>
            </w:pPr>
            <w:r>
              <w:rPr>
                <w:i/>
              </w:rPr>
              <w:t>Exhibits</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560"/>
        <w:gridCol w:w="4493"/>
        <w:gridCol w:w="475"/>
        <w:gridCol w:w="778"/>
        <w:gridCol w:w="663"/>
        <w:gridCol w:w="625"/>
        <w:gridCol w:w="1171"/>
      </w:tblGrid>
      <w:tr>
        <w:trPr/>
        <w:tc>
          <w:tcPr>
            <w:tcW w:w="560" w:type="dxa"/>
            <w:tcBorders/>
            <w:vAlign w:val="center"/>
          </w:tcPr>
          <w:p>
            <w:pPr>
              <w:pStyle w:val="TableContents"/>
              <w:bidi w:val="0"/>
              <w:spacing w:before="0" w:after="283"/>
              <w:jc w:val="left"/>
              <w:rPr>
                <w:sz w:val="4"/>
                <w:szCs w:val="4"/>
              </w:rPr>
            </w:pPr>
            <w:r>
              <w:rPr>
                <w:sz w:val="4"/>
                <w:szCs w:val="4"/>
              </w:rPr>
            </w:r>
          </w:p>
        </w:tc>
        <w:tc>
          <w:tcPr>
            <w:tcW w:w="4493" w:type="dxa"/>
            <w:tcBorders/>
            <w:vAlign w:val="center"/>
          </w:tcPr>
          <w:p>
            <w:pPr>
              <w:pStyle w:val="TableContents"/>
              <w:bidi w:val="0"/>
              <w:spacing w:before="0" w:after="283"/>
              <w:jc w:val="left"/>
              <w:rPr>
                <w:sz w:val="4"/>
                <w:szCs w:val="4"/>
              </w:rPr>
            </w:pPr>
            <w:r>
              <w:rPr>
                <w:sz w:val="4"/>
                <w:szCs w:val="4"/>
              </w:rPr>
            </w:r>
          </w:p>
        </w:tc>
        <w:tc>
          <w:tcPr>
            <w:tcW w:w="3712" w:type="dxa"/>
            <w:gridSpan w:val="5"/>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Incorporated by reference </w:t>
            </w:r>
          </w:p>
        </w:tc>
      </w:tr>
      <w:tr>
        <w:trPr/>
        <w:tc>
          <w:tcPr>
            <w:tcW w:w="560" w:type="dxa"/>
            <w:tcBorders/>
            <w:vAlign w:val="center"/>
          </w:tcPr>
          <w:p>
            <w:pPr>
              <w:pStyle w:val="TableContents"/>
              <w:pBdr>
                <w:bottom w:val="single" w:sz="4" w:space="1" w:color="000000"/>
              </w:pBdr>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Exhibit</w:t>
            </w:r>
            <w:r>
              <w:rPr>
                <w:rFonts w:ascii="Times New Roman;Times;Serif" w:hAnsi="Times New Roman;Times;Serif"/>
                <w:b w:val="false"/>
                <w:i w:val="false"/>
                <w:caps w:val="false"/>
                <w:smallCaps w:val="false"/>
                <w:sz w:val="16"/>
              </w:rPr>
              <w:br/>
            </w:r>
            <w:r>
              <w:rPr>
                <w:rFonts w:ascii="Times New Roman;Times;Serif" w:hAnsi="Times New Roman;Times;Serif"/>
                <w:b/>
                <w:i w:val="false"/>
                <w:caps w:val="false"/>
                <w:smallCaps w:val="false"/>
                <w:sz w:val="16"/>
              </w:rPr>
              <w:t>No. </w:t>
            </w:r>
          </w:p>
        </w:tc>
        <w:tc>
          <w:tcPr>
            <w:tcW w:w="449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Exhibit title</w:t>
            </w:r>
            <w:r>
              <w:rPr>
                <w:rFonts w:ascii="Times New Roman;Times;Serif" w:hAnsi="Times New Roman;Times;Serif"/>
                <w:b w:val="false"/>
                <w:i w:val="false"/>
                <w:caps w:val="false"/>
                <w:smallCaps w:val="false"/>
                <w:sz w:val="16"/>
              </w:rPr>
              <w:t> </w:t>
            </w:r>
          </w:p>
        </w:tc>
        <w:tc>
          <w:tcPr>
            <w:tcW w:w="4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Form</w:t>
            </w:r>
            <w:r>
              <w:rPr>
                <w:rFonts w:ascii="Times New Roman;Times;Serif" w:hAnsi="Times New Roman;Times;Serif"/>
                <w:b w:val="false"/>
                <w:i w:val="false"/>
                <w:caps w:val="false"/>
                <w:smallCaps w:val="false"/>
                <w:sz w:val="16"/>
              </w:rPr>
              <w:t> </w:t>
            </w:r>
          </w:p>
        </w:tc>
        <w:tc>
          <w:tcPr>
            <w:tcW w:w="778"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File No.</w:t>
            </w:r>
            <w:r>
              <w:rPr>
                <w:rFonts w:ascii="Times New Roman;Times;Serif" w:hAnsi="Times New Roman;Times;Serif"/>
                <w:b w:val="false"/>
                <w:i w:val="false"/>
                <w:caps w:val="false"/>
                <w:smallCaps w:val="false"/>
                <w:sz w:val="16"/>
              </w:rPr>
              <w:t> </w:t>
            </w:r>
          </w:p>
        </w:tc>
        <w:tc>
          <w:tcPr>
            <w:tcW w:w="663" w:type="dxa"/>
            <w:tcBorders/>
            <w:vAlign w:val="center"/>
          </w:tcPr>
          <w:p>
            <w:pPr>
              <w:pStyle w:val="TableContents"/>
              <w:pBdr>
                <w:bottom w:val="single" w:sz="4" w:space="1" w:color="000000"/>
              </w:pBdr>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Exhibit No.</w:t>
            </w:r>
            <w:r>
              <w:rPr>
                <w:rFonts w:ascii="Times New Roman;Times;Serif" w:hAnsi="Times New Roman;Times;Serif"/>
                <w:b w:val="false"/>
                <w:i w:val="false"/>
                <w:caps w:val="false"/>
                <w:smallCaps w:val="false"/>
                <w:sz w:val="16"/>
              </w:rPr>
              <w:t> </w:t>
            </w:r>
          </w:p>
        </w:tc>
        <w:tc>
          <w:tcPr>
            <w:tcW w:w="6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Filing date</w:t>
            </w:r>
            <w:r>
              <w:rPr>
                <w:rFonts w:ascii="Times New Roman;Times;Serif" w:hAnsi="Times New Roman;Times;Serif"/>
                <w:b w:val="false"/>
                <w:i w:val="false"/>
                <w:caps w:val="false"/>
                <w:smallCaps w:val="false"/>
                <w:sz w:val="16"/>
              </w:rPr>
              <w:t> </w:t>
            </w:r>
          </w:p>
        </w:tc>
        <w:tc>
          <w:tcPr>
            <w:tcW w:w="117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Filed or furnished herewith</w:t>
            </w:r>
            <w:r>
              <w:rPr>
                <w:rFonts w:ascii="Times New Roman;Times;Serif" w:hAnsi="Times New Roman;Times;Serif"/>
                <w:b w:val="false"/>
                <w:i w:val="false"/>
                <w:caps w:val="false"/>
                <w:smallCaps w:val="false"/>
                <w:sz w:val="16"/>
              </w:rPr>
              <w:t> </w:t>
            </w:r>
          </w:p>
        </w:tc>
      </w:tr>
      <w:tr>
        <w:trPr/>
        <w:tc>
          <w:tcPr>
            <w:tcW w:w="560" w:type="dxa"/>
            <w:tcBorders/>
            <w:vAlign w:val="center"/>
          </w:tcPr>
          <w:p>
            <w:pPr>
              <w:pStyle w:val="TableContents"/>
              <w:bidi w:val="0"/>
              <w:spacing w:before="0" w:after="283"/>
              <w:jc w:val="center"/>
              <w:rPr>
                <w:sz w:val="20"/>
              </w:rPr>
            </w:pPr>
            <w:r>
              <w:rPr>
                <w:sz w:val="20"/>
              </w:rPr>
              <w:t>2.1</w:t>
            </w:r>
          </w:p>
        </w:tc>
        <w:tc>
          <w:tcPr>
            <w:tcW w:w="4493" w:type="dxa"/>
            <w:tcBorders/>
            <w:vAlign w:val="center"/>
          </w:tcPr>
          <w:p>
            <w:pPr>
              <w:pStyle w:val="TableContents"/>
              <w:bidi w:val="0"/>
              <w:spacing w:before="0" w:after="283"/>
              <w:jc w:val="left"/>
              <w:rPr/>
            </w:pPr>
            <w:hyperlink r:id="rId5">
              <w:r>
                <w:rPr>
                  <w:rStyle w:val="InternetLink"/>
                  <w:sz w:val="20"/>
                </w:rPr>
                <w:t>Agreement and Plan of Merger, dated as of January 30, 2026, by and between BioAtla, Inc. and BA Merger Sub, Inc.</w:t>
              </w:r>
            </w:hyperlink>
          </w:p>
        </w:tc>
        <w:tc>
          <w:tcPr>
            <w:tcW w:w="475" w:type="dxa"/>
            <w:tcBorders/>
            <w:vAlign w:val="center"/>
          </w:tcPr>
          <w:p>
            <w:pPr>
              <w:pStyle w:val="TableContents"/>
              <w:bidi w:val="0"/>
              <w:spacing w:before="0" w:after="283"/>
              <w:jc w:val="center"/>
              <w:rPr>
                <w:sz w:val="20"/>
              </w:rPr>
            </w:pPr>
            <w:r>
              <w:rPr>
                <w:sz w:val="20"/>
              </w:rPr>
              <w:t>8-K</w:t>
            </w:r>
          </w:p>
        </w:tc>
        <w:tc>
          <w:tcPr>
            <w:tcW w:w="778" w:type="dxa"/>
            <w:tcBorders/>
            <w:vAlign w:val="center"/>
          </w:tcPr>
          <w:p>
            <w:pPr>
              <w:pStyle w:val="TableContents"/>
              <w:bidi w:val="0"/>
              <w:spacing w:before="0" w:after="283"/>
              <w:jc w:val="center"/>
              <w:rPr>
                <w:sz w:val="20"/>
              </w:rPr>
            </w:pPr>
            <w:r>
              <w:rPr>
                <w:sz w:val="20"/>
              </w:rPr>
              <w:t>001-39787</w:t>
            </w:r>
          </w:p>
        </w:tc>
        <w:tc>
          <w:tcPr>
            <w:tcW w:w="663" w:type="dxa"/>
            <w:tcBorders/>
            <w:vAlign w:val="center"/>
          </w:tcPr>
          <w:p>
            <w:pPr>
              <w:pStyle w:val="TableContents"/>
              <w:bidi w:val="0"/>
              <w:spacing w:before="0" w:after="283"/>
              <w:jc w:val="center"/>
              <w:rPr>
                <w:sz w:val="20"/>
              </w:rPr>
            </w:pPr>
            <w:r>
              <w:rPr>
                <w:sz w:val="20"/>
              </w:rPr>
              <w:t>1.1</w:t>
            </w:r>
          </w:p>
        </w:tc>
        <w:tc>
          <w:tcPr>
            <w:tcW w:w="625" w:type="dxa"/>
            <w:tcBorders/>
            <w:vAlign w:val="center"/>
          </w:tcPr>
          <w:p>
            <w:pPr>
              <w:pStyle w:val="TableContents"/>
              <w:bidi w:val="0"/>
              <w:spacing w:before="0" w:after="283"/>
              <w:jc w:val="center"/>
              <w:rPr>
                <w:sz w:val="20"/>
              </w:rPr>
            </w:pPr>
            <w:r>
              <w:rPr>
                <w:sz w:val="20"/>
              </w:rPr>
              <w:t>01-30-2026</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2.2</w:t>
            </w:r>
          </w:p>
        </w:tc>
        <w:tc>
          <w:tcPr>
            <w:tcW w:w="4493" w:type="dxa"/>
            <w:tcBorders/>
            <w:vAlign w:val="center"/>
          </w:tcPr>
          <w:p>
            <w:pPr>
              <w:pStyle w:val="TableContents"/>
              <w:bidi w:val="0"/>
              <w:spacing w:before="0" w:after="283"/>
              <w:jc w:val="left"/>
              <w:rPr/>
            </w:pPr>
            <w:hyperlink r:id="rId6">
              <w:r>
                <w:rPr>
                  <w:rStyle w:val="InternetLink"/>
                  <w:sz w:val="20"/>
                </w:rPr>
                <w:t>Amendment No. 1 to Agreement and Plan of Merger, dated as of March 2, 2026, by and Between BioAtla, Inc. and BA Merger Sub, Inc.</w:t>
              </w:r>
            </w:hyperlink>
          </w:p>
        </w:tc>
        <w:tc>
          <w:tcPr>
            <w:tcW w:w="475" w:type="dxa"/>
            <w:tcBorders/>
            <w:vAlign w:val="center"/>
          </w:tcPr>
          <w:p>
            <w:pPr>
              <w:pStyle w:val="TableContents"/>
              <w:bidi w:val="0"/>
              <w:spacing w:before="0" w:after="283"/>
              <w:jc w:val="center"/>
              <w:rPr>
                <w:sz w:val="20"/>
              </w:rPr>
            </w:pPr>
            <w:r>
              <w:rPr>
                <w:sz w:val="20"/>
              </w:rPr>
              <w:t>8-K</w:t>
            </w:r>
          </w:p>
        </w:tc>
        <w:tc>
          <w:tcPr>
            <w:tcW w:w="778" w:type="dxa"/>
            <w:tcBorders/>
            <w:vAlign w:val="center"/>
          </w:tcPr>
          <w:p>
            <w:pPr>
              <w:pStyle w:val="TableContents"/>
              <w:bidi w:val="0"/>
              <w:spacing w:before="0" w:after="283"/>
              <w:jc w:val="center"/>
              <w:rPr>
                <w:sz w:val="20"/>
              </w:rPr>
            </w:pPr>
            <w:r>
              <w:rPr>
                <w:sz w:val="20"/>
              </w:rPr>
              <w:t>001-39787</w:t>
            </w:r>
          </w:p>
        </w:tc>
        <w:tc>
          <w:tcPr>
            <w:tcW w:w="663" w:type="dxa"/>
            <w:tcBorders/>
            <w:vAlign w:val="center"/>
          </w:tcPr>
          <w:p>
            <w:pPr>
              <w:pStyle w:val="TableContents"/>
              <w:bidi w:val="0"/>
              <w:spacing w:before="0" w:after="283"/>
              <w:jc w:val="center"/>
              <w:rPr>
                <w:sz w:val="20"/>
              </w:rPr>
            </w:pPr>
            <w:r>
              <w:rPr>
                <w:sz w:val="20"/>
              </w:rPr>
              <w:t>1.1</w:t>
            </w:r>
          </w:p>
        </w:tc>
        <w:tc>
          <w:tcPr>
            <w:tcW w:w="625" w:type="dxa"/>
            <w:tcBorders/>
            <w:vAlign w:val="center"/>
          </w:tcPr>
          <w:p>
            <w:pPr>
              <w:pStyle w:val="TableContents"/>
              <w:bidi w:val="0"/>
              <w:spacing w:before="0" w:after="283"/>
              <w:jc w:val="center"/>
              <w:rPr>
                <w:sz w:val="20"/>
              </w:rPr>
            </w:pPr>
            <w:r>
              <w:rPr>
                <w:sz w:val="20"/>
              </w:rPr>
              <w:t>03-02-2026</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3.1</w:t>
            </w:r>
          </w:p>
        </w:tc>
        <w:tc>
          <w:tcPr>
            <w:tcW w:w="4493" w:type="dxa"/>
            <w:tcBorders/>
            <w:vAlign w:val="center"/>
          </w:tcPr>
          <w:p>
            <w:pPr>
              <w:pStyle w:val="TableContents"/>
              <w:bidi w:val="0"/>
              <w:spacing w:before="0" w:after="283"/>
              <w:jc w:val="left"/>
              <w:rPr/>
            </w:pPr>
            <w:hyperlink r:id="rId7">
              <w:r>
                <w:rPr>
                  <w:rStyle w:val="InternetLink"/>
                  <w:sz w:val="20"/>
                </w:rPr>
                <w:t>Amended and Restated Certificate of Incorporation</w:t>
              </w:r>
            </w:hyperlink>
          </w:p>
        </w:tc>
        <w:tc>
          <w:tcPr>
            <w:tcW w:w="475" w:type="dxa"/>
            <w:tcBorders/>
            <w:vAlign w:val="center"/>
          </w:tcPr>
          <w:p>
            <w:pPr>
              <w:pStyle w:val="TableContents"/>
              <w:bidi w:val="0"/>
              <w:spacing w:before="0" w:after="283"/>
              <w:jc w:val="center"/>
              <w:rPr>
                <w:sz w:val="20"/>
              </w:rPr>
            </w:pPr>
            <w:r>
              <w:rPr>
                <w:sz w:val="20"/>
              </w:rPr>
              <w:t>8-K</w:t>
            </w:r>
          </w:p>
        </w:tc>
        <w:tc>
          <w:tcPr>
            <w:tcW w:w="778" w:type="dxa"/>
            <w:tcBorders/>
            <w:vAlign w:val="center"/>
          </w:tcPr>
          <w:p>
            <w:pPr>
              <w:pStyle w:val="TableContents"/>
              <w:bidi w:val="0"/>
              <w:spacing w:before="0" w:after="283"/>
              <w:jc w:val="center"/>
              <w:rPr>
                <w:sz w:val="20"/>
              </w:rPr>
            </w:pPr>
            <w:r>
              <w:rPr>
                <w:sz w:val="20"/>
              </w:rPr>
              <w:t>001-39787</w:t>
            </w:r>
          </w:p>
        </w:tc>
        <w:tc>
          <w:tcPr>
            <w:tcW w:w="663" w:type="dxa"/>
            <w:tcBorders/>
            <w:vAlign w:val="center"/>
          </w:tcPr>
          <w:p>
            <w:pPr>
              <w:pStyle w:val="TableContents"/>
              <w:bidi w:val="0"/>
              <w:spacing w:before="0" w:after="283"/>
              <w:jc w:val="center"/>
              <w:rPr>
                <w:sz w:val="20"/>
              </w:rPr>
            </w:pPr>
            <w:r>
              <w:rPr>
                <w:sz w:val="20"/>
              </w:rPr>
              <w:t>3.1</w:t>
            </w:r>
          </w:p>
        </w:tc>
        <w:tc>
          <w:tcPr>
            <w:tcW w:w="625" w:type="dxa"/>
            <w:tcBorders/>
            <w:vAlign w:val="center"/>
          </w:tcPr>
          <w:p>
            <w:pPr>
              <w:pStyle w:val="TableContents"/>
              <w:bidi w:val="0"/>
              <w:spacing w:before="0" w:after="283"/>
              <w:jc w:val="center"/>
              <w:rPr>
                <w:sz w:val="20"/>
              </w:rPr>
            </w:pPr>
            <w:r>
              <w:rPr>
                <w:sz w:val="20"/>
              </w:rPr>
              <w:t>12-18-2020</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3.2</w:t>
            </w:r>
          </w:p>
        </w:tc>
        <w:tc>
          <w:tcPr>
            <w:tcW w:w="4493" w:type="dxa"/>
            <w:tcBorders/>
            <w:vAlign w:val="center"/>
          </w:tcPr>
          <w:p>
            <w:pPr>
              <w:pStyle w:val="TableContents"/>
              <w:bidi w:val="0"/>
              <w:spacing w:before="0" w:after="283"/>
              <w:jc w:val="left"/>
              <w:rPr/>
            </w:pPr>
            <w:hyperlink r:id="rId8">
              <w:r>
                <w:rPr>
                  <w:rStyle w:val="InternetLink"/>
                  <w:color w:val="0000FF"/>
                  <w:sz w:val="20"/>
                </w:rPr>
                <w:t>Amended and Restated Bylaws</w:t>
              </w:r>
            </w:hyperlink>
          </w:p>
        </w:tc>
        <w:tc>
          <w:tcPr>
            <w:tcW w:w="475" w:type="dxa"/>
            <w:tcBorders/>
            <w:vAlign w:val="center"/>
          </w:tcPr>
          <w:p>
            <w:pPr>
              <w:pStyle w:val="TableContents"/>
              <w:bidi w:val="0"/>
              <w:spacing w:before="0" w:after="283"/>
              <w:jc w:val="center"/>
              <w:rPr>
                <w:sz w:val="20"/>
              </w:rPr>
            </w:pPr>
            <w:r>
              <w:rPr>
                <w:sz w:val="20"/>
              </w:rPr>
              <w:t>8-K</w:t>
            </w:r>
          </w:p>
        </w:tc>
        <w:tc>
          <w:tcPr>
            <w:tcW w:w="778" w:type="dxa"/>
            <w:tcBorders/>
            <w:vAlign w:val="center"/>
          </w:tcPr>
          <w:p>
            <w:pPr>
              <w:pStyle w:val="TableContents"/>
              <w:bidi w:val="0"/>
              <w:spacing w:before="0" w:after="283"/>
              <w:jc w:val="center"/>
              <w:rPr>
                <w:sz w:val="20"/>
              </w:rPr>
            </w:pPr>
            <w:r>
              <w:rPr>
                <w:sz w:val="20"/>
              </w:rPr>
              <w:t>001-39787</w:t>
            </w:r>
          </w:p>
        </w:tc>
        <w:tc>
          <w:tcPr>
            <w:tcW w:w="663" w:type="dxa"/>
            <w:tcBorders/>
            <w:vAlign w:val="center"/>
          </w:tcPr>
          <w:p>
            <w:pPr>
              <w:pStyle w:val="TableContents"/>
              <w:bidi w:val="0"/>
              <w:spacing w:before="0" w:after="283"/>
              <w:jc w:val="center"/>
              <w:rPr>
                <w:sz w:val="20"/>
              </w:rPr>
            </w:pPr>
            <w:r>
              <w:rPr>
                <w:sz w:val="20"/>
              </w:rPr>
              <w:t>3.1</w:t>
            </w:r>
          </w:p>
        </w:tc>
        <w:tc>
          <w:tcPr>
            <w:tcW w:w="625" w:type="dxa"/>
            <w:tcBorders/>
            <w:vAlign w:val="center"/>
          </w:tcPr>
          <w:p>
            <w:pPr>
              <w:pStyle w:val="TableContents"/>
              <w:bidi w:val="0"/>
              <w:spacing w:before="0" w:after="283"/>
              <w:jc w:val="center"/>
              <w:rPr>
                <w:sz w:val="20"/>
              </w:rPr>
            </w:pPr>
            <w:r>
              <w:rPr>
                <w:sz w:val="20"/>
              </w:rPr>
              <w:t>04-24-2024</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4.1</w:t>
            </w:r>
          </w:p>
        </w:tc>
        <w:tc>
          <w:tcPr>
            <w:tcW w:w="4493" w:type="dxa"/>
            <w:tcBorders/>
            <w:vAlign w:val="center"/>
          </w:tcPr>
          <w:p>
            <w:pPr>
              <w:pStyle w:val="TableContents"/>
              <w:bidi w:val="0"/>
              <w:spacing w:before="0" w:after="283"/>
              <w:jc w:val="left"/>
              <w:rPr/>
            </w:pPr>
            <w:hyperlink r:id="rId9">
              <w:r>
                <w:rPr>
                  <w:rStyle w:val="InternetLink"/>
                  <w:color w:val="0000FF"/>
                  <w:sz w:val="20"/>
                </w:rPr>
                <w:t>Form of Specimen Common Stock Certificate</w:t>
              </w:r>
            </w:hyperlink>
          </w:p>
        </w:tc>
        <w:tc>
          <w:tcPr>
            <w:tcW w:w="475" w:type="dxa"/>
            <w:tcBorders/>
            <w:vAlign w:val="center"/>
          </w:tcPr>
          <w:p>
            <w:pPr>
              <w:pStyle w:val="TableContents"/>
              <w:bidi w:val="0"/>
              <w:spacing w:before="0" w:after="283"/>
              <w:jc w:val="center"/>
              <w:rPr>
                <w:sz w:val="20"/>
              </w:rPr>
            </w:pPr>
            <w:r>
              <w:rPr>
                <w:sz w:val="20"/>
              </w:rPr>
              <w:t>S-1/A</w:t>
            </w:r>
          </w:p>
        </w:tc>
        <w:tc>
          <w:tcPr>
            <w:tcW w:w="778" w:type="dxa"/>
            <w:tcBorders/>
            <w:vAlign w:val="center"/>
          </w:tcPr>
          <w:p>
            <w:pPr>
              <w:pStyle w:val="TableContents"/>
              <w:bidi w:val="0"/>
              <w:spacing w:before="0" w:after="283"/>
              <w:jc w:val="center"/>
              <w:rPr>
                <w:sz w:val="20"/>
              </w:rPr>
            </w:pPr>
            <w:r>
              <w:rPr>
                <w:sz w:val="20"/>
              </w:rPr>
              <w:t>333-250093</w:t>
            </w:r>
          </w:p>
        </w:tc>
        <w:tc>
          <w:tcPr>
            <w:tcW w:w="663" w:type="dxa"/>
            <w:tcBorders/>
            <w:vAlign w:val="center"/>
          </w:tcPr>
          <w:p>
            <w:pPr>
              <w:pStyle w:val="TableContents"/>
              <w:bidi w:val="0"/>
              <w:spacing w:before="0" w:after="283"/>
              <w:jc w:val="center"/>
              <w:rPr>
                <w:sz w:val="20"/>
              </w:rPr>
            </w:pPr>
            <w:r>
              <w:rPr>
                <w:sz w:val="20"/>
              </w:rPr>
              <w:t>4.1</w:t>
            </w:r>
          </w:p>
        </w:tc>
        <w:tc>
          <w:tcPr>
            <w:tcW w:w="625" w:type="dxa"/>
            <w:tcBorders/>
            <w:vAlign w:val="center"/>
          </w:tcPr>
          <w:p>
            <w:pPr>
              <w:pStyle w:val="TableContents"/>
              <w:bidi w:val="0"/>
              <w:spacing w:before="0" w:after="283"/>
              <w:jc w:val="center"/>
              <w:rPr>
                <w:sz w:val="20"/>
              </w:rPr>
            </w:pPr>
            <w:r>
              <w:rPr>
                <w:sz w:val="20"/>
              </w:rPr>
              <w:t>12-8-2020</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4.2</w:t>
            </w:r>
          </w:p>
        </w:tc>
        <w:tc>
          <w:tcPr>
            <w:tcW w:w="4493" w:type="dxa"/>
            <w:tcBorders/>
            <w:vAlign w:val="center"/>
          </w:tcPr>
          <w:p>
            <w:pPr>
              <w:pStyle w:val="TableContents"/>
              <w:bidi w:val="0"/>
              <w:spacing w:before="0" w:after="283"/>
              <w:jc w:val="left"/>
              <w:rPr/>
            </w:pPr>
            <w:hyperlink r:id="rId10">
              <w:r>
                <w:rPr>
                  <w:rStyle w:val="InternetLink"/>
                  <w:sz w:val="20"/>
                </w:rPr>
                <w:t>Investors’ Rights Agreement, dated July 13, 2020</w:t>
              </w:r>
            </w:hyperlink>
          </w:p>
        </w:tc>
        <w:tc>
          <w:tcPr>
            <w:tcW w:w="475" w:type="dxa"/>
            <w:tcBorders/>
            <w:vAlign w:val="center"/>
          </w:tcPr>
          <w:p>
            <w:pPr>
              <w:pStyle w:val="TableContents"/>
              <w:bidi w:val="0"/>
              <w:spacing w:before="0" w:after="283"/>
              <w:jc w:val="center"/>
              <w:rPr>
                <w:sz w:val="20"/>
              </w:rPr>
            </w:pPr>
            <w:r>
              <w:rPr>
                <w:sz w:val="20"/>
              </w:rPr>
              <w:t>S-1/A</w:t>
            </w:r>
          </w:p>
        </w:tc>
        <w:tc>
          <w:tcPr>
            <w:tcW w:w="778" w:type="dxa"/>
            <w:tcBorders/>
            <w:vAlign w:val="center"/>
          </w:tcPr>
          <w:p>
            <w:pPr>
              <w:pStyle w:val="TableContents"/>
              <w:bidi w:val="0"/>
              <w:spacing w:before="0" w:after="283"/>
              <w:jc w:val="center"/>
              <w:rPr>
                <w:sz w:val="20"/>
              </w:rPr>
            </w:pPr>
            <w:r>
              <w:rPr>
                <w:sz w:val="20"/>
              </w:rPr>
              <w:t>333-250093</w:t>
            </w:r>
          </w:p>
        </w:tc>
        <w:tc>
          <w:tcPr>
            <w:tcW w:w="663" w:type="dxa"/>
            <w:tcBorders/>
            <w:vAlign w:val="center"/>
          </w:tcPr>
          <w:p>
            <w:pPr>
              <w:pStyle w:val="TableContents"/>
              <w:bidi w:val="0"/>
              <w:spacing w:before="0" w:after="283"/>
              <w:jc w:val="center"/>
              <w:rPr>
                <w:sz w:val="20"/>
              </w:rPr>
            </w:pPr>
            <w:r>
              <w:rPr>
                <w:sz w:val="20"/>
              </w:rPr>
              <w:t>4.2</w:t>
            </w:r>
          </w:p>
        </w:tc>
        <w:tc>
          <w:tcPr>
            <w:tcW w:w="625" w:type="dxa"/>
            <w:tcBorders/>
            <w:vAlign w:val="center"/>
          </w:tcPr>
          <w:p>
            <w:pPr>
              <w:pStyle w:val="TableContents"/>
              <w:bidi w:val="0"/>
              <w:spacing w:before="0" w:after="283"/>
              <w:jc w:val="center"/>
              <w:rPr>
                <w:sz w:val="20"/>
              </w:rPr>
            </w:pPr>
            <w:r>
              <w:rPr>
                <w:sz w:val="20"/>
              </w:rPr>
              <w:t>12-8-2020</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4.3</w:t>
            </w:r>
          </w:p>
        </w:tc>
        <w:tc>
          <w:tcPr>
            <w:tcW w:w="4493" w:type="dxa"/>
            <w:tcBorders/>
            <w:vAlign w:val="center"/>
          </w:tcPr>
          <w:p>
            <w:pPr>
              <w:pStyle w:val="TableContents"/>
              <w:bidi w:val="0"/>
              <w:spacing w:before="0" w:after="283"/>
              <w:jc w:val="left"/>
              <w:rPr/>
            </w:pPr>
            <w:hyperlink r:id="rId11">
              <w:r>
                <w:rPr>
                  <w:rStyle w:val="InternetLink"/>
                  <w:sz w:val="20"/>
                </w:rPr>
                <w:t>Form of Warrant</w:t>
              </w:r>
            </w:hyperlink>
          </w:p>
        </w:tc>
        <w:tc>
          <w:tcPr>
            <w:tcW w:w="475" w:type="dxa"/>
            <w:tcBorders/>
            <w:vAlign w:val="center"/>
          </w:tcPr>
          <w:p>
            <w:pPr>
              <w:pStyle w:val="TableContents"/>
              <w:bidi w:val="0"/>
              <w:spacing w:before="0" w:after="283"/>
              <w:jc w:val="center"/>
              <w:rPr>
                <w:sz w:val="20"/>
              </w:rPr>
            </w:pPr>
            <w:r>
              <w:rPr>
                <w:sz w:val="20"/>
              </w:rPr>
              <w:t>8-K</w:t>
            </w:r>
          </w:p>
        </w:tc>
        <w:tc>
          <w:tcPr>
            <w:tcW w:w="778" w:type="dxa"/>
            <w:tcBorders/>
            <w:vAlign w:val="center"/>
          </w:tcPr>
          <w:p>
            <w:pPr>
              <w:pStyle w:val="TableContents"/>
              <w:bidi w:val="0"/>
              <w:spacing w:before="0" w:after="283"/>
              <w:jc w:val="center"/>
              <w:rPr>
                <w:sz w:val="20"/>
              </w:rPr>
            </w:pPr>
            <w:r>
              <w:rPr>
                <w:sz w:val="20"/>
              </w:rPr>
              <w:t>001-39787</w:t>
            </w:r>
          </w:p>
        </w:tc>
        <w:tc>
          <w:tcPr>
            <w:tcW w:w="663" w:type="dxa"/>
            <w:tcBorders/>
            <w:vAlign w:val="center"/>
          </w:tcPr>
          <w:p>
            <w:pPr>
              <w:pStyle w:val="TableContents"/>
              <w:bidi w:val="0"/>
              <w:spacing w:before="0" w:after="283"/>
              <w:jc w:val="center"/>
              <w:rPr>
                <w:sz w:val="20"/>
              </w:rPr>
            </w:pPr>
            <w:r>
              <w:rPr>
                <w:sz w:val="20"/>
              </w:rPr>
              <w:t>4.1</w:t>
            </w:r>
          </w:p>
        </w:tc>
        <w:tc>
          <w:tcPr>
            <w:tcW w:w="625" w:type="dxa"/>
            <w:tcBorders/>
            <w:vAlign w:val="center"/>
          </w:tcPr>
          <w:p>
            <w:pPr>
              <w:pStyle w:val="TableContents"/>
              <w:bidi w:val="0"/>
              <w:spacing w:before="0" w:after="283"/>
              <w:jc w:val="center"/>
              <w:rPr>
                <w:sz w:val="20"/>
              </w:rPr>
            </w:pPr>
            <w:r>
              <w:rPr>
                <w:sz w:val="20"/>
              </w:rPr>
              <w:t>12-20-2024</w:t>
            </w:r>
          </w:p>
        </w:tc>
        <w:tc>
          <w:tcPr>
            <w:tcW w:w="1171" w:type="dxa"/>
            <w:tcBorders/>
            <w:vAlign w:val="center"/>
          </w:tcPr>
          <w:p>
            <w:pPr>
              <w:pStyle w:val="TableContents"/>
              <w:bidi w:val="0"/>
              <w:spacing w:before="0" w:after="283"/>
              <w:jc w:val="center"/>
              <w:rPr/>
            </w:pPr>
            <w:r>
              <w:rPr/>
              <w:t> </w:t>
            </w:r>
          </w:p>
        </w:tc>
      </w:tr>
      <w:tr>
        <w:trPr/>
        <w:tc>
          <w:tcPr>
            <w:tcW w:w="560" w:type="dxa"/>
            <w:tcBorders/>
            <w:vAlign w:val="center"/>
          </w:tcPr>
          <w:p>
            <w:pPr>
              <w:pStyle w:val="TableContents"/>
              <w:bidi w:val="0"/>
              <w:spacing w:before="0" w:after="283"/>
              <w:jc w:val="center"/>
              <w:rPr>
                <w:sz w:val="20"/>
              </w:rPr>
            </w:pPr>
            <w:r>
              <w:rPr>
                <w:sz w:val="20"/>
              </w:rPr>
              <w:t>4.4</w:t>
            </w:r>
          </w:p>
        </w:tc>
        <w:tc>
          <w:tcPr>
            <w:tcW w:w="4493" w:type="dxa"/>
            <w:tcBorders/>
            <w:vAlign w:val="center"/>
          </w:tcPr>
          <w:p>
            <w:pPr>
              <w:pStyle w:val="TableContents"/>
              <w:bidi w:val="0"/>
              <w:spacing w:before="0" w:after="283"/>
              <w:jc w:val="left"/>
              <w:rPr/>
            </w:pPr>
            <w:hyperlink w:anchor="n5620x9_ex4-4.htm">
              <w:r>
                <w:rPr>
                  <w:rStyle w:val="InternetLink"/>
                  <w:sz w:val="20"/>
                </w:rPr>
                <w:t>Form of Commitment Fee Warrants</w:t>
              </w:r>
            </w:hyperlink>
            <w:r>
              <w:rPr>
                <w:sz w:val="20"/>
              </w:rPr>
              <w:t xml:space="preserve"> </w:t>
            </w:r>
          </w:p>
        </w:tc>
        <w:tc>
          <w:tcPr>
            <w:tcW w:w="475" w:type="dxa"/>
            <w:tcBorders/>
            <w:vAlign w:val="center"/>
          </w:tcPr>
          <w:p>
            <w:pPr>
              <w:pStyle w:val="TableContents"/>
              <w:bidi w:val="0"/>
              <w:spacing w:before="0" w:after="283"/>
              <w:jc w:val="center"/>
              <w:rPr/>
            </w:pPr>
            <w:r>
              <w:rPr/>
              <w:t> </w:t>
            </w:r>
          </w:p>
        </w:tc>
        <w:tc>
          <w:tcPr>
            <w:tcW w:w="778" w:type="dxa"/>
            <w:tcBorders/>
            <w:vAlign w:val="center"/>
          </w:tcPr>
          <w:p>
            <w:pPr>
              <w:pStyle w:val="TableContents"/>
              <w:bidi w:val="0"/>
              <w:spacing w:before="0" w:after="283"/>
              <w:jc w:val="center"/>
              <w:rPr/>
            </w:pPr>
            <w:r>
              <w:rPr/>
              <w:t> </w:t>
            </w:r>
          </w:p>
        </w:tc>
        <w:tc>
          <w:tcPr>
            <w:tcW w:w="663" w:type="dxa"/>
            <w:tcBorders/>
            <w:vAlign w:val="center"/>
          </w:tcPr>
          <w:p>
            <w:pPr>
              <w:pStyle w:val="TableContents"/>
              <w:bidi w:val="0"/>
              <w:spacing w:before="0" w:after="283"/>
              <w:jc w:val="center"/>
              <w:rPr/>
            </w:pPr>
            <w:r>
              <w:rPr/>
              <w:t> </w:t>
            </w:r>
          </w:p>
        </w:tc>
        <w:tc>
          <w:tcPr>
            <w:tcW w:w="625"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sz w:val="20"/>
              </w:rPr>
            </w:pPr>
            <w:r>
              <w:rPr>
                <w:sz w:val="20"/>
              </w:rPr>
              <w:t>X</w:t>
            </w:r>
          </w:p>
        </w:tc>
      </w:tr>
      <w:tr>
        <w:trPr/>
        <w:tc>
          <w:tcPr>
            <w:tcW w:w="560" w:type="dxa"/>
            <w:tcBorders/>
            <w:vAlign w:val="center"/>
          </w:tcPr>
          <w:p>
            <w:pPr>
              <w:pStyle w:val="TableContents"/>
              <w:bidi w:val="0"/>
              <w:spacing w:before="0" w:after="283"/>
              <w:jc w:val="center"/>
              <w:rPr>
                <w:sz w:val="20"/>
              </w:rPr>
            </w:pPr>
            <w:r>
              <w:rPr>
                <w:sz w:val="20"/>
              </w:rPr>
              <w:t>5.1</w:t>
            </w:r>
          </w:p>
        </w:tc>
        <w:tc>
          <w:tcPr>
            <w:tcW w:w="4493" w:type="dxa"/>
            <w:tcBorders/>
            <w:vAlign w:val="center"/>
          </w:tcPr>
          <w:p>
            <w:pPr>
              <w:pStyle w:val="TableContents"/>
              <w:bidi w:val="0"/>
              <w:spacing w:before="0" w:after="283"/>
              <w:jc w:val="left"/>
              <w:rPr/>
            </w:pPr>
            <w:hyperlink w:anchor="n5620x9_ex5-1.htm">
              <w:r>
                <w:rPr>
                  <w:rStyle w:val="InternetLink"/>
                  <w:sz w:val="20"/>
                </w:rPr>
                <w:t>Opinion of Orrick, Herrington &amp; Sutcliffe, LLP</w:t>
              </w:r>
            </w:hyperlink>
          </w:p>
        </w:tc>
        <w:tc>
          <w:tcPr>
            <w:tcW w:w="475" w:type="dxa"/>
            <w:tcBorders/>
            <w:vAlign w:val="center"/>
          </w:tcPr>
          <w:p>
            <w:pPr>
              <w:pStyle w:val="TableContents"/>
              <w:bidi w:val="0"/>
              <w:spacing w:before="0" w:after="283"/>
              <w:jc w:val="center"/>
              <w:rPr/>
            </w:pPr>
            <w:r>
              <w:rPr/>
              <w:t> </w:t>
            </w:r>
          </w:p>
        </w:tc>
        <w:tc>
          <w:tcPr>
            <w:tcW w:w="778" w:type="dxa"/>
            <w:tcBorders/>
            <w:vAlign w:val="center"/>
          </w:tcPr>
          <w:p>
            <w:pPr>
              <w:pStyle w:val="TableContents"/>
              <w:bidi w:val="0"/>
              <w:spacing w:before="0" w:after="283"/>
              <w:jc w:val="center"/>
              <w:rPr/>
            </w:pPr>
            <w:r>
              <w:rPr/>
              <w:t> </w:t>
            </w:r>
          </w:p>
        </w:tc>
        <w:tc>
          <w:tcPr>
            <w:tcW w:w="663" w:type="dxa"/>
            <w:tcBorders/>
            <w:vAlign w:val="center"/>
          </w:tcPr>
          <w:p>
            <w:pPr>
              <w:pStyle w:val="TableContents"/>
              <w:bidi w:val="0"/>
              <w:spacing w:before="0" w:after="283"/>
              <w:jc w:val="center"/>
              <w:rPr/>
            </w:pPr>
            <w:r>
              <w:rPr/>
              <w:t> </w:t>
            </w:r>
          </w:p>
        </w:tc>
        <w:tc>
          <w:tcPr>
            <w:tcW w:w="625"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sz w:val="20"/>
              </w:rPr>
            </w:pPr>
            <w:r>
              <w:rPr>
                <w:sz w:val="20"/>
              </w:rPr>
              <w:t>X</w:t>
            </w:r>
          </w:p>
        </w:tc>
      </w:tr>
    </w:tbl>
    <w:p>
      <w:pPr>
        <w:pStyle w:val="TextBody"/>
        <w:bidi w:val="0"/>
        <w:spacing w:before="720" w:after="720"/>
        <w:ind w:left="720" w:right="720" w:hanging="0"/>
        <w:jc w:val="left"/>
        <w:rPr/>
      </w:pPr>
      <w:r>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720" w:right="720" w:hanging="0"/>
        <w:jc w:val="left"/>
        <w:rPr/>
      </w:pPr>
      <w:r>
        <w:rPr/>
        <w:t> </w:t>
      </w:r>
    </w:p>
    <w:p>
      <w:pPr>
        <w:pStyle w:val="TextBody"/>
        <w:bidi w:val="0"/>
        <w:spacing w:before="720" w:after="72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551"/>
        <w:gridCol w:w="5998"/>
        <w:gridCol w:w="338"/>
        <w:gridCol w:w="742"/>
        <w:gridCol w:w="485"/>
        <w:gridCol w:w="573"/>
        <w:gridCol w:w="78"/>
      </w:tblGrid>
      <w:tr>
        <w:trPr/>
        <w:tc>
          <w:tcPr>
            <w:tcW w:w="551" w:type="dxa"/>
            <w:tcBorders/>
            <w:vAlign w:val="center"/>
          </w:tcPr>
          <w:p>
            <w:pPr>
              <w:pStyle w:val="TableContents"/>
              <w:bidi w:val="0"/>
              <w:spacing w:before="0" w:after="283"/>
              <w:jc w:val="center"/>
              <w:rPr>
                <w:sz w:val="20"/>
              </w:rPr>
            </w:pPr>
            <w:r>
              <w:rPr>
                <w:sz w:val="20"/>
              </w:rPr>
              <w:t>10.1+</w:t>
            </w:r>
          </w:p>
        </w:tc>
        <w:tc>
          <w:tcPr>
            <w:tcW w:w="5998" w:type="dxa"/>
            <w:tcBorders/>
            <w:vAlign w:val="center"/>
          </w:tcPr>
          <w:p>
            <w:pPr>
              <w:pStyle w:val="TableContents"/>
              <w:bidi w:val="0"/>
              <w:spacing w:before="0" w:after="283"/>
              <w:jc w:val="left"/>
              <w:rPr/>
            </w:pPr>
            <w:hyperlink r:id="rId12">
              <w:r>
                <w:rPr>
                  <w:rStyle w:val="InternetLink"/>
                  <w:color w:val="0000FF"/>
                  <w:sz w:val="20"/>
                </w:rPr>
                <w:t>2020 Equity Incentive Plan</w:t>
              </w:r>
            </w:hyperlink>
          </w:p>
        </w:tc>
        <w:tc>
          <w:tcPr>
            <w:tcW w:w="338" w:type="dxa"/>
            <w:tcBorders/>
            <w:vAlign w:val="center"/>
          </w:tcPr>
          <w:p>
            <w:pPr>
              <w:pStyle w:val="TableContents"/>
              <w:bidi w:val="0"/>
              <w:spacing w:before="0" w:after="283"/>
              <w:jc w:val="center"/>
              <w:rPr>
                <w:sz w:val="20"/>
              </w:rPr>
            </w:pPr>
            <w:r>
              <w:rPr>
                <w:sz w:val="20"/>
              </w:rPr>
              <w:t>S-1/A</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10.1</w:t>
            </w:r>
          </w:p>
        </w:tc>
        <w:tc>
          <w:tcPr>
            <w:tcW w:w="573" w:type="dxa"/>
            <w:tcBorders/>
            <w:vAlign w:val="center"/>
          </w:tcPr>
          <w:p>
            <w:pPr>
              <w:pStyle w:val="TableContents"/>
              <w:bidi w:val="0"/>
              <w:spacing w:before="0" w:after="283"/>
              <w:jc w:val="center"/>
              <w:rPr>
                <w:sz w:val="20"/>
              </w:rPr>
            </w:pPr>
            <w:r>
              <w:rPr>
                <w:sz w:val="20"/>
              </w:rPr>
              <w:t>12-08-2020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10.2+</w:t>
            </w:r>
          </w:p>
        </w:tc>
        <w:tc>
          <w:tcPr>
            <w:tcW w:w="5998" w:type="dxa"/>
            <w:tcBorders/>
            <w:vAlign w:val="center"/>
          </w:tcPr>
          <w:p>
            <w:pPr>
              <w:pStyle w:val="TableContents"/>
              <w:bidi w:val="0"/>
              <w:spacing w:before="0" w:after="283"/>
              <w:jc w:val="left"/>
              <w:rPr/>
            </w:pPr>
            <w:hyperlink r:id="rId13">
              <w:r>
                <w:rPr>
                  <w:rStyle w:val="InternetLink"/>
                  <w:color w:val="0000FF"/>
                  <w:sz w:val="20"/>
                </w:rPr>
                <w:t>Amendment No. 1 to 2020 Equity Incentive Plan</w:t>
              </w:r>
            </w:hyperlink>
          </w:p>
        </w:tc>
        <w:tc>
          <w:tcPr>
            <w:tcW w:w="338" w:type="dxa"/>
            <w:tcBorders/>
            <w:vAlign w:val="center"/>
          </w:tcPr>
          <w:p>
            <w:pPr>
              <w:pStyle w:val="TableContents"/>
              <w:bidi w:val="0"/>
              <w:spacing w:before="0" w:after="283"/>
              <w:jc w:val="center"/>
              <w:rPr>
                <w:sz w:val="20"/>
              </w:rPr>
            </w:pPr>
            <w:r>
              <w:rPr>
                <w:sz w:val="20"/>
              </w:rPr>
              <w:t>S-8</w:t>
            </w:r>
          </w:p>
        </w:tc>
        <w:tc>
          <w:tcPr>
            <w:tcW w:w="742" w:type="dxa"/>
            <w:tcBorders/>
            <w:vAlign w:val="center"/>
          </w:tcPr>
          <w:p>
            <w:pPr>
              <w:pStyle w:val="TableContents"/>
              <w:bidi w:val="0"/>
              <w:spacing w:before="0" w:after="283"/>
              <w:jc w:val="center"/>
              <w:rPr>
                <w:sz w:val="20"/>
              </w:rPr>
            </w:pPr>
            <w:r>
              <w:rPr>
                <w:sz w:val="20"/>
              </w:rPr>
              <w:t>333-251520</w:t>
            </w:r>
          </w:p>
        </w:tc>
        <w:tc>
          <w:tcPr>
            <w:tcW w:w="485" w:type="dxa"/>
            <w:tcBorders/>
            <w:vAlign w:val="center"/>
          </w:tcPr>
          <w:p>
            <w:pPr>
              <w:pStyle w:val="TableContents"/>
              <w:bidi w:val="0"/>
              <w:spacing w:before="0" w:after="283"/>
              <w:jc w:val="center"/>
              <w:rPr>
                <w:sz w:val="20"/>
              </w:rPr>
            </w:pPr>
            <w:r>
              <w:rPr>
                <w:sz w:val="20"/>
              </w:rPr>
              <w:t>99.2</w:t>
            </w:r>
          </w:p>
        </w:tc>
        <w:tc>
          <w:tcPr>
            <w:tcW w:w="573" w:type="dxa"/>
            <w:tcBorders/>
            <w:vAlign w:val="center"/>
          </w:tcPr>
          <w:p>
            <w:pPr>
              <w:pStyle w:val="TableContents"/>
              <w:bidi w:val="0"/>
              <w:spacing w:before="0" w:after="283"/>
              <w:jc w:val="center"/>
              <w:rPr>
                <w:sz w:val="20"/>
              </w:rPr>
            </w:pPr>
            <w:r>
              <w:rPr>
                <w:sz w:val="20"/>
              </w:rPr>
              <w:t>12-18-2020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10.3+</w:t>
            </w:r>
          </w:p>
        </w:tc>
        <w:tc>
          <w:tcPr>
            <w:tcW w:w="5998" w:type="dxa"/>
            <w:tcBorders/>
            <w:vAlign w:val="center"/>
          </w:tcPr>
          <w:p>
            <w:pPr>
              <w:pStyle w:val="TableContents"/>
              <w:bidi w:val="0"/>
              <w:spacing w:before="0" w:after="283"/>
              <w:jc w:val="left"/>
              <w:rPr/>
            </w:pPr>
            <w:hyperlink r:id="rId14">
              <w:r>
                <w:rPr>
                  <w:rStyle w:val="InternetLink"/>
                  <w:color w:val="0000FF"/>
                  <w:sz w:val="20"/>
                </w:rPr>
                <w:t>Amendment No. 2 to 2020 Equity Incentive Plan</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10.26</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10.4+</w:t>
            </w:r>
          </w:p>
        </w:tc>
        <w:tc>
          <w:tcPr>
            <w:tcW w:w="5998" w:type="dxa"/>
            <w:tcBorders/>
            <w:vAlign w:val="center"/>
          </w:tcPr>
          <w:p>
            <w:pPr>
              <w:pStyle w:val="TableContents"/>
              <w:bidi w:val="0"/>
              <w:spacing w:before="0" w:after="283"/>
              <w:jc w:val="left"/>
              <w:rPr/>
            </w:pPr>
            <w:hyperlink r:id="rId15">
              <w:r>
                <w:rPr>
                  <w:rStyle w:val="InternetLink"/>
                  <w:color w:val="0000FF"/>
                  <w:sz w:val="20"/>
                </w:rPr>
                <w:t>2020 Employee Stock Purchase Plan</w:t>
              </w:r>
            </w:hyperlink>
          </w:p>
        </w:tc>
        <w:tc>
          <w:tcPr>
            <w:tcW w:w="338" w:type="dxa"/>
            <w:tcBorders/>
            <w:vAlign w:val="center"/>
          </w:tcPr>
          <w:p>
            <w:pPr>
              <w:pStyle w:val="TableContents"/>
              <w:bidi w:val="0"/>
              <w:spacing w:before="0" w:after="283"/>
              <w:jc w:val="center"/>
              <w:rPr>
                <w:sz w:val="20"/>
              </w:rPr>
            </w:pPr>
            <w:r>
              <w:rPr>
                <w:sz w:val="20"/>
              </w:rPr>
              <w:t>S-1/A</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10.3</w:t>
            </w:r>
          </w:p>
        </w:tc>
        <w:tc>
          <w:tcPr>
            <w:tcW w:w="573" w:type="dxa"/>
            <w:tcBorders/>
            <w:vAlign w:val="center"/>
          </w:tcPr>
          <w:p>
            <w:pPr>
              <w:pStyle w:val="TableContents"/>
              <w:bidi w:val="0"/>
              <w:spacing w:before="0" w:after="283"/>
              <w:jc w:val="center"/>
              <w:rPr>
                <w:sz w:val="20"/>
              </w:rPr>
            </w:pPr>
            <w:r>
              <w:rPr>
                <w:sz w:val="20"/>
              </w:rPr>
              <w:t>12-08-2020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10.5+</w:t>
            </w:r>
          </w:p>
        </w:tc>
        <w:tc>
          <w:tcPr>
            <w:tcW w:w="5998" w:type="dxa"/>
            <w:tcBorders/>
            <w:vAlign w:val="center"/>
          </w:tcPr>
          <w:p>
            <w:pPr>
              <w:pStyle w:val="TableContents"/>
              <w:bidi w:val="0"/>
              <w:spacing w:before="0" w:after="283"/>
              <w:jc w:val="left"/>
              <w:rPr/>
            </w:pPr>
            <w:hyperlink r:id="rId16">
              <w:r>
                <w:rPr>
                  <w:rStyle w:val="InternetLink"/>
                  <w:color w:val="0000FF"/>
                  <w:sz w:val="20"/>
                </w:rPr>
                <w:t>Amendment No. 1 to Employee Stock Purchase Plan</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10.27</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10.6*</w:t>
            </w:r>
          </w:p>
        </w:tc>
        <w:tc>
          <w:tcPr>
            <w:tcW w:w="5998" w:type="dxa"/>
            <w:tcBorders/>
            <w:vAlign w:val="center"/>
          </w:tcPr>
          <w:p>
            <w:pPr>
              <w:pStyle w:val="TableContents"/>
              <w:bidi w:val="0"/>
              <w:spacing w:before="0" w:after="283"/>
              <w:jc w:val="left"/>
              <w:rPr/>
            </w:pPr>
            <w:hyperlink r:id="rId17">
              <w:r>
                <w:rPr>
                  <w:rStyle w:val="InternetLink"/>
                  <w:color w:val="0000FF"/>
                  <w:sz w:val="20"/>
                </w:rPr>
                <w:t>Exclusive Rights Agreement with Himalaya SEZC, dated January 1, 2020</w:t>
              </w:r>
            </w:hyperlink>
          </w:p>
        </w:tc>
        <w:tc>
          <w:tcPr>
            <w:tcW w:w="338" w:type="dxa"/>
            <w:tcBorders/>
            <w:vAlign w:val="center"/>
          </w:tcPr>
          <w:p>
            <w:pPr>
              <w:pStyle w:val="TableContents"/>
              <w:bidi w:val="0"/>
              <w:spacing w:before="0" w:after="283"/>
              <w:jc w:val="center"/>
              <w:rPr>
                <w:sz w:val="20"/>
              </w:rPr>
            </w:pPr>
            <w:r>
              <w:rPr>
                <w:sz w:val="20"/>
              </w:rPr>
              <w:t>S-1</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10.4</w:t>
            </w:r>
          </w:p>
        </w:tc>
        <w:tc>
          <w:tcPr>
            <w:tcW w:w="573" w:type="dxa"/>
            <w:tcBorders/>
            <w:vAlign w:val="center"/>
          </w:tcPr>
          <w:p>
            <w:pPr>
              <w:pStyle w:val="TableContents"/>
              <w:bidi w:val="0"/>
              <w:spacing w:before="0" w:after="283"/>
              <w:jc w:val="center"/>
              <w:rPr>
                <w:sz w:val="20"/>
              </w:rPr>
            </w:pPr>
            <w:r>
              <w:rPr>
                <w:sz w:val="20"/>
              </w:rPr>
              <w:t>11-13-2020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10.7*</w:t>
            </w:r>
          </w:p>
        </w:tc>
        <w:tc>
          <w:tcPr>
            <w:tcW w:w="5998" w:type="dxa"/>
            <w:tcBorders/>
            <w:vAlign w:val="center"/>
          </w:tcPr>
          <w:p>
            <w:pPr>
              <w:pStyle w:val="TableContents"/>
              <w:bidi w:val="0"/>
              <w:spacing w:before="0" w:after="283"/>
              <w:jc w:val="left"/>
              <w:rPr/>
            </w:pPr>
            <w:hyperlink r:id="rId18">
              <w:r>
                <w:rPr>
                  <w:rStyle w:val="InternetLink"/>
                  <w:color w:val="0000FF"/>
                  <w:sz w:val="20"/>
                </w:rPr>
                <w:t>Global Co-Development and Collaboration Agreement with BeiGene, Ltd. and BeiGene Switzerland GmbH, dated April 8, 2019, as amended by First Amendment, dated December 24, 2019 and as amended by Second Amendment, October 5, 2020</w:t>
              </w:r>
            </w:hyperlink>
          </w:p>
        </w:tc>
        <w:tc>
          <w:tcPr>
            <w:tcW w:w="338" w:type="dxa"/>
            <w:tcBorders/>
            <w:vAlign w:val="center"/>
          </w:tcPr>
          <w:p>
            <w:pPr>
              <w:pStyle w:val="TableContents"/>
              <w:bidi w:val="0"/>
              <w:spacing w:before="0" w:after="283"/>
              <w:jc w:val="center"/>
              <w:rPr>
                <w:sz w:val="20"/>
              </w:rPr>
            </w:pPr>
            <w:r>
              <w:rPr>
                <w:sz w:val="20"/>
              </w:rPr>
              <w:t>S-1</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10.8</w:t>
            </w:r>
          </w:p>
        </w:tc>
        <w:tc>
          <w:tcPr>
            <w:tcW w:w="573" w:type="dxa"/>
            <w:tcBorders/>
            <w:vAlign w:val="center"/>
          </w:tcPr>
          <w:p>
            <w:pPr>
              <w:pStyle w:val="TableContents"/>
              <w:bidi w:val="0"/>
              <w:spacing w:before="0" w:after="283"/>
              <w:jc w:val="center"/>
              <w:rPr>
                <w:sz w:val="20"/>
              </w:rPr>
            </w:pPr>
            <w:r>
              <w:rPr>
                <w:sz w:val="20"/>
              </w:rPr>
              <w:t>11-13-2020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10.8*</w:t>
            </w:r>
          </w:p>
        </w:tc>
        <w:tc>
          <w:tcPr>
            <w:tcW w:w="5998" w:type="dxa"/>
            <w:tcBorders/>
            <w:vAlign w:val="center"/>
          </w:tcPr>
          <w:p>
            <w:pPr>
              <w:pStyle w:val="TableContents"/>
              <w:bidi w:val="0"/>
              <w:spacing w:before="0" w:after="283"/>
              <w:jc w:val="left"/>
              <w:rPr/>
            </w:pPr>
            <w:hyperlink r:id="rId19">
              <w:r>
                <w:rPr>
                  <w:rStyle w:val="InternetLink"/>
                  <w:color w:val="0000FF"/>
                  <w:sz w:val="20"/>
                </w:rPr>
                <w:t>Amendment No. 3 to Global Co–Development and Collaboration Agreement among BeiGene, Ltd., BeiGene Switzerland GmbH and BioAtla, Inc.</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10.28</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10.9+</w:t>
            </w:r>
          </w:p>
        </w:tc>
        <w:tc>
          <w:tcPr>
            <w:tcW w:w="5998" w:type="dxa"/>
            <w:tcBorders/>
            <w:vAlign w:val="center"/>
          </w:tcPr>
          <w:p>
            <w:pPr>
              <w:pStyle w:val="TableContents"/>
              <w:bidi w:val="0"/>
              <w:spacing w:before="0" w:after="283"/>
              <w:jc w:val="left"/>
              <w:rPr/>
            </w:pPr>
            <w:hyperlink r:id="rId20">
              <w:r>
                <w:rPr>
                  <w:rStyle w:val="InternetLink"/>
                  <w:color w:val="0000FF"/>
                  <w:sz w:val="20"/>
                </w:rPr>
                <w:t>Employment Letter Agreement between BioAtla, LLC and Jay Short, as amended by the Letter Amendment dated October 1, 2011</w:t>
              </w:r>
            </w:hyperlink>
          </w:p>
        </w:tc>
        <w:tc>
          <w:tcPr>
            <w:tcW w:w="338" w:type="dxa"/>
            <w:tcBorders/>
            <w:vAlign w:val="center"/>
          </w:tcPr>
          <w:p>
            <w:pPr>
              <w:pStyle w:val="TableContents"/>
              <w:bidi w:val="0"/>
              <w:spacing w:before="0" w:after="283"/>
              <w:jc w:val="center"/>
              <w:rPr>
                <w:sz w:val="20"/>
              </w:rPr>
            </w:pPr>
            <w:r>
              <w:rPr>
                <w:sz w:val="20"/>
              </w:rPr>
              <w:t>S-1/A</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10.11</w:t>
            </w:r>
          </w:p>
        </w:tc>
        <w:tc>
          <w:tcPr>
            <w:tcW w:w="573" w:type="dxa"/>
            <w:tcBorders/>
            <w:vAlign w:val="center"/>
          </w:tcPr>
          <w:p>
            <w:pPr>
              <w:pStyle w:val="TableContents"/>
              <w:bidi w:val="0"/>
              <w:spacing w:before="0" w:after="283"/>
              <w:jc w:val="center"/>
              <w:rPr>
                <w:sz w:val="20"/>
              </w:rPr>
            </w:pPr>
            <w:r>
              <w:rPr>
                <w:sz w:val="20"/>
              </w:rPr>
              <w:t>12-08-2020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10.10+</w:t>
            </w:r>
          </w:p>
        </w:tc>
        <w:tc>
          <w:tcPr>
            <w:tcW w:w="5998" w:type="dxa"/>
            <w:tcBorders/>
            <w:vAlign w:val="center"/>
          </w:tcPr>
          <w:p>
            <w:pPr>
              <w:pStyle w:val="TableContents"/>
              <w:bidi w:val="0"/>
              <w:spacing w:before="0" w:after="283"/>
              <w:jc w:val="left"/>
              <w:rPr/>
            </w:pPr>
            <w:hyperlink r:id="rId21">
              <w:r>
                <w:rPr>
                  <w:rStyle w:val="InternetLink"/>
                  <w:color w:val="0000FF"/>
                  <w:sz w:val="20"/>
                </w:rPr>
                <w:t>Severance Agreement between BioAtla, LLC and Jay Short, dated July 1, 2018</w:t>
              </w:r>
            </w:hyperlink>
          </w:p>
        </w:tc>
        <w:tc>
          <w:tcPr>
            <w:tcW w:w="338" w:type="dxa"/>
            <w:tcBorders/>
            <w:vAlign w:val="center"/>
          </w:tcPr>
          <w:p>
            <w:pPr>
              <w:pStyle w:val="TableContents"/>
              <w:bidi w:val="0"/>
              <w:spacing w:before="0" w:after="283"/>
              <w:jc w:val="center"/>
              <w:rPr>
                <w:sz w:val="20"/>
              </w:rPr>
            </w:pPr>
            <w:r>
              <w:rPr>
                <w:sz w:val="20"/>
              </w:rPr>
              <w:t>S-1/A</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10.13</w:t>
            </w:r>
          </w:p>
        </w:tc>
        <w:tc>
          <w:tcPr>
            <w:tcW w:w="573" w:type="dxa"/>
            <w:tcBorders/>
            <w:vAlign w:val="center"/>
          </w:tcPr>
          <w:p>
            <w:pPr>
              <w:pStyle w:val="TableContents"/>
              <w:bidi w:val="0"/>
              <w:spacing w:before="0" w:after="283"/>
              <w:jc w:val="center"/>
              <w:rPr>
                <w:sz w:val="20"/>
              </w:rPr>
            </w:pPr>
            <w:r>
              <w:rPr>
                <w:sz w:val="20"/>
              </w:rPr>
              <w:t>12-08-2020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10.11+</w:t>
            </w:r>
          </w:p>
        </w:tc>
        <w:tc>
          <w:tcPr>
            <w:tcW w:w="5998" w:type="dxa"/>
            <w:tcBorders/>
            <w:vAlign w:val="center"/>
          </w:tcPr>
          <w:p>
            <w:pPr>
              <w:pStyle w:val="TableContents"/>
              <w:bidi w:val="0"/>
              <w:spacing w:before="0" w:after="283"/>
              <w:jc w:val="left"/>
              <w:rPr/>
            </w:pPr>
            <w:hyperlink r:id="rId22">
              <w:r>
                <w:rPr>
                  <w:rStyle w:val="InternetLink"/>
                  <w:color w:val="0000FF"/>
                  <w:sz w:val="20"/>
                </w:rPr>
                <w:t>Offer Letter between BioAtla, LLC and Richard Waldron, dated October 23, 2013</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10.19</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10.12+</w:t>
            </w:r>
          </w:p>
        </w:tc>
        <w:tc>
          <w:tcPr>
            <w:tcW w:w="5998" w:type="dxa"/>
            <w:tcBorders/>
            <w:vAlign w:val="center"/>
          </w:tcPr>
          <w:p>
            <w:pPr>
              <w:pStyle w:val="TableContents"/>
              <w:bidi w:val="0"/>
              <w:spacing w:before="0" w:after="283"/>
              <w:jc w:val="left"/>
              <w:rPr/>
            </w:pPr>
            <w:hyperlink r:id="rId23">
              <w:r>
                <w:rPr>
                  <w:rStyle w:val="InternetLink"/>
                  <w:color w:val="0000FF"/>
                  <w:sz w:val="20"/>
                </w:rPr>
                <w:t>Severance Agreement between BioAtla, LLC and Richard Waldron, dated July 1, 2018</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10.20</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10.13+</w:t>
            </w:r>
          </w:p>
        </w:tc>
        <w:tc>
          <w:tcPr>
            <w:tcW w:w="5998" w:type="dxa"/>
            <w:tcBorders/>
            <w:vAlign w:val="center"/>
          </w:tcPr>
          <w:p>
            <w:pPr>
              <w:pStyle w:val="TableContents"/>
              <w:bidi w:val="0"/>
              <w:spacing w:before="0" w:after="283"/>
              <w:jc w:val="left"/>
              <w:rPr/>
            </w:pPr>
            <w:hyperlink r:id="rId24">
              <w:r>
                <w:rPr>
                  <w:rStyle w:val="InternetLink"/>
                  <w:color w:val="0000FF"/>
                  <w:sz w:val="20"/>
                </w:rPr>
                <w:t>Offer Letter between BioAtla, LLC and Eric Sievers, dated June 17, 2019</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10.21</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10.14+*</w:t>
            </w:r>
          </w:p>
        </w:tc>
        <w:tc>
          <w:tcPr>
            <w:tcW w:w="5998" w:type="dxa"/>
            <w:tcBorders/>
            <w:vAlign w:val="center"/>
          </w:tcPr>
          <w:p>
            <w:pPr>
              <w:pStyle w:val="TableContents"/>
              <w:bidi w:val="0"/>
              <w:spacing w:before="0" w:after="283"/>
              <w:jc w:val="left"/>
              <w:rPr/>
            </w:pPr>
            <w:hyperlink r:id="rId25">
              <w:r>
                <w:rPr>
                  <w:rStyle w:val="InternetLink"/>
                  <w:sz w:val="20"/>
                </w:rPr>
                <w:t>Consulting Agreement, dated as of September 25, 2026 between the Company and Dr. Eric Sievers</w:t>
              </w:r>
            </w:hyperlink>
          </w:p>
        </w:tc>
        <w:tc>
          <w:tcPr>
            <w:tcW w:w="338" w:type="dxa"/>
            <w:tcBorders/>
            <w:vAlign w:val="center"/>
          </w:tcPr>
          <w:p>
            <w:pPr>
              <w:pStyle w:val="TableContents"/>
              <w:bidi w:val="0"/>
              <w:spacing w:before="0" w:after="283"/>
              <w:jc w:val="center"/>
              <w:rPr>
                <w:sz w:val="20"/>
              </w:rPr>
            </w:pPr>
            <w:r>
              <w:rPr>
                <w:sz w:val="20"/>
              </w:rPr>
              <w:t>8-K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573" w:type="dxa"/>
            <w:tcBorders/>
            <w:vAlign w:val="center"/>
          </w:tcPr>
          <w:p>
            <w:pPr>
              <w:pStyle w:val="TableContents"/>
              <w:bidi w:val="0"/>
              <w:spacing w:before="0" w:after="283"/>
              <w:jc w:val="center"/>
              <w:rPr>
                <w:sz w:val="20"/>
              </w:rPr>
            </w:pPr>
            <w:r>
              <w:rPr>
                <w:sz w:val="20"/>
              </w:rPr>
              <w:t>09-29-2026</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10.15+</w:t>
            </w:r>
          </w:p>
        </w:tc>
        <w:tc>
          <w:tcPr>
            <w:tcW w:w="5998" w:type="dxa"/>
            <w:tcBorders/>
            <w:vAlign w:val="center"/>
          </w:tcPr>
          <w:p>
            <w:pPr>
              <w:pStyle w:val="TableContents"/>
              <w:bidi w:val="0"/>
              <w:spacing w:before="0" w:after="283"/>
              <w:jc w:val="left"/>
              <w:rPr/>
            </w:pPr>
            <w:hyperlink r:id="rId26">
              <w:r>
                <w:rPr>
                  <w:rStyle w:val="InternetLink"/>
                  <w:color w:val="0000FF"/>
                  <w:sz w:val="20"/>
                </w:rPr>
                <w:t>Offer Letter between BioAtla, LLC and Christian Vasquez, dated October 22, 2015</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10.22</w:t>
            </w:r>
          </w:p>
        </w:tc>
        <w:tc>
          <w:tcPr>
            <w:tcW w:w="573" w:type="dxa"/>
            <w:tcBorders/>
            <w:vAlign w:val="center"/>
          </w:tcPr>
          <w:p>
            <w:pPr>
              <w:pStyle w:val="TableContents"/>
              <w:bidi w:val="0"/>
              <w:spacing w:before="0" w:after="283"/>
              <w:jc w:val="center"/>
              <w:rPr>
                <w:sz w:val="20"/>
              </w:rPr>
            </w:pPr>
            <w:r>
              <w:rPr>
                <w:sz w:val="20"/>
              </w:rPr>
              <w:t>02-28-2022</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10.16+</w:t>
            </w:r>
          </w:p>
        </w:tc>
        <w:tc>
          <w:tcPr>
            <w:tcW w:w="5998" w:type="dxa"/>
            <w:tcBorders/>
            <w:vAlign w:val="center"/>
          </w:tcPr>
          <w:p>
            <w:pPr>
              <w:pStyle w:val="TableContents"/>
              <w:bidi w:val="0"/>
              <w:spacing w:before="0" w:after="283"/>
              <w:jc w:val="left"/>
              <w:rPr/>
            </w:pPr>
            <w:hyperlink r:id="rId27">
              <w:r>
                <w:rPr>
                  <w:rStyle w:val="InternetLink"/>
                  <w:color w:val="0000FF"/>
                  <w:sz w:val="20"/>
                </w:rPr>
                <w:t>Form of Indemnification Agreement between the Registrant and each of its executive officers or directors</w:t>
              </w:r>
            </w:hyperlink>
          </w:p>
        </w:tc>
        <w:tc>
          <w:tcPr>
            <w:tcW w:w="338" w:type="dxa"/>
            <w:tcBorders/>
            <w:vAlign w:val="center"/>
          </w:tcPr>
          <w:p>
            <w:pPr>
              <w:pStyle w:val="TableContents"/>
              <w:bidi w:val="0"/>
              <w:spacing w:before="0" w:after="283"/>
              <w:jc w:val="center"/>
              <w:rPr>
                <w:sz w:val="20"/>
              </w:rPr>
            </w:pPr>
            <w:r>
              <w:rPr>
                <w:sz w:val="20"/>
              </w:rPr>
              <w:t>S-1/A</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10.18</w:t>
            </w:r>
          </w:p>
        </w:tc>
        <w:tc>
          <w:tcPr>
            <w:tcW w:w="573" w:type="dxa"/>
            <w:tcBorders/>
            <w:vAlign w:val="center"/>
          </w:tcPr>
          <w:p>
            <w:pPr>
              <w:pStyle w:val="TableContents"/>
              <w:bidi w:val="0"/>
              <w:spacing w:before="0" w:after="283"/>
              <w:jc w:val="center"/>
              <w:rPr>
                <w:sz w:val="20"/>
              </w:rPr>
            </w:pPr>
            <w:r>
              <w:rPr>
                <w:sz w:val="20"/>
              </w:rPr>
              <w:t>12-08-2020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10.17</w:t>
            </w:r>
          </w:p>
        </w:tc>
        <w:tc>
          <w:tcPr>
            <w:tcW w:w="5998" w:type="dxa"/>
            <w:tcBorders/>
            <w:vAlign w:val="center"/>
          </w:tcPr>
          <w:p>
            <w:pPr>
              <w:pStyle w:val="TableContents"/>
              <w:bidi w:val="0"/>
              <w:spacing w:before="0" w:after="283"/>
              <w:jc w:val="left"/>
              <w:rPr/>
            </w:pPr>
            <w:hyperlink r:id="rId28">
              <w:r>
                <w:rPr>
                  <w:rStyle w:val="InternetLink"/>
                  <w:color w:val="0000FF"/>
                  <w:sz w:val="20"/>
                </w:rPr>
                <w:t>Lease Agreement with HCP Torreyana, LLC, dated June 2, 2017</w:t>
              </w:r>
            </w:hyperlink>
          </w:p>
        </w:tc>
        <w:tc>
          <w:tcPr>
            <w:tcW w:w="338" w:type="dxa"/>
            <w:tcBorders/>
            <w:vAlign w:val="center"/>
          </w:tcPr>
          <w:p>
            <w:pPr>
              <w:pStyle w:val="TableContents"/>
              <w:bidi w:val="0"/>
              <w:spacing w:before="0" w:after="283"/>
              <w:jc w:val="center"/>
              <w:rPr>
                <w:sz w:val="20"/>
              </w:rPr>
            </w:pPr>
            <w:r>
              <w:rPr>
                <w:sz w:val="20"/>
              </w:rPr>
              <w:t>S-1/A</w:t>
            </w:r>
          </w:p>
        </w:tc>
        <w:tc>
          <w:tcPr>
            <w:tcW w:w="742"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10.19</w:t>
            </w:r>
          </w:p>
        </w:tc>
        <w:tc>
          <w:tcPr>
            <w:tcW w:w="573" w:type="dxa"/>
            <w:tcBorders/>
            <w:vAlign w:val="center"/>
          </w:tcPr>
          <w:p>
            <w:pPr>
              <w:pStyle w:val="TableContents"/>
              <w:bidi w:val="0"/>
              <w:spacing w:before="0" w:after="283"/>
              <w:jc w:val="center"/>
              <w:rPr>
                <w:sz w:val="20"/>
              </w:rPr>
            </w:pPr>
            <w:r>
              <w:rPr>
                <w:sz w:val="20"/>
              </w:rPr>
              <w:t>12-08-2020</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10.18</w:t>
            </w:r>
          </w:p>
        </w:tc>
        <w:tc>
          <w:tcPr>
            <w:tcW w:w="5998" w:type="dxa"/>
            <w:tcBorders/>
            <w:vAlign w:val="center"/>
          </w:tcPr>
          <w:p>
            <w:pPr>
              <w:pStyle w:val="TableContents"/>
              <w:bidi w:val="0"/>
              <w:spacing w:before="0" w:after="283"/>
              <w:jc w:val="left"/>
              <w:rPr/>
            </w:pPr>
            <w:hyperlink r:id="rId29">
              <w:r>
                <w:rPr>
                  <w:rStyle w:val="InternetLink"/>
                  <w:sz w:val="20"/>
                </w:rPr>
                <w:t xml:space="preserve">First Amendment to Lease with HCP Torreyana, </w:t>
              </w:r>
            </w:hyperlink>
          </w:p>
        </w:tc>
        <w:tc>
          <w:tcPr>
            <w:tcW w:w="338" w:type="dxa"/>
            <w:tcBorders/>
            <w:vAlign w:val="center"/>
          </w:tcPr>
          <w:p>
            <w:pPr>
              <w:pStyle w:val="TableContents"/>
              <w:bidi w:val="0"/>
              <w:spacing w:before="0" w:after="283"/>
              <w:jc w:val="center"/>
              <w:rPr>
                <w:sz w:val="20"/>
              </w:rPr>
            </w:pPr>
            <w:r>
              <w:rPr>
                <w:sz w:val="20"/>
              </w:rPr>
              <w:t>10-K</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10.17</w:t>
            </w:r>
          </w:p>
        </w:tc>
        <w:tc>
          <w:tcPr>
            <w:tcW w:w="573" w:type="dxa"/>
            <w:tcBorders/>
            <w:vAlign w:val="center"/>
          </w:tcPr>
          <w:p>
            <w:pPr>
              <w:pStyle w:val="TableContents"/>
              <w:bidi w:val="0"/>
              <w:spacing w:before="0" w:after="283"/>
              <w:jc w:val="center"/>
              <w:rPr>
                <w:sz w:val="20"/>
              </w:rPr>
            </w:pPr>
            <w:r>
              <w:rPr>
                <w:sz w:val="20"/>
              </w:rPr>
              <w:t>03-26-2024</w:t>
            </w:r>
          </w:p>
        </w:tc>
        <w:tc>
          <w:tcPr>
            <w:tcW w:w="78" w:type="dxa"/>
            <w:tcBorders/>
            <w:vAlign w:val="center"/>
          </w:tcPr>
          <w:p>
            <w:pPr>
              <w:pStyle w:val="TableContents"/>
              <w:bidi w:val="0"/>
              <w:spacing w:before="0" w:after="283"/>
              <w:jc w:val="center"/>
              <w:rPr/>
            </w:pPr>
            <w:r>
              <w:rPr/>
              <w:t> </w:t>
            </w:r>
          </w:p>
        </w:tc>
      </w:tr>
      <w:tr>
        <w:trPr/>
        <w:tc>
          <w:tcPr>
            <w:tcW w:w="551" w:type="dxa"/>
            <w:tcBorders/>
            <w:vAlign w:val="center"/>
          </w:tcPr>
          <w:p>
            <w:pPr>
              <w:pStyle w:val="TableContents"/>
              <w:bidi w:val="0"/>
              <w:spacing w:before="0" w:after="283"/>
              <w:jc w:val="center"/>
              <w:rPr>
                <w:sz w:val="20"/>
              </w:rPr>
            </w:pPr>
            <w:r>
              <w:rPr>
                <w:sz w:val="20"/>
              </w:rPr>
              <w:t>10.19</w:t>
            </w:r>
          </w:p>
        </w:tc>
        <w:tc>
          <w:tcPr>
            <w:tcW w:w="5998" w:type="dxa"/>
            <w:tcBorders/>
            <w:vAlign w:val="center"/>
          </w:tcPr>
          <w:p>
            <w:pPr>
              <w:pStyle w:val="TableContents"/>
              <w:bidi w:val="0"/>
              <w:spacing w:before="0" w:after="283"/>
              <w:jc w:val="left"/>
              <w:rPr/>
            </w:pPr>
            <w:hyperlink r:id="rId30">
              <w:r>
                <w:rPr>
                  <w:rStyle w:val="InternetLink"/>
                  <w:color w:val="0000FF"/>
                  <w:sz w:val="20"/>
                </w:rPr>
                <w:t>Lease Agreement between BioAtla, Inc. and HCP Torreyana, LLC, as amended</w:t>
              </w:r>
            </w:hyperlink>
          </w:p>
        </w:tc>
        <w:tc>
          <w:tcPr>
            <w:tcW w:w="338" w:type="dxa"/>
            <w:tcBorders/>
            <w:vAlign w:val="center"/>
          </w:tcPr>
          <w:p>
            <w:pPr>
              <w:pStyle w:val="TableContents"/>
              <w:bidi w:val="0"/>
              <w:spacing w:before="0" w:after="283"/>
              <w:jc w:val="center"/>
              <w:rPr>
                <w:sz w:val="20"/>
              </w:rPr>
            </w:pPr>
            <w:r>
              <w:rPr>
                <w:sz w:val="20"/>
              </w:rPr>
              <w:t>10-Q</w:t>
            </w:r>
          </w:p>
        </w:tc>
        <w:tc>
          <w:tcPr>
            <w:tcW w:w="742"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573" w:type="dxa"/>
            <w:tcBorders/>
            <w:vAlign w:val="center"/>
          </w:tcPr>
          <w:p>
            <w:pPr>
              <w:pStyle w:val="TableContents"/>
              <w:bidi w:val="0"/>
              <w:spacing w:before="0" w:after="283"/>
              <w:jc w:val="center"/>
              <w:rPr>
                <w:sz w:val="20"/>
              </w:rPr>
            </w:pPr>
            <w:r>
              <w:rPr>
                <w:sz w:val="20"/>
              </w:rPr>
              <w:t>08-07-2025</w:t>
            </w:r>
          </w:p>
        </w:tc>
        <w:tc>
          <w:tcPr>
            <w:tcW w:w="78" w:type="dxa"/>
            <w:tcBorders/>
            <w:vAlign w:val="center"/>
          </w:tcPr>
          <w:p>
            <w:pPr>
              <w:pStyle w:val="TableContents"/>
              <w:bidi w:val="0"/>
              <w:spacing w:before="0" w:after="283"/>
              <w:jc w:val="center"/>
              <w:rPr/>
            </w:pPr>
            <w:r>
              <w:rPr/>
              <w:t> </w:t>
            </w:r>
          </w:p>
        </w:tc>
      </w:tr>
    </w:tbl>
    <w:p>
      <w:pPr>
        <w:pStyle w:val="TextBody"/>
        <w:bidi w:val="0"/>
        <w:spacing w:before="720" w:after="720"/>
        <w:ind w:left="720" w:right="720" w:hanging="0"/>
        <w:jc w:val="left"/>
        <w:rPr/>
      </w:pPr>
      <w:r>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720" w:right="720" w:hanging="0"/>
        <w:jc w:val="left"/>
        <w:rPr/>
      </w:pPr>
      <w:r>
        <w:rPr/>
        <w:t> </w:t>
      </w:r>
    </w:p>
    <w:p>
      <w:pPr>
        <w:pStyle w:val="TextBody"/>
        <w:bidi w:val="0"/>
        <w:spacing w:before="720" w:after="72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581"/>
        <w:gridCol w:w="5835"/>
        <w:gridCol w:w="342"/>
        <w:gridCol w:w="795"/>
        <w:gridCol w:w="485"/>
        <w:gridCol w:w="649"/>
        <w:gridCol w:w="78"/>
      </w:tblGrid>
      <w:tr>
        <w:trPr/>
        <w:tc>
          <w:tcPr>
            <w:tcW w:w="581" w:type="dxa"/>
            <w:tcBorders/>
            <w:vAlign w:val="center"/>
          </w:tcPr>
          <w:p>
            <w:pPr>
              <w:pStyle w:val="TableContents"/>
              <w:bidi w:val="0"/>
              <w:spacing w:before="0" w:after="283"/>
              <w:jc w:val="center"/>
              <w:rPr>
                <w:sz w:val="20"/>
              </w:rPr>
            </w:pPr>
            <w:r>
              <w:rPr>
                <w:sz w:val="20"/>
              </w:rPr>
              <w:t>10.20*</w:t>
            </w:r>
          </w:p>
        </w:tc>
        <w:tc>
          <w:tcPr>
            <w:tcW w:w="5835" w:type="dxa"/>
            <w:tcBorders/>
            <w:vAlign w:val="center"/>
          </w:tcPr>
          <w:p>
            <w:pPr>
              <w:pStyle w:val="TableContents"/>
              <w:bidi w:val="0"/>
              <w:spacing w:before="0" w:after="283"/>
              <w:jc w:val="left"/>
              <w:rPr/>
            </w:pPr>
            <w:hyperlink r:id="rId31">
              <w:r>
                <w:rPr>
                  <w:rStyle w:val="InternetLink"/>
                  <w:color w:val="0000FF"/>
                  <w:sz w:val="20"/>
                </w:rPr>
                <w:t>Master Clinical Trial Collaboration Agreement, dated January 5, 2022, by and between BioAtla, Inc. and Bristol-Myers Squibb Company</w:t>
              </w:r>
            </w:hyperlink>
          </w:p>
        </w:tc>
        <w:tc>
          <w:tcPr>
            <w:tcW w:w="342" w:type="dxa"/>
            <w:tcBorders/>
            <w:vAlign w:val="center"/>
          </w:tcPr>
          <w:p>
            <w:pPr>
              <w:pStyle w:val="TableContents"/>
              <w:bidi w:val="0"/>
              <w:spacing w:before="0" w:after="283"/>
              <w:jc w:val="center"/>
              <w:rPr>
                <w:sz w:val="20"/>
              </w:rPr>
            </w:pPr>
            <w:r>
              <w:rPr>
                <w:sz w:val="20"/>
              </w:rPr>
              <w:t>10-Q</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w:t>
            </w:r>
          </w:p>
        </w:tc>
        <w:tc>
          <w:tcPr>
            <w:tcW w:w="649" w:type="dxa"/>
            <w:tcBorders/>
            <w:vAlign w:val="center"/>
          </w:tcPr>
          <w:p>
            <w:pPr>
              <w:pStyle w:val="TableContents"/>
              <w:bidi w:val="0"/>
              <w:spacing w:before="0" w:after="283"/>
              <w:jc w:val="center"/>
              <w:rPr>
                <w:sz w:val="20"/>
              </w:rPr>
            </w:pPr>
            <w:r>
              <w:rPr>
                <w:sz w:val="20"/>
              </w:rPr>
              <w:t>11-04-2022</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10.21*</w:t>
            </w:r>
          </w:p>
        </w:tc>
        <w:tc>
          <w:tcPr>
            <w:tcW w:w="5835" w:type="dxa"/>
            <w:tcBorders/>
            <w:vAlign w:val="center"/>
          </w:tcPr>
          <w:p>
            <w:pPr>
              <w:pStyle w:val="TableContents"/>
              <w:bidi w:val="0"/>
              <w:spacing w:before="0" w:after="283"/>
              <w:jc w:val="left"/>
              <w:rPr/>
            </w:pPr>
            <w:hyperlink r:id="rId32">
              <w:r>
                <w:rPr>
                  <w:rStyle w:val="InternetLink"/>
                  <w:color w:val="0000FF"/>
                  <w:sz w:val="20"/>
                </w:rPr>
                <w:t>First Amendment to Master Clinical Trial Agreement between BioAtla, Inc. and Bristol-Myers Squibb Company</w:t>
              </w:r>
            </w:hyperlink>
          </w:p>
        </w:tc>
        <w:tc>
          <w:tcPr>
            <w:tcW w:w="342" w:type="dxa"/>
            <w:tcBorders/>
            <w:vAlign w:val="center"/>
          </w:tcPr>
          <w:p>
            <w:pPr>
              <w:pStyle w:val="TableContents"/>
              <w:bidi w:val="0"/>
              <w:spacing w:before="0" w:after="283"/>
              <w:jc w:val="center"/>
              <w:rPr>
                <w:sz w:val="20"/>
              </w:rPr>
            </w:pPr>
            <w:r>
              <w:rPr>
                <w:sz w:val="20"/>
              </w:rPr>
              <w:t>10-K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10.24</w:t>
            </w:r>
          </w:p>
        </w:tc>
        <w:tc>
          <w:tcPr>
            <w:tcW w:w="649" w:type="dxa"/>
            <w:tcBorders/>
            <w:vAlign w:val="center"/>
          </w:tcPr>
          <w:p>
            <w:pPr>
              <w:pStyle w:val="TableContents"/>
              <w:bidi w:val="0"/>
              <w:spacing w:before="0" w:after="283"/>
              <w:jc w:val="center"/>
              <w:rPr>
                <w:sz w:val="20"/>
              </w:rPr>
            </w:pPr>
            <w:r>
              <w:rPr>
                <w:sz w:val="20"/>
              </w:rPr>
              <w:t>03-23-2023</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10.22*</w:t>
            </w:r>
          </w:p>
        </w:tc>
        <w:tc>
          <w:tcPr>
            <w:tcW w:w="5835" w:type="dxa"/>
            <w:tcBorders/>
            <w:vAlign w:val="center"/>
          </w:tcPr>
          <w:p>
            <w:pPr>
              <w:pStyle w:val="TableContents"/>
              <w:bidi w:val="0"/>
              <w:spacing w:before="0" w:after="283"/>
              <w:jc w:val="left"/>
              <w:rPr/>
            </w:pPr>
            <w:hyperlink r:id="rId33">
              <w:r>
                <w:rPr>
                  <w:rStyle w:val="InternetLink"/>
                  <w:color w:val="0000FF"/>
                  <w:sz w:val="20"/>
                </w:rPr>
                <w:t>China Clinical Trial Services Agreement, dated April 8, 2022, by and between BioAtla, Inc. and Himalaya Therapeutics Limited Company</w:t>
              </w:r>
            </w:hyperlink>
          </w:p>
        </w:tc>
        <w:tc>
          <w:tcPr>
            <w:tcW w:w="342" w:type="dxa"/>
            <w:tcBorders/>
            <w:vAlign w:val="center"/>
          </w:tcPr>
          <w:p>
            <w:pPr>
              <w:pStyle w:val="TableContents"/>
              <w:bidi w:val="0"/>
              <w:spacing w:before="0" w:after="283"/>
              <w:jc w:val="center"/>
              <w:rPr>
                <w:sz w:val="20"/>
              </w:rPr>
            </w:pPr>
            <w:r>
              <w:rPr>
                <w:sz w:val="20"/>
              </w:rPr>
              <w:t>10-Q</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649" w:type="dxa"/>
            <w:tcBorders/>
            <w:vAlign w:val="center"/>
          </w:tcPr>
          <w:p>
            <w:pPr>
              <w:pStyle w:val="TableContents"/>
              <w:bidi w:val="0"/>
              <w:spacing w:before="0" w:after="283"/>
              <w:jc w:val="center"/>
              <w:rPr>
                <w:sz w:val="20"/>
              </w:rPr>
            </w:pPr>
            <w:r>
              <w:rPr>
                <w:sz w:val="20"/>
              </w:rPr>
              <w:t>08-09-2022</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10.23+</w:t>
            </w:r>
          </w:p>
        </w:tc>
        <w:tc>
          <w:tcPr>
            <w:tcW w:w="5835" w:type="dxa"/>
            <w:tcBorders/>
            <w:vAlign w:val="center"/>
          </w:tcPr>
          <w:p>
            <w:pPr>
              <w:pStyle w:val="TableContents"/>
              <w:bidi w:val="0"/>
              <w:spacing w:before="0" w:after="283"/>
              <w:jc w:val="left"/>
              <w:rPr/>
            </w:pPr>
            <w:hyperlink r:id="rId34">
              <w:r>
                <w:rPr>
                  <w:rStyle w:val="InternetLink"/>
                  <w:color w:val="0000FF"/>
                  <w:sz w:val="20"/>
                </w:rPr>
                <w:t>Form of Non-Employee Director Stock Option Agreement</w:t>
              </w:r>
            </w:hyperlink>
          </w:p>
        </w:tc>
        <w:tc>
          <w:tcPr>
            <w:tcW w:w="342" w:type="dxa"/>
            <w:tcBorders/>
            <w:vAlign w:val="center"/>
          </w:tcPr>
          <w:p>
            <w:pPr>
              <w:pStyle w:val="TableContents"/>
              <w:bidi w:val="0"/>
              <w:spacing w:before="0" w:after="283"/>
              <w:jc w:val="center"/>
              <w:rPr>
                <w:sz w:val="20"/>
              </w:rPr>
            </w:pPr>
            <w:r>
              <w:rPr>
                <w:sz w:val="20"/>
              </w:rPr>
              <w:t>10-K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10.24</w:t>
            </w:r>
          </w:p>
        </w:tc>
        <w:tc>
          <w:tcPr>
            <w:tcW w:w="649" w:type="dxa"/>
            <w:tcBorders/>
            <w:vAlign w:val="center"/>
          </w:tcPr>
          <w:p>
            <w:pPr>
              <w:pStyle w:val="TableContents"/>
              <w:bidi w:val="0"/>
              <w:spacing w:before="0" w:after="283"/>
              <w:jc w:val="center"/>
              <w:rPr>
                <w:sz w:val="20"/>
              </w:rPr>
            </w:pPr>
            <w:r>
              <w:rPr>
                <w:sz w:val="20"/>
              </w:rPr>
              <w:t>03-26-2024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10.24+</w:t>
            </w:r>
          </w:p>
        </w:tc>
        <w:tc>
          <w:tcPr>
            <w:tcW w:w="5835" w:type="dxa"/>
            <w:tcBorders/>
            <w:vAlign w:val="center"/>
          </w:tcPr>
          <w:p>
            <w:pPr>
              <w:pStyle w:val="TableContents"/>
              <w:bidi w:val="0"/>
              <w:spacing w:before="0" w:after="283"/>
              <w:jc w:val="left"/>
              <w:rPr/>
            </w:pPr>
            <w:hyperlink r:id="rId35">
              <w:r>
                <w:rPr>
                  <w:rStyle w:val="InternetLink"/>
                  <w:color w:val="0000FF"/>
                  <w:sz w:val="20"/>
                </w:rPr>
                <w:t>Form of Employee Stock Option Agreement</w:t>
              </w:r>
            </w:hyperlink>
          </w:p>
        </w:tc>
        <w:tc>
          <w:tcPr>
            <w:tcW w:w="342" w:type="dxa"/>
            <w:tcBorders/>
            <w:vAlign w:val="center"/>
          </w:tcPr>
          <w:p>
            <w:pPr>
              <w:pStyle w:val="TableContents"/>
              <w:bidi w:val="0"/>
              <w:spacing w:before="0" w:after="283"/>
              <w:jc w:val="center"/>
              <w:rPr>
                <w:sz w:val="20"/>
              </w:rPr>
            </w:pPr>
            <w:r>
              <w:rPr>
                <w:sz w:val="20"/>
              </w:rPr>
              <w:t>10-K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10.25</w:t>
            </w:r>
          </w:p>
        </w:tc>
        <w:tc>
          <w:tcPr>
            <w:tcW w:w="649" w:type="dxa"/>
            <w:tcBorders/>
            <w:vAlign w:val="center"/>
          </w:tcPr>
          <w:p>
            <w:pPr>
              <w:pStyle w:val="TableContents"/>
              <w:bidi w:val="0"/>
              <w:spacing w:before="0" w:after="283"/>
              <w:jc w:val="center"/>
              <w:rPr>
                <w:sz w:val="20"/>
              </w:rPr>
            </w:pPr>
            <w:r>
              <w:rPr>
                <w:sz w:val="20"/>
              </w:rPr>
              <w:t>03-26-2024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10.25+</w:t>
            </w:r>
          </w:p>
        </w:tc>
        <w:tc>
          <w:tcPr>
            <w:tcW w:w="5835" w:type="dxa"/>
            <w:tcBorders/>
            <w:vAlign w:val="center"/>
          </w:tcPr>
          <w:p>
            <w:pPr>
              <w:pStyle w:val="TableContents"/>
              <w:bidi w:val="0"/>
              <w:spacing w:before="0" w:after="283"/>
              <w:jc w:val="left"/>
              <w:rPr/>
            </w:pPr>
            <w:hyperlink r:id="rId36">
              <w:r>
                <w:rPr>
                  <w:rStyle w:val="InternetLink"/>
                  <w:color w:val="0000FF"/>
                  <w:sz w:val="20"/>
                </w:rPr>
                <w:t>Amended and Restated Director Compensation Policy</w:t>
              </w:r>
            </w:hyperlink>
          </w:p>
        </w:tc>
        <w:tc>
          <w:tcPr>
            <w:tcW w:w="342" w:type="dxa"/>
            <w:tcBorders/>
            <w:vAlign w:val="center"/>
          </w:tcPr>
          <w:p>
            <w:pPr>
              <w:pStyle w:val="TableContents"/>
              <w:bidi w:val="0"/>
              <w:spacing w:before="0" w:after="283"/>
              <w:jc w:val="center"/>
              <w:rPr>
                <w:sz w:val="20"/>
              </w:rPr>
            </w:pPr>
            <w:r>
              <w:rPr>
                <w:sz w:val="20"/>
              </w:rPr>
              <w:t>10-Q</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649" w:type="dxa"/>
            <w:tcBorders/>
            <w:vAlign w:val="center"/>
          </w:tcPr>
          <w:p>
            <w:pPr>
              <w:pStyle w:val="TableContents"/>
              <w:bidi w:val="0"/>
              <w:spacing w:before="0" w:after="283"/>
              <w:jc w:val="center"/>
              <w:rPr>
                <w:sz w:val="20"/>
              </w:rPr>
            </w:pPr>
            <w:r>
              <w:rPr>
                <w:sz w:val="20"/>
              </w:rPr>
              <w:t>08-08-2024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10.26+</w:t>
            </w:r>
          </w:p>
        </w:tc>
        <w:tc>
          <w:tcPr>
            <w:tcW w:w="5835" w:type="dxa"/>
            <w:tcBorders/>
            <w:vAlign w:val="center"/>
          </w:tcPr>
          <w:p>
            <w:pPr>
              <w:pStyle w:val="TableContents"/>
              <w:bidi w:val="0"/>
              <w:spacing w:before="0" w:after="283"/>
              <w:jc w:val="left"/>
              <w:rPr/>
            </w:pPr>
            <w:hyperlink r:id="rId37">
              <w:r>
                <w:rPr>
                  <w:rStyle w:val="InternetLink"/>
                  <w:color w:val="0000FF"/>
                  <w:sz w:val="20"/>
                </w:rPr>
                <w:t>BioAtla, Inc. Management Change of Control Severance Plan</w:t>
              </w:r>
            </w:hyperlink>
          </w:p>
        </w:tc>
        <w:tc>
          <w:tcPr>
            <w:tcW w:w="342" w:type="dxa"/>
            <w:tcBorders/>
            <w:vAlign w:val="center"/>
          </w:tcPr>
          <w:p>
            <w:pPr>
              <w:pStyle w:val="TableContents"/>
              <w:bidi w:val="0"/>
              <w:spacing w:before="0" w:after="283"/>
              <w:jc w:val="center"/>
              <w:rPr>
                <w:sz w:val="20"/>
              </w:rPr>
            </w:pPr>
            <w:r>
              <w:rPr>
                <w:sz w:val="20"/>
              </w:rPr>
              <w:t>8-K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649" w:type="dxa"/>
            <w:tcBorders/>
            <w:vAlign w:val="center"/>
          </w:tcPr>
          <w:p>
            <w:pPr>
              <w:pStyle w:val="TableContents"/>
              <w:bidi w:val="0"/>
              <w:spacing w:before="0" w:after="283"/>
              <w:jc w:val="center"/>
              <w:rPr>
                <w:sz w:val="20"/>
              </w:rPr>
            </w:pPr>
            <w:r>
              <w:rPr>
                <w:sz w:val="20"/>
              </w:rPr>
              <w:t>09-21-2022</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10.27</w:t>
            </w:r>
          </w:p>
        </w:tc>
        <w:tc>
          <w:tcPr>
            <w:tcW w:w="5835" w:type="dxa"/>
            <w:tcBorders/>
            <w:vAlign w:val="center"/>
          </w:tcPr>
          <w:p>
            <w:pPr>
              <w:pStyle w:val="TableContents"/>
              <w:bidi w:val="0"/>
              <w:spacing w:before="0" w:after="283"/>
              <w:jc w:val="left"/>
              <w:rPr/>
            </w:pPr>
            <w:hyperlink r:id="rId38">
              <w:r>
                <w:rPr>
                  <w:rStyle w:val="InternetLink"/>
                  <w:color w:val="0000FF"/>
                  <w:sz w:val="20"/>
                </w:rPr>
                <w:t>Open Market Sale AgreementSM dated as of January 6, 2023, between BioAtla, Inc. and Jefferies LLC</w:t>
              </w:r>
            </w:hyperlink>
          </w:p>
        </w:tc>
        <w:tc>
          <w:tcPr>
            <w:tcW w:w="342" w:type="dxa"/>
            <w:tcBorders/>
            <w:vAlign w:val="center"/>
          </w:tcPr>
          <w:p>
            <w:pPr>
              <w:pStyle w:val="TableContents"/>
              <w:bidi w:val="0"/>
              <w:spacing w:before="0" w:after="283"/>
              <w:jc w:val="center"/>
              <w:rPr>
                <w:sz w:val="20"/>
              </w:rPr>
            </w:pPr>
            <w:r>
              <w:rPr>
                <w:sz w:val="20"/>
              </w:rPr>
              <w:t>8-K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1.1</w:t>
            </w:r>
          </w:p>
        </w:tc>
        <w:tc>
          <w:tcPr>
            <w:tcW w:w="649" w:type="dxa"/>
            <w:tcBorders/>
            <w:vAlign w:val="center"/>
          </w:tcPr>
          <w:p>
            <w:pPr>
              <w:pStyle w:val="TableContents"/>
              <w:bidi w:val="0"/>
              <w:spacing w:before="0" w:after="283"/>
              <w:jc w:val="center"/>
              <w:rPr>
                <w:sz w:val="20"/>
              </w:rPr>
            </w:pPr>
            <w:r>
              <w:rPr>
                <w:sz w:val="20"/>
              </w:rPr>
              <w:t>01-06-2023</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10.28</w:t>
            </w:r>
          </w:p>
        </w:tc>
        <w:tc>
          <w:tcPr>
            <w:tcW w:w="5835" w:type="dxa"/>
            <w:tcBorders/>
            <w:vAlign w:val="center"/>
          </w:tcPr>
          <w:p>
            <w:pPr>
              <w:pStyle w:val="TableContents"/>
              <w:bidi w:val="0"/>
              <w:spacing w:before="0" w:after="283"/>
              <w:jc w:val="left"/>
              <w:rPr/>
            </w:pPr>
            <w:hyperlink r:id="rId39">
              <w:r>
                <w:rPr>
                  <w:rStyle w:val="InternetLink"/>
                  <w:color w:val="0000FF"/>
                  <w:sz w:val="20"/>
                </w:rPr>
                <w:t>Form of Restricted Stock Unit Agreement</w:t>
              </w:r>
            </w:hyperlink>
          </w:p>
        </w:tc>
        <w:tc>
          <w:tcPr>
            <w:tcW w:w="342" w:type="dxa"/>
            <w:tcBorders/>
            <w:vAlign w:val="center"/>
          </w:tcPr>
          <w:p>
            <w:pPr>
              <w:pStyle w:val="TableContents"/>
              <w:bidi w:val="0"/>
              <w:spacing w:before="0" w:after="283"/>
              <w:jc w:val="center"/>
              <w:rPr>
                <w:sz w:val="20"/>
              </w:rPr>
            </w:pPr>
            <w:r>
              <w:rPr>
                <w:sz w:val="20"/>
              </w:rPr>
              <w:t>10-Q</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w:t>
            </w:r>
          </w:p>
        </w:tc>
        <w:tc>
          <w:tcPr>
            <w:tcW w:w="649" w:type="dxa"/>
            <w:tcBorders/>
            <w:vAlign w:val="center"/>
          </w:tcPr>
          <w:p>
            <w:pPr>
              <w:pStyle w:val="TableContents"/>
              <w:bidi w:val="0"/>
              <w:spacing w:before="0" w:after="283"/>
              <w:jc w:val="center"/>
              <w:rPr>
                <w:sz w:val="20"/>
              </w:rPr>
            </w:pPr>
            <w:r>
              <w:rPr>
                <w:sz w:val="20"/>
              </w:rPr>
              <w:t>05-14-2024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10.29</w:t>
            </w:r>
          </w:p>
        </w:tc>
        <w:tc>
          <w:tcPr>
            <w:tcW w:w="5835" w:type="dxa"/>
            <w:tcBorders/>
            <w:vAlign w:val="center"/>
          </w:tcPr>
          <w:p>
            <w:pPr>
              <w:pStyle w:val="TableContents"/>
              <w:bidi w:val="0"/>
              <w:spacing w:before="0" w:after="283"/>
              <w:jc w:val="left"/>
              <w:rPr/>
            </w:pPr>
            <w:hyperlink r:id="rId40">
              <w:r>
                <w:rPr>
                  <w:rStyle w:val="InternetLink"/>
                  <w:color w:val="0000FF"/>
                  <w:sz w:val="20"/>
                </w:rPr>
                <w:t>Form of Non-Employee Director Restricted Stock Unit Agreement</w:t>
              </w:r>
            </w:hyperlink>
          </w:p>
        </w:tc>
        <w:tc>
          <w:tcPr>
            <w:tcW w:w="342" w:type="dxa"/>
            <w:tcBorders/>
            <w:vAlign w:val="center"/>
          </w:tcPr>
          <w:p>
            <w:pPr>
              <w:pStyle w:val="TableContents"/>
              <w:bidi w:val="0"/>
              <w:spacing w:before="0" w:after="283"/>
              <w:jc w:val="center"/>
              <w:rPr>
                <w:sz w:val="20"/>
              </w:rPr>
            </w:pPr>
            <w:r>
              <w:rPr>
                <w:sz w:val="20"/>
              </w:rPr>
              <w:t>10-Q</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w:t>
            </w:r>
          </w:p>
        </w:tc>
        <w:tc>
          <w:tcPr>
            <w:tcW w:w="649" w:type="dxa"/>
            <w:tcBorders/>
            <w:vAlign w:val="center"/>
          </w:tcPr>
          <w:p>
            <w:pPr>
              <w:pStyle w:val="TableContents"/>
              <w:bidi w:val="0"/>
              <w:spacing w:before="0" w:after="283"/>
              <w:jc w:val="center"/>
              <w:rPr>
                <w:sz w:val="20"/>
              </w:rPr>
            </w:pPr>
            <w:r>
              <w:rPr>
                <w:sz w:val="20"/>
              </w:rPr>
              <w:t>08-08-2024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10.30*</w:t>
            </w:r>
          </w:p>
        </w:tc>
        <w:tc>
          <w:tcPr>
            <w:tcW w:w="5835" w:type="dxa"/>
            <w:tcBorders/>
            <w:vAlign w:val="center"/>
          </w:tcPr>
          <w:p>
            <w:pPr>
              <w:pStyle w:val="TableContents"/>
              <w:bidi w:val="0"/>
              <w:spacing w:before="0" w:after="283"/>
              <w:jc w:val="left"/>
              <w:rPr/>
            </w:pPr>
            <w:hyperlink r:id="rId41">
              <w:r>
                <w:rPr>
                  <w:rStyle w:val="InternetLink"/>
                  <w:color w:val="0000FF"/>
                  <w:sz w:val="20"/>
                </w:rPr>
                <w:t>License Agreement between BioAtla, Inc. and Context Therapeutics Inc., dated as of September 23, 2024</w:t>
              </w:r>
            </w:hyperlink>
          </w:p>
        </w:tc>
        <w:tc>
          <w:tcPr>
            <w:tcW w:w="342" w:type="dxa"/>
            <w:tcBorders/>
            <w:vAlign w:val="center"/>
          </w:tcPr>
          <w:p>
            <w:pPr>
              <w:pStyle w:val="TableContents"/>
              <w:bidi w:val="0"/>
              <w:spacing w:before="0" w:after="283"/>
              <w:jc w:val="center"/>
              <w:rPr>
                <w:sz w:val="20"/>
              </w:rPr>
            </w:pPr>
            <w:r>
              <w:rPr>
                <w:sz w:val="20"/>
              </w:rPr>
              <w:t>8-K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649" w:type="dxa"/>
            <w:tcBorders/>
            <w:vAlign w:val="center"/>
          </w:tcPr>
          <w:p>
            <w:pPr>
              <w:pStyle w:val="TableContents"/>
              <w:bidi w:val="0"/>
              <w:spacing w:before="0" w:after="283"/>
              <w:jc w:val="center"/>
              <w:rPr>
                <w:sz w:val="20"/>
              </w:rPr>
            </w:pPr>
            <w:r>
              <w:rPr>
                <w:sz w:val="20"/>
              </w:rPr>
              <w:t>09-23-2024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10.31*</w:t>
            </w:r>
          </w:p>
        </w:tc>
        <w:tc>
          <w:tcPr>
            <w:tcW w:w="5835" w:type="dxa"/>
            <w:tcBorders/>
            <w:vAlign w:val="center"/>
          </w:tcPr>
          <w:p>
            <w:pPr>
              <w:pStyle w:val="TableContents"/>
              <w:bidi w:val="0"/>
              <w:spacing w:before="0" w:after="283"/>
              <w:jc w:val="left"/>
              <w:rPr/>
            </w:pPr>
            <w:hyperlink r:id="rId42">
              <w:r>
                <w:rPr>
                  <w:rStyle w:val="InternetLink"/>
                  <w:color w:val="0000FF"/>
                  <w:sz w:val="20"/>
                </w:rPr>
                <w:t xml:space="preserve">Global Transaction Agreement between BioAtla, Inc. and Himalaya Therapeutics SEZC, dated as of September 23, 2024 </w:t>
              </w:r>
            </w:hyperlink>
          </w:p>
        </w:tc>
        <w:tc>
          <w:tcPr>
            <w:tcW w:w="342" w:type="dxa"/>
            <w:tcBorders/>
            <w:vAlign w:val="center"/>
          </w:tcPr>
          <w:p>
            <w:pPr>
              <w:pStyle w:val="TableContents"/>
              <w:bidi w:val="0"/>
              <w:spacing w:before="0" w:after="283"/>
              <w:jc w:val="center"/>
              <w:rPr>
                <w:sz w:val="20"/>
              </w:rPr>
            </w:pPr>
            <w:r>
              <w:rPr>
                <w:sz w:val="20"/>
              </w:rPr>
              <w:t>8-K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10.2</w:t>
            </w:r>
          </w:p>
        </w:tc>
        <w:tc>
          <w:tcPr>
            <w:tcW w:w="649" w:type="dxa"/>
            <w:tcBorders/>
            <w:vAlign w:val="center"/>
          </w:tcPr>
          <w:p>
            <w:pPr>
              <w:pStyle w:val="TableContents"/>
              <w:bidi w:val="0"/>
              <w:spacing w:before="0" w:after="283"/>
              <w:jc w:val="center"/>
              <w:rPr>
                <w:sz w:val="20"/>
              </w:rPr>
            </w:pPr>
            <w:r>
              <w:rPr>
                <w:sz w:val="20"/>
              </w:rPr>
              <w:t>09-23-2024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10.32</w:t>
            </w:r>
          </w:p>
        </w:tc>
        <w:tc>
          <w:tcPr>
            <w:tcW w:w="5835" w:type="dxa"/>
            <w:tcBorders/>
            <w:vAlign w:val="center"/>
          </w:tcPr>
          <w:p>
            <w:pPr>
              <w:pStyle w:val="TableContents"/>
              <w:bidi w:val="0"/>
              <w:spacing w:before="0" w:after="283"/>
              <w:jc w:val="left"/>
              <w:rPr/>
            </w:pPr>
            <w:hyperlink r:id="rId43">
              <w:r>
                <w:rPr>
                  <w:rStyle w:val="InternetLink"/>
                  <w:color w:val="0000FF"/>
                  <w:sz w:val="20"/>
                </w:rPr>
                <w:t>Form of Securities Purchase Agreement, dated as of December 19, 2024</w:t>
              </w:r>
            </w:hyperlink>
          </w:p>
        </w:tc>
        <w:tc>
          <w:tcPr>
            <w:tcW w:w="342" w:type="dxa"/>
            <w:tcBorders/>
            <w:vAlign w:val="center"/>
          </w:tcPr>
          <w:p>
            <w:pPr>
              <w:pStyle w:val="TableContents"/>
              <w:bidi w:val="0"/>
              <w:spacing w:before="0" w:after="283"/>
              <w:jc w:val="center"/>
              <w:rPr>
                <w:sz w:val="20"/>
              </w:rPr>
            </w:pPr>
            <w:r>
              <w:rPr>
                <w:sz w:val="20"/>
              </w:rPr>
              <w:t>8-K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649" w:type="dxa"/>
            <w:tcBorders/>
            <w:vAlign w:val="center"/>
          </w:tcPr>
          <w:p>
            <w:pPr>
              <w:pStyle w:val="TableContents"/>
              <w:bidi w:val="0"/>
              <w:spacing w:before="0" w:after="283"/>
              <w:jc w:val="center"/>
              <w:rPr>
                <w:sz w:val="20"/>
              </w:rPr>
            </w:pPr>
            <w:r>
              <w:rPr>
                <w:sz w:val="20"/>
              </w:rPr>
              <w:t>12-20-2024</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10.33*</w:t>
            </w:r>
          </w:p>
        </w:tc>
        <w:tc>
          <w:tcPr>
            <w:tcW w:w="5835" w:type="dxa"/>
            <w:tcBorders/>
            <w:vAlign w:val="center"/>
          </w:tcPr>
          <w:p>
            <w:pPr>
              <w:pStyle w:val="TableContents"/>
              <w:bidi w:val="0"/>
              <w:spacing w:before="0" w:after="283"/>
              <w:jc w:val="left"/>
              <w:rPr/>
            </w:pPr>
            <w:hyperlink r:id="rId44">
              <w:r>
                <w:rPr>
                  <w:rStyle w:val="InternetLink"/>
                  <w:color w:val="0000FF"/>
                  <w:sz w:val="20"/>
                </w:rPr>
                <w:t>Form of Pre-Paid Advance Agreement</w:t>
              </w:r>
            </w:hyperlink>
          </w:p>
        </w:tc>
        <w:tc>
          <w:tcPr>
            <w:tcW w:w="342" w:type="dxa"/>
            <w:tcBorders/>
            <w:vAlign w:val="center"/>
          </w:tcPr>
          <w:p>
            <w:pPr>
              <w:pStyle w:val="TableContents"/>
              <w:bidi w:val="0"/>
              <w:spacing w:before="0" w:after="283"/>
              <w:jc w:val="center"/>
              <w:rPr>
                <w:sz w:val="20"/>
              </w:rPr>
            </w:pPr>
            <w:r>
              <w:rPr>
                <w:sz w:val="20"/>
              </w:rPr>
              <w:t>8-K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10.1</w:t>
            </w:r>
          </w:p>
        </w:tc>
        <w:tc>
          <w:tcPr>
            <w:tcW w:w="649" w:type="dxa"/>
            <w:tcBorders/>
            <w:vAlign w:val="center"/>
          </w:tcPr>
          <w:p>
            <w:pPr>
              <w:pStyle w:val="TableContents"/>
              <w:bidi w:val="0"/>
              <w:spacing w:before="0" w:after="283"/>
              <w:jc w:val="center"/>
              <w:rPr>
                <w:sz w:val="20"/>
              </w:rPr>
            </w:pPr>
            <w:r>
              <w:rPr>
                <w:sz w:val="20"/>
              </w:rPr>
              <w:t>11-21-2025</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10.34*</w:t>
            </w:r>
          </w:p>
        </w:tc>
        <w:tc>
          <w:tcPr>
            <w:tcW w:w="5835" w:type="dxa"/>
            <w:tcBorders/>
            <w:vAlign w:val="center"/>
          </w:tcPr>
          <w:p>
            <w:pPr>
              <w:pStyle w:val="TableContents"/>
              <w:bidi w:val="0"/>
              <w:spacing w:before="0" w:after="283"/>
              <w:jc w:val="left"/>
              <w:rPr/>
            </w:pPr>
            <w:hyperlink r:id="rId45">
              <w:r>
                <w:rPr>
                  <w:rStyle w:val="InternetLink"/>
                  <w:color w:val="0000FF"/>
                  <w:sz w:val="20"/>
                </w:rPr>
                <w:t>Exclusive License Agreement with Inversagen LLC, dated March 15, 2019, as amended by First Amendment to Exclusive License Agreement, dated July 7, 2020</w:t>
              </w:r>
            </w:hyperlink>
          </w:p>
        </w:tc>
        <w:tc>
          <w:tcPr>
            <w:tcW w:w="342" w:type="dxa"/>
            <w:tcBorders/>
            <w:vAlign w:val="center"/>
          </w:tcPr>
          <w:p>
            <w:pPr>
              <w:pStyle w:val="TableContents"/>
              <w:bidi w:val="0"/>
              <w:spacing w:before="0" w:after="283"/>
              <w:jc w:val="center"/>
              <w:rPr>
                <w:sz w:val="20"/>
              </w:rPr>
            </w:pPr>
            <w:r>
              <w:rPr>
                <w:sz w:val="20"/>
              </w:rPr>
              <w:t>S-1</w:t>
            </w:r>
          </w:p>
        </w:tc>
        <w:tc>
          <w:tcPr>
            <w:tcW w:w="795" w:type="dxa"/>
            <w:tcBorders/>
            <w:vAlign w:val="center"/>
          </w:tcPr>
          <w:p>
            <w:pPr>
              <w:pStyle w:val="TableContents"/>
              <w:bidi w:val="0"/>
              <w:spacing w:before="0" w:after="283"/>
              <w:jc w:val="center"/>
              <w:rPr>
                <w:sz w:val="20"/>
              </w:rPr>
            </w:pPr>
            <w:r>
              <w:rPr>
                <w:sz w:val="20"/>
              </w:rPr>
              <w:t>333-250093</w:t>
            </w:r>
          </w:p>
        </w:tc>
        <w:tc>
          <w:tcPr>
            <w:tcW w:w="485" w:type="dxa"/>
            <w:tcBorders/>
            <w:vAlign w:val="center"/>
          </w:tcPr>
          <w:p>
            <w:pPr>
              <w:pStyle w:val="TableContents"/>
              <w:bidi w:val="0"/>
              <w:spacing w:before="0" w:after="283"/>
              <w:jc w:val="center"/>
              <w:rPr>
                <w:sz w:val="20"/>
              </w:rPr>
            </w:pPr>
            <w:r>
              <w:rPr>
                <w:sz w:val="20"/>
              </w:rPr>
              <w:t>10.5</w:t>
            </w:r>
          </w:p>
        </w:tc>
        <w:tc>
          <w:tcPr>
            <w:tcW w:w="649" w:type="dxa"/>
            <w:tcBorders/>
            <w:vAlign w:val="center"/>
          </w:tcPr>
          <w:p>
            <w:pPr>
              <w:pStyle w:val="TableContents"/>
              <w:bidi w:val="0"/>
              <w:spacing w:before="0" w:after="283"/>
              <w:jc w:val="center"/>
              <w:rPr>
                <w:sz w:val="20"/>
              </w:rPr>
            </w:pPr>
            <w:r>
              <w:rPr>
                <w:sz w:val="20"/>
              </w:rPr>
              <w:t>11-13-2020</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10.35*</w:t>
            </w:r>
          </w:p>
        </w:tc>
        <w:tc>
          <w:tcPr>
            <w:tcW w:w="5835" w:type="dxa"/>
            <w:tcBorders/>
            <w:vAlign w:val="center"/>
          </w:tcPr>
          <w:p>
            <w:pPr>
              <w:pStyle w:val="TableContents"/>
              <w:bidi w:val="0"/>
              <w:spacing w:before="0" w:after="283"/>
              <w:jc w:val="left"/>
              <w:rPr/>
            </w:pPr>
            <w:hyperlink r:id="rId46">
              <w:r>
                <w:rPr>
                  <w:rStyle w:val="InternetLink"/>
                  <w:color w:val="0000FF"/>
                  <w:sz w:val="20"/>
                </w:rPr>
                <w:t>Investment Agreement, dated as of December 30, 2025, by and among BioAtla, Inc., Inversagen AI, LLC and Alliance International Resources Corp.</w:t>
              </w:r>
            </w:hyperlink>
          </w:p>
        </w:tc>
        <w:tc>
          <w:tcPr>
            <w:tcW w:w="342" w:type="dxa"/>
            <w:tcBorders/>
            <w:vAlign w:val="center"/>
          </w:tcPr>
          <w:p>
            <w:pPr>
              <w:pStyle w:val="TableContents"/>
              <w:bidi w:val="0"/>
              <w:spacing w:before="0" w:after="283"/>
              <w:jc w:val="center"/>
              <w:rPr>
                <w:sz w:val="20"/>
              </w:rPr>
            </w:pPr>
            <w:r>
              <w:rPr>
                <w:sz w:val="20"/>
              </w:rPr>
              <w:t>10-K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10.35</w:t>
            </w:r>
          </w:p>
        </w:tc>
        <w:tc>
          <w:tcPr>
            <w:tcW w:w="649" w:type="dxa"/>
            <w:tcBorders/>
            <w:vAlign w:val="center"/>
          </w:tcPr>
          <w:p>
            <w:pPr>
              <w:pStyle w:val="TableContents"/>
              <w:bidi w:val="0"/>
              <w:spacing w:before="0" w:after="283"/>
              <w:jc w:val="center"/>
              <w:rPr>
                <w:sz w:val="20"/>
              </w:rPr>
            </w:pPr>
            <w:r>
              <w:rPr>
                <w:sz w:val="20"/>
              </w:rPr>
              <w:t>03-31-2026</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10.36+*</w:t>
            </w:r>
          </w:p>
        </w:tc>
        <w:tc>
          <w:tcPr>
            <w:tcW w:w="5835" w:type="dxa"/>
            <w:tcBorders/>
            <w:vAlign w:val="center"/>
          </w:tcPr>
          <w:p>
            <w:pPr>
              <w:pStyle w:val="TableContents"/>
              <w:bidi w:val="0"/>
              <w:spacing w:before="0" w:after="283"/>
              <w:jc w:val="left"/>
              <w:rPr/>
            </w:pPr>
            <w:hyperlink r:id="rId47">
              <w:r>
                <w:rPr>
                  <w:rStyle w:val="InternetLink"/>
                  <w:color w:val="0000FF"/>
                  <w:sz w:val="20"/>
                </w:rPr>
                <w:t>Form of Retention Bonus Agreement between BioAtla, Inc. and certain executive officers</w:t>
              </w:r>
            </w:hyperlink>
          </w:p>
        </w:tc>
        <w:tc>
          <w:tcPr>
            <w:tcW w:w="342" w:type="dxa"/>
            <w:tcBorders/>
            <w:vAlign w:val="center"/>
          </w:tcPr>
          <w:p>
            <w:pPr>
              <w:pStyle w:val="TableContents"/>
              <w:bidi w:val="0"/>
              <w:spacing w:before="0" w:after="283"/>
              <w:jc w:val="center"/>
              <w:rPr>
                <w:sz w:val="20"/>
              </w:rPr>
            </w:pPr>
            <w:r>
              <w:rPr>
                <w:sz w:val="20"/>
              </w:rPr>
              <w:t>10-K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10.36</w:t>
            </w:r>
          </w:p>
        </w:tc>
        <w:tc>
          <w:tcPr>
            <w:tcW w:w="649" w:type="dxa"/>
            <w:tcBorders/>
            <w:vAlign w:val="center"/>
          </w:tcPr>
          <w:p>
            <w:pPr>
              <w:pStyle w:val="TableContents"/>
              <w:bidi w:val="0"/>
              <w:spacing w:before="0" w:after="283"/>
              <w:jc w:val="center"/>
              <w:rPr>
                <w:sz w:val="20"/>
              </w:rPr>
            </w:pPr>
            <w:r>
              <w:rPr>
                <w:sz w:val="20"/>
              </w:rPr>
              <w:t>03-31-2026</w:t>
            </w:r>
          </w:p>
        </w:tc>
        <w:tc>
          <w:tcPr>
            <w:tcW w:w="78" w:type="dxa"/>
            <w:tcBorders/>
            <w:vAlign w:val="center"/>
          </w:tcPr>
          <w:p>
            <w:pPr>
              <w:pStyle w:val="TableContents"/>
              <w:bidi w:val="0"/>
              <w:spacing w:before="0" w:after="283"/>
              <w:jc w:val="center"/>
              <w:rPr/>
            </w:pPr>
            <w:r>
              <w:rPr/>
              <w:t> </w:t>
            </w:r>
          </w:p>
        </w:tc>
      </w:tr>
      <w:tr>
        <w:trPr/>
        <w:tc>
          <w:tcPr>
            <w:tcW w:w="581" w:type="dxa"/>
            <w:tcBorders/>
            <w:vAlign w:val="center"/>
          </w:tcPr>
          <w:p>
            <w:pPr>
              <w:pStyle w:val="TableContents"/>
              <w:bidi w:val="0"/>
              <w:spacing w:before="0" w:after="283"/>
              <w:jc w:val="center"/>
              <w:rPr>
                <w:sz w:val="20"/>
              </w:rPr>
            </w:pPr>
            <w:r>
              <w:rPr>
                <w:sz w:val="20"/>
              </w:rPr>
              <w:t>10.37+*</w:t>
            </w:r>
          </w:p>
        </w:tc>
        <w:tc>
          <w:tcPr>
            <w:tcW w:w="5835" w:type="dxa"/>
            <w:tcBorders/>
            <w:vAlign w:val="center"/>
          </w:tcPr>
          <w:p>
            <w:pPr>
              <w:pStyle w:val="TableContents"/>
              <w:bidi w:val="0"/>
              <w:spacing w:before="0" w:after="283"/>
              <w:jc w:val="left"/>
              <w:rPr/>
            </w:pPr>
            <w:hyperlink r:id="rId48">
              <w:r>
                <w:rPr>
                  <w:rStyle w:val="InternetLink"/>
                  <w:color w:val="0000FF"/>
                  <w:sz w:val="20"/>
                </w:rPr>
                <w:t>Retention Bonus Agreement between BioAtla, Inc. and Jay Short, effective March 20, 2026</w:t>
              </w:r>
            </w:hyperlink>
          </w:p>
        </w:tc>
        <w:tc>
          <w:tcPr>
            <w:tcW w:w="342" w:type="dxa"/>
            <w:tcBorders/>
            <w:vAlign w:val="center"/>
          </w:tcPr>
          <w:p>
            <w:pPr>
              <w:pStyle w:val="TableContents"/>
              <w:bidi w:val="0"/>
              <w:spacing w:before="0" w:after="283"/>
              <w:jc w:val="center"/>
              <w:rPr>
                <w:sz w:val="20"/>
              </w:rPr>
            </w:pPr>
            <w:r>
              <w:rPr>
                <w:sz w:val="20"/>
              </w:rPr>
              <w:t>10-K</w:t>
            </w:r>
          </w:p>
        </w:tc>
        <w:tc>
          <w:tcPr>
            <w:tcW w:w="795" w:type="dxa"/>
            <w:tcBorders/>
            <w:vAlign w:val="center"/>
          </w:tcPr>
          <w:p>
            <w:pPr>
              <w:pStyle w:val="TableContents"/>
              <w:bidi w:val="0"/>
              <w:spacing w:before="0" w:after="283"/>
              <w:jc w:val="center"/>
              <w:rPr>
                <w:sz w:val="20"/>
              </w:rPr>
            </w:pPr>
            <w:r>
              <w:rPr>
                <w:sz w:val="20"/>
              </w:rPr>
              <w:t>001-39787</w:t>
            </w:r>
          </w:p>
        </w:tc>
        <w:tc>
          <w:tcPr>
            <w:tcW w:w="485" w:type="dxa"/>
            <w:tcBorders/>
            <w:vAlign w:val="center"/>
          </w:tcPr>
          <w:p>
            <w:pPr>
              <w:pStyle w:val="TableContents"/>
              <w:bidi w:val="0"/>
              <w:spacing w:before="0" w:after="283"/>
              <w:jc w:val="center"/>
              <w:rPr>
                <w:sz w:val="20"/>
              </w:rPr>
            </w:pPr>
            <w:r>
              <w:rPr>
                <w:sz w:val="20"/>
              </w:rPr>
              <w:t>10.37</w:t>
            </w:r>
          </w:p>
        </w:tc>
        <w:tc>
          <w:tcPr>
            <w:tcW w:w="649" w:type="dxa"/>
            <w:tcBorders/>
            <w:vAlign w:val="center"/>
          </w:tcPr>
          <w:p>
            <w:pPr>
              <w:pStyle w:val="TableContents"/>
              <w:bidi w:val="0"/>
              <w:spacing w:before="0" w:after="283"/>
              <w:jc w:val="center"/>
              <w:rPr>
                <w:sz w:val="20"/>
              </w:rPr>
            </w:pPr>
            <w:r>
              <w:rPr>
                <w:sz w:val="20"/>
              </w:rPr>
              <w:t>03-31-2026</w:t>
            </w:r>
          </w:p>
        </w:tc>
        <w:tc>
          <w:tcPr>
            <w:tcW w:w="78" w:type="dxa"/>
            <w:tcBorders/>
            <w:vAlign w:val="center"/>
          </w:tcPr>
          <w:p>
            <w:pPr>
              <w:pStyle w:val="TableContents"/>
              <w:bidi w:val="0"/>
              <w:spacing w:before="0" w:after="283"/>
              <w:jc w:val="center"/>
              <w:rPr/>
            </w:pPr>
            <w:r>
              <w:rPr/>
              <w:t> </w:t>
            </w:r>
          </w:p>
        </w:tc>
      </w:tr>
    </w:tbl>
    <w:p>
      <w:pPr>
        <w:pStyle w:val="TextBody"/>
        <w:bidi w:val="0"/>
        <w:spacing w:before="720" w:after="720"/>
        <w:ind w:left="720" w:right="720" w:hanging="0"/>
        <w:jc w:val="left"/>
        <w:rPr/>
      </w:pPr>
      <w:r>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720" w:right="720" w:hanging="0"/>
        <w:jc w:val="left"/>
        <w:rPr/>
      </w:pPr>
      <w:r>
        <w:rPr/>
        <w:t> </w:t>
      </w:r>
    </w:p>
    <w:p>
      <w:pPr>
        <w:pStyle w:val="TextBody"/>
        <w:bidi w:val="0"/>
        <w:spacing w:before="720" w:after="720"/>
        <w:ind w:left="720" w:right="720" w:hanging="0"/>
        <w:jc w:val="left"/>
        <w:rPr/>
      </w:pPr>
      <w:r>
        <w:rPr/>
        <w:t> </w:t>
      </w:r>
    </w:p>
    <w:tbl>
      <w:tblPr>
        <w:tblW w:w="8765" w:type="dxa"/>
        <w:jc w:val="left"/>
        <w:tblInd w:w="720" w:type="dxa"/>
        <w:tblLayout w:type="fixed"/>
        <w:tblCellMar>
          <w:top w:w="0" w:type="dxa"/>
          <w:left w:w="0" w:type="dxa"/>
          <w:bottom w:w="0" w:type="dxa"/>
          <w:right w:w="0" w:type="dxa"/>
        </w:tblCellMar>
      </w:tblPr>
      <w:tblGrid>
        <w:gridCol w:w="500"/>
        <w:gridCol w:w="7855"/>
        <w:gridCol w:w="60"/>
        <w:gridCol w:w="60"/>
        <w:gridCol w:w="60"/>
        <w:gridCol w:w="60"/>
        <w:gridCol w:w="170"/>
      </w:tblGrid>
      <w:tr>
        <w:trPr/>
        <w:tc>
          <w:tcPr>
            <w:tcW w:w="500" w:type="dxa"/>
            <w:tcBorders/>
            <w:vAlign w:val="center"/>
          </w:tcPr>
          <w:p>
            <w:pPr>
              <w:pStyle w:val="TableContents"/>
              <w:bidi w:val="0"/>
              <w:spacing w:before="0" w:after="283"/>
              <w:jc w:val="center"/>
              <w:rPr>
                <w:sz w:val="20"/>
              </w:rPr>
            </w:pPr>
            <w:r>
              <w:rPr>
                <w:sz w:val="20"/>
              </w:rPr>
              <w:t>10.38</w:t>
            </w:r>
          </w:p>
        </w:tc>
        <w:tc>
          <w:tcPr>
            <w:tcW w:w="7855" w:type="dxa"/>
            <w:tcBorders/>
            <w:vAlign w:val="center"/>
          </w:tcPr>
          <w:p>
            <w:pPr>
              <w:pStyle w:val="TableContents"/>
              <w:bidi w:val="0"/>
              <w:spacing w:before="0" w:after="283"/>
              <w:jc w:val="left"/>
              <w:rPr/>
            </w:pPr>
            <w:hyperlink w:anchor="n5620x9_ex10-38.htm">
              <w:r>
                <w:rPr>
                  <w:rStyle w:val="InternetLink"/>
                  <w:sz w:val="20"/>
                </w:rPr>
                <w:t>Standby Equity Purchase Agreement, dated as of October 15, 2026, between BioAtla, Inc. and YA II PN, Ltd.</w:t>
              </w:r>
            </w:hyperlink>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sz w:val="20"/>
              </w:rPr>
            </w:pPr>
            <w:r>
              <w:rPr>
                <w:sz w:val="20"/>
              </w:rPr>
              <w:t>X</w:t>
            </w:r>
          </w:p>
        </w:tc>
      </w:tr>
      <w:tr>
        <w:trPr/>
        <w:tc>
          <w:tcPr>
            <w:tcW w:w="500" w:type="dxa"/>
            <w:tcBorders/>
            <w:vAlign w:val="center"/>
          </w:tcPr>
          <w:p>
            <w:pPr>
              <w:pStyle w:val="TableContents"/>
              <w:bidi w:val="0"/>
              <w:spacing w:before="0" w:after="283"/>
              <w:jc w:val="center"/>
              <w:rPr>
                <w:sz w:val="20"/>
              </w:rPr>
            </w:pPr>
            <w:r>
              <w:rPr>
                <w:sz w:val="20"/>
              </w:rPr>
              <w:t>23.1</w:t>
            </w:r>
          </w:p>
        </w:tc>
        <w:tc>
          <w:tcPr>
            <w:tcW w:w="7855" w:type="dxa"/>
            <w:tcBorders/>
            <w:vAlign w:val="center"/>
          </w:tcPr>
          <w:p>
            <w:pPr>
              <w:pStyle w:val="TableContents"/>
              <w:bidi w:val="0"/>
              <w:spacing w:before="0" w:after="283"/>
              <w:jc w:val="left"/>
              <w:rPr/>
            </w:pPr>
            <w:hyperlink w:anchor="n5620x9_ex5-1.htm">
              <w:r>
                <w:rPr>
                  <w:rStyle w:val="InternetLink"/>
                  <w:sz w:val="20"/>
                </w:rPr>
                <w:t>Consent of Orrick, Herrington &amp; Sutcliffe LLP (included in Exhibit 5.1)</w:t>
              </w:r>
            </w:hyperlink>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sz w:val="20"/>
              </w:rPr>
            </w:pPr>
            <w:r>
              <w:rPr>
                <w:sz w:val="20"/>
              </w:rPr>
              <w:t>X</w:t>
            </w:r>
          </w:p>
        </w:tc>
      </w:tr>
      <w:tr>
        <w:trPr/>
        <w:tc>
          <w:tcPr>
            <w:tcW w:w="500" w:type="dxa"/>
            <w:tcBorders/>
            <w:vAlign w:val="center"/>
          </w:tcPr>
          <w:p>
            <w:pPr>
              <w:pStyle w:val="TableContents"/>
              <w:bidi w:val="0"/>
              <w:spacing w:before="0" w:after="283"/>
              <w:jc w:val="center"/>
              <w:rPr>
                <w:sz w:val="20"/>
              </w:rPr>
            </w:pPr>
            <w:r>
              <w:rPr>
                <w:sz w:val="20"/>
              </w:rPr>
              <w:t>23.2</w:t>
            </w:r>
          </w:p>
        </w:tc>
        <w:tc>
          <w:tcPr>
            <w:tcW w:w="7855" w:type="dxa"/>
            <w:tcBorders/>
            <w:vAlign w:val="center"/>
          </w:tcPr>
          <w:p>
            <w:pPr>
              <w:pStyle w:val="TableContents"/>
              <w:bidi w:val="0"/>
              <w:spacing w:before="0" w:after="283"/>
              <w:jc w:val="left"/>
              <w:rPr/>
            </w:pPr>
            <w:hyperlink w:anchor="n5620x9_ex23-2.htm">
              <w:r>
                <w:rPr>
                  <w:rStyle w:val="InternetLink"/>
                  <w:sz w:val="20"/>
                </w:rPr>
                <w:t>Consent of Independent Registered Public Accounting Firm</w:t>
              </w:r>
            </w:hyperlink>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sz w:val="20"/>
              </w:rPr>
            </w:pPr>
            <w:r>
              <w:rPr>
                <w:sz w:val="20"/>
              </w:rPr>
              <w:t>X</w:t>
            </w:r>
          </w:p>
        </w:tc>
      </w:tr>
      <w:tr>
        <w:trPr/>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24.1</w:t>
            </w:r>
          </w:p>
        </w:tc>
        <w:tc>
          <w:tcPr>
            <w:tcW w:w="7855" w:type="dxa"/>
            <w:tcBorders/>
            <w:vAlign w:val="center"/>
          </w:tcPr>
          <w:p>
            <w:pPr>
              <w:pStyle w:val="TableContents"/>
              <w:bidi w:val="0"/>
              <w:spacing w:before="0" w:after="283"/>
              <w:jc w:val="left"/>
              <w:rPr/>
            </w:pPr>
            <w:hyperlink w:anchor="poa">
              <w:r>
                <w:rPr>
                  <w:rStyle w:val="InternetLink"/>
                  <w:rFonts w:ascii="Times New Roman;Times;Serif" w:hAnsi="Times New Roman;Times;Serif"/>
                  <w:color w:val="0000FF"/>
                  <w:sz w:val="20"/>
                </w:rPr>
                <w:t>Power of Attorney (included on the signature page to this registration statement)</w:t>
              </w:r>
            </w:hyperlink>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500" w:type="dxa"/>
            <w:tcBorders/>
            <w:vAlign w:val="center"/>
          </w:tcPr>
          <w:p>
            <w:pPr>
              <w:pStyle w:val="TableContents"/>
              <w:bidi w:val="0"/>
              <w:spacing w:before="0" w:after="283"/>
              <w:jc w:val="center"/>
              <w:rPr>
                <w:sz w:val="20"/>
              </w:rPr>
            </w:pPr>
            <w:r>
              <w:rPr>
                <w:sz w:val="20"/>
              </w:rPr>
              <w:t>107</w:t>
            </w:r>
          </w:p>
        </w:tc>
        <w:tc>
          <w:tcPr>
            <w:tcW w:w="7855" w:type="dxa"/>
            <w:tcBorders/>
            <w:vAlign w:val="center"/>
          </w:tcPr>
          <w:p>
            <w:pPr>
              <w:pStyle w:val="TableContents"/>
              <w:bidi w:val="0"/>
              <w:spacing w:before="0" w:after="283"/>
              <w:jc w:val="left"/>
              <w:rPr/>
            </w:pPr>
            <w:hyperlink w:anchor="n5620x9_ex107.htm">
              <w:r>
                <w:rPr>
                  <w:rStyle w:val="InternetLink"/>
                  <w:sz w:val="20"/>
                </w:rPr>
                <w:t>Filing Fee Table</w:t>
              </w:r>
            </w:hyperlink>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sz w:val="20"/>
              </w:rPr>
            </w:pPr>
            <w:r>
              <w:rPr>
                <w:sz w:val="20"/>
              </w:rPr>
              <w:t>X</w:t>
            </w:r>
          </w:p>
        </w:tc>
      </w:tr>
    </w:tbl>
    <w:p>
      <w:pPr>
        <w:pStyle w:val="TextBody"/>
        <w:bidi w:val="0"/>
        <w:spacing w:before="720" w:after="720"/>
        <w:ind w:left="720" w:right="72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omitted or redacted in accordance with Item 601(a)(5) or Item 601(b)(10)(iv) of Regulation S-K.</w:t>
      </w:r>
    </w:p>
    <w:p>
      <w:pPr>
        <w:pStyle w:val="TextBody"/>
        <w:bidi w:val="0"/>
        <w:spacing w:before="0" w:after="0"/>
        <w:ind w:left="720" w:right="720" w:hanging="0"/>
        <w:jc w:val="left"/>
        <w:rPr>
          <w:caps w:val="false"/>
          <w:smallCaps w:val="false"/>
        </w:rPr>
      </w:pPr>
      <w:r>
        <w:rPr>
          <w:caps w:val="false"/>
          <w:smallCaps w:val="false"/>
        </w:rPr>
        <w:t> </w:t>
      </w:r>
    </w:p>
    <w:tbl>
      <w:tblPr>
        <w:tblW w:w="2253" w:type="dxa"/>
        <w:jc w:val="left"/>
        <w:tblInd w:w="720" w:type="dxa"/>
        <w:tblLayout w:type="fixed"/>
        <w:tblCellMar>
          <w:top w:w="0" w:type="dxa"/>
          <w:left w:w="0" w:type="dxa"/>
          <w:bottom w:w="0" w:type="dxa"/>
          <w:right w:w="0" w:type="dxa"/>
        </w:tblCellMar>
      </w:tblPr>
      <w:tblGrid>
        <w:gridCol w:w="38"/>
        <w:gridCol w:w="84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Item 17.</w:t>
            </w:r>
          </w:p>
        </w:tc>
        <w:tc>
          <w:tcPr>
            <w:tcW w:w="1370" w:type="dxa"/>
            <w:tcBorders/>
            <w:vAlign w:val="center"/>
          </w:tcPr>
          <w:p>
            <w:pPr>
              <w:pStyle w:val="TableContents"/>
              <w:bidi w:val="0"/>
              <w:spacing w:before="0" w:after="283"/>
              <w:jc w:val="left"/>
              <w:rPr>
                <w:b/>
                <w:i/>
              </w:rPr>
            </w:pPr>
            <w:r>
              <w:rPr>
                <w:b/>
                <w:i/>
              </w:rPr>
              <w:t>Undertakings</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undersigned Registrant hereby undertakes:</w:t>
      </w:r>
    </w:p>
    <w:p>
      <w:pPr>
        <w:pStyle w:val="TextBody"/>
        <w:bidi w:val="0"/>
        <w:spacing w:before="0" w:after="0"/>
        <w:ind w:left="720" w:right="720" w:hanging="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 To file, during any period in which offers or sales are being made, a post-effective amendment to this registration statement:</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 To include any prospectus required by Section 10(a)(3) of the Securities Act of 1933;</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caps w:val="false"/>
          <w:smallCaps w:val="false"/>
          <w:color w:val="231F20"/>
          <w:sz w:val="20"/>
        </w:rPr>
        <w:t>provided</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caps w:val="false"/>
          <w:smallCaps w:val="false"/>
          <w:color w:val="231F20"/>
          <w:sz w:val="20"/>
        </w:rPr>
        <w:t>however</w:t>
      </w:r>
      <w:r>
        <w:rPr>
          <w:rFonts w:ascii="Times New Roman;Times;Serif" w:hAnsi="Times New Roman;Times;Serif"/>
          <w:b w:val="false"/>
          <w:i w:val="false"/>
          <w:caps w:val="false"/>
          <w:smallCaps w:val="false"/>
          <w:color w:val="231F20"/>
          <w:sz w:val="20"/>
        </w:rPr>
        <w:t>, that 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 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 To remove from registration by means of a post-effective amendment any of the securities being registered which remain unsold at the termination of the offering.</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 Any preliminary prospectus or prospectus of the undersigned Registrant relating to the offering required to be filed pursuant to Rule 424;</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(ii) Any free writing prospectus relating to the offering prepared by or on behalf of the undersigned Registrant or used or referred to by the undersigned Registrant;</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720" w:right="720" w:hanging="0"/>
        <w:jc w:val="left"/>
        <w:rPr/>
      </w:pPr>
      <w:r>
        <w:rPr/>
        <w:t> </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(iv) Any other communication that is an offer in the offering made by the undersigned Registrant to the purchaser.</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 That, for purposes of determining any liability under the Securities Act:</w:t>
      </w:r>
    </w:p>
    <w:p>
      <w:pPr>
        <w:pStyle w:val="TextBody"/>
        <w:bidi w:val="0"/>
        <w:spacing w:before="0" w:after="0"/>
        <w:ind w:left="720" w:right="720" w:firstLine="400"/>
        <w:jc w:val="both"/>
        <w:rPr>
          <w:caps w:val="false"/>
          <w:smallCaps w:val="false"/>
          <w:color w:val="231F20"/>
        </w:rPr>
      </w:pPr>
      <w:r>
        <w:rPr>
          <w:caps w:val="false"/>
          <w:smallCaps w:val="false"/>
          <w:color w:val="231F20"/>
        </w:rPr>
        <w:t> </w:t>
      </w:r>
    </w:p>
    <w:tbl>
      <w:tblPr>
        <w:tblW w:w="8765" w:type="dxa"/>
        <w:jc w:val="left"/>
        <w:tblInd w:w="720" w:type="dxa"/>
        <w:tblLayout w:type="fixed"/>
        <w:tblCellMar>
          <w:top w:w="0" w:type="dxa"/>
          <w:left w:w="0" w:type="dxa"/>
          <w:bottom w:w="0" w:type="dxa"/>
          <w:right w:w="0" w:type="dxa"/>
        </w:tblCellMar>
      </w:tblPr>
      <w:tblGrid>
        <w:gridCol w:w="38"/>
        <w:gridCol w:w="172"/>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color w:val="231F20"/>
              </w:rPr>
            </w:pPr>
            <w:r>
              <w:rPr>
                <w:color w:val="231F20"/>
              </w:rPr>
              <w:t>(i)</w:t>
            </w:r>
          </w:p>
        </w:tc>
        <w:tc>
          <w:tcPr>
            <w:tcW w:w="8555" w:type="dxa"/>
            <w:tcBorders/>
            <w:vAlign w:val="center"/>
          </w:tcPr>
          <w:p>
            <w:pPr>
              <w:pStyle w:val="TableContents"/>
              <w:bidi w:val="0"/>
              <w:spacing w:before="0" w:after="283"/>
              <w:jc w:val="both"/>
              <w:rPr/>
            </w:pPr>
            <w:r>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238"/>
        <w:gridCol w:w="848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color w:val="231F20"/>
              </w:rPr>
            </w:pPr>
            <w:r>
              <w:rPr>
                <w:color w:val="231F20"/>
              </w:rPr>
              <w:t>(ii)</w:t>
            </w:r>
          </w:p>
        </w:tc>
        <w:tc>
          <w:tcPr>
            <w:tcW w:w="8489" w:type="dxa"/>
            <w:tcBorders/>
            <w:vAlign w:val="center"/>
          </w:tcPr>
          <w:p>
            <w:pPr>
              <w:pStyle w:val="TableContents"/>
              <w:bidi w:val="0"/>
              <w:spacing w:before="0" w:after="283"/>
              <w:jc w:val="both"/>
              <w:rPr/>
            </w:pPr>
            <w:r>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720" w:right="720" w:hanging="0"/>
        <w:jc w:val="left"/>
        <w:rPr>
          <w:caps w:val="false"/>
          <w:smallCaps w:val="false"/>
        </w:rPr>
      </w:pPr>
      <w:r>
        <w:rPr>
          <w:caps w:val="false"/>
          <w:smallCaps w:val="false"/>
        </w:rPr>
        <w:t> </w:t>
      </w:r>
    </w:p>
    <w:tbl>
      <w:tblPr>
        <w:tblW w:w="8765" w:type="dxa"/>
        <w:jc w:val="left"/>
        <w:tblInd w:w="720" w:type="dxa"/>
        <w:tblLayout w:type="fixed"/>
        <w:tblCellMar>
          <w:top w:w="0" w:type="dxa"/>
          <w:left w:w="0" w:type="dxa"/>
          <w:bottom w:w="0" w:type="dxa"/>
          <w:right w:w="0" w:type="dxa"/>
        </w:tblCellMar>
      </w:tblPr>
      <w:tblGrid>
        <w:gridCol w:w="38"/>
        <w:gridCol w:w="224"/>
        <w:gridCol w:w="850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231F20"/>
              </w:rPr>
            </w:pPr>
            <w:r>
              <w:rPr>
                <w:color w:val="231F20"/>
              </w:rPr>
              <w:t>(6)</w:t>
            </w:r>
          </w:p>
        </w:tc>
        <w:tc>
          <w:tcPr>
            <w:tcW w:w="8503"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720" w:right="720" w:firstLine="400"/>
        <w:jc w:val="both"/>
        <w:rPr>
          <w:caps w:val="false"/>
          <w:smallCaps w:val="false"/>
          <w:color w:val="231F20"/>
        </w:rPr>
      </w:pPr>
      <w:r>
        <w:rPr>
          <w:caps w:val="false"/>
          <w:smallCaps w:val="false"/>
          <w:color w:val="231F20"/>
        </w:rPr>
        <w:t> </w:t>
      </w:r>
    </w:p>
    <w:p>
      <w:pPr>
        <w:pStyle w:val="TextBody"/>
        <w:bidi w:val="0"/>
        <w:spacing w:before="0" w:after="0"/>
        <w:ind w:left="840" w:right="84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II-5</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val="false"/>
          <w:smallCaps w:val="false"/>
          <w:color w:val="231F20"/>
        </w:rPr>
      </w:pPr>
      <w:r>
        <w:rPr>
          <w:caps w:val="false"/>
          <w:smallCaps w:val="false"/>
          <w:color w:val="231F20"/>
        </w:rPr>
        <w:t> </w:t>
      </w:r>
    </w:p>
    <w:p>
      <w:pPr>
        <w:pStyle w:val="TextBody"/>
        <w:bidi w:val="0"/>
        <w:spacing w:before="0" w:after="0"/>
        <w:ind w:left="720" w:right="72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SIGNATURES</w:t>
      </w:r>
    </w:p>
    <w:p>
      <w:pPr>
        <w:pStyle w:val="TextBody"/>
        <w:bidi w:val="0"/>
        <w:spacing w:before="0" w:after="0"/>
        <w:ind w:left="720" w:right="720" w:hanging="0"/>
        <w:jc w:val="center"/>
        <w:rPr>
          <w:caps w:val="false"/>
          <w:smallCaps w:val="false"/>
          <w:color w:val="231F20"/>
        </w:rPr>
      </w:pPr>
      <w:r>
        <w:rPr>
          <w:caps w:val="false"/>
          <w:smallCaps w:val="false"/>
          <w:color w:val="231F20"/>
        </w:rPr>
        <w:t> </w:t>
      </w:r>
    </w:p>
    <w:p>
      <w:pPr>
        <w:pStyle w:val="TextBody"/>
        <w:bidi w:val="0"/>
        <w:spacing w:before="0" w:after="0"/>
        <w:ind w:left="720" w:right="720" w:firstLine="40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requirements of the Securities Act of 1933, the registrant has duly caused this registration statement to be signed on its behalf by the undersigned, thereunto duly authorized, in the City of San Diego, State of California, on October 19, 2026.</w:t>
      </w:r>
    </w:p>
    <w:p>
      <w:pPr>
        <w:pStyle w:val="TextBody"/>
        <w:bidi w:val="0"/>
        <w:spacing w:before="0" w:after="0"/>
        <w:ind w:left="720" w:right="720" w:firstLine="400"/>
        <w:jc w:val="left"/>
        <w:rPr>
          <w:caps w:val="false"/>
          <w:smallCaps w:val="false"/>
          <w:color w:val="231F20"/>
        </w:rPr>
      </w:pPr>
      <w:r>
        <w:rPr>
          <w:caps w:val="false"/>
          <w:smallCaps w:val="false"/>
          <w:color w:val="231F20"/>
        </w:rPr>
        <w:t> </w:t>
      </w:r>
    </w:p>
    <w:tbl>
      <w:tblPr>
        <w:tblW w:w="3685" w:type="dxa"/>
        <w:jc w:val="left"/>
        <w:tblInd w:w="720" w:type="dxa"/>
        <w:tblLayout w:type="fixed"/>
        <w:tblCellMar>
          <w:top w:w="0" w:type="dxa"/>
          <w:left w:w="0" w:type="dxa"/>
          <w:bottom w:w="0" w:type="dxa"/>
          <w:right w:w="0" w:type="dxa"/>
        </w:tblCellMar>
      </w:tblPr>
      <w:tblGrid>
        <w:gridCol w:w="75"/>
        <w:gridCol w:w="545"/>
        <w:gridCol w:w="3065"/>
      </w:tblGrid>
      <w:tr>
        <w:trPr/>
        <w:tc>
          <w:tcPr>
            <w:tcW w:w="7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b/>
                <w:sz w:val="20"/>
              </w:rPr>
            </w:pPr>
            <w:r>
              <w:rPr>
                <w:b/>
                <w:sz w:val="20"/>
              </w:rPr>
              <w:t>BIOATLA, INC.</w:t>
            </w:r>
          </w:p>
        </w:tc>
      </w:tr>
      <w:tr>
        <w:trPr/>
        <w:tc>
          <w:tcPr>
            <w:tcW w:w="7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Jay M. Short, Ph.D.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65" w:type="dxa"/>
            <w:tcBorders/>
            <w:vAlign w:val="center"/>
          </w:tcPr>
          <w:p>
            <w:pPr>
              <w:pStyle w:val="TableContents"/>
              <w:bidi w:val="0"/>
              <w:spacing w:before="0" w:after="283"/>
              <w:jc w:val="left"/>
              <w:rPr/>
            </w:pPr>
            <w:r>
              <w:rPr/>
              <w:t> </w:t>
            </w:r>
            <w:r>
              <w:rPr>
                <w:sz w:val="20"/>
              </w:rPr>
              <w:t>Jay M. Short, Ph.D.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65" w:type="dxa"/>
            <w:tcBorders/>
            <w:vAlign w:val="center"/>
          </w:tcPr>
          <w:p>
            <w:pPr>
              <w:pStyle w:val="TableContents"/>
              <w:bidi w:val="0"/>
              <w:spacing w:before="0" w:after="283"/>
              <w:jc w:val="left"/>
              <w:rPr/>
            </w:pPr>
            <w:r>
              <w:rPr/>
              <w:t> </w:t>
            </w:r>
            <w:r>
              <w:rPr>
                <w:sz w:val="20"/>
              </w:rPr>
              <w:t>Chief Executive Officer and Director</w:t>
            </w:r>
          </w:p>
        </w:tc>
      </w:tr>
    </w:tbl>
    <w:p>
      <w:pPr>
        <w:pStyle w:val="TextBody"/>
        <w:bidi w:val="0"/>
        <w:spacing w:before="720" w:after="720"/>
        <w:ind w:left="720" w:right="720" w:hanging="0"/>
        <w:jc w:val="left"/>
        <w:rPr/>
      </w:pPr>
      <w:r>
        <w:rPr/>
        <w:t> </w:t>
      </w:r>
    </w:p>
    <w:p>
      <w:pPr>
        <w:pStyle w:val="TextBody"/>
        <w:bidi w:val="0"/>
        <w:spacing w:before="0" w:after="0"/>
        <w:ind w:left="840" w:right="84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II-6</w:t>
      </w:r>
    </w:p>
    <w:p>
      <w:pPr>
        <w:pStyle w:val="TextBody"/>
        <w:bidi w:val="0"/>
        <w:spacing w:before="0" w:after="0"/>
        <w:ind w:left="720" w:right="720" w:hanging="0"/>
        <w:jc w:val="left"/>
        <w:rPr/>
      </w:pPr>
      <w:r>
        <w:rPr/>
        <w:t> </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i w:val="false"/>
          <w:caps w:val="false"/>
          <w:smallCaps w:val="false"/>
          <w:sz w:val="20"/>
        </w:rPr>
      </w:pPr>
      <w:bookmarkStart w:id="1342" w:name="poa"/>
      <w:bookmarkEnd w:id="1342"/>
      <w:r>
        <w:rPr>
          <w:rFonts w:ascii="Times New Roman;Times;Serif" w:hAnsi="Times New Roman;Times;Serif"/>
          <w:b/>
          <w:i w:val="false"/>
          <w:caps w:val="false"/>
          <w:smallCaps w:val="false"/>
          <w:sz w:val="20"/>
        </w:rPr>
        <w:t>POWER OF ATTORNEY</w:t>
      </w:r>
    </w:p>
    <w:p>
      <w:pPr>
        <w:pStyle w:val="TextBody"/>
        <w:bidi w:val="0"/>
        <w:spacing w:before="0" w:after="0"/>
        <w:ind w:left="720" w:right="720" w:hanging="0"/>
        <w:jc w:val="center"/>
        <w:rPr>
          <w:caps w:val="false"/>
          <w:smallCaps w:val="false"/>
        </w:rPr>
      </w:pPr>
      <w:r>
        <w:rPr>
          <w:caps w:val="false"/>
          <w:smallCaps w:val="false"/>
        </w:rPr>
        <w:t> </w:t>
      </w:r>
    </w:p>
    <w:p>
      <w:pPr>
        <w:pStyle w:val="TextBody"/>
        <w:shd w:fill="FFFFFF" w:val="clear"/>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Jay M. Short, Ph.D. and Christian Vasquez, and each or any of them, as their true and lawful attorneys-in-fact and agents, with full power of substitution and resubstitution, for their and in their name, place and stead, in any and all capacities, to sign any and all amendments to this registration statement, and to sign any registration statement for the same offering covered by this registration statement filed pursuant to Rule 462(b) under the Securities Act of 1933,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substitutes, may lawfully do or cause to be done by virtue thereof. This Power of Attorney may be signed in any number of counterparts, each of which shall be an original, with the same effect as if the signatures thereto and hereto were upon the same instrument.</w:t>
      </w:r>
    </w:p>
    <w:p>
      <w:pPr>
        <w:pStyle w:val="TextBody"/>
        <w:shd w:fill="FFFFFF" w:val="clear"/>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r>
        <w:rPr>
          <w:rFonts w:ascii="Times New Roman;Times;Serif" w:hAnsi="Times New Roman;Times;Serif"/>
          <w:b w:val="false"/>
          <w:i w:val="false"/>
          <w:caps w:val="false"/>
          <w:smallCaps w:val="false"/>
          <w:color w:val="231F20"/>
          <w:sz w:val="20"/>
        </w:rPr>
        <w:t>.</w:t>
      </w:r>
    </w:p>
    <w:p>
      <w:pPr>
        <w:pStyle w:val="TextBody"/>
        <w:shd w:fill="FFFFFF" w:val="clear"/>
        <w:bidi w:val="0"/>
        <w:spacing w:before="0" w:after="0"/>
        <w:ind w:left="720" w:right="720" w:hanging="0"/>
        <w:jc w:val="left"/>
        <w:rPr>
          <w:caps w:val="false"/>
          <w:smallCaps w:val="false"/>
        </w:rPr>
      </w:pPr>
      <w:r>
        <w:rPr>
          <w:caps w:val="false"/>
          <w:smallCaps w:val="false"/>
        </w:rPr>
        <w:t> </w:t>
      </w:r>
    </w:p>
    <w:tbl>
      <w:tblPr>
        <w:tblW w:w="7095" w:type="dxa"/>
        <w:jc w:val="left"/>
        <w:tblInd w:w="720" w:type="dxa"/>
        <w:tblLayout w:type="fixed"/>
        <w:tblCellMar>
          <w:top w:w="0" w:type="dxa"/>
          <w:left w:w="0" w:type="dxa"/>
          <w:bottom w:w="0" w:type="dxa"/>
          <w:right w:w="0" w:type="dxa"/>
        </w:tblCellMar>
      </w:tblPr>
      <w:tblGrid>
        <w:gridCol w:w="1865"/>
        <w:gridCol w:w="3785"/>
        <w:gridCol w:w="1445"/>
      </w:tblGrid>
      <w:tr>
        <w:trPr/>
        <w:tc>
          <w:tcPr>
            <w:tcW w:w="18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Signature </w:t>
            </w:r>
          </w:p>
        </w:tc>
        <w:tc>
          <w:tcPr>
            <w:tcW w:w="378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Title</w:t>
            </w:r>
            <w:r>
              <w:rPr>
                <w:rFonts w:ascii="Times New Roman;Times;Serif" w:hAnsi="Times New Roman;Times;Serif"/>
                <w:b w:val="false"/>
                <w:i w:val="false"/>
                <w:caps w:val="false"/>
                <w:smallCaps w:val="false"/>
                <w:color w:val="231F20"/>
                <w:sz w:val="20"/>
              </w:rPr>
              <w:t> </w:t>
            </w:r>
          </w:p>
        </w:tc>
        <w:tc>
          <w:tcPr>
            <w:tcW w:w="14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Date</w:t>
            </w:r>
            <w:r>
              <w:rPr>
                <w:rFonts w:ascii="Times New Roman;Times;Serif" w:hAnsi="Times New Roman;Times;Serif"/>
                <w:b w:val="false"/>
                <w:i w:val="false"/>
                <w:caps w:val="false"/>
                <w:smallCaps w:val="false"/>
                <w:color w:val="231F20"/>
                <w:sz w:val="20"/>
              </w:rPr>
              <w:t> </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Jay M. Short, Ph.D.</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Jay M. Short, Ph.D. </w:t>
            </w:r>
          </w:p>
        </w:tc>
        <w:tc>
          <w:tcPr>
            <w:tcW w:w="37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Chief Executive Officer and Director </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caps w:val="false"/>
                <w:smallCaps w:val="false"/>
                <w:color w:val="231F20"/>
                <w:sz w:val="20"/>
              </w:rPr>
              <w:t>Principal Executive Officer</w:t>
            </w:r>
            <w:r>
              <w:rPr>
                <w:rFonts w:ascii="Times New Roman;Times;Serif" w:hAnsi="Times New Roman;Times;Serif"/>
                <w:b w:val="false"/>
                <w:i w:val="false"/>
                <w:caps w:val="false"/>
                <w:smallCaps w:val="false"/>
                <w:color w:val="231F20"/>
                <w:sz w:val="20"/>
              </w:rPr>
              <w:t>) </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Christian Vasquez</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Christian Vasquez </w:t>
            </w:r>
          </w:p>
        </w:tc>
        <w:tc>
          <w:tcPr>
            <w:tcW w:w="37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Chief Financial Officer </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caps w:val="false"/>
                <w:smallCaps w:val="false"/>
                <w:color w:val="231F20"/>
                <w:sz w:val="20"/>
              </w:rPr>
              <w:t>Principal Financial and Accounting Officer)</w:t>
            </w:r>
            <w:r>
              <w:rPr>
                <w:rFonts w:ascii="Times New Roman;Times;Serif" w:hAnsi="Times New Roman;Times;Serif"/>
                <w:b w:val="false"/>
                <w:i w:val="false"/>
                <w:caps w:val="false"/>
                <w:smallCaps w:val="false"/>
                <w:color w:val="231F20"/>
                <w:sz w:val="20"/>
              </w:rPr>
              <w:t> </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Mary Ann Gray</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Mary Ann Gray </w:t>
            </w:r>
          </w:p>
        </w:tc>
        <w:tc>
          <w:tcPr>
            <w:tcW w:w="3785" w:type="dxa"/>
            <w:tcBorders/>
            <w:vAlign w:val="center"/>
          </w:tcPr>
          <w:p>
            <w:pPr>
              <w:pStyle w:val="TableContents"/>
              <w:bidi w:val="0"/>
              <w:spacing w:before="0" w:after="283"/>
              <w:jc w:val="left"/>
              <w:rPr>
                <w:color w:val="231F20"/>
                <w:sz w:val="20"/>
              </w:rPr>
            </w:pPr>
            <w:r>
              <w:rPr>
                <w:color w:val="231F20"/>
                <w:sz w:val="20"/>
              </w:rPr>
              <w:t>Director</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Susan Moran</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Susan Moran </w:t>
            </w:r>
          </w:p>
        </w:tc>
        <w:tc>
          <w:tcPr>
            <w:tcW w:w="3785" w:type="dxa"/>
            <w:tcBorders/>
            <w:vAlign w:val="center"/>
          </w:tcPr>
          <w:p>
            <w:pPr>
              <w:pStyle w:val="TableContents"/>
              <w:bidi w:val="0"/>
              <w:spacing w:before="0" w:after="283"/>
              <w:jc w:val="left"/>
              <w:rPr>
                <w:color w:val="231F20"/>
                <w:sz w:val="20"/>
              </w:rPr>
            </w:pPr>
            <w:r>
              <w:rPr>
                <w:color w:val="231F20"/>
                <w:sz w:val="20"/>
              </w:rPr>
              <w:t>Director</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Edward Williams</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Edward Williams </w:t>
            </w:r>
          </w:p>
        </w:tc>
        <w:tc>
          <w:tcPr>
            <w:tcW w:w="3785" w:type="dxa"/>
            <w:tcBorders/>
            <w:vAlign w:val="center"/>
          </w:tcPr>
          <w:p>
            <w:pPr>
              <w:pStyle w:val="TableContents"/>
              <w:bidi w:val="0"/>
              <w:spacing w:before="0" w:after="283"/>
              <w:jc w:val="left"/>
              <w:rPr>
                <w:color w:val="231F20"/>
                <w:sz w:val="20"/>
              </w:rPr>
            </w:pPr>
            <w:r>
              <w:rPr>
                <w:color w:val="231F20"/>
                <w:sz w:val="20"/>
              </w:rPr>
              <w:t>Director</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Lawrence Steinman</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Lawrence Steinman </w:t>
            </w:r>
          </w:p>
        </w:tc>
        <w:tc>
          <w:tcPr>
            <w:tcW w:w="3785" w:type="dxa"/>
            <w:tcBorders/>
            <w:vAlign w:val="center"/>
          </w:tcPr>
          <w:p>
            <w:pPr>
              <w:pStyle w:val="TableContents"/>
              <w:bidi w:val="0"/>
              <w:spacing w:before="0" w:after="283"/>
              <w:jc w:val="left"/>
              <w:rPr>
                <w:color w:val="231F20"/>
                <w:sz w:val="20"/>
              </w:rPr>
            </w:pPr>
            <w:r>
              <w:rPr>
                <w:color w:val="231F20"/>
                <w:sz w:val="20"/>
              </w:rPr>
              <w:t>Director</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r>
        <w:trPr/>
        <w:tc>
          <w:tcPr>
            <w:tcW w:w="1865" w:type="dxa"/>
            <w:tcBorders/>
            <w:vAlign w:val="center"/>
          </w:tcPr>
          <w:p>
            <w:pPr>
              <w:pStyle w:val="TableContents"/>
              <w:bidi w:val="0"/>
              <w:spacing w:before="0" w:after="283"/>
              <w:jc w:val="left"/>
              <w:rPr>
                <w:color w:val="231F20"/>
              </w:rPr>
            </w:pPr>
            <w:r>
              <w:rPr>
                <w:color w:val="231F20"/>
              </w:rPr>
              <w:t> </w:t>
            </w:r>
          </w:p>
        </w:tc>
        <w:tc>
          <w:tcPr>
            <w:tcW w:w="378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 Sylvia McBrinn</w:t>
            </w:r>
          </w:p>
          <w:p>
            <w:pPr>
              <w:pStyle w:val="TableContents"/>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Sylvia McBrinn </w:t>
            </w:r>
          </w:p>
        </w:tc>
        <w:tc>
          <w:tcPr>
            <w:tcW w:w="3785" w:type="dxa"/>
            <w:tcBorders/>
            <w:vAlign w:val="center"/>
          </w:tcPr>
          <w:p>
            <w:pPr>
              <w:pStyle w:val="TableContents"/>
              <w:bidi w:val="0"/>
              <w:spacing w:before="0" w:after="283"/>
              <w:jc w:val="left"/>
              <w:rPr>
                <w:color w:val="231F20"/>
                <w:sz w:val="20"/>
              </w:rPr>
            </w:pPr>
            <w:r>
              <w:rPr>
                <w:color w:val="231F20"/>
                <w:sz w:val="20"/>
              </w:rPr>
              <w:t>Director</w:t>
            </w:r>
          </w:p>
        </w:tc>
        <w:tc>
          <w:tcPr>
            <w:tcW w:w="1445" w:type="dxa"/>
            <w:tcBorders/>
            <w:vAlign w:val="center"/>
          </w:tcPr>
          <w:p>
            <w:pPr>
              <w:pStyle w:val="TableContents"/>
              <w:bidi w:val="0"/>
              <w:spacing w:before="0" w:after="283"/>
              <w:jc w:val="left"/>
              <w:rPr>
                <w:color w:val="231F20"/>
                <w:sz w:val="20"/>
              </w:rPr>
            </w:pPr>
            <w:r>
              <w:rPr>
                <w:color w:val="231F20"/>
                <w:sz w:val="20"/>
              </w:rPr>
              <w:t>October 19, 2026</w:t>
            </w:r>
          </w:p>
        </w:tc>
      </w:tr>
    </w:tbl>
    <w:p>
      <w:pPr>
        <w:pStyle w:val="TextBody"/>
        <w:bidi w:val="0"/>
        <w:spacing w:before="720" w:after="720"/>
        <w:ind w:left="720" w:right="72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II-7</w:t>
      </w:r>
    </w:p>
    <w:p>
      <w:pPr>
        <w:pStyle w:val="TextBody"/>
        <w:bidi w:val="0"/>
        <w:spacing w:before="60" w:after="60"/>
        <w:ind w:left="560" w:right="617" w:hanging="0"/>
        <w:jc w:val="center"/>
        <w:rPr>
          <w:caps w:val="false"/>
          <w:smallCaps w:val="false"/>
        </w:rPr>
      </w:pPr>
      <w:bookmarkStart w:id="1343" w:name="n5620x9_ex4-4.htm"/>
      <w:bookmarkStart w:id="1344" w:name="ksn5620x9_ex44"/>
      <w:bookmarkEnd w:id="1343"/>
      <w:bookmarkEnd w:id="1344"/>
      <w:r>
        <w:rPr>
          <w:caps w:val="false"/>
          <w:smallCaps w:val="false"/>
        </w:rPr>
        <w:t> </w:t>
      </w:r>
      <w:r>
        <w:br w:type="page"/>
      </w:r>
    </w:p>
    <w:p>
      <w:pPr>
        <w:pStyle w:val="TextBody"/>
        <w:bidi w:val="0"/>
        <w:spacing w:before="6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60" w:after="60"/>
        <w:ind w:left="560" w:right="617" w:hanging="0"/>
        <w:jc w:val="center"/>
        <w:rPr>
          <w:caps w:val="false"/>
          <w:smallCaps w:val="false"/>
        </w:rPr>
      </w:pPr>
      <w:r>
        <w:rPr>
          <w:caps w:val="false"/>
          <w:smallCaps w:val="false"/>
        </w:rPr>
        <w:t> </w:t>
      </w:r>
    </w:p>
    <w:p>
      <w:pPr>
        <w:pStyle w:val="TextBody"/>
        <w:bidi w:val="0"/>
        <w:spacing w:before="60" w:after="60"/>
        <w:ind w:left="560" w:right="61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COMMITMENT FEE WARRANT]</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0" w:after="240"/>
        <w:ind w:left="100" w:right="157"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pStyle w:val="TextBody"/>
        <w:bidi w:val="0"/>
        <w:spacing w:before="0" w:after="240"/>
        <w:ind w:left="560" w:right="617" w:hanging="0"/>
        <w:jc w:val="center"/>
        <w:rPr>
          <w:rFonts w:ascii="Times New Roman;Times;Serif" w:hAnsi="Times New Roman;Times;Serif"/>
          <w:b/>
          <w:i w:val="false"/>
          <w:smallCaps/>
          <w:sz w:val="20"/>
        </w:rPr>
      </w:pPr>
      <w:r>
        <w:rPr>
          <w:rFonts w:ascii="Times New Roman;Times;Serif" w:hAnsi="Times New Roman;Times;Serif"/>
          <w:b/>
          <w:i w:val="false"/>
          <w:smallCaps/>
          <w:sz w:val="20"/>
        </w:rPr>
        <w:t>BioAtla, Inc.</w:t>
      </w:r>
    </w:p>
    <w:p>
      <w:pPr>
        <w:pStyle w:val="TextBody"/>
        <w:bidi w:val="0"/>
        <w:spacing w:before="0" w:after="240"/>
        <w:ind w:left="560" w:right="617"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Common Stock</w:t>
      </w:r>
    </w:p>
    <w:p>
      <w:pPr>
        <w:pStyle w:val="TextBody"/>
        <w:bidi w:val="0"/>
        <w:spacing w:before="0" w:after="24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 [●]</w:t>
      </w:r>
    </w:p>
    <w:p>
      <w:pPr>
        <w:pStyle w:val="TextBody"/>
        <w:bidi w:val="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ind w:left="101" w:right="0" w:hanging="0"/>
        <w:jc w:val="left"/>
        <w:rPr>
          <w:caps w:val="false"/>
          <w:smallCaps w:val="false"/>
        </w:rPr>
      </w:pPr>
      <w:r>
        <w:rPr>
          <w:caps w:val="false"/>
          <w:smallCaps w:val="false"/>
        </w:rPr>
        <w:t> </w:t>
      </w:r>
    </w:p>
    <w:p>
      <w:pPr>
        <w:pStyle w:val="TextBody"/>
        <w:bidi w:val="0"/>
        <w:spacing w:before="0" w:after="240"/>
        <w:ind w:left="100" w:right="1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Inc.,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xml:space="preserve">”), hereby certifies that, for good and valuable consideration, the receipt and sufficiency of which are hereby acknowledged, </w:t>
      </w:r>
      <w:r>
        <w:rPr>
          <w:rFonts w:ascii="Times New Roman;Times;Serif" w:hAnsi="Times New Roman;Times;Serif"/>
          <w:b w:val="false"/>
          <w:i w:val="false"/>
          <w:caps/>
          <w:sz w:val="20"/>
        </w:rPr>
        <w:t>YA II PN, Ltd.</w:t>
      </w:r>
      <w:r>
        <w:rPr>
          <w:rFonts w:ascii="Times New Roman;Times;Serif" w:hAnsi="Times New Roman;Times;Serif"/>
          <w:b w:val="false"/>
          <w:i w:val="false"/>
          <w:caps w:val="false"/>
          <w:smallCaps w:val="false"/>
          <w:sz w:val="20"/>
        </w:rPr>
        <w:t>,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Issuer, at the Exercise Price (as defined below) then in effect, upon exercise of this Warrant to Purchase Common Stock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or times on or after the Issuance Date up to [●] (subject to adjustment as provided herein) fully paid and non-assessable shares of Common Stock (as defined below)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such number being determined in accordance with Section 11.04 of the Purchase Agreement (as defined below). Except as otherwise defined herein, capitalized terms in this Warrant shall have the meanings set forth in the Standby Equity Purchase Agreement, dated as of October 15, 2026, by and between the Issuer and the Holder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pursuant to which this Warrant has been issued.</w:t>
      </w:r>
    </w:p>
    <w:tbl>
      <w:tblPr>
        <w:tblW w:w="5000" w:type="pct"/>
        <w:jc w:val="left"/>
        <w:tblInd w:w="0" w:type="dxa"/>
        <w:tblLayout w:type="fixed"/>
        <w:tblCellMar>
          <w:top w:w="0" w:type="dxa"/>
          <w:left w:w="0" w:type="dxa"/>
          <w:bottom w:w="0" w:type="dxa"/>
          <w:right w:w="0" w:type="dxa"/>
        </w:tblCellMar>
      </w:tblPr>
      <w:tblGrid>
        <w:gridCol w:w="121"/>
        <w:gridCol w:w="641"/>
        <w:gridCol w:w="9443"/>
      </w:tblGrid>
      <w:tr>
        <w:trPr/>
        <w:tc>
          <w:tcPr>
            <w:tcW w:w="1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1.</w:t>
            </w:r>
          </w:p>
        </w:tc>
        <w:tc>
          <w:tcPr>
            <w:tcW w:w="9443" w:type="dxa"/>
            <w:tcBorders/>
            <w:vAlign w:val="center"/>
          </w:tcPr>
          <w:p>
            <w:pPr>
              <w:pStyle w:val="TableContents"/>
              <w:bidi w:val="0"/>
              <w:spacing w:before="0" w:after="283"/>
              <w:jc w:val="left"/>
              <w:rPr>
                <w:u w:val="single"/>
              </w:rPr>
            </w:pPr>
            <w:r>
              <w:rPr>
                <w:u w:val="single"/>
              </w:rPr>
              <w:t>EXERCISE OF WARRANT.</w:t>
            </w:r>
          </w:p>
        </w:tc>
      </w:tr>
    </w:tbl>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Subject to the terms and conditions hereof, this Warrant may be exercised by the Holder on any day on or after the Issuance Date (an “</w:t>
      </w:r>
      <w:r>
        <w:rPr>
          <w:rFonts w:ascii="Times New Roman;Times;Serif" w:hAnsi="Times New Roman;Times;Serif"/>
          <w:b/>
          <w:i w:val="false"/>
          <w:caps w:val="false"/>
          <w:smallCaps w:val="false"/>
          <w:sz w:val="20"/>
        </w:rPr>
        <w:t>Exercise Date</w:t>
      </w:r>
      <w:r>
        <w:rPr>
          <w:rFonts w:ascii="Times New Roman;Times;Serif" w:hAnsi="Times New Roman;Times;Serif"/>
          <w:b w:val="false"/>
          <w:i w:val="false"/>
          <w:caps w:val="false"/>
          <w:smallCaps w:val="false"/>
          <w:sz w:val="20"/>
        </w:rPr>
        <w:t xml:space="preserve">”), in whole or in part, by delivery (whether via electronic mail or otherwise) of a written notice,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Within one (1) Business Day following an exercise of this Warrant as aforesaid, the Holder shall deliver payment to the Issuer of an amount equal to the Exercise Price in effect on the date of such exercise multiplied by the number of Warrant Shares as to which this Warrant was so exercised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in cash or via wire transfer of immediately available funds if the Holder did not notify the Issuer in such Exercise Notice that such exercise was made pursuant to a Cashless Exercise (as defined herein).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Issuer has received an Exercise Notice, the Issuer shall transmit by facsimile or electronic mail an acknowledgment of confirmation of receipt of such Exercise Notice,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to the Holder and the Issuer’s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Exercise Notice in accordance with the terms herein. On or before the first (1st) Trading Day following the date on which the Issuer has received such Exercise Notice, the Issuer shall deliver to the Holder a certificate, which may be in electronic form (or in the case of uncertificated securities, provide notice of book entry) representing the number of Warrant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 in the Issuer’s books and records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Issuer by the Holder, then, at the request of the Holder, the Issuer shall as soon as practicable and in no event later than two (2) Trading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shall be rounded down to the nearest whole number. The Issuer shall pay any and all transfer, stamp, issuance and similar taxes, costs and expenses (including, without limitation, fees and expenses of the Transfer Agent) that may be payable with respect to the issuance and delivery of Warrant Shares to the Holder upon exercise of this Warrant. Notwithstanding the foregoing, except in the case where an exercise of this Warrant is validly made pursuant to a Cashless Exercise, the Issuer’s failure to cause its transfer agent to transmit Warrant Shares to the Holder on or prior to the later of (i) one (1) Trading Day after receipt of the applicable Exercise Notice (or such earlier date as required pursuant to the Exchange Act or other applicable law, rule or regulation for the settlement of a trade of such Warrant Shares initiated on the applicable Exercise Date) and (ii) one (1) Trading Day after the Issuer’s receipt of the Aggregate Exercise Price (or valid notice of a Cashless Exercise) (such later date,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shall not be deemed to be a breach of this Warrant. If the Issuer fails for any reason to deliver to the Holder the Warrant Shares subject to an Exercise Notice by the Warrant Share Delivery Date, the Issuer shall pay to the Holder, in cash, as liquidated damages and not as a penalty, for each $1,000 of Warrant Shares subject to such exercise (based on the VWAP of the Common Stock on the date of the applicable Exercise Notice), $10 per Trading Day (increasing to $20 per Trading Day on the third (3rd) Trading Day after the Warrant Share Delivery Date) for each Trading Day after such Share Delivery Date until such Warrant Shares are delivered or Holder rescinds such exercise; provided that the aggregate amount of liquidated damages payable in</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of any exercise shall not exceed the value of the Warrant Shares subject to such exercise (based on the VWAP of the Common Stock on the date of the applicable Exercise Notice).</w:t>
      </w:r>
    </w:p>
    <w:p>
      <w:pPr>
        <w:pStyle w:val="TextBody"/>
        <w:bidi w:val="0"/>
        <w:spacing w:before="0" w:after="240"/>
        <w:ind w:left="100" w:right="15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$0.0001 per Warrant Share, subject to adjustment as provided herein.</w:t>
      </w:r>
    </w:p>
    <w:p>
      <w:pPr>
        <w:pStyle w:val="TextBody"/>
        <w:bidi w:val="0"/>
        <w:spacing w:before="0" w:after="240"/>
        <w:ind w:left="100" w:right="15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Issuer fails to cause the Transfer Agent to transmit to the Holder the Warrant Shares in accordance with the provisions of Section 1(a)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Issuer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Issuer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Issuer shall be required to pay the Holder $1,000. The Holder shall provide the Issuer written notice indicating the amounts payable to the Holder in respect of the Buy-In and, upon request of the Issuer, evidence of the amount of such loss. Nothing herein shall limit a Holder’s right to pursue any other remedies available to it hereunder, at law or in equity including, without limitation, a decree of specific performance and/or injunctive relief with respect to the Issuer’s failure to timely deliver shares of Common Stock upon exercise of the Warrant as required pursuant to the terms hereof.</w:t>
      </w:r>
    </w:p>
    <w:p>
      <w:pPr>
        <w:pStyle w:val="TextBody"/>
        <w:bidi w:val="0"/>
        <w:spacing w:before="0" w:after="240"/>
        <w:ind w:left="100" w:right="15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shd w:fill="FFFFFF" w:val="clear"/>
        </w:rPr>
        <w:t>Cashless Exercise</w:t>
      </w:r>
      <w:r>
        <w:rPr>
          <w:rFonts w:ascii="Times New Roman;Times;Serif" w:hAnsi="Times New Roman;Times;Serif"/>
          <w:b w:val="false"/>
          <w:i w:val="false"/>
          <w:caps w:val="false"/>
          <w:smallCaps w:val="false"/>
          <w:sz w:val="20"/>
          <w:shd w:fill="FFFFFF" w:val="clear"/>
        </w:rPr>
        <w:t xml:space="preserve">. The Holder may, in its sole discretion, exercise this Warrant in whole or in part and, in lieu of making the cash </w:t>
      </w:r>
      <w:r>
        <w:rPr>
          <w:rFonts w:ascii="Times New Roman;Times;Serif" w:hAnsi="Times New Roman;Times;Serif"/>
          <w:b w:val="false"/>
          <w:i w:val="false"/>
          <w:caps w:val="false"/>
          <w:smallCaps w:val="false"/>
          <w:sz w:val="20"/>
        </w:rPr>
        <w:t xml:space="preserve">payment </w:t>
      </w:r>
      <w:r>
        <w:rPr>
          <w:rFonts w:ascii="Times New Roman;Times;Serif" w:hAnsi="Times New Roman;Times;Serif"/>
          <w:b w:val="false"/>
          <w:i w:val="false"/>
          <w:caps w:val="false"/>
          <w:smallCaps w:val="false"/>
          <w:sz w:val="20"/>
          <w:shd w:fill="FFFFFF" w:val="clear"/>
        </w:rPr>
        <w:t>otherwise contemplated to be made to the Issuer upon such exercise in payment of the Aggregate Exercise Price, elect instead to receive upon such exercise the “Net Number” of Warrant Shares (a “</w:t>
      </w:r>
      <w:r>
        <w:rPr>
          <w:rFonts w:ascii="Times New Roman;Times;Serif" w:hAnsi="Times New Roman;Times;Serif"/>
          <w:b/>
          <w:i w:val="false"/>
          <w:caps w:val="false"/>
          <w:smallCaps w:val="false"/>
          <w:sz w:val="20"/>
          <w:shd w:fill="FFFFFF" w:val="clear"/>
        </w:rPr>
        <w:t>Cashless Exercise</w:t>
      </w:r>
      <w:r>
        <w:rPr>
          <w:rFonts w:ascii="Times New Roman;Times;Serif" w:hAnsi="Times New Roman;Times;Serif"/>
          <w:b w:val="false"/>
          <w:i w:val="false"/>
          <w:caps w:val="false"/>
          <w:smallCaps w:val="false"/>
          <w:sz w:val="20"/>
          <w:shd w:fill="FFFFFF" w:val="clear"/>
        </w:rPr>
        <w:t>”) equal to the quotient obtained by dividing ((A-B) multiplied by (X)) by (A), where:</w:t>
      </w:r>
    </w:p>
    <w:p>
      <w:pPr>
        <w:pStyle w:val="TextBody"/>
        <w:bidi w:val="0"/>
        <w:spacing w:before="0" w:after="240"/>
        <w:ind w:left="1595" w:right="104" w:hanging="56"/>
        <w:jc w:val="left"/>
        <w:rPr>
          <w:caps w:val="false"/>
          <w:smallCaps w:val="false"/>
        </w:rPr>
      </w:pPr>
      <w:r>
        <w:rPr>
          <w:caps w:val="false"/>
          <w:smallCaps w:val="false"/>
        </w:rPr>
        <w:t> </w:t>
      </w:r>
    </w:p>
    <w:p>
      <w:pPr>
        <w:pStyle w:val="TextBody"/>
        <w:bidi w:val="0"/>
        <w:spacing w:before="0" w:after="240"/>
        <w:ind w:left="1440" w:right="104"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as applicable: (i) the VWAP on the Trading Day immediately preceding the date of the applicable Exercise Notice if such Exercise Notice is (1) both executed and delivered pursuant to Section 1(a) hereof on a day that is not a Trading Day</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440" w:right="10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Exercise Notice or (z) the Bid Price of the Common Stock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1(a) hereof or (iii) the VWAP on the date of the applicable Exercise Notice if the date of such Exercise Notice is a Trading Day and such Exercise Notice is both executed and delivered pursuant to Section 1(a) hereof after the close of “regular trading hours” on such Trading Day;</w:t>
      </w:r>
    </w:p>
    <w:p>
      <w:pPr>
        <w:pStyle w:val="TextBody"/>
        <w:bidi w:val="0"/>
        <w:spacing w:before="0" w:after="240"/>
        <w:ind w:left="1440" w:right="104"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the Exercise Price of this Warrant, as adjusted hereunder; and</w:t>
      </w:r>
    </w:p>
    <w:p>
      <w:pPr>
        <w:pStyle w:val="TextBody"/>
        <w:bidi w:val="0"/>
        <w:spacing w:before="0" w:after="240"/>
        <w:ind w:left="1440" w:right="104"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(X)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240"/>
        <w:ind w:left="820" w:right="157"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Warrant Shares are issued in a Cashless Exercise, the parties acknowledge and agree that in accordance with Section 3(a)(9) of the Securities Act, the Holder may tack the holding period of the Warrants being exercised for purposes of Rule 144 under the Securities Act.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Trading Day or specified period, the volume weighted average price of the Common Stock on the Trading Market, for such period as reported by Bloomberg through its “AQR” function.</w:t>
      </w:r>
    </w:p>
    <w:p>
      <w:pPr>
        <w:pStyle w:val="TextBody"/>
        <w:bidi w:val="0"/>
        <w:spacing w:before="0" w:after="240"/>
        <w:ind w:left="100" w:right="1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Issuer shall not effect any exercise of this Warrant, and a Holder shall not have the right to exercise any portion of this Warrant, pursuant to Section 1 or otherwise, to the extent that after giving effect to such issuance after exercise as set forth on the applicable Exercise Notice, the Holder (together with the Holder’s Affiliates, and any Persons acting as a group together with the Holder or any of the Holder’s Affiliates (such Persons,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unconverted portion of any other securities of the Issuer (including, without limitation, any other shares of Common Stock or securities or rights convertible or exchangeable into shares of Common Stock) subject to a limitation on conversion or exercise analogous to the limitation contained herein beneficially owned by the Holder or any of its Affiliates or Attribution Parties. Except as set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15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forth in the preceding sentence, for purposes of this Section 1(e), beneficial ownership shall be calculated in accordance with Section 13(d) of the Exchange Act and the rules and regulations promulgated thereunder, it being acknowledged by the Holder that the Issuer is not representing to the Holder that such calculation is in compliance with Section 13(d) of the Exchange Act. To the extent that the limitation contained in this Section 1(e) applies, submission of Exercise Notice shall be deemed to be the Holder’s good faith determination of whether this Warrant is exercisable (in relation to other securities owned by the Holder together with any Affiliates and Attribution Parties) and of which portion of this Warrant is exercisable, in each case, subject to the Beneficial Ownership Limitation. For purposes of this Section 1(e), in determining the number of outstanding shares of Common Stock, a Holder may rely on the number of outstanding shares of Common Stock as reflected in (A) the Issuer’s most recent periodic or annual report filed with the SEC, as the case may be, (B) a more recent public announcement by the Issuer or (C) a more recent written notice by the Issuer or the Transfer Agent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Upon the written request of a Holder, the Issuer shall within two (2) Trading Days confirm in writing to the Holder the number of shares of Common Stock then outstanding. In any case, the number of outstanding shares of Common Stock shall be determined after giving effect to the conversion or exercise of securities of the Issuer, including this Warrant, by the Holder or its Affiliates or Attribution Parties since the date as of which such number of outstanding shares of Common Stock was reported.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shall be 4.99% of the number of shares of the Common Stock outstanding immediately after giving effect to the issuance of shares of Common Stock issuable upon exercise of this Warrant. If the Issuer receives an Exercise Notice from the Holder at a time when the Issuer has knowledge that the actual number of outstanding shares of Common Stock is less than the Reported Outstanding Share Number, the Issuer shall notify the Holder in writing of the number of shares of Common Stock then outstanding and, to the extent that such Exercise Notice would otherwise cause the beneficial ownership of Holder together with the Attribution Parties, as determined pursuant to this Section 1(e), to exceed the Beneficial Ownership Limitation, the Holder shall then notify the Issuer of a reduced number of Warrant Shares to be purchased pursuant to such Exercise Notice (such notice, the “</w:t>
      </w:r>
      <w:r>
        <w:rPr>
          <w:rFonts w:ascii="Times New Roman;Times;Serif" w:hAnsi="Times New Roman;Times;Serif"/>
          <w:b/>
          <w:i w:val="false"/>
          <w:caps w:val="false"/>
          <w:smallCaps w:val="false"/>
          <w:sz w:val="20"/>
        </w:rPr>
        <w:t>Reduction Notice</w:t>
      </w:r>
      <w:r>
        <w:rPr>
          <w:rFonts w:ascii="Times New Roman;Times;Serif" w:hAnsi="Times New Roman;Times;Serif"/>
          <w:b w:val="false"/>
          <w:i w:val="false"/>
          <w:caps w:val="false"/>
          <w:smallCaps w:val="false"/>
          <w:sz w:val="20"/>
        </w:rPr>
        <w:t>”). Such issuance shall not be deemed to have occurred until the Holder provides the Reduction Notice (or a notice that no reduction is needed) to the Issuer. In the event that the issuance of Common Stock to the Holder upon exercise of this Warrant results in the Holder, together with the Attribution Parties, collectively being deemed to beneficially own, in the aggregate, more than the Beneficial Ownership Limitation, the number of shares so issued by which the aggregate beneficial ownership of the Holder and its Attribution Parties exceeds such limitation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xml:space="preserve">”) shall be deemed null and void and shall be cancelled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the Holder and/or the Attribution Parties shall not have the power to vote or to transfer the Excess Shares. As soon as reasonably practicable after the issuance of the Excess Shares has been deemed null and void, the Issuer shall return to the Holder the exercise price paid by the Holder for the Excess Shares and the Holder shall return the Excess Shares to the Issuer.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15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The limitations contained in this paragraph shall apply to a successor holder of this Warrant.</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[RESERVED].</w:t>
      </w:r>
    </w:p>
    <w:tbl>
      <w:tblPr>
        <w:tblW w:w="5000" w:type="pct"/>
        <w:jc w:val="left"/>
        <w:tblInd w:w="0" w:type="dxa"/>
        <w:tblLayout w:type="fixed"/>
        <w:tblCellMar>
          <w:top w:w="0" w:type="dxa"/>
          <w:left w:w="0" w:type="dxa"/>
          <w:bottom w:w="0" w:type="dxa"/>
          <w:right w:w="0" w:type="dxa"/>
        </w:tblCellMar>
      </w:tblPr>
      <w:tblGrid>
        <w:gridCol w:w="155"/>
        <w:gridCol w:w="1187"/>
        <w:gridCol w:w="8863"/>
      </w:tblGrid>
      <w:tr>
        <w:trPr/>
        <w:tc>
          <w:tcPr>
            <w:tcW w:w="15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(g)</w:t>
            </w:r>
          </w:p>
        </w:tc>
        <w:tc>
          <w:tcPr>
            <w:tcW w:w="8863" w:type="dxa"/>
            <w:tcBorders/>
            <w:vAlign w:val="center"/>
          </w:tcPr>
          <w:p>
            <w:pPr>
              <w:pStyle w:val="TableContents"/>
              <w:bidi w:val="0"/>
              <w:spacing w:before="0" w:after="283"/>
              <w:jc w:val="left"/>
              <w:rPr/>
            </w:pPr>
            <w:r>
              <w:rPr>
                <w:u w:val="single"/>
              </w:rPr>
              <w:t>Reservation of Shares</w:t>
            </w:r>
            <w:r>
              <w:rPr/>
              <w:t>.</w:t>
            </w:r>
          </w:p>
        </w:tc>
      </w:tr>
    </w:tbl>
    <w:p>
      <w:pPr>
        <w:pStyle w:val="TextBody"/>
        <w:bidi w:val="0"/>
        <w:spacing w:before="0" w:after="240"/>
        <w:ind w:left="8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Required Reserve Amoun</w:t>
      </w:r>
      <w:r>
        <w:rPr>
          <w:rFonts w:ascii="Times New Roman;Times;Serif" w:hAnsi="Times New Roman;Times;Serif"/>
          <w:b w:val="false"/>
          <w:i w:val="false"/>
          <w:caps w:val="false"/>
          <w:smallCaps w:val="false"/>
          <w:sz w:val="20"/>
        </w:rPr>
        <w:t>t. So long as this Warrant remains outstanding, the Issuer shall at all times keep reserved for issuance under this Warrant a number of shares of Common Stock at least equal to 100% of the maximum number of shares of Common Stock as shall be necessary to satisfy the Issuer’s obligation to issue shares of Common Stock under this Warrant then outstanding (without regard to any limitations on exercise)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provided that at no time shall the number of shares of Common Stock reserved pursuant to this Section 1(g)(i) be reduced other than proportionally in connection with any exercise of this Warrant or such other event covered by Section 2 below.</w:t>
      </w:r>
    </w:p>
    <w:p>
      <w:pPr>
        <w:pStyle w:val="TextBody"/>
        <w:bidi w:val="0"/>
        <w:spacing w:before="0" w:after="240"/>
        <w:ind w:left="820" w:right="15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1(g)(i), and not in limitation thereof, at any time while this Warrant remains outstanding, the Issuer does not have a sufficient number of authorized and unreserved shares of Common Stock to satisfy its obligation to reserve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Issuer shall promptly take all action reasonably necessary to increase the Issuer’s authorized shares of Common Stock to an amount sufficient to allow the Issuer to reserve the Required Reserve Amount. Without limiting the generality of the foregoing sentence, as soon as practicable after the date of the occurrence of an Authorized Share Failure, but in no event later than sixty (60) days after the occurrence of such Authorized Share Failure, the Issuer shall hold a meeting of its stockholders for the approval of an increase in the number of authorized shares of Common Stock. In connection with such meeting, the Issuer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Issuer is able to obtain the written consent of a majority of the shares of its issued and outstanding shares of Common Stock to approve the increase in the number of authorized shares of Common Stock, the Issuer may satisfy this obligation by obtaining such consent and submitting for filing with the SEC an Information Statement on Schedule 14C. In the event that the Issuer is prohibited from issuing shares of Common Stock upon an exercise of this Warrant due to the failure by the Issuer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Authorization Failure Shares</w:t>
      </w:r>
      <w:r>
        <w:rPr>
          <w:rFonts w:ascii="Times New Roman;Times;Serif" w:hAnsi="Times New Roman;Times;Serif"/>
          <w:b w:val="false"/>
          <w:i w:val="false"/>
          <w:caps w:val="false"/>
          <w:smallCaps w:val="false"/>
          <w:sz w:val="20"/>
        </w:rPr>
        <w:t>”), in lieu of delivering such Authorization Failure Shares to the Holder, the Issuer shall pay cash in exchange for the cancellation of such portion of this Warrant exercisable into such Authorization Failure Shares at a price equal to the sum of (i) the product of (x) such number of Authorization Failure Shares and (y) the fair market value (as determined by the board of directors of the Issuer, in good faith). Nothing contained in this Section 1(g)(ii) shall limit any obligations of</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820" w:right="15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under any provision of the Purchase Agreement.</w:t>
      </w:r>
    </w:p>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left"/>
              <w:rPr/>
            </w:pPr>
            <w:r>
              <w:rPr>
                <w:u w:val="single"/>
              </w:rPr>
              <w:t>ADJUSTMENT OF EXERCISE PRICE AND NUMBER OF WARRANT SHARES</w:t>
            </w:r>
            <w:r>
              <w:rPr/>
              <w:t>.</w:t>
            </w:r>
          </w:p>
        </w:tc>
      </w:tr>
    </w:tbl>
    <w:p>
      <w:pPr>
        <w:pStyle w:val="TextBody"/>
        <w:bidi w:val="0"/>
        <w:spacing w:before="0" w:after="240"/>
        <w:ind w:left="100" w:right="15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Warrant Shares issuable upon exercise of this Warrant are subject to adjustment from time to time as set forth in this Section 2.</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Without limiting any provision of Section 2 or Section 4, if the Issuer, at any time on or after the date of the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after the Issuance Date as this Warrant is outstanding, if the Issuer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any applicable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any applicable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any applicable Beneficial Ownership Limitation).</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Number of Warrant Shares</w:t>
      </w:r>
      <w:r>
        <w:rPr>
          <w:rFonts w:ascii="Times New Roman;Times;Serif" w:hAnsi="Times New Roman;Times;Serif"/>
          <w:b w:val="false"/>
          <w:i w:val="false"/>
          <w:caps w:val="false"/>
          <w:smallCaps w:val="false"/>
          <w:sz w:val="20"/>
        </w:rPr>
        <w:t>. Simultaneously with any adjustment to the Exercise Price pursuant to Section (a),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2 shall be made by rounding to the nearest cent or the nearest 1/100th of a share, as applicable. The number of shares of Common Stock outstanding at any given time shall not include shares owned or held by or for the account of the Issuer, and the disposition of any such shares shall be considered an issuance or sale of Common Stock.</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Voluntary Adjustment By Issuer</w:t>
      </w:r>
      <w:r>
        <w:rPr>
          <w:rFonts w:ascii="Times New Roman;Times;Serif" w:hAnsi="Times New Roman;Times;Serif"/>
          <w:b w:val="false"/>
          <w:i w:val="false"/>
          <w:caps w:val="false"/>
          <w:smallCaps w:val="false"/>
          <w:sz w:val="20"/>
        </w:rPr>
        <w:t>. The Issuer may at any time during the term of this Warrant, with the prior written consent of the Holder, reduce the then current Exercise Price to any amount and for any period of time deemed appropriate by the board of directors of the Issuer, subject to applicable law.</w:t>
      </w:r>
    </w:p>
    <w:tbl>
      <w:tblPr>
        <w:tblW w:w="5000" w:type="pct"/>
        <w:jc w:val="left"/>
        <w:tblInd w:w="0" w:type="dxa"/>
        <w:tblLayout w:type="fixed"/>
        <w:tblCellMar>
          <w:top w:w="0" w:type="dxa"/>
          <w:left w:w="0" w:type="dxa"/>
          <w:bottom w:w="0" w:type="dxa"/>
          <w:right w:w="0" w:type="dxa"/>
        </w:tblCellMar>
      </w:tblPr>
      <w:tblGrid>
        <w:gridCol w:w="220"/>
        <w:gridCol w:w="1161"/>
        <w:gridCol w:w="8824"/>
      </w:tblGrid>
      <w:tr>
        <w:trPr/>
        <w:tc>
          <w:tcPr>
            <w:tcW w:w="2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w:t>
            </w:r>
          </w:p>
        </w:tc>
        <w:tc>
          <w:tcPr>
            <w:tcW w:w="8824" w:type="dxa"/>
            <w:tcBorders/>
            <w:vAlign w:val="center"/>
          </w:tcPr>
          <w:p>
            <w:pPr>
              <w:pStyle w:val="TableContents"/>
              <w:bidi w:val="0"/>
              <w:spacing w:before="0" w:after="283"/>
              <w:jc w:val="left"/>
              <w:rPr/>
            </w:pPr>
            <w:r>
              <w:rPr/>
              <w:t>[</w:t>
            </w:r>
            <w:r>
              <w:rPr>
                <w:u w:val="single"/>
              </w:rPr>
              <w:t>RESERVED</w:t>
            </w:r>
            <w:r>
              <w:rPr/>
              <w:t>].</w:t>
            </w:r>
          </w:p>
        </w:tc>
      </w:tr>
    </w:tbl>
    <w:tbl>
      <w:tblPr>
        <w:tblW w:w="5000" w:type="pct"/>
        <w:jc w:val="left"/>
        <w:tblInd w:w="0" w:type="dxa"/>
        <w:tblLayout w:type="fixed"/>
        <w:tblCellMar>
          <w:top w:w="0" w:type="dxa"/>
          <w:left w:w="0" w:type="dxa"/>
          <w:bottom w:w="0" w:type="dxa"/>
          <w:right w:w="0" w:type="dxa"/>
        </w:tblCellMar>
      </w:tblPr>
      <w:tblGrid>
        <w:gridCol w:w="59"/>
        <w:gridCol w:w="314"/>
        <w:gridCol w:w="9832"/>
      </w:tblGrid>
      <w:tr>
        <w:trPr/>
        <w:tc>
          <w:tcPr>
            <w:tcW w:w="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4.</w:t>
            </w:r>
          </w:p>
        </w:tc>
        <w:tc>
          <w:tcPr>
            <w:tcW w:w="9832" w:type="dxa"/>
            <w:tcBorders/>
            <w:vAlign w:val="center"/>
          </w:tcPr>
          <w:p>
            <w:pPr>
              <w:pStyle w:val="TableContents"/>
              <w:bidi w:val="0"/>
              <w:spacing w:before="0" w:after="283"/>
              <w:jc w:val="left"/>
              <w:rPr>
                <w:u w:val="single"/>
              </w:rPr>
            </w:pPr>
            <w:r>
              <w:rPr>
                <w:u w:val="single"/>
              </w:rPr>
              <w:t>PURCHASE RIGHTS; FUNDAMENTAL TRANSACTIONS.</w:t>
            </w:r>
          </w:p>
        </w:tc>
      </w:tr>
    </w:tbl>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Issuer grants, issues or sells any Options, Convertible Securities or rights to purchase stock, warrants, securities or other property pro rata to the record holders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its Attribution Parties, collectively, beneficially owning in excess of the Beneficial Ownership Limitation of the Common Stock that would be issued and outstanding following receipt of such Purchase Rights (such excess amount of Common Stock, the “Excess Purchase Rights”), then the Holder shall not be entitled to participate in such Purchase Rights to the extent of the Excess Purchase Rights (and shall not have the right to acquire such Excess Purchase Rights). The Excess Purchase Rights shall be held in abeyance for the benefit of the Holder until such time or times as (1) its right to receive some or all of the Excess Purchase Rights would not result in the Holder and its Attribution Parties beneficially owning Common Stock in excess of the Beneficial Ownership Limitation and (2) the Holder so certifies in writing to the Issuer and specifies the number of shares of Common Stock it is able to receive without exceeding the Beneficial Ownership Limitation, at which time or times the Holder shall be granted that portion of the Excess Purchase Rights (and any Excess Purchase Rights granted, issued or sold on such initial Purchase Rights or on any subsequent Purchase Rights to be held similarly in abeyance) to the same extent as if there had been no such limitation.</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firstLine="720"/>
        <w:jc w:val="left"/>
        <w:rPr>
          <w:caps w:val="false"/>
          <w:smallCaps w:val="false"/>
        </w:rPr>
      </w:pPr>
      <w:r>
        <w:rPr>
          <w:caps w:val="false"/>
          <w:smallCaps w:val="false"/>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after the Issuance Date while this Warrant is outstanding, (i) the Issuer, directly or indirectly, in one or more related transactions effects any merger or consolidation of the Issuer with or into another Person, in which the Issuer is not the surviving entity and in which the stockholders of the Issuer immediately prior to such merger or consolidation do not own, directly or indirectly, at least 50% of the voting power of the surviving entity immediately after such merger or consolidation (excluding a merger effected solely to change the Issuer’s name), (ii) the Issuer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Issuer or another Person) is completed pursuant to which holders of Common Stock are permitted to sell, tender or exchange their shares for other securities, cash or property and has been accepted by the holders of 50% or more of the outstanding Common Stock, (iv) the Issuer,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stock split, combination or reclassification of shares of Common Stock covered by Section 2(a)), or (v) the Issuer,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more than 50% of the voting power of the common equity of the Issuer (each 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1(e) on the exercise of this Warrant), the number of shares of Common Stock of the successor or acquiring corporation or of the Issuer, if it is the surviving corporation, and any additional consideration (the “</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1(e) on the exercise of this Warrant) (the “</w:t>
      </w:r>
      <w:r>
        <w:rPr>
          <w:rFonts w:ascii="Times New Roman;Times;Serif" w:hAnsi="Times New Roman;Times;Serif"/>
          <w:b/>
          <w:i w:val="false"/>
          <w:caps w:val="false"/>
          <w:smallCaps w:val="false"/>
          <w:sz w:val="20"/>
        </w:rPr>
        <w:t>Fundamental Transaction Rights</w:t>
      </w:r>
      <w:r>
        <w:rPr>
          <w:rFonts w:ascii="Times New Roman;Times;Serif" w:hAnsi="Times New Roman;Times;Serif"/>
          <w:b w:val="false"/>
          <w:i w:val="false"/>
          <w:caps w:val="false"/>
          <w:smallCaps w:val="false"/>
          <w:sz w:val="20"/>
        </w:rPr>
        <w: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Issuer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Issuer shall cause any Successor Entity in a Fundamental Transaction in which the Issuer is not the survivor to assume in writing all of the obligations of the Issuer under this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and the other Transaction Documents in accordance with the provisions of this Section 4(b)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“Issuer” shall refer instead to the Successor Entity), and may exercise every right and power of the Issuer and shall assume all of the obligations of the Issuer under this Warrant and the other Transaction Documents with the same effect as if such Successor Entity had been named as the Issuer herein; provided, however, that to the extent that the Holder’s right to participate in any such Fundamental Transaction Rights would result in the Holder and its Attribution Parties, collectively, beneficially owning in excess of the Beneficial Ownership Limitation of the Common Stock that would be issued and outstanding following receipt of such Fundamental Transaction Rights (such excess amount of Common Stock, the “</w:t>
      </w:r>
      <w:r>
        <w:rPr>
          <w:rFonts w:ascii="Times New Roman;Times;Serif" w:hAnsi="Times New Roman;Times;Serif"/>
          <w:b/>
          <w:i w:val="false"/>
          <w:caps w:val="false"/>
          <w:smallCaps w:val="false"/>
          <w:sz w:val="20"/>
        </w:rPr>
        <w:t>Excess Fundamental Transaction Rights</w:t>
      </w:r>
      <w:r>
        <w:rPr>
          <w:rFonts w:ascii="Times New Roman;Times;Serif" w:hAnsi="Times New Roman;Times;Serif"/>
          <w:b w:val="false"/>
          <w:i w:val="false"/>
          <w:caps w:val="false"/>
          <w:smallCaps w:val="false"/>
          <w:sz w:val="20"/>
        </w:rPr>
        <w:t xml:space="preserve">”),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Stock in excess of the Beneficial Ownership Limitation and (2) the Holder so certifies in writing to the Issuer and specifies the number of shares of Common Stock it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 subsequent Fundamental Transaction Rights to be held similarly in abeyance) to the same extent as if there had been no such limitation. </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shall be applied as if this Warrant (and any such subsequent warrants) were fully exercisable and without regard to any limitations on the exercise of this Warrant.</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Issuer hereby covenants and agrees that the Issuer will not, by amendment of its certificate of incorporation (as in effect on the Issuance Date) or bylaws (as in effect on the Issuance Date) or through any reorganization, transfer of assets,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Issuer (a) shall not increase the par value of any shares of Common Stock receivable upon the exercise of this Warrant above the Exercise Price then in effect, and (b) shall take all such actions as may be necessary or appropriate in order that the Issuer may validly and legally issue fully paid and non-assessable shares of Common Stock upon the exercise of this Warrant.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its capacity as a holder of this Warrant, shall not be entitled to vote or receive dividends or be deemed the holder of share capital of the Issuer for any purpose, nor shall anything contained in this Warrant be construed to confer upon the Holder, solely in its capacity as the Holder of this Warrant, any of the rights of a stockholder of the Issuer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Issuer, whether such liabilities are asserted by the Issuer or by creditors of the Issuer.</w:t>
      </w:r>
    </w:p>
    <w:tbl>
      <w:tblPr>
        <w:tblW w:w="5000" w:type="pct"/>
        <w:jc w:val="left"/>
        <w:tblInd w:w="0" w:type="dxa"/>
        <w:tblLayout w:type="fixed"/>
        <w:tblCellMar>
          <w:top w:w="0" w:type="dxa"/>
          <w:left w:w="0" w:type="dxa"/>
          <w:bottom w:w="0" w:type="dxa"/>
          <w:right w:w="0" w:type="dxa"/>
        </w:tblCellMar>
      </w:tblPr>
      <w:tblGrid>
        <w:gridCol w:w="105"/>
        <w:gridCol w:w="557"/>
        <w:gridCol w:w="9543"/>
      </w:tblGrid>
      <w:tr>
        <w:trPr/>
        <w:tc>
          <w:tcPr>
            <w:tcW w:w="10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7.</w:t>
            </w:r>
          </w:p>
        </w:tc>
        <w:tc>
          <w:tcPr>
            <w:tcW w:w="9543" w:type="dxa"/>
            <w:tcBorders/>
            <w:vAlign w:val="center"/>
          </w:tcPr>
          <w:p>
            <w:pPr>
              <w:pStyle w:val="TableContents"/>
              <w:bidi w:val="0"/>
              <w:spacing w:before="0" w:after="283"/>
              <w:jc w:val="left"/>
              <w:rPr>
                <w:u w:val="single"/>
              </w:rPr>
            </w:pPr>
            <w:r>
              <w:rPr>
                <w:u w:val="single"/>
              </w:rPr>
              <w:t>REISSUANCE OF WARRANTS.</w:t>
            </w:r>
          </w:p>
        </w:tc>
      </w:tr>
    </w:tbl>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the Holder shall surrender this Warrant to the Issuer, whereupon the Issuer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Issuer of evidence reasonably satisfactory to the Issuer of the loss, theft, destruction or mutilation of this Warrant (as to which a written certification and the indemnification contemplated below shall suffice as such evidence), and, in the case of loss, theft or destruction, of any indemnification undertaking by the Holder to the Issuer in customary and reasonable form and, in the case of mutilation, upon surrender and cancellation of this Warrant, the Issuer shall execute and deliver to the Holder a new Warrant (in accordance with Section 7(d)) representing the right to purchase the Warrant Shares then underlying this Warrant.</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Exchangeable for Multiple Warrants</w:t>
      </w:r>
      <w:r>
        <w:rPr>
          <w:rFonts w:ascii="Times New Roman;Times;Serif" w:hAnsi="Times New Roman;Times;Serif"/>
          <w:b w:val="false"/>
          <w:i w:val="false"/>
          <w:caps w:val="false"/>
          <w:smallCaps w:val="false"/>
          <w:sz w:val="20"/>
        </w:rPr>
        <w:t>. This Warrant is exchangeable, upon the surrender hereof by the Holder at the principal office of the Issuer, for a new Warrant or Warrants (in accordance with Section 7(d)) representing in the aggregate the right to purchase the number of Warrant Shares then underlying this Warrant, and each such new Warrant will</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 the right to purchase such portion of such Warrant Shares as is designated by the Holder at the time of such surrender; provided, however, no warrants for fractional shares of Common Stock shall be given.</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Issuer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Article X of the Purchase Agreement. The Issuer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Issuer will give written notice to the Holder (i) promptly upon each adjustment of the Exercise Price and the number of Warrant Shares, setting forth in reasonable detail, and certifying, the calculation of such adjustment(s), (ii) at least ten (10) days prior to the date on which the Issuer closes its books or takes a record (A) with respect to any dividend or distribution upon the shares of Common Stock, or (B) for determining rights to vote with respect to any Fundamental Transaction, dissolution or liquidation, provided in each case that such information shall be made known to the public prior to or in conjunction with such notice being provided to the Holder, and (iii) at least ten (10) Business Days prior to the consummation of any Fundamental Transaction. It is expressly understood and agreed that the time of execution specified by the Holder in each Exercise Notice shall be definitive and may not be disputed or challenged by the Issuer, except in the case of manifest error.</w:t>
      </w:r>
    </w:p>
    <w:tbl>
      <w:tblPr>
        <w:tblW w:w="5000" w:type="pct"/>
        <w:jc w:val="left"/>
        <w:tblInd w:w="0" w:type="dxa"/>
        <w:tblLayout w:type="fixed"/>
        <w:tblCellMar>
          <w:top w:w="0" w:type="dxa"/>
          <w:left w:w="0" w:type="dxa"/>
          <w:bottom w:w="0" w:type="dxa"/>
          <w:right w:w="0" w:type="dxa"/>
        </w:tblCellMar>
      </w:tblPr>
      <w:tblGrid>
        <w:gridCol w:w="220"/>
        <w:gridCol w:w="1161"/>
        <w:gridCol w:w="8824"/>
      </w:tblGrid>
      <w:tr>
        <w:trPr/>
        <w:tc>
          <w:tcPr>
            <w:tcW w:w="2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9.</w:t>
            </w:r>
          </w:p>
        </w:tc>
        <w:tc>
          <w:tcPr>
            <w:tcW w:w="8824" w:type="dxa"/>
            <w:tcBorders/>
            <w:vAlign w:val="center"/>
          </w:tcPr>
          <w:p>
            <w:pPr>
              <w:pStyle w:val="TableContents"/>
              <w:bidi w:val="0"/>
              <w:spacing w:before="0" w:after="283"/>
              <w:jc w:val="left"/>
              <w:rPr/>
            </w:pPr>
            <w:r>
              <w:rPr>
                <w:u w:val="single"/>
              </w:rPr>
              <w:t>[RESERVED]</w:t>
            </w:r>
            <w:r>
              <w:rPr/>
              <w:t>.</w:t>
            </w:r>
          </w:p>
        </w:tc>
      </w:tr>
    </w:tbl>
    <w:p>
      <w:pPr>
        <w:pStyle w:val="TextBody"/>
        <w:bidi w:val="0"/>
        <w:spacing w:before="0" w:after="240"/>
        <w:ind w:left="100"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Issuer acknowledges and agrees that the Holder is not a fiduciary or agent of the Issuer. The Issuer shall not, and shall cause its officers, directors, employees and agents not to, provide the Holder with any material non-public information regarding the Issuer without the Holder’s prior written consent. Nothing in this Section 10 shall relieve the Holder of its obligations under applicable securities laws, including with respect to trading while in possession of material non-public information, or of any confidentiality obligations under the Purchase Agreement or any other written agreement with the Issuer.</w:t>
      </w:r>
    </w:p>
    <w:p>
      <w:pPr>
        <w:pStyle w:val="TextBody"/>
        <w:bidi w:val="0"/>
        <w:spacing w:before="0" w:after="240"/>
        <w:ind w:left="100"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This Warrant may be modified or amended, or the provisions hereof waived with the written consent of the Issuer and the Holder.</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Each of the Issuer and the Holder hereby irrevocably waives personal service of process and consents to process being served in any such suit, action or proceeding by mailing a copy thereof to such party at the address set forth in Article X of the Purchase Agreement and agrees that such service shall constitute good and sufficient service of process and notice thereof. Each of the Issuer and the Holder hereby irrevocably submits to the exclusive jurisdiction of the Supreme Court of New York, sitting in New York County, New York, and the United States District Court for the Southern District of New York, sitting in New York, New York, ,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either party from enforcing a final judgment or other court ruling obtained in accordance with this Section 13 in any other jurisdiction. </w:t>
      </w:r>
      <w:r>
        <w:rPr>
          <w:rFonts w:ascii="Times New Roman;Times;Serif" w:hAnsi="Times New Roman;Times;Serif"/>
          <w:b/>
          <w:i w:val="false"/>
          <w:caps w:val="false"/>
          <w:smallCaps w:val="false"/>
          <w:sz w:val="20"/>
        </w:rPr>
        <w:t>EACH OF THE ISSUER AND THE HOLDER HEREBY IRREVOCABLY WAIVES ANY RIGHT IT MAY HAVE TO, AND AGREES NOT TO REQUEST, A JURY TRIAL FOR THE ADJUDICATION OF ANY DISPUTE HEREUNDER OR IN CONNECTION WITH OR ARISING OUT OF THIS WARRANT OR ANY TRANSACTION CONTEMPLATED HEREBY.</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Warrant shall be deemed to be jointly drafted by the Issuer and the Holder and shall not be construed against any Person as the drafter hereof. The headings of this Warrant are for convenience of reference and shall not form part of, or affect the interpretation of, this Warrant.</w:t>
      </w:r>
    </w:p>
    <w:tbl>
      <w:tblPr>
        <w:tblW w:w="5000" w:type="pct"/>
        <w:jc w:val="left"/>
        <w:tblInd w:w="0" w:type="dxa"/>
        <w:tblLayout w:type="fixed"/>
        <w:tblCellMar>
          <w:top w:w="0" w:type="dxa"/>
          <w:left w:w="0" w:type="dxa"/>
          <w:bottom w:w="0" w:type="dxa"/>
          <w:right w:w="0" w:type="dxa"/>
        </w:tblCellMar>
      </w:tblPr>
      <w:tblGrid>
        <w:gridCol w:w="206"/>
        <w:gridCol w:w="1739"/>
        <w:gridCol w:w="8260"/>
      </w:tblGrid>
      <w:tr>
        <w:trPr/>
        <w:tc>
          <w:tcPr>
            <w:tcW w:w="20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pPr>
            <w:r>
              <w:rPr/>
              <w:t>15.</w:t>
            </w:r>
          </w:p>
        </w:tc>
        <w:tc>
          <w:tcPr>
            <w:tcW w:w="8260" w:type="dxa"/>
            <w:tcBorders/>
            <w:vAlign w:val="center"/>
          </w:tcPr>
          <w:p>
            <w:pPr>
              <w:pStyle w:val="TableContents"/>
              <w:bidi w:val="0"/>
              <w:spacing w:before="0" w:after="283"/>
              <w:jc w:val="left"/>
              <w:rPr/>
            </w:pPr>
            <w:r>
              <w:rPr>
                <w:u w:val="single"/>
              </w:rPr>
              <w:t>[RESERVED]</w:t>
            </w:r>
            <w:r>
              <w:rPr/>
              <w:t>.</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1"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Transaction Documents, at law or in equity (including a decree of specific performance and/or other injunctive relief); provided that in no event shall either party be liable to the other for any consequential, special, incidental, indirect or punitive damages. The Issuer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Issuer (or the performance thereof). Each party acknowledges that a breach by it of its obligations hereunder may cause irreparable harm to the other party and that the remedy at law for any such breach may be inadequate. Each party therefore agrees that, in the event of any such breach or threatened breach, the other party shall be entitled, in addition to all other available remedies, to seek specific performance and/or temporary, preliminary and permanent injunctive or other equitable relief from any court of competent jurisdiction in any such case without the necessity of proving actual damages and without posting a bond or other security. The Issuer shall provide all information and documentation to the Holder that is reasonably requested by the Holder to enable the Holder to confirm the Issuer’s compliance with the terms and conditions of this Warrant. The issuance of shares and certificates for shares as contemplated hereby upon the exercise of this Warrant shall be made without charge to the Holder or such shares for any issuance tax or other costs in respect thereof, provided that the Issuer shall not be required to pay any tax which may be payable in respect of any transfer involved in the issuance and delivery of any certificate in a name other than the Holder or its agent on its behalf.</w:t>
      </w:r>
    </w:p>
    <w:p>
      <w:pPr>
        <w:pStyle w:val="TextBody"/>
        <w:bidi w:val="0"/>
        <w:spacing w:before="0" w:after="240"/>
        <w:ind w:left="101"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In any action or proceeding to enforce the provisions of this Warrant, the prevailing party, as determined by a court of competent jurisdiction in a final, non-appealable judgment, shall be entitled to recover from the non-prevailing party its reasonable and documented out-of-pocket costs incurred in connection therewith, including, without limitation, reasonable attorneys’ fees and expenses.</w:t>
      </w:r>
    </w:p>
    <w:p>
      <w:pPr>
        <w:pStyle w:val="TextBody"/>
        <w:bidi w:val="0"/>
        <w:spacing w:before="0" w:after="240"/>
        <w:ind w:left="100"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and all rights hereunder are transferable without the consent of the Issuer, except as may otherwise be required by applicable securities laws.</w:t>
      </w:r>
    </w:p>
    <w:p>
      <w:pPr>
        <w:pStyle w:val="TextBody"/>
        <w:bidi w:val="0"/>
        <w:spacing w:before="0" w:after="240"/>
        <w:ind w:left="100" w:right="15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Issuer’s Common Stock would or could be aggregated with the Holder’s and the other Attribution Parties for purposes of Section 13(d) of the Exchange Act.</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shares of common stock, $0.0001 par value per share, of the Issuer, and (ii) any capital stock into which such common stock shall have been changed or any share capital resulting from a reclassification of such common stock.</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240"/>
        <w:ind w:left="100" w:right="15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240"/>
        <w:ind w:left="100" w:right="15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 Trading Market, or, if there is more than one such Person or Parent Entity, the Person or Parent Entity with the largest public market capitalization as of the date of consummation of the Fundamental Transaction.</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Trading Market is open for trading.</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OTCQB; provided however, that in the event the Common Stock is ever listed or traded on the Nasdaq Capital Market, Nasdaq Global Select Market, the Nasdaq Global Market, the New York Stock Exchange, or the NYSE American, then the “Trading Market” shall mean such other market or exchange on which the Common Stock is then listed or traded to the extent such other market or exchange is the principal trading</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1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or exchange for the Common Stock.</w:t>
      </w:r>
    </w:p>
    <w:p>
      <w:pPr>
        <w:pStyle w:val="TextBody"/>
        <w:bidi w:val="0"/>
        <w:spacing w:before="0" w:after="240"/>
        <w:ind w:left="10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the Purchase Agreement, all exhibits and schedule thereto and this Warrant.</w:t>
      </w:r>
    </w:p>
    <w:p>
      <w:pPr>
        <w:pStyle w:val="TextBody"/>
        <w:bidi w:val="0"/>
        <w:spacing w:before="0" w:after="240"/>
        <w:ind w:left="560" w:right="617"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60" w:after="60"/>
        <w:ind w:left="100" w:right="104"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Issuer has caused this Warrant to purchase Common Stock to be duly executed as of the Issuance Date set out above.</w:t>
      </w:r>
    </w:p>
    <w:p>
      <w:pPr>
        <w:pStyle w:val="TextBody"/>
        <w:bidi w:val="0"/>
        <w:spacing w:before="240" w:after="240"/>
        <w:ind w:left="442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32" w:after="132"/>
        <w:ind w:left="132" w:right="132"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6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ind w:left="478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 and accepted by:</w:t>
      </w:r>
    </w:p>
    <w:p>
      <w:pPr>
        <w:pStyle w:val="TextBody"/>
        <w:bidi w:val="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YA II PN, Ltd.</w:t>
            </w:r>
          </w:p>
        </w:tc>
      </w:tr>
      <w:tr>
        <w:trPr/>
        <w:tc>
          <w:tcPr>
            <w:tcW w:w="317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20"/>
              </w:rPr>
            </w:pPr>
            <w:r>
              <w:rPr>
                <w:sz w:val="20"/>
              </w:rPr>
              <w:t>By:</w:t>
              <w:tab/>
              <w:t>Yorkville Advisors Global, LP</w:t>
            </w:r>
          </w:p>
        </w:tc>
      </w:tr>
      <w:tr>
        <w:trPr/>
        <w:tc>
          <w:tcPr>
            <w:tcW w:w="3170" w:type="dxa"/>
            <w:tcBorders/>
            <w:vAlign w:val="center"/>
          </w:tcPr>
          <w:p>
            <w:pPr>
              <w:pStyle w:val="TableContents"/>
              <w:bidi w:val="0"/>
              <w:spacing w:before="0" w:after="283"/>
              <w:jc w:val="left"/>
              <w:rPr>
                <w:sz w:val="20"/>
              </w:rPr>
            </w:pPr>
            <w:r>
              <w:rPr>
                <w:sz w:val="20"/>
              </w:rPr>
              <w:t>Its:</w:t>
              <w:tab/>
              <w:t>Investment Manager</w:t>
            </w:r>
          </w:p>
        </w:tc>
      </w:tr>
      <w:tr>
        <w:trPr/>
        <w:tc>
          <w:tcPr>
            <w:tcW w:w="3170" w:type="dxa"/>
            <w:tcBorders/>
            <w:vAlign w:val="center"/>
          </w:tcPr>
          <w:p>
            <w:pPr>
              <w:pStyle w:val="TableContents"/>
              <w:bidi w:val="0"/>
              <w:ind w:left="720" w:right="0" w:hanging="0"/>
              <w:jc w:val="left"/>
              <w:rPr>
                <w:caps w:val="false"/>
                <w:smallCaps w:val="false"/>
              </w:rPr>
            </w:pPr>
            <w:r>
              <w:rPr>
                <w:caps w:val="false"/>
                <w:smallCaps w:val="false"/>
              </w:rPr>
              <w:t> </w:t>
            </w:r>
          </w:p>
          <w:p>
            <w:pPr>
              <w:pStyle w:val="TableContents"/>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tab/>
              <w:t>Yorkville Advisors Global II, LLC</w:t>
            </w:r>
          </w:p>
          <w:p>
            <w:pPr>
              <w:pStyle w:val="TableContents"/>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tab/>
              <w:t>General Partner</w:t>
            </w:r>
          </w:p>
          <w:p>
            <w:pPr>
              <w:pStyle w:val="TableContents"/>
              <w:bidi w:val="0"/>
              <w:spacing w:before="0" w:after="283"/>
              <w:ind w:left="720" w:right="0" w:hanging="0"/>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sz w:val="20"/>
              </w:rPr>
            </w:pPr>
            <w:r>
              <w:rPr>
                <w:sz w:val="20"/>
              </w:rPr>
              <w:tab/>
              <w:t>By:</w:t>
            </w:r>
            <w:r>
              <w:rPr>
                <w:sz w:val="20"/>
                <w:u w:val="single"/>
              </w:rPr>
              <w:t>                             </w:t>
            </w:r>
          </w:p>
        </w:tc>
      </w:tr>
      <w:tr>
        <w:trPr/>
        <w:tc>
          <w:tcPr>
            <w:tcW w:w="3170" w:type="dxa"/>
            <w:tcBorders/>
            <w:vAlign w:val="center"/>
          </w:tcPr>
          <w:p>
            <w:pPr>
              <w:pStyle w:val="TableContents"/>
              <w:bidi w:val="0"/>
              <w:spacing w:before="0" w:after="283"/>
              <w:jc w:val="left"/>
              <w:rPr>
                <w:sz w:val="20"/>
              </w:rPr>
            </w:pPr>
            <w:r>
              <w:rPr>
                <w:sz w:val="20"/>
              </w:rPr>
              <w:tab/>
              <w:t>Name:</w:t>
              <w:tab/>
              <w:t>Matthew Beckman</w:t>
            </w:r>
          </w:p>
        </w:tc>
      </w:tr>
      <w:tr>
        <w:trPr/>
        <w:tc>
          <w:tcPr>
            <w:tcW w:w="3170" w:type="dxa"/>
            <w:tcBorders/>
            <w:vAlign w:val="center"/>
          </w:tcPr>
          <w:p>
            <w:pPr>
              <w:pStyle w:val="TableContents"/>
              <w:bidi w:val="0"/>
              <w:spacing w:before="0" w:after="283"/>
              <w:jc w:val="left"/>
              <w:rPr>
                <w:sz w:val="20"/>
              </w:rPr>
            </w:pPr>
            <w:r>
              <w:rPr>
                <w:sz w:val="20"/>
              </w:rPr>
              <w:tab/>
              <w:t>Title:</w:t>
              <w:tab/>
              <w:t>Manager</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60" w:after="60"/>
        <w:ind w:left="159" w:right="15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240" w:after="240"/>
        <w:ind w:left="59" w:right="5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240" w:after="240"/>
        <w:ind w:left="559" w:right="61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w:t>
      </w:r>
    </w:p>
    <w:p>
      <w:pPr>
        <w:pStyle w:val="TextBody"/>
        <w:bidi w:val="0"/>
        <w:ind w:left="560" w:right="61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240" w:after="240"/>
        <w:ind w:left="559" w:right="617" w:hanging="0"/>
        <w:jc w:val="center"/>
        <w:rPr>
          <w:rFonts w:ascii="Times New Roman;Times;Serif" w:hAnsi="Times New Roman;Times;Serif"/>
          <w:b/>
          <w:i w:val="false"/>
          <w:caps/>
          <w:sz w:val="20"/>
        </w:rPr>
      </w:pPr>
      <w:r>
        <w:rPr>
          <w:rFonts w:ascii="Times New Roman;Times;Serif" w:hAnsi="Times New Roman;Times;Serif"/>
          <w:b/>
          <w:i w:val="false"/>
          <w:caps/>
          <w:sz w:val="20"/>
        </w:rPr>
        <w:t>BIOATLA, INC.</w:t>
      </w:r>
    </w:p>
    <w:p>
      <w:pPr>
        <w:pStyle w:val="TextBody"/>
        <w:bidi w:val="0"/>
        <w:spacing w:before="240" w:after="240"/>
        <w:ind w:left="100" w:right="15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elects to exercise the Warrant to purchase Common Stock No. [•]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of BioAtla, Inc., a Delaware corporation as specified below. Capitalized terms used herein and not otherwise defined shall have the respective meanings set forth in the Warrant.</w:t>
      </w:r>
    </w:p>
    <w:p>
      <w:pPr>
        <w:pStyle w:val="TextBody"/>
        <w:bidi w:val="0"/>
        <w:spacing w:before="240" w:after="240"/>
        <w:ind w:left="100" w:right="157"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Form of Exercise Price</w:t>
      </w:r>
      <w:r>
        <w:rPr>
          <w:rFonts w:ascii="Times New Roman;Times;Serif" w:hAnsi="Times New Roman;Times;Serif"/>
          <w:b w:val="false"/>
          <w:i w:val="false"/>
          <w:caps w:val="false"/>
          <w:smallCaps w:val="false"/>
          <w:sz w:val="20"/>
        </w:rPr>
        <w:t>. The Holder intends that payment of the Aggregate Exercise Price shall be made as:</w:t>
      </w:r>
    </w:p>
    <w:p>
      <w:pPr>
        <w:pStyle w:val="TextBody"/>
        <w:bidi w:val="0"/>
        <w:spacing w:before="120" w:after="120"/>
        <w:ind w:left="144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“Cash Exercise” with respect to </w:t>
        <w:tab/>
        <w:tab/>
        <w:t>Warrant Shares; and/or</w:t>
      </w:r>
    </w:p>
    <w:p>
      <w:pPr>
        <w:pStyle w:val="TextBody"/>
        <w:bidi w:val="0"/>
        <w:spacing w:before="120" w:after="120"/>
        <w:ind w:left="144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“Cashless Exercise” with respect to </w:t>
        <w:tab/>
        <w:t xml:space="preserve"> </w:t>
        <w:tab/>
        <w:t>Warrant Shares.</w:t>
      </w:r>
    </w:p>
    <w:p>
      <w:pPr>
        <w:pStyle w:val="TextBody"/>
        <w:bidi w:val="0"/>
        <w:spacing w:before="120" w:after="120"/>
        <w:ind w:left="12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Holder has elected a Cashless Exercise with respect to some or all of the Warrant Shares to be issued pursuant hereto, the Holder hereby represents and warrants that this Exercise Notice was executed by the Holder at </w:t>
        <w:tab/>
        <w:t>[a.m.][p.m.] on the date set forth below.</w:t>
      </w:r>
    </w:p>
    <w:p>
      <w:pPr>
        <w:pStyle w:val="TextBody"/>
        <w:bidi w:val="0"/>
        <w:spacing w:before="120" w:after="120"/>
        <w:ind w:left="12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 to BioAtla, Inc. (the “Issuer”) in accordance with the terms of the Warrant.</w:t>
      </w:r>
    </w:p>
    <w:p>
      <w:pPr>
        <w:pStyle w:val="TextBody"/>
        <w:bidi w:val="0"/>
        <w:spacing w:before="120" w:after="120"/>
        <w:ind w:left="120" w:right="1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Issuer shall deliver to Holder, or its designee or agent as specified below, ________________ shares of Common Stock in accordance with the terms of the Warrant. Delivery shall be made to Holder, or for its benefit, as follows:</w:t>
      </w:r>
    </w:p>
    <w:p>
      <w:pPr>
        <w:pStyle w:val="TextBody"/>
        <w:bidi w:val="0"/>
        <w:spacing w:before="240" w:after="240"/>
        <w:ind w:left="10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extBody"/>
        <w:bidi w:val="0"/>
        <w:spacing w:before="204" w:after="204"/>
        <w:ind w:left="204" w:right="204" w:hanging="0"/>
        <w:jc w:val="both"/>
        <w:rPr>
          <w:caps w:val="false"/>
          <w:smallCaps w:val="false"/>
        </w:rPr>
      </w:pPr>
      <w:r>
        <w:rPr>
          <w:caps w:val="false"/>
          <w:smallCaps w:val="false"/>
        </w:rPr>
        <w:t> </w:t>
      </w:r>
    </w:p>
    <w:p>
      <w:pPr>
        <w:pStyle w:val="TextBody"/>
        <w:bidi w:val="0"/>
        <w:ind w:left="92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to:</w:t>
        <w:tab/>
      </w:r>
    </w:p>
    <w:p>
      <w:pPr>
        <w:pStyle w:val="TextBody"/>
        <w:bidi w:val="0"/>
        <w:ind w:left="928"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w:t>
      </w:r>
    </w:p>
    <w:p>
      <w:pPr>
        <w:pStyle w:val="TextBody"/>
        <w:bidi w:val="0"/>
        <w:spacing w:before="147" w:after="147"/>
        <w:ind w:left="147" w:right="147" w:hanging="0"/>
        <w:jc w:val="left"/>
        <w:rPr>
          <w:caps w:val="false"/>
          <w:smallCaps w:val="false"/>
        </w:rPr>
      </w:pPr>
      <w:r>
        <w:rPr>
          <w:caps w:val="false"/>
          <w:smallCaps w:val="false"/>
        </w:rPr>
        <w:t> </w:t>
      </w:r>
    </w:p>
    <w:p>
      <w:pPr>
        <w:pStyle w:val="TextBody"/>
        <w:bidi w:val="0"/>
        <w:ind w:left="928"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w:t>
      </w:r>
    </w:p>
    <w:p>
      <w:pPr>
        <w:pStyle w:val="TextBody"/>
        <w:bidi w:val="0"/>
        <w:spacing w:before="228" w:after="228"/>
        <w:ind w:left="228" w:right="228" w:hanging="0"/>
        <w:jc w:val="left"/>
        <w:rPr>
          <w:caps w:val="false"/>
          <w:smallCaps w:val="false"/>
        </w:rPr>
      </w:pPr>
      <w:r>
        <w:rPr>
          <w:caps w:val="false"/>
          <w:smallCaps w:val="false"/>
        </w:rPr>
        <w:t> </w:t>
      </w:r>
    </w:p>
    <w:p>
      <w:pPr>
        <w:pStyle w:val="TextBody"/>
        <w:bidi w:val="0"/>
        <w:spacing w:before="33" w:after="33"/>
        <w:ind w:left="33" w:right="33"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ind w:left="2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                          </w:t>
      </w:r>
    </w:p>
    <w:p>
      <w:pPr>
        <w:pStyle w:val="TextBody"/>
        <w:bidi w:val="0"/>
        <w:jc w:val="left"/>
        <w:rPr>
          <w:caps w:val="false"/>
          <w:smallCaps w:val="false"/>
        </w:rPr>
      </w:pPr>
      <w:r>
        <w:rPr>
          <w:caps w:val="false"/>
          <w:smallCaps w:val="false"/>
        </w:rPr>
        <w:t> </w:t>
      </w:r>
    </w:p>
    <w:p>
      <w:pPr>
        <w:pStyle w:val="TextBody"/>
        <w:bidi w:val="0"/>
        <w:spacing w:before="12" w:after="12"/>
        <w:ind w:left="12" w:right="12"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2009775" cy="19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9"/>
                    <a:stretch>
                      <a:fillRect/>
                    </a:stretch>
                  </pic:blipFill>
                  <pic:spPr bwMode="auto">
                    <a:xfrm>
                      <a:off x="0" y="0"/>
                      <a:ext cx="2009775" cy="19050"/>
                    </a:xfrm>
                    <a:prstGeom prst="rect">
                      <a:avLst/>
                    </a:prstGeom>
                  </pic:spPr>
                </pic:pic>
              </a:graphicData>
            </a:graphic>
          </wp:inline>
        </w:drawing>
      </w:r>
    </w:p>
    <w:p>
      <w:pPr>
        <w:pStyle w:val="TextBody"/>
        <w:bidi w:val="0"/>
        <w:spacing w:before="14" w:after="14"/>
        <w:ind w:left="208"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240" w:after="240"/>
        <w:ind w:left="240" w:right="24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8795"/>
        <w:gridCol w:w="1334"/>
      </w:tblGrid>
      <w:tr>
        <w:trPr/>
        <w:tc>
          <w:tcPr>
            <w:tcW w:w="76" w:type="dxa"/>
            <w:tcBorders/>
            <w:vAlign w:val="center"/>
          </w:tcPr>
          <w:p>
            <w:pPr>
              <w:pStyle w:val="TableContents"/>
              <w:bidi w:val="0"/>
              <w:spacing w:before="0" w:after="283"/>
              <w:jc w:val="left"/>
              <w:rPr>
                <w:sz w:val="4"/>
                <w:szCs w:val="4"/>
              </w:rPr>
            </w:pPr>
            <w:r>
              <w:rPr>
                <w:sz w:val="4"/>
                <w:szCs w:val="4"/>
              </w:rPr>
            </w:r>
          </w:p>
        </w:tc>
        <w:tc>
          <w:tcPr>
            <w:tcW w:w="8795" w:type="dxa"/>
            <w:tcBorders/>
            <w:vAlign w:val="center"/>
          </w:tcPr>
          <w:p>
            <w:pPr>
              <w:pStyle w:val="TableContents"/>
              <w:bidi w:val="0"/>
              <w:spacing w:before="0" w:after="283"/>
              <w:jc w:val="left"/>
              <w:rPr/>
            </w:pPr>
            <w:r>
              <w:rPr/>
              <w:t>By: _________________________________</w:t>
            </w:r>
          </w:p>
        </w:tc>
        <w:tc>
          <w:tcPr>
            <w:tcW w:w="1334" w:type="dxa"/>
            <w:tcBorders/>
            <w:vAlign w:val="center"/>
          </w:tcPr>
          <w:p>
            <w:pPr>
              <w:pStyle w:val="TableContents"/>
              <w:bidi w:val="0"/>
              <w:spacing w:before="0" w:after="283"/>
              <w:jc w:val="left"/>
              <w:rPr/>
            </w:pPr>
            <w:r>
              <w:rPr/>
              <w:t>Name:</w:t>
            </w:r>
          </w:p>
        </w:tc>
      </w:tr>
    </w:tbl>
    <w:p>
      <w:pPr>
        <w:pStyle w:val="TextBody"/>
        <w:bidi w:val="0"/>
        <w:ind w:left="57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0" w:after="0"/>
        <w:ind w:left="56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Facsimile:</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E-mail Address:</w:t>
      </w:r>
      <w:r>
        <w:rPr>
          <w:rFonts w:ascii="Times New Roman;Times;Serif" w:hAnsi="Times New Roman;Times;Serif"/>
          <w:b w:val="false"/>
          <w:i w:val="false"/>
          <w:caps w:val="false"/>
          <w:smallCaps w:val="false"/>
          <w:sz w:val="20"/>
          <w:u w:val="singl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60" w:after="60"/>
        <w:ind w:left="159" w:right="15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240" w:after="240"/>
        <w:ind w:left="560" w:right="61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240" w:after="240"/>
        <w:ind w:left="100" w:right="106"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hereby acknowledges this Exercise Notice and hereby directs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xml:space="preserve"> to issue the above indicated number of shares of Common Stock in accordance with the Transfer Agent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Instructions dated </w:t>
      </w:r>
      <w:r>
        <w:rPr>
          <w:rFonts w:ascii="Times New Roman;Times;Serif" w:hAnsi="Times New Roman;Times;Serif"/>
          <w:b w:val="false"/>
          <w:i w:val="false"/>
          <w:caps w:val="false"/>
          <w:smallCaps w:val="false"/>
          <w:sz w:val="20"/>
          <w:u w:val="single"/>
        </w:rPr>
        <w:t>                  </w:t>
        <w:tab/>
      </w:r>
      <w:r>
        <w:rPr>
          <w:rFonts w:ascii="Times New Roman;Times;Serif" w:hAnsi="Times New Roman;Times;Serif"/>
          <w:b w:val="false"/>
          <w:i w:val="false"/>
          <w:caps w:val="false"/>
          <w:smallCaps w:val="false"/>
          <w:sz w:val="20"/>
        </w:rPr>
        <w:t>, 202_,</w:t>
      </w:r>
    </w:p>
    <w:p>
      <w:pPr>
        <w:pStyle w:val="TextBody"/>
        <w:bidi w:val="0"/>
        <w:ind w:left="100" w:right="0" w:firstLine="18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ind w:left="8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Issuer and acknowledged and agreed to by</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ind w:left="44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989"/>
        <w:gridCol w:w="9114"/>
      </w:tblGrid>
      <w:tr>
        <w:trPr/>
        <w:tc>
          <w:tcPr>
            <w:tcW w:w="10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pPr>
            <w:r>
              <w:rPr/>
              <w:t>By:</w:t>
            </w:r>
          </w:p>
        </w:tc>
        <w:tc>
          <w:tcPr>
            <w:tcW w:w="9114" w:type="dxa"/>
            <w:tcBorders/>
            <w:vAlign w:val="center"/>
          </w:tcPr>
          <w:p>
            <w:pPr>
              <w:pStyle w:val="TableContents"/>
              <w:bidi w:val="0"/>
              <w:spacing w:before="0" w:after="283"/>
              <w:jc w:val="left"/>
              <w:rPr/>
            </w:pPr>
            <w:r>
              <w:rPr/>
              <w:t>Name: ______________________</w:t>
            </w:r>
          </w:p>
        </w:tc>
      </w:tr>
    </w:tbl>
    <w:p>
      <w:pPr>
        <w:pStyle w:val="TextBody"/>
        <w:bidi w:val="0"/>
        <w:ind w:left="47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ind w:left="478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ind w:left="478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345" w:name="n5620x9_ex5-1.htm"/>
      <w:bookmarkStart w:id="1346" w:name="ksn5620x9_ex51"/>
      <w:bookmarkEnd w:id="1345"/>
      <w:bookmarkEnd w:id="134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47775" cy="70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0"/>
                    <a:stretch>
                      <a:fillRect/>
                    </a:stretch>
                  </pic:blipFill>
                  <pic:spPr bwMode="auto">
                    <a:xfrm>
                      <a:off x="0" y="0"/>
                      <a:ext cx="1247775" cy="704850"/>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360"/>
        <w:gridCol w:w="3050"/>
      </w:tblGrid>
      <w:tr>
        <w:trPr/>
        <w:tc>
          <w:tcPr>
            <w:tcW w:w="23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11085 Torreyana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92121</w:t>
            </w:r>
          </w:p>
        </w:tc>
        <w:tc>
          <w:tcPr>
            <w:tcW w:w="305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Orrick, Herrington &amp; Sutcliffe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Orrick Building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 Howard Street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94105-2669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+1-415-773-5700</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orrick.com</w:t>
            </w:r>
          </w:p>
        </w:tc>
      </w:tr>
    </w:tbl>
    <w:p>
      <w:pPr>
        <w:pStyle w:val="TextBody"/>
        <w:bidi w:val="0"/>
        <w:spacing w:before="0" w:after="0"/>
        <w:ind w:left="0"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35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1265" w:type="dxa"/>
            <w:tcBorders/>
            <w:vAlign w:val="center"/>
          </w:tcPr>
          <w:p>
            <w:pPr>
              <w:pStyle w:val="TableContents"/>
              <w:bidi w:val="0"/>
              <w:spacing w:before="0" w:after="283"/>
              <w:jc w:val="both"/>
              <w:rPr/>
            </w:pPr>
            <w:r>
              <w:rPr/>
              <w:t>BioAtla, Inc.</w:t>
            </w:r>
          </w:p>
        </w:tc>
      </w:tr>
    </w:tbl>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S-1</w:t>
      </w:r>
    </w:p>
    <w:p>
      <w:pPr>
        <w:pStyle w:val="TextBody"/>
        <w:bidi w:val="0"/>
        <w:spacing w:before="0" w:after="0"/>
        <w:ind w:left="0" w:right="0" w:firstLine="5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BioAtla,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by the Company of a Registration Statement on Form S-1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including a related prospectus filed with the Registration Statement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covering the resale of up to (i) 8,000,000 shares of Company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which may be issued to YA II PN, Ltd., a Cayman Islands exempt limited company (the “</w:t>
      </w:r>
      <w:r>
        <w:rPr>
          <w:rFonts w:ascii="Times New Roman;Times;Serif" w:hAnsi="Times New Roman;Times;Serif"/>
          <w:b/>
          <w:i/>
          <w:caps w:val="false"/>
          <w:smallCaps w:val="false"/>
          <w:sz w:val="20"/>
        </w:rPr>
        <w:t>Selling Stockholder</w:t>
      </w:r>
      <w:r>
        <w:rPr>
          <w:rFonts w:ascii="Times New Roman;Times;Serif" w:hAnsi="Times New Roman;Times;Serif"/>
          <w:b w:val="false"/>
          <w:i w:val="false"/>
          <w:caps w:val="false"/>
          <w:smallCaps w:val="false"/>
          <w:sz w:val="20"/>
        </w:rPr>
        <w:t>”), in the form of one or more advances (the “</w:t>
      </w:r>
      <w:r>
        <w:rPr>
          <w:rFonts w:ascii="Times New Roman;Times;Serif" w:hAnsi="Times New Roman;Times;Serif"/>
          <w:b/>
          <w:i/>
          <w:caps w:val="false"/>
          <w:smallCaps w:val="false"/>
          <w:sz w:val="20"/>
        </w:rPr>
        <w:t>Advance Shares</w:t>
      </w:r>
      <w:r>
        <w:rPr>
          <w:rFonts w:ascii="Times New Roman;Times;Serif" w:hAnsi="Times New Roman;Times;Serif"/>
          <w:b w:val="false"/>
          <w:i w:val="false"/>
          <w:caps w:val="false"/>
          <w:smallCaps w:val="false"/>
          <w:sz w:val="20"/>
        </w:rPr>
        <w:t xml:space="preserve">”) pursuant to the terms of that certain Standby Equity Purchase Agreement dated as of October </w:t>
      </w:r>
      <w:r>
        <w:rPr>
          <w:rFonts w:ascii="Times New Roman;Times;Serif" w:hAnsi="Times New Roman;Times;Serif"/>
          <w:b w:val="false"/>
          <w:i w:val="false"/>
          <w:caps w:val="false"/>
          <w:smallCaps w:val="false"/>
          <w:color w:val="231F20"/>
          <w:sz w:val="20"/>
        </w:rPr>
        <w:t>15</w:t>
      </w:r>
      <w:r>
        <w:rPr>
          <w:rFonts w:ascii="Times New Roman;Times;Serif" w:hAnsi="Times New Roman;Times;Serif"/>
          <w:b w:val="false"/>
          <w:i w:val="false"/>
          <w:caps w:val="false"/>
          <w:smallCaps w:val="false"/>
          <w:sz w:val="20"/>
        </w:rPr>
        <w:t>, 2026 (the “</w:t>
      </w:r>
      <w:r>
        <w:rPr>
          <w:rFonts w:ascii="Times New Roman;Times;Serif" w:hAnsi="Times New Roman;Times;Serif"/>
          <w:b/>
          <w:i/>
          <w:caps w:val="false"/>
          <w:smallCaps w:val="false"/>
          <w:sz w:val="20"/>
        </w:rPr>
        <w:t>SEPA</w:t>
      </w:r>
      <w:r>
        <w:rPr>
          <w:rFonts w:ascii="Times New Roman;Times;Serif" w:hAnsi="Times New Roman;Times;Serif"/>
          <w:b w:val="false"/>
          <w:i w:val="false"/>
          <w:caps w:val="false"/>
          <w:smallCaps w:val="false"/>
          <w:sz w:val="20"/>
        </w:rPr>
        <w:t xml:space="preserve">”), and (ii) </w:t>
      </w:r>
      <w:r>
        <w:rPr>
          <w:rFonts w:ascii="Times New Roman;Times;Serif" w:hAnsi="Times New Roman;Times;Serif"/>
          <w:b w:val="false"/>
          <w:i w:val="false"/>
          <w:caps w:val="false"/>
          <w:smallCaps w:val="false"/>
          <w:color w:val="231F20"/>
          <w:sz w:val="20"/>
        </w:rPr>
        <w:t xml:space="preserve">182,110 </w:t>
      </w:r>
      <w:r>
        <w:rPr>
          <w:rFonts w:ascii="Times New Roman;Times;Serif" w:hAnsi="Times New Roman;Times;Serif"/>
          <w:b w:val="false"/>
          <w:i w:val="false"/>
          <w:caps w:val="false"/>
          <w:smallCaps w:val="false"/>
          <w:sz w:val="20"/>
        </w:rPr>
        <w:t>shares of Common Stock (the “</w:t>
      </w:r>
      <w:r>
        <w:rPr>
          <w:rFonts w:ascii="Times New Roman;Times;Serif" w:hAnsi="Times New Roman;Times;Serif"/>
          <w:b/>
          <w:i/>
          <w:caps w:val="false"/>
          <w:smallCaps w:val="false"/>
          <w:sz w:val="20"/>
        </w:rPr>
        <w:t>Commitment Shares</w:t>
      </w:r>
      <w:r>
        <w:rPr>
          <w:rFonts w:ascii="Times New Roman;Times;Serif" w:hAnsi="Times New Roman;Times;Serif"/>
          <w:b w:val="false"/>
          <w:i w:val="false"/>
          <w:caps w:val="false"/>
          <w:smallCaps w:val="false"/>
          <w:sz w:val="20"/>
        </w:rPr>
        <w:t>,” and together with the Advance Shares, the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issuable to the Selling Stockholder upon exercise of warrants (the “</w:t>
      </w:r>
      <w:r>
        <w:rPr>
          <w:rFonts w:ascii="Times New Roman;Times;Serif" w:hAnsi="Times New Roman;Times;Serif"/>
          <w:b/>
          <w:i/>
          <w:caps w:val="false"/>
          <w:smallCaps w:val="false"/>
          <w:sz w:val="20"/>
        </w:rPr>
        <w:t>Commitment Fee Warrants</w:t>
      </w:r>
      <w:r>
        <w:rPr>
          <w:rFonts w:ascii="Times New Roman;Times;Serif" w:hAnsi="Times New Roman;Times;Serif"/>
          <w:b w:val="false"/>
          <w:i w:val="false"/>
          <w:caps w:val="false"/>
          <w:smallCaps w:val="false"/>
          <w:sz w:val="20"/>
        </w:rPr>
        <w:t xml:space="preserve">”) as payment of a portion of the $500,000 commitment fee payable to the Selling Stockholder under the SEPA. </w:t>
      </w:r>
      <w:r>
        <w:rPr>
          <w:rFonts w:ascii="Times New Roman;Times;Serif" w:hAnsi="Times New Roman;Times;Serif"/>
          <w:b w:val="false"/>
          <w:i w:val="false"/>
          <w:caps w:val="false"/>
          <w:smallCaps w:val="false"/>
          <w:sz w:val="20"/>
          <w:shd w:fill="FFFFFF" w:val="clear"/>
        </w:rPr>
        <w:t>All of the Registrable Securities are being registered on behalf of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and relied upon (i) the Registration Statement and the Prospectus; (ii) the Company’s Amended and Restated Certificate of Incorporation and Amended and Restated Bylaws, each as currently in effect; (iii) the SEPA; (iv) the Commitment Fee Warrants; and (v) originals or copies, certified or otherwise, identified to our satisfaction, of such corporate records of the Company, such certificates of public officials, officers of the Company and other persons, and such other documents, agreements and instruments as we have deemed relevant and necessary for the purpose of rendering our opinion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following: (i) the authenticity of original documents and the genuineness of all signatures; (ii) the conformity to the originals of all documents submitted to us as copies; (iii) the legal competence of all signatories to such documents; and (iv) the truth, accuracy, and completeness of the information, factual matters, representations and warranties contained in the records, documents, instruments, and certificates we have reviewed.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w:t>
      </w:r>
      <w:r>
        <w:rPr>
          <w:rFonts w:ascii="Times New Roman;Times;Serif" w:hAnsi="Times New Roman;Times;Serif"/>
          <w:b w:val="false"/>
          <w:i w:val="false"/>
          <w:caps w:val="false"/>
          <w:smallCaps w:val="false"/>
          <w:sz w:val="20"/>
          <w:shd w:fill="FFFFFF" w:val="clear"/>
        </w:rPr>
        <w:t xml:space="preserve">: (i) the Advance Shares have been duly authorized and, when issued in accordance with the terms of the SEPA, will be validly issued, fully paid and nonassessable, and (ii) the </w:t>
      </w:r>
      <w:r>
        <w:rPr>
          <w:rFonts w:ascii="Times New Roman;Times;Serif" w:hAnsi="Times New Roman;Times;Serif"/>
          <w:b w:val="false"/>
          <w:i w:val="false"/>
          <w:caps w:val="false"/>
          <w:smallCaps w:val="false"/>
          <w:sz w:val="20"/>
        </w:rPr>
        <w:t>Commitment Shares have been duly authorized and, when issued upon exercise of the Commitment Fee Warrants in accordance with their terms, will be validly issued, fully paid and nonassessable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Inc.</w:t>
      </w:r>
    </w:p>
    <w:p>
      <w:pPr>
        <w:pStyle w:val="TextBody"/>
        <w:bidi w:val="0"/>
        <w:spacing w:before="0" w:after="0"/>
        <w:ind w:left="0" w:right="0" w:hanging="0"/>
        <w:jc w:val="left"/>
        <w:rPr/>
      </w:pPr>
      <w:r>
        <w:rPr/>
        <w:t xml:space="preserve">October </w:t>
      </w:r>
      <w:r>
        <w:rPr>
          <w:rFonts w:ascii="Times New Roman;Times;Serif" w:hAnsi="Times New Roman;Times;Serif"/>
          <w:color w:val="231F20"/>
          <w:sz w:val="20"/>
        </w:rPr>
        <w:t>19</w:t>
      </w:r>
      <w:r>
        <w:rPr>
          <w:rFonts w:ascii="Times New Roman;Times;Serif" w:hAnsi="Times New Roman;Times;Serif"/>
          <w:sz w:val="20"/>
        </w:rPr>
        <w:t>, 2026</w:t>
      </w:r>
      <w:r>
        <w:rPr/>
        <w:br/>
      </w:r>
      <w:r>
        <w:rPr>
          <w:rFonts w:ascii="Times New Roman;Times;Serif" w:hAnsi="Times New Roman;Times;Serif"/>
          <w:sz w:val="20"/>
        </w:rPr>
        <w:t>Page 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opinion herein is limited to the General Corporation Law of the State of Delaware and </w:t>
      </w:r>
      <w:r>
        <w:rPr>
          <w:rFonts w:ascii="Times New Roman;Times;Serif" w:hAnsi="Times New Roman;Times;Serif"/>
          <w:b w:val="false"/>
          <w:i w:val="false"/>
          <w:caps w:val="false"/>
          <w:smallCaps w:val="false"/>
          <w:sz w:val="20"/>
          <w:shd w:fill="FFFFFF" w:val="clear"/>
        </w:rPr>
        <w:t xml:space="preserve">the federal laws of the United States of America. This opinion is limited to such laws as are in effect on the date 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matters stated herein and no opinion is implied or may be inferred beyond the matters expressly stated. We disclaim any obligation to advise you of facts, circumstances, events or developments which hereafter may be brought to our attention and which may alter, affect or modify the opinion expressed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we further consent to the use of our name under the caption “Legal Matters” in the Registration Statement and the Prospectus. In giving these consents, we do not thereby admit that we are within the category of persons whose consent is required under Section 7 of the Securities Act, or the rules and regulations of the Commission promulgated thereunder, nor do we thereby admit that we are “experts” within the meaning of such term as used in the Securities Act with respect to any part of the Registration Statement, including this opinion letter as an exhibit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Orrick, Herrington &amp; Sutcliffe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ORRICK, HERRINGTON &amp; SUTCLIFFE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347" w:name="n5620x9_ex10-38.htm"/>
      <w:bookmarkStart w:id="1348" w:name="ksn5620x9_ex1038"/>
      <w:bookmarkEnd w:id="1347"/>
      <w:bookmarkEnd w:id="134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w:t>
      </w:r>
    </w:p>
    <w:p>
      <w:pPr>
        <w:pStyle w:val="TextBody"/>
        <w:bidi w:val="0"/>
        <w:spacing w:before="240" w:after="240"/>
        <w:ind w:left="240" w:right="24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STANDBY EQUITY PURCHASE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STANDBY EQUITY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as of October 15, 2026 is made by and between </w:t>
      </w:r>
      <w:r>
        <w:rPr>
          <w:rFonts w:ascii="Times New Roman;Times;Serif" w:hAnsi="Times New Roman;Times;Serif"/>
          <w:b/>
          <w:i w:val="false"/>
          <w:caps w:val="false"/>
          <w:smallCaps w:val="false"/>
          <w:sz w:val="20"/>
        </w:rPr>
        <w:t>YA II PN, LTD</w:t>
      </w:r>
      <w:r>
        <w:rPr>
          <w:rFonts w:ascii="Times New Roman;Times;Serif" w:hAnsi="Times New Roman;Times;Serif"/>
          <w:b w:val="false"/>
          <w:i w:val="false"/>
          <w:caps w:val="false"/>
          <w:smallCaps w:val="false"/>
          <w:sz w:val="20"/>
        </w:rPr>
        <w:t>., a Cayman Islands exempt limited company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BIOATLA, INC</w:t>
      </w:r>
      <w:r>
        <w:rPr>
          <w:rFonts w:ascii="Times New Roman;Times;Serif" w:hAnsi="Times New Roman;Times;Serif"/>
          <w:b w:val="false"/>
          <w:i w:val="false"/>
          <w:caps w:val="false"/>
          <w:smallCaps w:val="false"/>
          <w:sz w:val="20"/>
        </w:rPr>
        <w:t>., a company incorporated under the laws of the State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Investor and the Company may be referred to herein individually as a “Party” and collectively as the “Parties.”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contained herein, the Company shall have the right to issue and sell to the Investor, from time to time as provided herein, and the Investor shall purchase from the Company, up to $40 million of the Company’s shares of common stock, par value $0.0001 per share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offer and sale of the Common Shares issuable hereunder will be made in reliance upon Section 4(a)(2) under the Securities Act of 1933, as amended, and the rules and regulations promulgated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upon such other exemption from the registration requirements of the Securities Act as may be available with respect to any or all of the transactions to be made hereunder;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consideration of the Investor’s execution and delivery of this Agreement, the Company shall pay the Commitment Fee pursuant to and in accordance with Section 11.04.</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the Parties hereto agree as follows:</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Certain Definitions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in this Agreement shall have the meanings ascribed to such terms in Annex I hereto, and hereby made a part hereof, or as otherwise set forth in this Agreement.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Advances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val="false"/>
          <w:caps w:val="false"/>
          <w:smallCaps w:val="false"/>
          <w:sz w:val="20"/>
          <w:u w:val="single"/>
        </w:rPr>
        <w:t>Advances; Mechanics</w:t>
      </w:r>
      <w:r>
        <w:rPr>
          <w:rFonts w:ascii="Times New Roman;Times;Serif" w:hAnsi="Times New Roman;Times;Serif"/>
          <w:b w:val="false"/>
          <w:i w:val="false"/>
          <w:caps w:val="false"/>
          <w:smallCaps w:val="false"/>
          <w:sz w:val="20"/>
        </w:rPr>
        <w:t>. Upon the terms and subject to the conditions of this Agreement, during the Commitment Period, the Company, at its sole discretion, shall have the right, but not the obligation, to issue and sell to the Investor, and the Investor shall purchase from the Company, Advance Shares by the delivery to the Investor of Advance Notices on the following terms:</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u w:val="single"/>
              </w:rPr>
              <w:t>Advance Notice</w:t>
            </w:r>
            <w:r>
              <w:rPr/>
              <w:t>. At any time during the Commitment Period the Company may require the Investor to purchase Advance Shares by delivering an Advance Notice to the Investor, subject to the satisfaction or waiver by the Investor of the conditions set forth in Annex II hereto, and in accordance with the following provisions:</w:t>
            </w:r>
          </w:p>
        </w:tc>
      </w:tr>
    </w:tbl>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The Company shall, in its sole discretion, select the number of Advance Shares, not to exceed the Maximum Advance Amount (unless otherwise agreed by written mutual consent of the Parties), it desires to issue and sell to the Investor in each Advance Notice and the time it desires to deliver each Advance Notice.</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(ii)</w:t>
            </w:r>
          </w:p>
        </w:tc>
        <w:tc>
          <w:tcPr>
            <w:tcW w:w="9902" w:type="dxa"/>
            <w:tcBorders/>
            <w:vAlign w:val="center"/>
          </w:tcPr>
          <w:p>
            <w:pPr>
              <w:pStyle w:val="TableContents"/>
              <w:bidi w:val="0"/>
              <w:spacing w:before="0" w:after="283"/>
              <w:jc w:val="both"/>
              <w:rPr/>
            </w:pPr>
            <w:r>
              <w:rPr/>
              <w:t>There shall be no mandatory minimum Advances and there shall be no non-usage fee for not utilizing the Commitment Amount or any part thereof.</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u w:val="single"/>
              </w:rPr>
              <w:t>Date of Delivery of Advance Notice</w:t>
            </w:r>
            <w:r>
              <w:rPr/>
              <w:t xml:space="preserve">. Advance Notices shall be delivered in accordance with the instructions set forth on the bottom of </w:t>
            </w:r>
            <w:r>
              <w:rPr>
                <w:u w:val="single"/>
              </w:rPr>
              <w:t>Exhibit A</w:t>
            </w:r>
            <w:r>
              <w:rPr/>
              <w:t xml:space="preserve"> attached hereto. An Advance Notice shall be deemed delivered on (i) the day it is received by the Investor if such notice is received by email at or before 9:00 a.m. New York City time (or such later time if agreed to by the Investor in its sole discretion), or (ii) the immediately succeeding day if it is received by email after 9:00 a.m. New York City time. Upon receipt of an Advance Notice, the Investor shall promptly provide written confirmation (which may be by e-mail) of receipt of such Advance Notice, and which confirmation shall specify the commencement time of the applicable Pricing Period.</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u w:val="single"/>
              </w:rPr>
              <w:t>Advance Limitations, Regulatory</w:t>
            </w:r>
            <w:r>
              <w:rPr/>
              <w:t>. Regardless of the number of Advance Shares requested by the Company in an Advance Notice, the final number of Advance Shares to be issued and sold pursuant to such Advance Notice shall be reduced (if at all) in accordance with each of the following limitations:</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(i)</w:t>
            </w:r>
          </w:p>
        </w:tc>
        <w:tc>
          <w:tcPr>
            <w:tcW w:w="10010" w:type="dxa"/>
            <w:tcBorders/>
            <w:vAlign w:val="center"/>
          </w:tcPr>
          <w:p>
            <w:pPr>
              <w:pStyle w:val="TableContents"/>
              <w:bidi w:val="0"/>
              <w:spacing w:before="0" w:after="283"/>
              <w:jc w:val="both"/>
              <w:rPr/>
            </w:pPr>
            <w:r>
              <w:rPr>
                <w:u w:val="single"/>
              </w:rPr>
              <w:t>Ownership Limitation; Commitment Amount</w:t>
            </w:r>
            <w:r>
              <w:rPr/>
              <w:t>. At the request of the Company, the Investor shall inform the Company of the number of Common Shares the Investor and each of its Affiliates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of a number of Common Shares exceeding 4.99% of the then outstanding voting power or number of Common Shares (the “</w:t>
            </w:r>
            <w:r>
              <w:rPr>
                <w:u w:val="single"/>
              </w:rPr>
              <w:t>Ownership Limitation</w:t>
            </w:r>
            <w:r>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an Advance that would (i) cause the Investor to exceed the Ownership Limitation or (ii) cause the aggregate number of Advance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u w:val="single"/>
              </w:rPr>
              <w:t>Registration Limitation</w:t>
            </w:r>
            <w:r>
              <w:rPr/>
              <w:t>. In no event shall an Advance exceed the number of Common Shares registered in respect of the transactions contemplated hereby under the Registration Statement then in effect (the “</w:t>
            </w:r>
            <w:r>
              <w:rPr>
                <w:u w:val="single"/>
              </w:rPr>
              <w:t>Registration Limitation</w:t>
            </w:r>
            <w:r>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tc>
      </w:tr>
    </w:tbl>
    <w:tbl>
      <w:tblPr>
        <w:tblW w:w="5000" w:type="pct"/>
        <w:jc w:val="left"/>
        <w:tblInd w:w="0" w:type="dxa"/>
        <w:tblLayout w:type="fixed"/>
        <w:tblCellMar>
          <w:top w:w="0" w:type="dxa"/>
          <w:left w:w="0" w:type="dxa"/>
          <w:bottom w:w="0" w:type="dxa"/>
          <w:right w:w="0" w:type="dxa"/>
        </w:tblCellMar>
      </w:tblPr>
      <w:tblGrid>
        <w:gridCol w:w="265"/>
        <w:gridCol w:w="2450"/>
        <w:gridCol w:w="7490"/>
      </w:tblGrid>
      <w:tr>
        <w:trPr/>
        <w:tc>
          <w:tcPr>
            <w:tcW w:w="265"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(iii)</w:t>
            </w:r>
          </w:p>
        </w:tc>
        <w:tc>
          <w:tcPr>
            <w:tcW w:w="7490" w:type="dxa"/>
            <w:tcBorders/>
            <w:vAlign w:val="center"/>
          </w:tcPr>
          <w:p>
            <w:pPr>
              <w:pStyle w:val="TableContents"/>
              <w:bidi w:val="0"/>
              <w:spacing w:before="0" w:after="283"/>
              <w:jc w:val="both"/>
              <w:rPr>
                <w:u w:val="single"/>
              </w:rPr>
            </w:pPr>
            <w:r>
              <w:rPr>
                <w:u w:val="single"/>
              </w:rPr>
              <w:t>[Reserved]</w:t>
            </w:r>
          </w:p>
        </w:tc>
      </w:tr>
    </w:tbl>
    <w:tbl>
      <w:tblPr>
        <w:tblW w:w="5000" w:type="pct"/>
        <w:jc w:val="left"/>
        <w:tblInd w:w="0" w:type="dxa"/>
        <w:tblLayout w:type="fixed"/>
        <w:tblCellMar>
          <w:top w:w="0" w:type="dxa"/>
          <w:left w:w="0" w:type="dxa"/>
          <w:bottom w:w="0" w:type="dxa"/>
          <w:right w:w="0" w:type="dxa"/>
        </w:tblCellMar>
      </w:tblPr>
      <w:tblGrid>
        <w:gridCol w:w="128"/>
        <w:gridCol w:w="981"/>
        <w:gridCol w:w="9096"/>
      </w:tblGrid>
      <w:tr>
        <w:trPr/>
        <w:tc>
          <w:tcPr>
            <w:tcW w:w="12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pPr>
            <w:r>
              <w:rPr/>
              <w:t>(d)</w:t>
            </w:r>
          </w:p>
        </w:tc>
        <w:tc>
          <w:tcPr>
            <w:tcW w:w="9096" w:type="dxa"/>
            <w:tcBorders/>
            <w:vAlign w:val="center"/>
          </w:tcPr>
          <w:p>
            <w:pPr>
              <w:pStyle w:val="TableContents"/>
              <w:bidi w:val="0"/>
              <w:spacing w:before="0" w:after="283"/>
              <w:jc w:val="both"/>
              <w:rPr/>
            </w:pPr>
            <w:r>
              <w:rPr>
                <w:u w:val="single"/>
              </w:rPr>
              <w:t>Minimum Acceptable Price</w:t>
            </w:r>
            <w:r>
              <w:rPr/>
              <w:t>.</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With respect to each Advance Notice, the Company may notify the Investor of the Minimum Acceptable Price with respect to such Advance by indicating a Minimum Acceptable Price on such Advance Notice. If no Minimum Acceptable Price is specified in an Advance Notice, then no Minimum Acceptable Price shall be in effect in connection with such Advance. Each Trading Day during a Pricing Period for which (A) with respect to each Advance Notice with a Minimum Acceptable Price, the VWAP of the Common Shares is below the Minimum Acceptable Price in effect with respect to such Advance Notice, or (B) there is no VWAP (each such day in the foregoing clauses (A) and (B), an “</w:t>
            </w:r>
            <w:r>
              <w:rPr>
                <w:u w:val="single"/>
              </w:rPr>
              <w:t>Excluded Day</w:t>
            </w:r>
            <w:r>
              <w:rPr/>
              <w:t>”), shall result in an automatic reduction to the number of Advance Shares set forth in such Advance Notice by one-third (1/3) (the resulting amount of each Advance being the “</w:t>
            </w:r>
            <w:r>
              <w:rPr>
                <w:u w:val="single"/>
              </w:rPr>
              <w:t>Adjusted Advance Amount</w:t>
            </w:r>
            <w:r>
              <w:rPr/>
              <w:t>”), and each Excluded Day shall be excluded from the Pricing Period for purposes of determining the Market Price.</w:t>
            </w:r>
          </w:p>
        </w:tc>
      </w:tr>
    </w:tbl>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The total number of Advance Shares in respect of each Advance with any Excluded Day(s) (after reductions have been made to arrive at the Adjusted Advance Amount) shall be automatically increased by such number of Common Shares (the “</w:t>
            </w:r>
            <w:r>
              <w:rPr>
                <w:u w:val="single"/>
              </w:rPr>
              <w:t>Additional Shares</w:t>
            </w:r>
            <w:r>
              <w:rPr/>
              <w:t>”) equal to the greater of (a) the number of Common Shares sold by the Investor on such Excluded Day(s), if any, or (b) such number of Common Shares elected to be subscribed for by the Investor, and the subscription price per share for each Additional Share shall be equal to the Minimum Acceptable Price in effect with respect to such Advance Notice multiplied by 97%, provided that this increase shall not cause the total Advance Shares to exceed the amount set forth in the applicable Advance Notice or any limitations set forth in Section 2.01(c).</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(e)</w:t>
            </w:r>
          </w:p>
        </w:tc>
        <w:tc>
          <w:tcPr>
            <w:tcW w:w="9926" w:type="dxa"/>
            <w:tcBorders/>
            <w:vAlign w:val="center"/>
          </w:tcPr>
          <w:p>
            <w:pPr>
              <w:pStyle w:val="TableContents"/>
              <w:bidi w:val="0"/>
              <w:spacing w:before="0" w:after="283"/>
              <w:jc w:val="both"/>
              <w:rPr/>
            </w:pPr>
            <w:r>
              <w:rPr>
                <w:u w:val="single"/>
              </w:rPr>
              <w:t>Unconditional Contract</w:t>
            </w:r>
            <w:r>
              <w:rPr/>
              <w:t>. Notwithstanding any other provision in this Agreement, the Company and the Investor acknowledge and agree that upon the Investor’s receipt of a</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 Advance Notice from the Company the Parties shall be deemed to have entered into an unconditional contract binding on both Parties for the purchase and sale of the applicable number of Advance Shares pursuant to such Advance Notice in accordance with the terms of this Agreement and subject to Applicable Laws the Investor may sell Common Shares during the Pricing Period for such Advance Notice (including with respect to any Advance Shares subject to such Pricing Period).</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The closing of each Advance and each sale and purchase of Advance Shares (each,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to purchase Advance Shares) but shall be determined on each Closing based on the daily prices of the Common Shares that are the inputs to the determination of the Purchase Price as set forth further below (provided that for the purposes of determining the daily VWAP for any Trading Day, the Parties may use only a specified period within a Trading Day upon mutual consent). In connection with each Closing, the Company and the Investor shall fulfill each of its obligations as set forth below:</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 xml:space="preserve">On each Advance Date, the Investor shall deliver to the Company a written document, in the form attached hereto as </w:t>
            </w:r>
            <w:r>
              <w:rPr>
                <w:u w:val="single"/>
              </w:rPr>
              <w:t>Exhibit B</w:t>
            </w:r>
            <w:r>
              <w:rPr/>
              <w:t xml:space="preserve"> (each a “</w:t>
            </w:r>
            <w:r>
              <w:rPr>
                <w:u w:val="single"/>
              </w:rPr>
              <w:t>Settlement Document</w:t>
            </w:r>
            <w:r>
              <w:rPr/>
              <w:t xml:space="preserve">”), setting forth the final number of Advance Shares to be purchased by the Investor (taking into account any adjustments pursuant to </w:t>
            </w:r>
            <w:r>
              <w:rPr>
                <w:u w:val="single"/>
              </w:rPr>
              <w:t>Section 2.01</w:t>
            </w:r>
            <w:r>
              <w:rPr/>
              <w:t>),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Advance Shares (as set forth in the Settlement Document) in cash in immediately available funds to an account designated by the Company in writing and transmit notification to the Company that such funds transfer has been requested. No fractional shares shall be issued, and any fractional shares that would otherwise be issued in connection with an Advance shall be rounded down to the nearest whole number of shares. To facilitate the transfer of the Advance Shares by the Investor, the Advance Shares will not bear any restrictive legends so long as there is an effective Registration Statement covering the resale of such Advance Shares (it being understood and agreed by the Investor that notwithstanding the lack of restrictive legends, the Investor may only sell such Common Shares pursuant to the Plan of</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set forth in the Prospectus included in the applicable Registration Statement and otherwise in compliance with the requirements of the Securities Act (including any applicable prospectus delivery requirements) or pursuant to an available exemption).</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t>Notwithstanding anything to the contrary in this Agreement, if on any day during the Pricing Period (i) the Company notifies the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tc>
      </w:tr>
    </w:tbl>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val="false"/>
          <w:caps w:val="false"/>
          <w:smallCaps w:val="false"/>
          <w:sz w:val="20"/>
          <w:u w:val="single"/>
        </w:rPr>
        <w:t>Hardship</w:t>
      </w:r>
      <w:r>
        <w:rPr>
          <w:rFonts w:ascii="Times New Roman;Times;Serif" w:hAnsi="Times New Roman;Times;Serif"/>
          <w:b w:val="false"/>
          <w:i w:val="false"/>
          <w:caps w:val="false"/>
          <w:smallCaps w:val="false"/>
          <w:sz w:val="20"/>
        </w:rPr>
        <w:t>. In the event the Company fails to perform its obligations as mandated in this Agreement after the Investor’s receipt of an Advance Notice,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val="false"/>
          <w:caps w:val="false"/>
          <w:smallCaps w:val="false"/>
          <w:sz w:val="20"/>
          <w:u w:val="single"/>
        </w:rPr>
        <w:t>Completion of Resale Pursuant to the Registration Statement</w:t>
      </w:r>
      <w:r>
        <w:rPr>
          <w:rFonts w:ascii="Times New Roman;Times;Serif" w:hAnsi="Times New Roman;Times;Serif"/>
          <w:b w:val="false"/>
          <w:i w:val="false"/>
          <w:caps w:val="false"/>
          <w:smallCaps w:val="false"/>
          <w:sz w:val="20"/>
        </w:rPr>
        <w:t>. The Company shall have no further obligation to maintain the effectiveness of the Registration Statement upon the earliest of (a) the date the Investor notifies the Company in writing (which may be by e-mail) that it has completed the resale of all Registrable Securities, (b) the date on which all Registrable Securities have been sold by the Investor and (c) the date on which all Registrable Securities held by the Investor may be sold without restriction pursuant to Rule 144 under the Securities Act.</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Representations and Warranties of the Investor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represents and warrants to the Company, as of the date hereof, as of each Advance Notice Date and as of each Advance Date that: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val="false"/>
          <w:caps w:val="false"/>
          <w:smallCaps w:val="false"/>
          <w:sz w:val="20"/>
          <w:u w:val="single"/>
        </w:rPr>
        <w:t>Organization and Authorization</w:t>
      </w:r>
      <w:r>
        <w:rPr>
          <w:rFonts w:ascii="Times New Roman;Times;Serif" w:hAnsi="Times New Roman;Times;Serif"/>
          <w:b w:val="false"/>
          <w:i w:val="false"/>
          <w:caps w:val="false"/>
          <w:smallCaps w:val="false"/>
          <w:sz w:val="20"/>
        </w:rPr>
        <w:t>. The Investor is duly organized, validly existing and in good standing under the laws of the Cayman Islands and has the requisite corporate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all other instruments on behalf of the Investor or its shareholders. This Agreement and the other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val="false"/>
          <w:caps w:val="false"/>
          <w:smallCaps w:val="false"/>
          <w:sz w:val="20"/>
          <w:u w:val="single"/>
        </w:rPr>
        <w:t>Evaluation of Risks</w:t>
      </w:r>
      <w:r>
        <w:rPr>
          <w:rFonts w:ascii="Times New Roman;Times;Serif" w:hAnsi="Times New Roman;Times;Serif"/>
          <w:b w:val="false"/>
          <w:i w:val="false"/>
          <w:caps w:val="false"/>
          <w:smallCaps w:val="false"/>
          <w:sz w:val="20"/>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val="false"/>
          <w:caps w:val="false"/>
          <w:smallCaps w:val="false"/>
          <w:sz w:val="20"/>
          <w:u w:val="single"/>
        </w:rPr>
        <w:t>No Legal, Investment or Tax Advice from the Company</w:t>
      </w:r>
      <w:r>
        <w:rPr>
          <w:rFonts w:ascii="Times New Roman;Times;Serif" w:hAnsi="Times New Roman;Times;Serif"/>
          <w:b w:val="false"/>
          <w:i w:val="false"/>
          <w:caps w:val="false"/>
          <w:smallCaps w:val="false"/>
          <w:sz w:val="20"/>
        </w:rPr>
        <w:t>.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The Investor is acquiring the Common Shares for its own account, for investment purposes and not with a view towards, or for resale in connection with, the public sale or distribution thereof, except pursuant to sales registered under or exempt from the registration requirements of the Securities Act or any applicable state securities laws;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is acquiring the Shares hereunder in the ordinary course of its business. The Investor does not presently have any agreement or understanding, directly or indirectly, with any Person to sell or distribute any of the Shares. </w:t>
      </w:r>
      <w:r>
        <w:rPr>
          <w:rFonts w:ascii="Times New Roman;Times;Serif" w:hAnsi="Times New Roman;Times;Serif"/>
          <w:b w:val="false"/>
          <w:i w:val="false"/>
          <w:caps w:val="false"/>
          <w:smallCaps w:val="false"/>
          <w:sz w:val="20"/>
          <w:shd w:fill="FFFFFF" w:val="clear"/>
        </w:rPr>
        <w:t>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r>
        <w:rPr>
          <w:rFonts w:ascii="Times New Roman;Times;Serif" w:hAnsi="Times New Roman;Times;Serif"/>
          <w:b w:val="false"/>
          <w:i w:val="false"/>
          <w:caps w:val="false"/>
          <w:smallCaps w:val="false"/>
          <w:sz w:val="20"/>
        </w:rPr>
        <w: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Investor is an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as that term is defined in Rule 501(a)(3) of Regulation D.</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Investor and its advisors (and its counsel), if any, have been furnished with all materials relating to the business, finances and operations of the Company and</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r>
      <w:r>
        <w:rPr>
          <w:rFonts w:ascii="Times New Roman;Times;Serif" w:hAnsi="Times New Roman;Times;Serif"/>
          <w:b w:val="false"/>
          <w:i w:val="false"/>
          <w:caps w:val="false"/>
          <w:smallCaps w:val="false"/>
          <w:sz w:val="20"/>
          <w:u w:val="single"/>
        </w:rPr>
        <w:t>Not an Affiliate</w:t>
      </w:r>
      <w:r>
        <w:rPr>
          <w:rFonts w:ascii="Times New Roman;Times;Serif" w:hAnsi="Times New Roman;Times;Serif"/>
          <w:b w:val="false"/>
          <w:i w:val="false"/>
          <w:caps w:val="false"/>
          <w:smallCaps w:val="false"/>
          <w:sz w:val="20"/>
        </w:rPr>
        <w:t>. The Investor is not an officer, director or a person that directly, or indirectly through one or more intermediaries, controls or is controlled by, or is under common control with the Company or any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the Company (as that term is defined in Rule 405 promulgated under the Securities Act).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r>
      <w:r>
        <w:rPr>
          <w:rFonts w:ascii="Times New Roman;Times;Serif" w:hAnsi="Times New Roman;Times;Serif"/>
          <w:b w:val="false"/>
          <w:i w:val="false"/>
          <w:caps w:val="false"/>
          <w:smallCaps w:val="false"/>
          <w:sz w:val="20"/>
          <w:u w:val="single"/>
        </w:rPr>
        <w:t>No Prior Short Sales</w:t>
      </w:r>
      <w:r>
        <w:rPr>
          <w:rFonts w:ascii="Times New Roman;Times;Serif" w:hAnsi="Times New Roman;Times;Serif"/>
          <w:b w:val="false"/>
          <w:i w:val="false"/>
          <w:caps w:val="false"/>
          <w:smallCaps w:val="false"/>
          <w:sz w:val="20"/>
        </w:rPr>
        <w:t>. The Investor has not directly or indirectly, nor has any Person acting on behalf of or pursuant to any understanding with the Investor, engaged in any transactions in the securities of the Company (including, without limitation, any Short Sales (as such term is defined in Rule 200 of Regulation SHO of the Exchange Act) involving the Company’s securities) during the period commencing as of the time that the Investor first contacted the Company or the Company’s agents regarding the specific investment in the Company contemplated by this Agreement (which the parties agree was September 17, 2026) and ending immediately prior to the execution of this Agreement by the Investor.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tab/>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Representations and Warranties of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Documents,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are entities duly incorporated or otherwise organized and validly existing and in good standing under the laws of their respective jurisdiction of their incorporation or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makes such qualification necessary, except to the extent that the failure to be so qualified or be in good standing has not had and would not be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val="false"/>
          <w:caps w:val="false"/>
          <w:smallCaps w:val="false"/>
          <w:sz w:val="20"/>
          <w:u w:val="single"/>
        </w:rPr>
        <w:t>Authorization, Enforcement, Compliance with Other Instruments.</w:t>
      </w:r>
      <w:r>
        <w:rPr>
          <w:rFonts w:ascii="Times New Roman;Times;Serif" w:hAnsi="Times New Roman;Times;Serif"/>
          <w:b w:val="false"/>
          <w:i w:val="false"/>
          <w:caps w:val="false"/>
          <w:smallCaps w:val="false"/>
          <w:sz w:val="20"/>
        </w:rPr>
        <w:t xml:space="preserve"> The Company has the requisite corporate power and authority to enter into and perform its obligations under this Agreement and the other Transaction Documents to which it is a party and to issue the Shares in accordance with the terms hereof and thereof. The execution and delivery by the Company of this Agreement and the other Transaction Documents to which it is a party, and the consummation by the Company of the transactions contemplated hereby and thereby (including, without limitation, the issuance of the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certificates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is bound or affected except, in the case of clause (ii) or (iii) above, to the extent such violations have not had and would not be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For the past two years the Company has timely filed (giving effect to permissible extensions in accordance with Rule 12b-25 under the Exchange Act) all SEC Documents. The Company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 to state a material fact required to be stated therein or necessary in order to make the statements therein, in the light of the circumstances under which they were made, not misleading.</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do not have any material liabilities or obligations, direct or contingent (including any off-balance sheet obligations), not described in the SEC Documents to the extent required (excluding the exhibits thereto); and all disclosures contained or incorporated by reference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tab/>
        <w:t>Registration Statement and Prospectus. The Company and the transactions contemplated by this Agreement meet the requirements for and comply with the conditions for the use of Form S-1 under the Securities Act.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SEC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the Prospectus contained therein, and any required prospectus supplement, in each case as reviewed and consented to by the Investor.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tab/>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Each Registration Statement, when it became or becomes effective, and any Prospectus, on the date of such Prospectus or any amendment or supplement thereto, conformed and will conform in all material respects with the requirements of the Securities Act. At each Advance Notice Date and applicable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tab/>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tab/>
      </w:r>
      <w:r>
        <w:rPr>
          <w:rFonts w:ascii="Times New Roman;Times;Serif" w:hAnsi="Times New Roman;Times;Serif"/>
          <w:b w:val="false"/>
          <w:i w:val="false"/>
          <w:caps w:val="false"/>
          <w:smallCaps w:val="false"/>
          <w:sz w:val="20"/>
          <w:u w:val="single"/>
        </w:rPr>
        <w:t>Equity 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As of the date hereof, the authorized capital of the Company consists of 350,000,000 shares of Common Stock, $0.0001 par value, 15,368,569 shares of Class B Common Stock, $0.0001 par value, and 200,000,000 shares of Preferred Stock, par value $0.0001 per share. As of the date hereof, the Company has 1,668,261 shares of Common Stock outstanding, 0 shares of Class B Common Stock outstanding, and 0 shares of Preferred Stock outstanding.</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The Common Shares are registered pursuant to Section 12(g) of the Exchange Act and are currently quoted on the Principal Market under the trading symbol “BCAB.” The Company has taken no action designed to, or likely to have the effect of, terminating the registration of the Common Shares under the Exchange Act, removing from quotation the Common Shares from the Principal Market, nor has the Company received any notification that the SEC or the Principal Market is contemplating terminating such registration or quotation. To the Company’s knowledge, it is in compliance with all applicable eligibility requirements of the Principal Market.</w:t>
            </w:r>
          </w:p>
        </w:tc>
      </w:tr>
    </w:tbl>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both"/>
              <w:rPr/>
            </w:pPr>
            <w:r>
              <w:rPr>
                <w:u w:val="single"/>
              </w:rPr>
              <w:t>Existing Securities; Obligations</w:t>
            </w:r>
            <w:r>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Shares; and (F) neither the Company nor any Subsidiary has entered into any Variable Rate Transaction.</w:t>
            </w:r>
          </w:p>
        </w:tc>
      </w:tr>
    </w:tbl>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tab/>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Except as disclosed in the SEC Documents,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has not had and would not be reasonably expected to have, individually or in the aggregate, a Material</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has not had and would not be reasonably expected to have, individually or in the aggregate,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has not had and would not be reasonably expected to have, individually or in the aggregate, a Material Adverse Effect, the Company is not aware of any facts or circumstances which might give rise to any of the foregoing.</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tab/>
      </w:r>
      <w:r>
        <w:rPr>
          <w:rFonts w:ascii="Times New Roman;Times;Serif" w:hAnsi="Times New Roman;Times;Serif"/>
          <w:b w:val="false"/>
          <w:i w:val="false"/>
          <w:caps w:val="false"/>
          <w:smallCaps w:val="false"/>
          <w:sz w:val="20"/>
          <w:u w:val="single"/>
        </w:rPr>
        <w:t>Employee Relations</w:t>
      </w:r>
      <w:r>
        <w:rPr>
          <w:rFonts w:ascii="Times New Roman;Times;Serif" w:hAnsi="Times New Roman;Times;Serif"/>
          <w:b w:val="false"/>
          <w:i w:val="false"/>
          <w:caps w:val="false"/>
          <w:smallCaps w:val="false"/>
          <w:sz w:val="20"/>
        </w:rPr>
        <w:t>. Neither the Company nor any of its Subsidiaries is involved in any labor dispute nor, to the knowledge of the Company or any of its Subsidiaries, has any such dispute threatened, in each case which would be reasonably likely to have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tab/>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except, in each of the foregoing clauses (i), (ii) and (iii), as has not had and would not be reasonably expected to have, individually or in the aggregate, a Material Adverse Effect. The term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tab/>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Except as has not had and would not be reasonably expected to have, individually or in the aggregate, a Material Adverse Effect, the Company (or its Subsidiaries) has indefeasible fee simple or leasehold title to its properties and material assets owned by it, free and clear of any pledge, lien, security interest, encumbrance, claim or equitable interest other than (i) such as are not material to the business of the Company; (ii) such that are for the payment of federal, state or other taxes, for which appropriate reserves have been made therefor in accordance with GAAP and the payment of which is neither delinquent nor subject to penalties and (iii) such that would not, individually or in the aggregate, have or reasonably be expected to have a Material Adverse Effect. Any real property and facilities held under lease by the Company and its Subsidiaries are held by them under valid, subsisting and enforceable leases with such exceptions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are not material and do not interfere with the use made and proposed to be made of such property and buildings by the Company and its Subsidiaries.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tab/>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be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tab/>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Except as has not had and would not be reasonably expected to have, individually or in the aggregate, a Material Adverse Effect,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written notice of proceedings relating to the revocation or modification of any such certificate, authorization or permits.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w:t>
        <w:tab/>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in the Company’s internal controls that are not disclosed in the SEC Documents as and when required.</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w:t>
        <w:tab/>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or be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w:t>
        <w:tab/>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does not presently own or control, directly or indirectly, any interest in any other corporation, partnership, association or other business entity.</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w:t>
        <w:tab/>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received written notification of any unpaid taxes in any material amount claimed to be due by the taxing authority of any jurisdiction, and the officers of the Company and its Subsidiaries know of no basis for any such claim where the failure to pay would have or would be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w:t>
        <w:tab/>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Except as disclosed in the SEC Documents or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w:t>
        <w:tab/>
      </w:r>
      <w:r>
        <w:rPr>
          <w:rFonts w:ascii="Times New Roman;Times;Serif" w:hAnsi="Times New Roman;Times;Serif"/>
          <w:b w:val="false"/>
          <w:i w:val="false"/>
          <w:caps w:val="false"/>
          <w:smallCaps w:val="false"/>
          <w:sz w:val="20"/>
          <w:u w:val="single"/>
        </w:rPr>
        <w:t>Rights of First Refusal</w:t>
      </w:r>
      <w:r>
        <w:rPr>
          <w:rFonts w:ascii="Times New Roman;Times;Serif" w:hAnsi="Times New Roman;Times;Serif"/>
          <w:b w:val="false"/>
          <w:i w:val="false"/>
          <w:caps w:val="false"/>
          <w:smallCaps w:val="false"/>
          <w:sz w:val="20"/>
        </w:rPr>
        <w:t>. Except as disclosed in the SEC Documents, the Company is not obligated to offer the Common Shares offered hereunder on a right of first refusal basis or otherwise to any third parties including, but not limited to, current or former shareholders of the Company, underwriters, brokers, agents or other third parties.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w:t>
        <w:tab/>
      </w:r>
      <w:r>
        <w:rPr>
          <w:rFonts w:ascii="Times New Roman;Times;Serif" w:hAnsi="Times New Roman;Times;Serif"/>
          <w:b w:val="false"/>
          <w:i w:val="false"/>
          <w:caps w:val="false"/>
          <w:smallCaps w:val="false"/>
          <w:sz w:val="20"/>
          <w:u w:val="single"/>
        </w:rPr>
        <w:t>Dilution</w:t>
      </w:r>
      <w:r>
        <w:rPr>
          <w:rFonts w:ascii="Times New Roman;Times;Serif" w:hAnsi="Times New Roman;Times;Serif"/>
          <w:b w:val="false"/>
          <w:i w:val="false"/>
          <w:caps w:val="false"/>
          <w:smallCaps w:val="false"/>
          <w:sz w:val="20"/>
        </w:rPr>
        <w:t>. The Company is aware and acknowledges that issuance of Common Shares hereunder could cause dilution to existing shareholders and could significantly increase the outstanding number of Common Shares.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w:t>
        <w:tab/>
      </w:r>
      <w:r>
        <w:rPr>
          <w:rFonts w:ascii="Times New Roman;Times;Serif" w:hAnsi="Times New Roman;Times;Serif"/>
          <w:b w:val="false"/>
          <w:i w:val="false"/>
          <w:caps w:val="false"/>
          <w:smallCaps w:val="false"/>
          <w:sz w:val="20"/>
          <w:u w:val="single"/>
        </w:rPr>
        <w:t>Acknowledgment Regarding Investor’s Purchase of Shares</w:t>
      </w:r>
      <w:r>
        <w:rPr>
          <w:rFonts w:ascii="Times New Roman;Times;Serif" w:hAnsi="Times New Roman;Times;Serif"/>
          <w:b w:val="false"/>
          <w:i w:val="false"/>
          <w:caps w:val="false"/>
          <w:smallCaps w:val="false"/>
          <w:sz w:val="20"/>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a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w:t>
        <w:tab/>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as set forth in the SEC Documents and except for fees and commissions payable by the Company to Tungsten Advisors (through its broker-dealer, Finalis Securities LLC), in connection with this transaction, neither the Company nor any of its Subsidiaries has incurred any liability for any finder’s fees, brokerage commissions or similar payments in connection with the transactions contemplated in the Transaction Documents.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w:t>
        <w:tab/>
      </w:r>
      <w:r>
        <w:rPr>
          <w:rFonts w:ascii="Times New Roman;Times;Serif" w:hAnsi="Times New Roman;Times;Serif"/>
          <w:b w:val="false"/>
          <w:i w:val="false"/>
          <w:caps w:val="false"/>
          <w:smallCaps w:val="false"/>
          <w:sz w:val="20"/>
          <w:u w:val="single"/>
        </w:rPr>
        <w:t>Relationship of the Parties</w:t>
      </w:r>
      <w:r>
        <w:rPr>
          <w:rFonts w:ascii="Times New Roman;Times;Serif" w:hAnsi="Times New Roman;Times;Serif"/>
          <w:b w:val="false"/>
          <w:i w:val="false"/>
          <w:caps w:val="false"/>
          <w:smallCaps w:val="false"/>
          <w:sz w:val="20"/>
        </w:rPr>
        <w:t>. Neither the Company, nor any of its Subsidiaries, Affiliates, nor any Person acting on its or their behalf is a client or customer of the Investor or any of its Affiliates and neither the Investor nor any of its Affiliates has provided, or will provide, any</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to the Company or any of its Affiliates, its subsidiaries, or any Person acting on its or their behalf. The Investor’s relationship to the Company is solely as investor as provided for in the Transaction Documents.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w:t>
        <w:tab/>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Law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w:t>
        <w:tab/>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Except as would not reasonably be expected to have, individually or in the aggregate, a Material Adverse Effect,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4.29</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are in compliance with Applicable Law;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has not complied with Applicable Laws, or could give rise to a notice of non-compliance with Applicable Laws, and is not aware of any pending change or contemplated change to any Applicable Law or regulation or governmental position; in each case that would have or would be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4.30</w:t>
        <w:tab/>
      </w:r>
      <w:r>
        <w:rPr>
          <w:rFonts w:ascii="Times New Roman;Times;Serif" w:hAnsi="Times New Roman;Times;Serif"/>
          <w:b w:val="false"/>
          <w:i w:val="false"/>
          <w:caps w:val="false"/>
          <w:smallCaps w:val="false"/>
          <w:sz w:val="20"/>
          <w:u w:val="single"/>
        </w:rPr>
        <w:t>Sanctions Matters</w:t>
      </w:r>
      <w:r>
        <w:rPr>
          <w:rFonts w:ascii="Times New Roman;Times;Serif" w:hAnsi="Times New Roman;Times;Serif"/>
          <w:b w:val="false"/>
          <w:i w:val="false"/>
          <w:caps w:val="false"/>
          <w:smallCaps w:val="false"/>
          <w:sz w:val="20"/>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located, organized or resident in a country or territory that is the subject of Sanctions that broadly prohibit dealings with that country or territory (including, without limitation, the Crimea, Zaporizhzhia and Kherson regions of Ukraine, the Donetsk People’s Republic and Luhansk People’s Republic in Ukraine, Cuba, Iran, North Korea, Russia, Sudan and Syria (the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4.31</w:t>
        <w:tab/>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Neither the Company, nor any of its Affiliates, nor any Person acting on its or their behalf, has engaged or will engage in any form of general solicitation or general advertising (within the meaning of Regulation D) in connection with the offer or sale of the Common Shares.</w:t>
      </w:r>
    </w:p>
    <w:p>
      <w:pPr>
        <w:pStyle w:val="TextBody"/>
        <w:bidi w:val="0"/>
        <w:spacing w:before="0" w:after="240"/>
        <w:ind w:left="0" w:right="0" w:hanging="0"/>
        <w:jc w:val="both"/>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Indemnification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and the Company represent to the other the following with respect to itself:</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In consideration of the Investor’s execution and delivery of this Agreement and acquiring the Shares hereunder, and in addition to all of the Company’s other obligations under this Agreement, the Company shall defend, protect, indemnify and hold harmless the Investor, its investment manager, Yorkville Advisors Global, LP, and their respective Affiliates, and each of the foregoing’s respective officers, directors, managers, members, partners, employees and agents (including, without limitation, those retained in connection with the transactions contemplated by this Agreement) and each Person who controls any of the foregoing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Investor 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and documented attorneys’ fees and disbursements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val="false"/>
          <w:caps w:val="false"/>
          <w:smallCaps w:val="false"/>
          <w:sz w:val="20"/>
          <w:u w:val="single"/>
        </w:rPr>
        <w:t>Indemnification by the Investor</w:t>
      </w:r>
      <w:r>
        <w:rPr>
          <w:rFonts w:ascii="Times New Roman;Times;Serif" w:hAnsi="Times New Roman;Times;Serif"/>
          <w:b w:val="false"/>
          <w:i w:val="false"/>
          <w:caps w:val="false"/>
          <w:smallCaps w:val="false"/>
          <w:sz w:val="20"/>
        </w:rPr>
        <w:t>. In consideration of the Company’s execution and delivery of this Agreement, and in addition to all of the Investor’s other obligations under this Agreement, the Investor shall defend, protect, indemnify and hold harmless the Company, its Subsidiaries and all of their respective officers, directors, shareholders,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Company Indemnitees</w:t>
      </w:r>
      <w:r>
        <w:rPr>
          <w:rFonts w:ascii="Times New Roman;Times;Serif" w:hAnsi="Times New Roman;Times;Serif"/>
          <w:b w:val="false"/>
          <w:i w:val="false"/>
          <w:caps w:val="false"/>
          <w:smallCaps w:val="false"/>
          <w:sz w:val="20"/>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material misrepresentation or breach of any material representation or material warranty made by the Investor in this Agreement or any instrument or document contemplated hereby or thereby executed by the Investor; or (c) any material breach of any material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tab/>
      </w:r>
      <w:r>
        <w:rPr>
          <w:rFonts w:ascii="Times New Roman;Times;Serif" w:hAnsi="Times New Roman;Times;Serif"/>
          <w:b w:val="false"/>
          <w:i w:val="false"/>
          <w:caps w:val="false"/>
          <w:smallCaps w:val="false"/>
          <w:sz w:val="20"/>
          <w:u w:val="single"/>
        </w:rPr>
        <w:t>Notice of Claim</w:t>
      </w:r>
      <w:r>
        <w:rPr>
          <w:rFonts w:ascii="Times New Roman;Times;Serif" w:hAnsi="Times New Roman;Times;Serif"/>
          <w:b w:val="false"/>
          <w:i w:val="false"/>
          <w:caps w:val="false"/>
          <w:smallCaps w:val="false"/>
          <w:sz w:val="20"/>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tab/>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Notwithstanding the foregoing, no Party shall seek, nor shall any be entitled to recover from the other Party for, punitive, indirect, incidental or consequential damages.</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Covenants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Investor, and the Investor covenants with the Company, as follows, which covenants of one party are for the benefit of the other party, during the Commitment Period:</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u w:val="single"/>
              </w:rPr>
              <w:t>Filing of a Registration Statement</w:t>
            </w:r>
            <w:r>
              <w:rPr/>
              <w:t xml:space="preserve">. The Company shall prepare and file with the SEC a Registration Statement, or multiple Registration Statements, for the resale by the Investor of the Registrable Securities. The Company in its sole discretion may choose when to file such Registration Statements; </w:t>
            </w:r>
            <w:r>
              <w:rPr>
                <w:i/>
              </w:rPr>
              <w:t>provided, however</w:t>
            </w:r>
            <w:r>
              <w:rPr/>
              <w:t>, that the Company shall not have the ability to request any Advances until the effectiveness of a Registration Statement.</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u w:val="single"/>
              </w:rPr>
              <w:t>Maintaining a Registration Statement</w:t>
            </w:r>
            <w:r>
              <w:rPr/>
              <w:t>. The Company shall maintain the effectiveness of any Registration Statement that has been declared effective at all times during the Commitment Period, provided, however, that Company shall have no further obligation to maintain the effectiveness of the Registration Statement upon the occurrence of an event set forth in Section 2.04. . Notwithstanding anything to the contrary contained in this Agreement, the Company shall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Common Shares shall cease to be quoted on the Principal Market, (iii) the Common Shares cease to be registered under Section 12(b) or Section 12(g) of the Exchange Act or (iv) the Company fails to file in a timely manner all reports and other documents required of it as a reporting company under the Exchange Act.</w:t>
            </w:r>
          </w:p>
        </w:tc>
      </w:tr>
    </w:tbl>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both"/>
              <w:rPr/>
            </w:pPr>
            <w:r>
              <w:rPr>
                <w:u w:val="single"/>
              </w:rPr>
              <w:t>Filing Procedures</w:t>
            </w:r>
            <w:r>
              <w:rPr/>
              <w:t>. The Company shall (A) permit counsel to the Investor an opportunity to review and comment upon (i) each Registration Statement at least three (3) Trading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SEC, and (B) shall reasonably consider any comments of the Investor and its counsel on any such Registration Statement or amendment or supplement thereto or to any Prospectus contained therein.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furnish any document to the extent such document is available on EDGAR).</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u w:val="single"/>
              </w:rPr>
              <w:t>Amendments and Other Filings</w:t>
            </w:r>
            <w:r>
              <w:rPr/>
              <w:t>. The Company shall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Section 6.01(d) by reason of the Company’s filing a report on Form 10-K, Form 10-Q, or Form 8-K or any analogous report under the Exchange Act, the Company shall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tc>
      </w:tr>
    </w:tbl>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u w:val="single"/>
              </w:rPr>
              <w:t>Blue-Sky</w:t>
            </w:r>
            <w:r>
              <w:rPr/>
              <w:t>. The Company shall use its commercially reasonable efforts to, if required by Applicable Laws, (i) register and qualify the Common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Common Shares for sale in such jurisdictions; provided, however, that the Company shall not be required in connection therewith or as a condition thereto to (w) make any change to its Certificate of Incorporation or Bylaws or any other organizational documents of the Company or any of its Subsidiaries, (x) qualify to do business in any jurisdiction where it would not otherwise be required to qualify but for this Section 6.01(e),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jurisdiction in the United States or its receipt of actual notice of the initiation or threat of any proceeding for such purpose.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val="false"/>
          <w:caps w:val="false"/>
          <w:smallCaps w:val="false"/>
          <w:sz w:val="20"/>
          <w:u w:val="single"/>
        </w:rPr>
        <w:t>Suspension of Registration Statement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u w:val="single"/>
              </w:rPr>
              <w:t>Establishment of a Black Out Period</w:t>
            </w:r>
            <w:r>
              <w:rPr/>
              <w:t>. During the Commitment Period, the Company from time to time may suspend the use of the Registration Statement by written notice to the Investor in the event that the Company determines in good faith that such suspension is necessary to (i) delay the disclosure of material non-public information concerning the Company, the disclosure of which at the time is not, in good faith opinion, in the best interests of the Company or (ii)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u w:val="single"/>
              </w:rPr>
              <w:t>Black Out Period</w:t>
            </w:r>
            <w:r>
              <w:rPr/>
              <w:t>”).</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u w:val="single"/>
              </w:rPr>
              <w:t>No Sales by Investor During the Black Out Period</w:t>
            </w:r>
            <w:r>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tc>
      </w:tr>
    </w:tbl>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20"/>
              </w:rPr>
            </w:pPr>
            <w:r>
              <w:rPr>
                <w:sz w:val="20"/>
              </w:rPr>
              <w:t>(c)</w:t>
            </w:r>
          </w:p>
        </w:tc>
        <w:tc>
          <w:tcPr>
            <w:tcW w:w="9991" w:type="dxa"/>
            <w:tcBorders/>
            <w:vAlign w:val="center"/>
          </w:tcPr>
          <w:p>
            <w:pPr>
              <w:pStyle w:val="TableContents"/>
              <w:bidi w:val="0"/>
              <w:spacing w:before="0" w:after="283"/>
              <w:jc w:val="both"/>
              <w:rPr/>
            </w:pPr>
            <w:r>
              <w:rPr>
                <w:u w:val="single"/>
              </w:rPr>
              <w:t>Limitations on the Black Out Period</w:t>
            </w:r>
            <w:r>
              <w:rPr/>
              <w:t>. The Company shall not impose any Black Out Period that is longer than 20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tc>
      </w:tr>
    </w:tbl>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val="false"/>
          <w:caps w:val="false"/>
          <w:smallCaps w:val="false"/>
          <w:sz w:val="20"/>
          <w:u w:val="single"/>
        </w:rPr>
        <w:t>Listing of Common Shares</w:t>
      </w:r>
      <w:r>
        <w:rPr>
          <w:rFonts w:ascii="Times New Roman;Times;Serif" w:hAnsi="Times New Roman;Times;Serif"/>
          <w:b w:val="false"/>
          <w:i w:val="false"/>
          <w:caps w:val="false"/>
          <w:smallCaps w:val="false"/>
          <w:sz w:val="20"/>
        </w:rPr>
        <w:t>. As of each Advance Notice Date and the relevant Advance Date, the Shares to be sold by the Company from time to time hereunder will have been registered under Section 12(g) of the Exchange Act and eligible for quotation (or, if the Principal Market is a national securities exchange, approved for listing) on the Principal Market, subject to official notice of issuance.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Prior to the date of the delivery by the Company of the first Advance Notice, the Investor shall have received an opinion letter from counsel to the Company in form and substance reasonably satisfactory to the Investor.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val="false"/>
          <w:caps w:val="false"/>
          <w:smallCaps w:val="false"/>
          <w:sz w:val="20"/>
          <w:u w:val="single"/>
        </w:rPr>
        <w:t>Exchange Act Registration</w:t>
      </w:r>
      <w:r>
        <w:rPr>
          <w:rFonts w:ascii="Times New Roman;Times;Serif" w:hAnsi="Times New Roman;Times;Serif"/>
          <w:b w:val="false"/>
          <w:i w:val="false"/>
          <w:caps w:val="false"/>
          <w:smallCaps w:val="false"/>
          <w:sz w:val="20"/>
        </w:rPr>
        <w:t>. During the Commitment Period,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During the Commitment Period (or such shorter time as permitted by Section 2.04 of this Agreement)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The Company will use commercially reasonable efforts to preserve and continue the corporate existence of the Company during the Commitment Period.</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r>
      <w:r>
        <w:rPr>
          <w:rFonts w:ascii="Times New Roman;Times;Serif" w:hAnsi="Times New Roman;Times;Serif"/>
          <w:b w:val="false"/>
          <w:i w:val="false"/>
          <w:caps w:val="false"/>
          <w:smallCaps w:val="false"/>
          <w:sz w:val="20"/>
          <w:u w:val="single"/>
        </w:rPr>
        <w:t>Notice of Certain Events Affecting Registration; Suspension of Right to Make an Advance</w:t>
      </w:r>
      <w:r>
        <w:rPr>
          <w:rFonts w:ascii="Times New Roman;Times;Serif" w:hAnsi="Times New Roman;Times;Serif"/>
          <w:b w:val="false"/>
          <w:i w:val="false"/>
          <w:caps w:val="false"/>
          <w:smallCaps w:val="false"/>
          <w:sz w:val="20"/>
        </w:rPr>
        <w:t>. The Company will promptly notify the Investor, and confirm in writing, upon its becoming aware of the occurrence of any of the following events in respect of a Registration Statement or related Prospectus (in each of which cases, if the information constitutes material non-public information, the information provided to the Investor will be kept confidential until disclosed by the Company): (i) receipt of any request for additional information by the SEC or any other Federal or state governmental authority during the period of effectiveness of the Registration Statement the response to which would require any post-effective amendments or supplements to the Registration Statement or the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provided, however, the Company shall not be required to furnish any document to the extent such document is available on EDGAR); (v) the Company’s reasonable determination that a post-effective amendment to the Registration Statement would be required under Applicable Law; (vi) the Common Shares shall cease to be quoted (or, if the Principal Market is a national securities exchange,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pending Advance Notice (other than as required pursuant to Section 2.02(d)), during the continuation of any of the foregoing events (each of the events described in the immediately preceding clauses (i) through (vii), inclusive, a “</w:t>
      </w:r>
      <w:r>
        <w:rPr>
          <w:rFonts w:ascii="Times New Roman;Times;Serif" w:hAnsi="Times New Roman;Times;Serif"/>
          <w:b w:val="false"/>
          <w:i w:val="false"/>
          <w:caps w:val="false"/>
          <w:smallCaps w:val="false"/>
          <w:sz w:val="20"/>
          <w:u w:val="single"/>
        </w:rPr>
        <w:t>Material Outside Event</w:t>
      </w:r>
      <w:r>
        <w:rPr>
          <w:rFonts w:ascii="Times New Roman;Times;Serif" w:hAnsi="Times New Roman;Times;Serif"/>
          <w:b w:val="false"/>
          <w:i w:val="false"/>
          <w:caps w:val="false"/>
          <w:smallCaps w:val="false"/>
          <w:sz w:val="20"/>
        </w:rPr>
        <w:t>”). For the avoidance of doubt, a transfer of the quotation or listing of the Common Shares from one Principal Market to another shall not constitute a Material Outside Event.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r>
      <w:r>
        <w:rPr>
          <w:rFonts w:ascii="Times New Roman;Times;Serif" w:hAnsi="Times New Roman;Times;Serif"/>
          <w:b w:val="false"/>
          <w:i w:val="false"/>
          <w:caps w:val="false"/>
          <w:smallCaps w:val="false"/>
          <w:sz w:val="20"/>
          <w:u w:val="single"/>
        </w:rPr>
        <w:t>Consolidation</w:t>
      </w:r>
      <w:r>
        <w:rPr>
          <w:rFonts w:ascii="Times New Roman;Times;Serif" w:hAnsi="Times New Roman;Times;Serif"/>
          <w:b w:val="false"/>
          <w:i w:val="false"/>
          <w:caps w:val="false"/>
          <w:smallCaps w:val="false"/>
          <w:sz w:val="20"/>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val="false"/>
          <w:i w:val="false"/>
          <w:caps w:val="false"/>
          <w:smallCaps w:val="false"/>
          <w:sz w:val="20"/>
          <w:u w:val="single"/>
        </w:rPr>
        <w:t>Issuance of the Company’s Shares.</w:t>
      </w:r>
      <w:r>
        <w:rPr>
          <w:rFonts w:ascii="Times New Roman;Times;Serif" w:hAnsi="Times New Roman;Times;Serif"/>
          <w:b w:val="false"/>
          <w:i w:val="false"/>
          <w:caps w:val="false"/>
          <w:smallCaps w:val="false"/>
          <w:sz w:val="20"/>
        </w:rPr>
        <w:t xml:space="preserve"> The issuance and sale of the Shares hereunder shall be made in accordance with the provisions and requirements of Section 4(a)(2) of the Securities Act and any applicable state securities law.</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whether or not the transactions contemplated hereunder are consummated or this Agreement is terminated, will pay all reasonable and documented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reasonably requested by the Investor, (vi) the fees and expenses incurred in connection with the listing or qualification of the Shares for trading on the Principal Market, and (vii) filing fees of the SEC and the Principal Market.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xml:space="preserve"> The Company shall, not later than 5:30 p.m., New York City time, on the fourth Business Day after the date of this Agreement, file with the SEC a current report on Form 8-K describing all the material terms of the transactions contemplated by the Transaction Documents in the form required by the Exchange Act and attaching all the material Transaction Documents (including any exhibits thereto, the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The Company shall provide the Investor and its legal counsel a reasonable opportunity to comment on a draft of the Current Report including any exhibits to be filed thereto, as applicable, prior to filing the Current Report with the SEC and shall reasonably consider all such comments. Notwithstanding anything contained in this Agreement to the contrary, the Company expressly agrees that prior to delivery of an Advance Notice, the Company shall have publicly disclosed all material, non-public information provided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non-public information regarding the Company or any of its Subsidiaries without the express prior written consent of the Investor (which may be granted or withheld in the Investor’s sole discretion).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by the Transaction Documents, which, following the Effective Date would, if not so disclosed, constitute material, non-public information regarding the Company or its Subsidiaries. The Company understands and confirms that the Investor will rely on the foregoing representations in effecting resales of Shares.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val="false"/>
          <w:i w:val="false"/>
          <w:caps w:val="false"/>
          <w:smallCaps w:val="false"/>
          <w:sz w:val="20"/>
          <w:u w:val="single"/>
        </w:rPr>
        <w:t>Advance Notice Limitation</w:t>
      </w:r>
      <w:r>
        <w:rPr>
          <w:rFonts w:ascii="Times New Roman;Times;Serif" w:hAnsi="Times New Roman;Times;Serif"/>
          <w:b w:val="false"/>
          <w:i w:val="false"/>
          <w:caps w:val="false"/>
          <w:smallCaps w:val="false"/>
          <w:sz w:val="20"/>
        </w:rPr>
        <w:t>. The Company shall not deliver an Advance Notice if a shareholder meeting or corporate action, or the record date for any shareholder meeting or any corporate action, would fall during the period beginning two Trading Days prior to the date of delivery of such Advance Notice and ending two Trading Days following the Closing of such Advance.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tab/>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or lend, contribute, facilitate or otherwise make available such proceeds to any Person (i) to fund, either directly or indirectly, any activities or business of or with any Person that is identified on the list of Specially Designated Nationals and Blocker Persons maintained by OFAC, or in any country or territory, that, at the time of such funding, is, or whose government is, the subject of Sanctions or Sanctions Programs, or (ii) in any other manner that will result in a violation of Sanctions or Applicable Laws.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comply in all material respects with all Applicable Laws.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w:t>
        <w:tab/>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6.17</w:t>
        <w:tab/>
      </w:r>
      <w:r>
        <w:rPr>
          <w:rFonts w:ascii="Times New Roman;Times;Serif" w:hAnsi="Times New Roman;Times;Serif"/>
          <w:b w:val="false"/>
          <w:i w:val="false"/>
          <w:caps w:val="false"/>
          <w:smallCaps w:val="false"/>
          <w:sz w:val="20"/>
          <w:u w:val="single"/>
        </w:rPr>
        <w:t>Trading Information</w:t>
      </w:r>
      <w:r>
        <w:rPr>
          <w:rFonts w:ascii="Times New Roman;Times;Serif" w:hAnsi="Times New Roman;Times;Serif"/>
          <w:b w:val="false"/>
          <w:i w:val="false"/>
          <w:caps w:val="false"/>
          <w:smallCaps w:val="false"/>
          <w:sz w:val="20"/>
        </w:rPr>
        <w:t>. Upon the Company’s request, with respect to any Trading Day on which the Investor has sold Comon Shares, the Investor agrees to provide the Company</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trading reports setting forth the number and average sales prices of Common Shares sold by the Investor during such Trading Day.</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6.18</w:t>
        <w:tab/>
      </w:r>
      <w:r>
        <w:rPr>
          <w:rFonts w:ascii="Times New Roman;Times;Serif" w:hAnsi="Times New Roman;Times;Serif"/>
          <w:b w:val="false"/>
          <w:i w:val="false"/>
          <w:caps w:val="false"/>
          <w:smallCaps w:val="false"/>
          <w:sz w:val="20"/>
          <w:u w:val="single"/>
        </w:rPr>
        <w:t>Selling Restrictions</w:t>
      </w:r>
      <w:r>
        <w:rPr>
          <w:rFonts w:ascii="Times New Roman;Times;Serif" w:hAnsi="Times New Roman;Times;Serif"/>
          <w:b w:val="false"/>
          <w:i w:val="false"/>
          <w:caps w:val="false"/>
          <w:smallCaps w:val="false"/>
          <w:sz w:val="20"/>
        </w:rPr>
        <w:t>. Except as expressly set forth below, the Investor covenants that from and after the date hereof through and including the Trading Day next following the expiration or termination of this Agreement as provided in Section 9.01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none of the Investor any of its officers, or any entity managed or controlled by the Investor (collectively, the “</w:t>
      </w:r>
      <w:r>
        <w:rPr>
          <w:rFonts w:ascii="Times New Roman;Times;Serif" w:hAnsi="Times New Roman;Times;Serif"/>
          <w:b w:val="false"/>
          <w:i w:val="false"/>
          <w:caps w:val="false"/>
          <w:smallCaps w:val="false"/>
          <w:sz w:val="20"/>
          <w:u w:val="single"/>
        </w:rPr>
        <w:t>Restricted Persons</w:t>
      </w:r>
      <w:r>
        <w:rPr>
          <w:rFonts w:ascii="Times New Roman;Times;Serif" w:hAnsi="Times New Roman;Times;Serif"/>
          <w:b w:val="false"/>
          <w:i w:val="false"/>
          <w:caps w:val="false"/>
          <w:smallCaps w:val="false"/>
          <w:sz w:val="20"/>
        </w:rPr>
        <w:t>” and each of the foregoing is referred to herein as a “</w:t>
      </w:r>
      <w:r>
        <w:rPr>
          <w:rFonts w:ascii="Times New Roman;Times;Serif" w:hAnsi="Times New Roman;Times;Serif"/>
          <w:b w:val="false"/>
          <w:i w:val="false"/>
          <w:caps w:val="false"/>
          <w:smallCaps w:val="false"/>
          <w:sz w:val="20"/>
          <w:u w:val="single"/>
        </w:rPr>
        <w:t>Restricted Person</w:t>
      </w:r>
      <w:r>
        <w:rPr>
          <w:rFonts w:ascii="Times New Roman;Times;Serif" w:hAnsi="Times New Roman;Times;Serif"/>
          <w:b w:val="false"/>
          <w:i w:val="false"/>
          <w:caps w:val="false"/>
          <w:smallCaps w:val="false"/>
          <w:sz w:val="20"/>
        </w:rPr>
        <w:t>”) shall engage in any “short sale” (as such term is defined in Rule 200 of Regulation SHO of the Exchange Act) of the Common Shares, either for its own principal account or for the principal account of any other Restricted Person, solely to the extent such “short sale” establishes a net short position in the Common Shares. Notwithstanding the foregoing, it is expressly understood and agreed that (1) nothing contained herein shall (without implication that the contrary would otherwise be true) prohibit any Restricted Person during the Restricted Period from: (i) selling “long” (as defined under Rule 200 promulgated under Regulation SHO) any Common Shares; (ii) selling a number of Common Shares equal to the number of Advance Shares that such Restricted Person is unconditionally obligated to purchase under a pending Advance Notice but has not yet received from the Company or the transfer agent pursuant to this Agreement; or (iii) selling a number of shares of Common Shares equal to the number of Common Shares that the Investor is entitled to receive, but has not yet received from the Company or the transfer agent, upon the completion of a pending exercise of the Commitment Fee Warrants for which a valid Exercise Notice (as defined in the Commitment Fee Warrants) has been submitted to the Company, and (2) for the purposes of determining a net short position, the Investor shall be considered long shares beneficially owned by the Investor underlying the Commitment Fee Warrants.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6.19</w:t>
        <w:tab/>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6.20</w:t>
        <w:tab/>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other than as expressly required by Section 6.08 hereof,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information to the public, unless prior to disclosure of such information the Company identifies such information as being material non-public information and the Investor agrees in writing to accept such material non-public information for review. Unless specifically agreed to in writing, in no event shall the Investor have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of confidentiality or be deemed to have agreed to maintain information in confidence, with respect to the delivery of any Advance Notices.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6.21</w:t>
        <w:tab/>
      </w:r>
      <w:r>
        <w:rPr>
          <w:rFonts w:ascii="Times New Roman;Times;Serif" w:hAnsi="Times New Roman;Times;Serif"/>
          <w:b w:val="false"/>
          <w:i w:val="false"/>
          <w:caps w:val="false"/>
          <w:smallCaps w:val="false"/>
          <w:sz w:val="20"/>
          <w:u w:val="single"/>
        </w:rPr>
        <w:t>No Frustration</w:t>
      </w:r>
      <w:r>
        <w:rPr>
          <w:rFonts w:ascii="Times New Roman;Times;Serif" w:hAnsi="Times New Roman;Times;Serif"/>
          <w:b w:val="false"/>
          <w:i w:val="false"/>
          <w:caps w:val="false"/>
          <w:smallCaps w:val="false"/>
          <w:sz w:val="20"/>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an Advance Notice.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Non-Exclusive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Choice of Law/Jurisdiction; Waiver of Jury Trial</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t>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PARTY HERETO HAVE BEEN INDUCED TO ENTER INTO THIS AGREEMENT BY, AMONG OTHER THINGS, THE MUTUAL WAIVERS AND CERTIFICATIONS IN THIS PARAGRAPH.</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Termination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Unless earlier terminated as provided hereunder, this Agreement shall terminate automatically on the earlier of (i) 36 months following the Effective Date or (ii) the date on which the Investor shall have made payment of Advances pursuant to this Agreement for Common Shares equal to the Commitment Amount.</w:t>
            </w:r>
          </w:p>
        </w:tc>
      </w:tr>
    </w:tbl>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The Company may terminate this Agreement effective upon five Trading Days’ prior written notice to the Investor; provided that (i) there are no outstanding Advance Notices, the Common Shares under which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Nothing in this Section 9.01 shall be deemed to release the Company or the Investor from any liability for any breach under this Agreement prior to the valid termination hereof, or to impair the rights of the Company and the Investor to compel specific performance by the other party of its obligations under this Agreement prior to the valid termination hereof. The indemnification provisions contained in Article V shall survive termination hereunder.</w:t>
            </w:r>
          </w:p>
        </w:tc>
      </w:tr>
    </w:tbl>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Notices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Advance Notices, which must be in writing delivered in accordance with Section 2.01(b)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or (iv) 1 day after deposit with a nationally recognized overnight delivery service, in each case properly addressed to the party to receive the same. The addresses for such communications (except for Advance Notices which shall be delivered in accordance with Exhibit A hereof) shall be: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3515"/>
        <w:gridCol w:w="4055"/>
      </w:tblGrid>
      <w:tr>
        <w:trPr/>
        <w:tc>
          <w:tcPr>
            <w:tcW w:w="3515" w:type="dxa"/>
            <w:tcBorders/>
            <w:vAlign w:val="center"/>
          </w:tcPr>
          <w:p>
            <w:pPr>
              <w:pStyle w:val="TableContents"/>
              <w:bidi w:val="0"/>
              <w:spacing w:before="0" w:after="283"/>
              <w:ind w:left="0" w:right="0" w:hanging="0"/>
              <w:jc w:val="left"/>
              <w:rPr>
                <w:b w:val="false"/>
                <w:sz w:val="20"/>
              </w:rPr>
            </w:pPr>
            <w:r>
              <w:rPr>
                <w:b w:val="false"/>
                <w:sz w:val="20"/>
              </w:rPr>
              <w:t>If to the Company, to:</w:t>
            </w:r>
          </w:p>
        </w:tc>
        <w:tc>
          <w:tcPr>
            <w:tcW w:w="40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Inc.</w:t>
              <w:br/>
              <w:t>11085 Torreyana Road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92121</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(858) 558-0708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Jay M. Short, Ph.D.</w:t>
            </w:r>
          </w:p>
          <w:p>
            <w:pPr>
              <w:pStyle w:val="TableContents"/>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r>
      <w:tr>
        <w:trPr/>
        <w:tc>
          <w:tcPr>
            <w:tcW w:w="351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w:t>
            </w:r>
          </w:p>
          <w:p>
            <w:pPr>
              <w:pStyle w:val="TableContents"/>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 notice or delivery of process) to:</w:t>
            </w:r>
          </w:p>
        </w:tc>
        <w:tc>
          <w:tcPr>
            <w:tcW w:w="40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Orrick, Herrington &amp; Sutcliffe LLP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 Howard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94105</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Niki Fang, Esq.; David Schulman, Esq.</w:t>
            </w:r>
          </w:p>
          <w:p>
            <w:pPr>
              <w:pStyle w:val="TableContents"/>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p>
        </w:tc>
      </w:tr>
      <w:tr>
        <w:trPr/>
        <w:tc>
          <w:tcPr>
            <w:tcW w:w="3515" w:type="dxa"/>
            <w:tcBorders/>
            <w:vAlign w:val="center"/>
          </w:tcPr>
          <w:p>
            <w:pPr>
              <w:pStyle w:val="TableContents"/>
              <w:bidi w:val="0"/>
              <w:spacing w:before="0" w:after="283"/>
              <w:jc w:val="left"/>
              <w:rPr>
                <w:b w:val="false"/>
                <w:sz w:val="20"/>
              </w:rPr>
            </w:pPr>
            <w:r>
              <w:rPr>
                <w:b w:val="false"/>
                <w:sz w:val="20"/>
              </w:rPr>
              <w:t>If to the Investor:</w:t>
            </w:r>
          </w:p>
        </w:tc>
        <w:tc>
          <w:tcPr>
            <w:tcW w:w="4055" w:type="dxa"/>
            <w:tcBorders/>
            <w:vAlign w:val="center"/>
          </w:tcPr>
          <w:p>
            <w:pPr>
              <w:pStyle w:val="TableContents"/>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 II PN, Ltd.</w:t>
              <w:br/>
              <w:t>1012 Springfield Avenue</w:t>
              <w:br/>
              <w:t>Mountainside, NJ 07092</w:t>
              <w:br/>
              <w:t xml:space="preserve">Attn: </w:t>
              <w:tab/>
              <w:t>Mark Angelo</w:t>
              <w:br/>
              <w:t>E-mail:</w:t>
              <w:tab/>
            </w:r>
          </w:p>
          <w:p>
            <w:pPr>
              <w:pStyle w:val="TableContents"/>
              <w:bidi w:val="0"/>
              <w:spacing w:before="0" w:after="240"/>
              <w:ind w:left="0" w:right="0" w:hanging="0"/>
              <w:jc w:val="left"/>
              <w:rPr>
                <w:caps w:val="false"/>
                <w:smallCaps w:val="false"/>
              </w:rPr>
            </w:pPr>
            <w:r>
              <w:rPr>
                <w:caps w:val="false"/>
                <w:smallCaps w:val="false"/>
              </w:rPr>
              <w:t> </w:t>
            </w:r>
          </w:p>
        </w:tc>
      </w:tr>
      <w:tr>
        <w:trPr/>
        <w:tc>
          <w:tcPr>
            <w:tcW w:w="351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w:t>
            </w:r>
          </w:p>
          <w:p>
            <w:pPr>
              <w:pStyle w:val="TableContents"/>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 notice or delivery of process) to:</w:t>
            </w:r>
          </w:p>
        </w:tc>
        <w:tc>
          <w:tcPr>
            <w:tcW w:w="4055" w:type="dxa"/>
            <w:tcBorders/>
            <w:vAlign w:val="center"/>
          </w:tcPr>
          <w:p>
            <w:pPr>
              <w:pStyle w:val="TableContents"/>
              <w:bidi w:val="0"/>
              <w:spacing w:before="0" w:after="283"/>
              <w:jc w:val="left"/>
              <w:rPr>
                <w:b w:val="false"/>
                <w:sz w:val="20"/>
              </w:rPr>
            </w:pPr>
            <w:r>
              <w:rPr>
                <w:b w:val="false"/>
                <w:sz w:val="20"/>
              </w:rPr>
              <w:t>David Fine, Esq.</w:t>
              <w:br/>
              <w:t>1012 Springfield Avenue</w:t>
              <w:br/>
              <w:t>Mountainside, NJ 07092</w:t>
              <w:br/>
              <w:t>E-mail:</w:t>
              <w:tab/>
            </w:r>
          </w:p>
        </w:tc>
      </w:tr>
    </w:tbl>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 Miscellaneous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including by e-mail attachment, shall be deemed to have been duly and validly delivered and be valid and effective for all purposes of this Agreement.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waived or amended other than by agreement of the parties to this Agreement. The failure of any party hereto to exercise any right, power or remedy provided under this Agreement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remedy available to it hereunder or any other right, power or remedy or to demand strict compliance with the terms of this Agreement.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tab/>
      </w:r>
      <w:r>
        <w:rPr>
          <w:rFonts w:ascii="Times New Roman;Times;Serif" w:hAnsi="Times New Roman;Times;Serif"/>
          <w:b w:val="false"/>
          <w:i w:val="false"/>
          <w:caps w:val="false"/>
          <w:smallCaps w:val="false"/>
          <w:sz w:val="20"/>
          <w:u w:val="single"/>
        </w:rPr>
        <w:t>Reporting Entity for the Common Shares</w:t>
      </w:r>
      <w:r>
        <w:rPr>
          <w:rFonts w:ascii="Times New Roman;Times;Serif" w:hAnsi="Times New Roman;Times;Serif"/>
          <w:b w:val="false"/>
          <w:i w:val="false"/>
          <w:caps w:val="false"/>
          <w:smallCaps w:val="false"/>
          <w:sz w:val="20"/>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tab/>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Each of the parties shall pay its own fees and expenses (including the fees of any attorneys, accountants, appraisers or others engaged by such party) in connection with this Agreement and the transactions contemplated hereby, except that the Company shall pay a commitment fee in an amount equal to $500,000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The Commitment Fee shall be earned on the date hereof and shall be paid as follows: (i) one-half of the Commitment Fee shall be paid within five days of the date hereof, at the Company’s election, either in cash, or by the issuance to the Investor of warrants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Commitment Fee Warrants</w:t>
      </w:r>
      <w:r>
        <w:rPr>
          <w:rFonts w:ascii="Times New Roman;Times;Serif" w:hAnsi="Times New Roman;Times;Serif"/>
          <w:b w:val="false"/>
          <w:i w:val="false"/>
          <w:caps w:val="false"/>
          <w:smallCaps w:val="false"/>
          <w:sz w:val="20"/>
        </w:rPr>
        <w:t>”) exercisable for such number of Common Shares that is equal to one-half of the Commitment Fee divided by the average of the daily VWAPs of the Common Shares during the 5 Trading Days immediately prior to the Effective Date, and (ii) the remaining one-half of the Commitment Fee shall be paid on or before December 31, 2026, at the Company’s election, either in cash, or by the issuance to the Investor of additional Commitment Fee Warrants exercisable for such number of additional Common Shares that is equal to the one-half of the Commitment Fee divided by the average of the daily VWAPs of the Common Shares during the 5 Trading Days immediately prior to December 31, 2026 (such Common Shares underlying the Commitment Fee Warrants, the “</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Any Commitment Shares underlying Commitment Fee Warrants that have been issued prior to the filing of the initial Registration Statement shall be included on the initial Registration Statement. The Commitment Fee Warrants shall be issued in reliance on Section 4(a)(2) of the Securities Act. Upon issuance hereunder Commitment Fee Warrants shall bear a restrictive legend in substantially the following form:</w:t>
      </w:r>
    </w:p>
    <w:p>
      <w:pPr>
        <w:pStyle w:val="TextBody"/>
        <w:bidi w:val="0"/>
        <w:spacing w:before="0" w:after="24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tab/>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Standby Equity Purchase Agreement to be executed by the undersigned, thereunto duly authorized, as of the date first set forth above.</w:t>
      </w:r>
    </w:p>
    <w:tbl>
      <w:tblPr>
        <w:tblW w:w="3380" w:type="dxa"/>
        <w:jc w:val="left"/>
        <w:tblInd w:w="0" w:type="dxa"/>
        <w:tblLayout w:type="fixed"/>
        <w:tblCellMar>
          <w:top w:w="0" w:type="dxa"/>
          <w:left w:w="0" w:type="dxa"/>
          <w:bottom w:w="0" w:type="dxa"/>
          <w:right w:w="0" w:type="dxa"/>
        </w:tblCellMar>
      </w:tblPr>
      <w:tblGrid>
        <w:gridCol w:w="75"/>
        <w:gridCol w:w="3305"/>
      </w:tblGrid>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BioAtla, Inc.</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By:</w:t>
            </w:r>
            <w:r>
              <w:rPr>
                <w:u w:val="single"/>
              </w:rPr>
              <w:tab/>
              <w:t>/s/ Jay M. Short</w:t>
              <w:tab/>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Name: Jay M. Short</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YA II PN, Ltd.</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By:</w:t>
              <w:tab/>
              <w:t>Yorkville Advisors Global, LP</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Its:</w:t>
              <w:tab/>
              <w:t>Investment Manager</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ind w:left="720" w:right="0" w:hanging="0"/>
              <w:jc w:val="left"/>
              <w:rPr>
                <w:caps w:val="false"/>
                <w:smallCaps w:val="false"/>
              </w:rPr>
            </w:pPr>
            <w:r>
              <w:rPr>
                <w:caps w:val="false"/>
                <w:smallCaps w:val="false"/>
              </w:rPr>
              <w:t> </w:t>
            </w:r>
          </w:p>
          <w:p>
            <w:pPr>
              <w:pStyle w:val="TableContents"/>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tab/>
              <w:t>Yorkville Advisors Global II, LLC</w:t>
            </w:r>
          </w:p>
          <w:p>
            <w:pPr>
              <w:pStyle w:val="TableContents"/>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tab/>
              <w:t>General Partner</w:t>
            </w:r>
          </w:p>
          <w:p>
            <w:pPr>
              <w:pStyle w:val="TableContents"/>
              <w:bidi w:val="0"/>
              <w:spacing w:before="0" w:after="283"/>
              <w:ind w:left="72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ab/>
              <w:t>By:</w:t>
            </w:r>
            <w:r>
              <w:rPr>
                <w:u w:val="single"/>
              </w:rPr>
              <w:tab/>
              <w:t>/s/ Matthew Beckman</w:t>
              <w:tab/>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ab/>
              <w:t>Name:</w:t>
              <w:tab/>
              <w:t>Matthew Beckman</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ab/>
              <w:t>Title:</w:t>
              <w:tab/>
              <w:t>Manager</w:t>
            </w:r>
          </w:p>
        </w:tc>
      </w:tr>
      <w:tr>
        <w:trPr/>
        <w:tc>
          <w:tcPr>
            <w:tcW w:w="7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I TO THE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STANDBY EQUITY PURCHASE AGREEMENT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jc w:val="center"/>
        <w:rPr>
          <w:caps w:val="false"/>
          <w:smallCaps w:val="false"/>
        </w:rPr>
      </w:pPr>
      <w:r>
        <w:rPr>
          <w:caps w:val="false"/>
          <w:smallCaps w:val="false"/>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shall have the meaning set forth in Section 2.01(d)(ii).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Advance Amount</w:t>
      </w:r>
      <w:r>
        <w:rPr>
          <w:rFonts w:ascii="Times New Roman;Times;Serif" w:hAnsi="Times New Roman;Times;Serif"/>
          <w:b w:val="false"/>
          <w:i w:val="false"/>
          <w:caps w:val="false"/>
          <w:smallCaps w:val="false"/>
          <w:sz w:val="20"/>
        </w:rPr>
        <w:t>” shall have the meaning set forth in Section 2.01(d)(i).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shall mean any issuance and sale of Advance Shares by the Company to the Investor pursuant to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Date</w:t>
      </w:r>
      <w:r>
        <w:rPr>
          <w:rFonts w:ascii="Times New Roman;Times;Serif" w:hAnsi="Times New Roman;Times;Serif"/>
          <w:b w:val="false"/>
          <w:i w:val="false"/>
          <w:caps w:val="false"/>
          <w:smallCaps w:val="false"/>
          <w:sz w:val="20"/>
        </w:rPr>
        <w:t>” shall mean the first Trading Day after expiration of the applicable Pricing Period for each Advance.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Notice</w:t>
      </w:r>
      <w:r>
        <w:rPr>
          <w:rFonts w:ascii="Times New Roman;Times;Serif" w:hAnsi="Times New Roman;Times;Serif"/>
          <w:b w:val="false"/>
          <w:i w:val="false"/>
          <w:caps w:val="false"/>
          <w:smallCaps w:val="false"/>
          <w:sz w:val="20"/>
        </w:rPr>
        <w:t>” shall mean a written notice in the form of Exhibit A attached hereto to the Investor executed by an officer of the Company and setting forth the number of Advance Shares that the Company desires to issue and sell to the Investor.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Notice Date</w:t>
      </w:r>
      <w:r>
        <w:rPr>
          <w:rFonts w:ascii="Times New Roman;Times;Serif" w:hAnsi="Times New Roman;Times;Serif"/>
          <w:b w:val="false"/>
          <w:i w:val="false"/>
          <w:caps w:val="false"/>
          <w:smallCaps w:val="false"/>
          <w:sz w:val="20"/>
        </w:rPr>
        <w:t>” shall mean each date the Company is deemed to have delivered (in accordance with Section 2.01(b) of this Agreement) an Advance Notice to the Investor, subject to the terms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Shares</w:t>
      </w:r>
      <w:r>
        <w:rPr>
          <w:rFonts w:ascii="Times New Roman;Times;Serif" w:hAnsi="Times New Roman;Times;Serif"/>
          <w:b w:val="false"/>
          <w:i w:val="false"/>
          <w:caps w:val="false"/>
          <w:smallCaps w:val="false"/>
          <w:sz w:val="20"/>
        </w:rPr>
        <w:t>” shall mean the Common Shares that the Company shall issue and sell to the Investor pursuant to an Advance Notice delivered in accordance with the terms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have the meaning set forth in Section 3.07.</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shall mean all applicable laws, statutes, rules, regulations, orders, decrees, rulings, injunctions,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Price</w:t>
      </w:r>
      <w:r>
        <w:rPr>
          <w:rFonts w:ascii="Times New Roman;Times;Serif" w:hAnsi="Times New Roman;Times;Serif"/>
          <w:b w:val="false"/>
          <w:i w:val="false"/>
          <w:caps w:val="false"/>
          <w:smallCaps w:val="false"/>
          <w:sz w:val="20"/>
        </w:rPr>
        <w:t>” shall mean a price per Share equal to the quotient obtained by dividing (i) the aggregate gross purchase price paid by the Investor for all Shares purchased pursuant to this Agreement, by (ii) the aggregate number of Shares issued pursuant to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Black Out Period</w:t>
      </w:r>
      <w:r>
        <w:rPr>
          <w:rFonts w:ascii="Times New Roman;Times;Serif" w:hAnsi="Times New Roman;Times;Serif"/>
          <w:b w:val="false"/>
          <w:i w:val="false"/>
          <w:caps w:val="false"/>
          <w:smallCaps w:val="false"/>
          <w:sz w:val="20"/>
        </w:rPr>
        <w:t>” shall have the meaning set forth in Section 6.02(a).</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except any Saturday, any Sunday, any day which is a federal legal holiday in the United States or any day on which banking institutions in the State of New York are authorized or required by Applicable Law to close.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set forth in Section 2.02.</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Amount</w:t>
      </w:r>
      <w:r>
        <w:rPr>
          <w:rFonts w:ascii="Times New Roman;Times;Serif" w:hAnsi="Times New Roman;Times;Serif"/>
          <w:b w:val="false"/>
          <w:i w:val="false"/>
          <w:caps w:val="false"/>
          <w:smallCaps w:val="false"/>
          <w:sz w:val="20"/>
        </w:rPr>
        <w:t>” shall mean $40,000,000 of Common Shares.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shall have the meaning set forth in Section 11.04.</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 Warrants</w:t>
      </w:r>
      <w:r>
        <w:rPr>
          <w:rFonts w:ascii="Times New Roman;Times;Serif" w:hAnsi="Times New Roman;Times;Serif"/>
          <w:b w:val="false"/>
          <w:i w:val="false"/>
          <w:caps w:val="false"/>
          <w:smallCaps w:val="false"/>
          <w:sz w:val="20"/>
        </w:rPr>
        <w:t>” shall have the meaning set forth in Section 11.04.</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Period</w:t>
      </w:r>
      <w:r>
        <w:rPr>
          <w:rFonts w:ascii="Times New Roman;Times;Serif" w:hAnsi="Times New Roman;Times;Serif"/>
          <w:b w:val="false"/>
          <w:i w:val="false"/>
          <w:caps w:val="false"/>
          <w:smallCaps w:val="false"/>
          <w:sz w:val="20"/>
        </w:rPr>
        <w:t>” shall mean the period commencing on the Effective Date and expiring upon the date of termination of this Agreement in accordance with Section 9.01.</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shall have the meaning set forth in Section 11.04.</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 Equivalents</w:t>
      </w:r>
      <w:r>
        <w:rPr>
          <w:rFonts w:ascii="Times New Roman;Times;Serif" w:hAnsi="Times New Roman;Times;Serif"/>
          <w:b w:val="false"/>
          <w:i w:val="false"/>
          <w:caps w:val="false"/>
          <w:smallCaps w:val="false"/>
          <w:sz w:val="20"/>
        </w:rPr>
        <w:t>” 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Indemnitees</w:t>
      </w:r>
      <w:r>
        <w:rPr>
          <w:rFonts w:ascii="Times New Roman;Times;Serif" w:hAnsi="Times New Roman;Times;Serif"/>
          <w:b w:val="false"/>
          <w:i w:val="false"/>
          <w:caps w:val="false"/>
          <w:smallCaps w:val="false"/>
          <w:sz w:val="20"/>
        </w:rPr>
        <w:t>” shall have the meaning set forth in Section 5.02.</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shall have the meaning set forth in Annex II.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shall have the meaning set forth in Section 6.12.</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Traded Amount</w:t>
      </w:r>
      <w:r>
        <w:rPr>
          <w:rFonts w:ascii="Times New Roman;Times;Serif" w:hAnsi="Times New Roman;Times;Serif"/>
          <w:b w:val="false"/>
          <w:i w:val="false"/>
          <w:caps w:val="false"/>
          <w:smallCaps w:val="false"/>
          <w:sz w:val="20"/>
        </w:rPr>
        <w:t>” shall mean the daily trading volume of the Common Shares on the Principal Market during regular trading hours as reported by Bloomberg L.P.</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the date hereof.</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have the meaning set forth in Section 4.13.</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U.S. Securities Exchange Act of 1934, as amended, and the rules and regulations promulgated thereunder.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shall have the meaning set forth in Section 2.01(c)(iii).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Day</w:t>
      </w:r>
      <w:r>
        <w:rPr>
          <w:rFonts w:ascii="Times New Roman;Times;Serif" w:hAnsi="Times New Roman;Times;Serif"/>
          <w:b w:val="false"/>
          <w:i w:val="false"/>
          <w:caps w:val="false"/>
          <w:smallCaps w:val="false"/>
          <w:sz w:val="20"/>
        </w:rPr>
        <w:t>” shall have the meaning set forth in Section 2.01(d)(i).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set forth in Section 4.06.</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shall have the meaning set forth in Section 4.13.</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shall have the meaning set forth in Section 5.01.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Indemnitees</w:t>
      </w:r>
      <w:r>
        <w:rPr>
          <w:rFonts w:ascii="Times New Roman;Times;Serif" w:hAnsi="Times New Roman;Times;Serif"/>
          <w:b w:val="false"/>
          <w:i w:val="false"/>
          <w:caps w:val="false"/>
          <w:smallCaps w:val="false"/>
          <w:sz w:val="20"/>
        </w:rPr>
        <w:t>” shall have the meaning set forth in Section 5.01.</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shall mean the lowest of the daily VWAPs of the Common Shares during the relevant Pricing Period, other than the daily VWAP on any Excluded Days.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Outside Event</w:t>
      </w:r>
      <w:r>
        <w:rPr>
          <w:rFonts w:ascii="Times New Roman;Times;Serif" w:hAnsi="Times New Roman;Times;Serif"/>
          <w:b w:val="false"/>
          <w:i w:val="false"/>
          <w:caps w:val="false"/>
          <w:smallCaps w:val="false"/>
          <w:sz w:val="20"/>
        </w:rPr>
        <w:t>” shall have the meaning set forth in Section 6.08.</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Advance Amount</w:t>
      </w:r>
      <w:r>
        <w:rPr>
          <w:rFonts w:ascii="Times New Roman;Times;Serif" w:hAnsi="Times New Roman;Times;Serif"/>
          <w:b w:val="false"/>
          <w:i w:val="false"/>
          <w:caps w:val="false"/>
          <w:smallCaps w:val="false"/>
          <w:sz w:val="20"/>
        </w:rPr>
        <w:t>” in respect of each Advance Notice means an amount equal to one hundred percent (100%) of the average of the Daily Traded Amount during the five consecutive Trading Day immediately preceding an Advance Notice; provided that the Parties may agree in writing from time to time to adjust such amount in accordance with the terms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Acceptable Price</w:t>
      </w:r>
      <w:r>
        <w:rPr>
          <w:rFonts w:ascii="Times New Roman;Times;Serif" w:hAnsi="Times New Roman;Times;Serif"/>
          <w:b w:val="false"/>
          <w:i w:val="false"/>
          <w:caps w:val="false"/>
          <w:smallCaps w:val="false"/>
          <w:sz w:val="20"/>
        </w:rPr>
        <w:t>” shall mean the minimum price notified by the Company to the Investor in each Advance Notice, if applicable.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have the meaning set forth in Section 4.30.</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OTCQB” shall mean OTCQB Venture Market operated by OTC Markets Group Inc.</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shall have the meaning set forth in Section 2.01(c)(i).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a corporation, a partnership, a limited liability company, a trust or other entity or organization, including a government or political subdivision or an agency or instrumentality thereof.</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mean the section of a Registration Statement disclosing the plan of distribution of the Shares.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Period</w:t>
      </w:r>
      <w:r>
        <w:rPr>
          <w:rFonts w:ascii="Times New Roman;Times;Serif" w:hAnsi="Times New Roman;Times;Serif"/>
          <w:b w:val="false"/>
          <w:i w:val="false"/>
          <w:caps w:val="false"/>
          <w:smallCaps w:val="false"/>
          <w:sz w:val="20"/>
        </w:rPr>
        <w:t>” shall mean the three (3) consecutive Trading Days commencing on the Advance Notice Date, unless otherwise agreed between the Parties.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shall mean the OTCQB; provided however, that in the event the Common Shares are ever listed or traded on the Nasdaq Capital Market, Nasdaq Global Select Market, the Nasdaq Global Market, the New York Stock Exchange, or the NYSE American, then the “Principal Market” shall mean such other market or exchange on which the Common Shares are then listed or traded to the extent such other market or exchange is the principal trading market or exchange for the Common Shares.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any prospectus (including, without limitation, all amendments and supplements thereto) used by the Company in connection with a Registration Statement.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any prospectus supplement to a Prospectus filed with the SEC from time to time pursuant to Rule 424(b) under the Securities Act, including the documents incorporated by reference therein, including, without limitation, any prospectus supplement to be filed in accordance with Section 6.01 hereof.</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shall mean the price per Advance Share obtained by multiplying the Market Price by 97%.</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shall mean (i) the Shares, and (ii) any securities issued or issuable with respect to the Shares by way of exchange, stock dividend or stock split or in connection with a combination of shares, recapitalization, merger, consolidation or other reorganization or otherwise.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shall have the meaning set forth in Section 2.01(c)(ii).</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a registration statement on Form S-1 or Form S-3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shall mean the provisions of Regulation D promulgated under the Securities Act.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shall have the meaning set forth in Section 4.30.</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shall have the meaning set forth in Section 4.30.</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shall mean (1) any registration statement filed by the Company with the SEC, including any related prospectus or prospectuses, for the registration of the Common Shares, on file with the SEC at the time such registration statement became effective, including the financial statements, schedules, exhibits and all other documents filed as a part thereof or incorporated therein and all information deemed to be a part thereof as of the effective date of such registration statement under the Securities Act, (2) any proxy statement or prospectus filed by the Company with the SEC, including all documents incorporated or deemed incorporated therein by reference, whether or not included in a registration statement on Form S-3, in the form in which such proxy statement or prospectus has most recently been filed with the SEC pursuant to Rule 424(b) under the Securities Act, (3) all reports, schedules, registrations, forms, statements, information and other documents filed with or furnished to the SEC by the Company pursuant to Section 13(a), 13(c), 14 or 15(d) of the Exchange Act during the two years prior to the date hereof, including, without limitation, the Current Report, (4) each Registration Statement, as the same may be amended from time to time, the Prospectus contained therein and each Prospectus Supplement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thereto and (5) all information contained in such filings and all documents and disclosures that have been and heretofore shall be incorporated by reference therein.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Document</w:t>
      </w:r>
      <w:r>
        <w:rPr>
          <w:rFonts w:ascii="Times New Roman;Times;Serif" w:hAnsi="Times New Roman;Times;Serif"/>
          <w:b w:val="false"/>
          <w:i w:val="false"/>
          <w:caps w:val="false"/>
          <w:smallCaps w:val="false"/>
          <w:sz w:val="20"/>
        </w:rPr>
        <w:t>” shall have the meaning set forth in Section 2.02(a).</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shall mean the Commitment Shares and the Common Shares to be issued from time to time hereunder pursuant to an Advance.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any day during which the Principal Market shall be open for business.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Common Shares or Common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or (iii)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mean for any Trading Day or specified period, the volume weighted average price of the Common Shares on the Principal Market, for such period as reported by Bloomberg L.P. through its “AQR” function.</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STANDBY EQUITY PURCHASE AGREEMENT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 TO THE RIGHT OF THE COMPANY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DELIVER AN ADVANCE NOTICE</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Company to deliver an Advance Notice and the obligations of the Investor hereunder with respect to an Advance are subject to the satisfaction or waiver (any such waiver by the Investor shall only be valid and recognized if pursuant to a written agreement signed by the Investor), on each Advance Notice Date (a “</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of each of the following conditions:</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u w:val="single"/>
              </w:rPr>
              <w:t>Accuracy of the Company’s Representations and Warranties</w:t>
            </w:r>
            <w:r>
              <w:rPr/>
              <w:t>. The representations and warranties of the Company in this Agreement shall be true and correct in all material respects as of the Advance Notice Date (except to the extent such representations and warranties are as of another date, such representations and warranties shall be true and correct as of such other date).</w:t>
            </w:r>
          </w:p>
        </w:tc>
      </w:tr>
    </w:tbl>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u w:val="single"/>
              </w:rPr>
              <w:t>Commitment Fee</w:t>
            </w:r>
            <w:r>
              <w:rPr/>
              <w:t>. The Company shall have paid the portion of the Commitment Fee then due and payable in accordance with Section 11.04.</w:t>
            </w:r>
          </w:p>
        </w:tc>
      </w:tr>
    </w:tbl>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u w:val="single"/>
              </w:rPr>
              <w:t>Registration of the Common Shares with the SEC</w:t>
            </w:r>
            <w:r>
              <w:rPr/>
              <w:t>. There is an effective Registration Statement pursuant to which the Investor is permitted to utilize the prospectus thereunder to resell all of the Common Shares issuable pursuant to such Advance Notice. The Current Report shall have been filed with the SEC, and the Company shall have filed with the SEC in a timely manner all reports, notices and other documents required under the Exchange Act and applicable SEC regulations during the twelve-month period immediately preceding the applicable Condition Satisfaction Date.</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both"/>
              <w:rPr/>
            </w:pPr>
            <w:r>
              <w:rPr>
                <w:u w:val="single"/>
              </w:rPr>
              <w:t>Authority</w:t>
            </w:r>
            <w:r>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tc>
      </w:tr>
    </w:tbl>
    <w:tbl>
      <w:tblPr>
        <w:tblW w:w="5000" w:type="pct"/>
        <w:jc w:val="left"/>
        <w:tblInd w:w="0" w:type="dxa"/>
        <w:tblLayout w:type="fixed"/>
        <w:tblCellMar>
          <w:top w:w="0" w:type="dxa"/>
          <w:left w:w="0" w:type="dxa"/>
          <w:bottom w:w="0" w:type="dxa"/>
          <w:right w:w="0" w:type="dxa"/>
        </w:tblCellMar>
      </w:tblPr>
      <w:tblGrid>
        <w:gridCol w:w="41"/>
        <w:gridCol w:w="303"/>
        <w:gridCol w:w="9861"/>
      </w:tblGrid>
      <w:tr>
        <w:trPr/>
        <w:tc>
          <w:tcPr>
            <w:tcW w:w="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(e)</w:t>
            </w:r>
          </w:p>
        </w:tc>
        <w:tc>
          <w:tcPr>
            <w:tcW w:w="9861" w:type="dxa"/>
            <w:tcBorders/>
            <w:vAlign w:val="center"/>
          </w:tcPr>
          <w:p>
            <w:pPr>
              <w:pStyle w:val="TableContents"/>
              <w:bidi w:val="0"/>
              <w:spacing w:before="0" w:after="283"/>
              <w:jc w:val="both"/>
              <w:rPr/>
            </w:pPr>
            <w:r>
              <w:rPr>
                <w:u w:val="single"/>
              </w:rPr>
              <w:t>No Material Outside Event</w:t>
            </w:r>
            <w:r>
              <w:rPr/>
              <w:t>. No Material Outside Event shall have occurred and be continuing.</w:t>
            </w:r>
          </w:p>
        </w:tc>
      </w:tr>
    </w:tbl>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(f)</w:t>
            </w:r>
          </w:p>
        </w:tc>
        <w:tc>
          <w:tcPr>
            <w:tcW w:w="9981" w:type="dxa"/>
            <w:tcBorders/>
            <w:vAlign w:val="center"/>
          </w:tcPr>
          <w:p>
            <w:pPr>
              <w:pStyle w:val="TableContents"/>
              <w:bidi w:val="0"/>
              <w:spacing w:before="0" w:after="283"/>
              <w:jc w:val="both"/>
              <w:rPr/>
            </w:pPr>
            <w:r>
              <w:rPr>
                <w:u w:val="single"/>
              </w:rPr>
              <w:t>Board</w:t>
            </w:r>
            <w:r>
              <w:rPr/>
              <w:t>. (I) The board of directors of the Company has approved the transactions contemplated by the Transaction Documents, (II) said approval has not been amended, rescinded or modified and remains in full force and effect as of the date hereof, and (III) a true, correct and complete copy of such resolutions duly adopted by the board of directors of the Company shall have been provided to the Investor.</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(g)</w:t>
            </w:r>
          </w:p>
        </w:tc>
        <w:tc>
          <w:tcPr>
            <w:tcW w:w="9929" w:type="dxa"/>
            <w:tcBorders/>
            <w:vAlign w:val="center"/>
          </w:tcPr>
          <w:p>
            <w:pPr>
              <w:pStyle w:val="TableContents"/>
              <w:bidi w:val="0"/>
              <w:spacing w:before="0" w:after="283"/>
              <w:jc w:val="both"/>
              <w:rPr/>
            </w:pPr>
            <w:r>
              <w:rPr>
                <w:u w:val="single"/>
              </w:rPr>
              <w:t>Performance by the Company</w:t>
            </w:r>
            <w:r>
              <w:rPr/>
              <w:t>. The Company shall have performed, satisfied and complied in all respects with all covenants, agreements and conditions required by this Agreement to be performed, satisfied or complied with by the Company at or prior the applicable Condition Satisfaction Date.</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u w:val="single"/>
              </w:rPr>
              <w:t>No Injunction</w:t>
            </w:r>
            <w:r>
              <w:rPr/>
              <w:t>. 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Transaction Documents.</w:t>
            </w:r>
          </w:p>
        </w:tc>
      </w:tr>
    </w:tbl>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u w:val="single"/>
              </w:rPr>
              <w:t>No Suspension of Trading in or Removal from Quotation or Delisting of Common Shares</w:t>
            </w:r>
            <w:r>
              <w:rPr/>
              <w:t>. (I) Trading in the Common Shares shall not have been suspended by the SEC, the Principal Market or FINRA, (II) the Company shall not have received any notice that the quotation or listing of the Common Shares on the Principal Market shall be terminated (it being understood that a transfer of the quotation or listing of the Common Shares from one Principal Market to another shall not be a failure of this condition), nor shall there have been imposed any suspension of, or restriction on, accepting additional deposits of the Common Shares, electronic trading or book-entry services by DTC with respect to the Common Shares that is continuing, (III) the Company shall not have received any notice from DTC to the effect that a suspension of, or restriction on, accepting additional deposits of the Common Shares, electronic trading or book-entry services by DTC with respect to the Common Shares is being imposed or is contemplated, and (IV) all of the Common Shares issuable pursuant to the applicable Advance Notice shall be eligible for deposit at the brokerage account provided by the Investor for the delivery of such Common Shares.</w:t>
            </w:r>
          </w:p>
        </w:tc>
      </w:tr>
    </w:tbl>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(j)</w:t>
            </w:r>
          </w:p>
        </w:tc>
        <w:tc>
          <w:tcPr>
            <w:tcW w:w="9994" w:type="dxa"/>
            <w:tcBorders/>
            <w:vAlign w:val="center"/>
          </w:tcPr>
          <w:p>
            <w:pPr>
              <w:pStyle w:val="TableContents"/>
              <w:bidi w:val="0"/>
              <w:spacing w:before="0" w:after="283"/>
              <w:jc w:val="both"/>
              <w:rPr/>
            </w:pPr>
            <w:r>
              <w:rPr>
                <w:u w:val="single"/>
              </w:rPr>
              <w:t>Authorized</w:t>
            </w:r>
            <w:r>
              <w:rPr/>
              <w:t>. All of the Common Shares issuable pursuant to the applicable Advance Notice shall have been duly authorized by all necessary corporate action of the Company. All Common Shares relating to all prior Advance Notices required to have been received by the Investor under this Agreement shall have been delivered to the Investor in accordance with this Agreement.</w:t>
            </w:r>
          </w:p>
        </w:tc>
      </w:tr>
    </w:tbl>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(k)</w:t>
            </w:r>
          </w:p>
        </w:tc>
        <w:tc>
          <w:tcPr>
            <w:tcW w:w="9915" w:type="dxa"/>
            <w:tcBorders/>
            <w:vAlign w:val="center"/>
          </w:tcPr>
          <w:p>
            <w:pPr>
              <w:pStyle w:val="TableContents"/>
              <w:bidi w:val="0"/>
              <w:spacing w:before="0" w:after="283"/>
              <w:jc w:val="both"/>
              <w:rPr/>
            </w:pPr>
            <w:r>
              <w:rPr>
                <w:u w:val="single"/>
              </w:rPr>
              <w:t>Executed Advance Notice</w:t>
            </w:r>
            <w:r>
              <w:rPr/>
              <w:t>. The representations contained in the applicable Advance Notice shall be true and correct in all material respects as of the applicable Condition Satisfaction Date.</w:t>
            </w:r>
          </w:p>
        </w:tc>
      </w:tr>
    </w:tbl>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(l)</w:t>
            </w:r>
          </w:p>
        </w:tc>
        <w:tc>
          <w:tcPr>
            <w:tcW w:w="9965" w:type="dxa"/>
            <w:tcBorders/>
            <w:vAlign w:val="center"/>
          </w:tcPr>
          <w:p>
            <w:pPr>
              <w:pStyle w:val="TableContents"/>
              <w:bidi w:val="0"/>
              <w:spacing w:before="0" w:after="283"/>
              <w:jc w:val="both"/>
              <w:rPr/>
            </w:pPr>
            <w:r>
              <w:rPr>
                <w:u w:val="single"/>
              </w:rPr>
              <w:t>Consecutive Advance Notices</w:t>
            </w:r>
            <w:r>
              <w:rPr/>
              <w:t>. Except with respect to the first Advance Notice, the Company shall have delivered all Shares relating to all prior Advances.</w:t>
            </w:r>
          </w:p>
        </w:tc>
      </w:tr>
    </w:tbl>
    <w:tbl>
      <w:tblPr>
        <w:tblW w:w="5000" w:type="pct"/>
        <w:jc w:val="left"/>
        <w:tblInd w:w="0" w:type="dxa"/>
        <w:tblLayout w:type="fixed"/>
        <w:tblCellMar>
          <w:top w:w="0" w:type="dxa"/>
          <w:left w:w="0" w:type="dxa"/>
          <w:bottom w:w="0" w:type="dxa"/>
          <w:right w:w="0" w:type="dxa"/>
        </w:tblCellMar>
      </w:tblPr>
      <w:tblGrid>
        <w:gridCol w:w="37"/>
        <w:gridCol w:w="304"/>
        <w:gridCol w:w="9864"/>
      </w:tblGrid>
      <w:tr>
        <w:trPr/>
        <w:tc>
          <w:tcPr>
            <w:tcW w:w="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(m)</w:t>
            </w:r>
          </w:p>
        </w:tc>
        <w:tc>
          <w:tcPr>
            <w:tcW w:w="9864" w:type="dxa"/>
            <w:tcBorders/>
            <w:vAlign w:val="center"/>
          </w:tcPr>
          <w:p>
            <w:pPr>
              <w:pStyle w:val="TableContents"/>
              <w:bidi w:val="0"/>
              <w:spacing w:before="0" w:after="283"/>
              <w:jc w:val="both"/>
              <w:rPr/>
            </w:pPr>
            <w:r>
              <w:rPr>
                <w:u w:val="single"/>
              </w:rPr>
              <w:t>Other Agreements</w:t>
            </w:r>
            <w:r>
              <w:rPr/>
              <w:t>. The Company shall not have breached or failed to observe any term of any debenture, note, or other instrument held by the Investor in the Company or any other agreement between or among the Company and the Investor.</w:t>
            </w:r>
          </w:p>
        </w:tc>
      </w:tr>
    </w:tbl>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(n)</w:t>
            </w:r>
          </w:p>
        </w:tc>
        <w:tc>
          <w:tcPr>
            <w:tcW w:w="9906" w:type="dxa"/>
            <w:tcBorders/>
            <w:vAlign w:val="center"/>
          </w:tcPr>
          <w:p>
            <w:pPr>
              <w:pStyle w:val="TableContents"/>
              <w:bidi w:val="0"/>
              <w:spacing w:before="0" w:after="283"/>
              <w:jc w:val="both"/>
              <w:rPr/>
            </w:pPr>
            <w:r>
              <w:rPr>
                <w:u w:val="single"/>
              </w:rPr>
              <w:t>Material Non-Public Information</w:t>
            </w:r>
            <w:r>
              <w:rPr/>
              <w:t>. Neither the Company nor the Investor shall be in possession of any material non-public information regarding the Company.</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ADVANCE NOTICE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______________</w:t>
        <w:tab/>
        <w:t>Advance Notice Number: ____</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_______________________, hereby certifies, with respect to the sale of Common Shares of BioAtla,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issuable in connection with this Advance Notice, delivered pursuant to that certain Standby Equity Purchase Agreement, dated as of [____________],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as follows (with capitalized terms used herein without definition having the same meanings as given to them in the Agreement):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the duly elected ______________ of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There are no fundamental changes to the information set forth in the Registration Statement which would require the Company to file a post-effective amendment to the Registration Statement.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number of Advance Shares the Company is requesting is _____________________.</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Minimum Acceptable Price with respect to this Advance Notice is ____________ (if left blank then no Minimum Acceptable Price will be applicable to this Advance).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number of Common Shares of the Company outstanding as of the date hereof is ___________.</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Advance Notice as of the date first set forth above.</w:t>
      </w:r>
    </w:p>
    <w:p>
      <w:pPr>
        <w:pStyle w:val="TextBody"/>
        <w:bidi w:val="0"/>
        <w:ind w:left="4114"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ind w:left="4114" w:right="0" w:hanging="0"/>
        <w:jc w:val="left"/>
        <w:rPr>
          <w:caps w:val="false"/>
          <w:smallCaps w:val="false"/>
        </w:rPr>
      </w:pPr>
      <w:r>
        <w:rPr>
          <w:caps w:val="false"/>
          <w:smallCaps w:val="false"/>
        </w:rPr>
        <w:t> </w:t>
      </w:r>
    </w:p>
    <w:p>
      <w:pPr>
        <w:pStyle w:val="TextBody"/>
        <w:bidi w:val="0"/>
        <w:ind w:left="4114" w:right="0" w:hanging="0"/>
        <w:jc w:val="left"/>
        <w:rPr>
          <w:caps w:val="false"/>
          <w:smallCaps w:val="false"/>
        </w:rPr>
      </w:pPr>
      <w:r>
        <w:rPr>
          <w:caps w:val="false"/>
          <w:smallCaps w:val="false"/>
        </w:rPr>
        <w:t> </w:t>
      </w:r>
    </w:p>
    <w:p>
      <w:pPr>
        <w:pStyle w:val="TextBody"/>
        <w:bidi w:val="0"/>
        <w:ind w:left="4114" w:right="0" w:hanging="0"/>
        <w:jc w:val="left"/>
        <w:rPr>
          <w:caps w:val="false"/>
          <w:smallCaps w:val="false"/>
        </w:rPr>
      </w:pPr>
      <w:r>
        <w:rPr>
          <w:caps w:val="false"/>
          <w:smallCaps w:val="false"/>
        </w:rPr>
        <w:t> </w:t>
      </w:r>
    </w:p>
    <w:p>
      <w:pPr>
        <w:pStyle w:val="TextBody"/>
        <w:bidi w:val="0"/>
        <w:ind w:left="411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ab/>
      </w:r>
    </w:p>
    <w:p>
      <w:pPr>
        <w:pStyle w:val="TextBody"/>
        <w:bidi w:val="0"/>
        <w:ind w:left="3600" w:right="0" w:firstLine="51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ind w:left="3394"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deliver this Advance Notice by email to:</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Trading@yorkvilleadvisors.com Attention: Trading Department</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201-985-8300</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SETTLEMENT DOCUMENT</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EMAIL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BioAtla,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w:t>
        <w:tab/>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bl>
      <w:tblPr>
        <w:tblW w:w="7495" w:type="dxa"/>
        <w:jc w:val="left"/>
        <w:tblInd w:w="-10" w:type="dxa"/>
        <w:tblLayout w:type="fixed"/>
        <w:tblCellMar>
          <w:top w:w="28" w:type="dxa"/>
          <w:left w:w="108" w:type="dxa"/>
          <w:bottom w:w="28" w:type="dxa"/>
          <w:right w:w="108" w:type="dxa"/>
        </w:tblCellMar>
      </w:tblPr>
      <w:tblGrid>
        <w:gridCol w:w="185"/>
        <w:gridCol w:w="7235"/>
        <w:gridCol w:w="75"/>
      </w:tblGrid>
      <w:tr>
        <w:trPr/>
        <w:tc>
          <w:tcPr>
            <w:tcW w:w="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7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Below please find the settlement information with respect to the Advance Notice Date of:</w:t>
            </w:r>
          </w:p>
        </w:tc>
        <w:tc>
          <w:tcPr>
            <w:tcW w:w="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Number of Common Shares requested in the Advance Notice</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2.</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Minimum Acceptable Price for this Advance (if any)</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Number of Excluded Days (if any)</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4.</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Adjusted Advance Amount (if applicable)</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5.</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Market Price</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6.</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Purchase Price (Market Price x 97%) per share</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7.</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Number of Advance Shares due to the Investor</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8.</w:t>
            </w:r>
          </w:p>
        </w:tc>
        <w:tc>
          <w:tcPr>
            <w:tcW w:w="7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Purchase Price due to Company (row 6 x row 7)</w:t>
            </w:r>
          </w:p>
        </w:tc>
        <w:tc>
          <w:tcPr>
            <w:tcW w:w="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If there were any Excluded Days then add the following</w:t>
      </w:r>
    </w:p>
    <w:tbl>
      <w:tblPr>
        <w:tblW w:w="10205" w:type="dxa"/>
        <w:jc w:val="left"/>
        <w:tblInd w:w="-10" w:type="dxa"/>
        <w:tblLayout w:type="fixed"/>
        <w:tblCellMar>
          <w:top w:w="28" w:type="dxa"/>
          <w:left w:w="108" w:type="dxa"/>
          <w:bottom w:w="28" w:type="dxa"/>
          <w:right w:w="108" w:type="dxa"/>
        </w:tblCellMar>
      </w:tblPr>
      <w:tblGrid>
        <w:gridCol w:w="287"/>
        <w:gridCol w:w="9842"/>
        <w:gridCol w:w="76"/>
      </w:tblGrid>
      <w:tr>
        <w:trPr/>
        <w:tc>
          <w:tcPr>
            <w:tcW w:w="2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9.</w:t>
            </w:r>
          </w:p>
        </w:tc>
        <w:tc>
          <w:tcPr>
            <w:tcW w:w="98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Number of Additional Shares to be issued to the Investor</w:t>
            </w:r>
          </w:p>
        </w:tc>
        <w:tc>
          <w:tcPr>
            <w:tcW w:w="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w:t>
            </w:r>
          </w:p>
        </w:tc>
        <w:tc>
          <w:tcPr>
            <w:tcW w:w="98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Additional amount to be paid to the Company by the Investor (Additional Shares in row 9 x Minimum Acceptable Price x 97%)</w:t>
            </w:r>
          </w:p>
        </w:tc>
        <w:tc>
          <w:tcPr>
            <w:tcW w:w="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11.</w:t>
            </w:r>
          </w:p>
        </w:tc>
        <w:tc>
          <w:tcPr>
            <w:tcW w:w="98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Amount to be paid to the Company (Purchase Price in row 8 + additional amount in row 10)</w:t>
            </w:r>
          </w:p>
        </w:tc>
        <w:tc>
          <w:tcPr>
            <w:tcW w:w="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12.</w:t>
            </w:r>
          </w:p>
        </w:tc>
        <w:tc>
          <w:tcPr>
            <w:tcW w:w="984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Advance Shares to be issued to the Investor (Advance Shares due to the Investor in row 7 + Additional Shares in row 9)</w:t>
            </w:r>
          </w:p>
        </w:tc>
        <w:tc>
          <w:tcPr>
            <w:tcW w:w="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b/>
        </w:rPr>
      </w:pPr>
      <w:r>
        <w:rPr>
          <w:b/>
        </w:rPr>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issue the number of Advance Shares due to the Investor to the account of the Investor as follows: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Investor’s DTC participant #</w:t>
      </w:r>
      <w:r>
        <w:rPr>
          <w:rFonts w:ascii="Times New Roman;Times;Serif" w:hAnsi="Times New Roman;Times;Serif"/>
          <w:b/>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 NAME</w:t>
      </w:r>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 NUMBER</w:t>
      </w:r>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CITY</w:t>
      </w:r>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COUNTRY</w:t>
      </w:r>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sz w:val="20"/>
        </w:rPr>
      </w:pPr>
      <w:r>
        <w:rPr>
          <w:rFonts w:ascii="Times New Roman;Times;Serif" w:hAnsi="Times New Roman;Times;Serif"/>
          <w:b/>
          <w:i w:val="false"/>
          <w:caps/>
          <w:sz w:val="20"/>
        </w:rPr>
        <w:t>Contact person</w:t>
      </w:r>
      <w:r>
        <w:rPr>
          <w:rFonts w:ascii="Times New Roman;Times;Serif" w:hAnsi="Times New Roman;Times;Serif"/>
          <w:b w:val="false"/>
          <w:i w:val="false"/>
          <w:caps/>
          <w:sz w:val="20"/>
        </w:rPr>
        <w:t>:</w:t>
      </w:r>
    </w:p>
    <w:p>
      <w:pPr>
        <w:pStyle w:val="TextBody"/>
        <w:bidi w:val="0"/>
        <w:jc w:val="left"/>
        <w:rPr>
          <w:rFonts w:ascii="Times New Roman;Times;Serif" w:hAnsi="Times New Roman;Times;Serif"/>
          <w:b w:val="false"/>
          <w:i w:val="false"/>
          <w:caps/>
          <w:sz w:val="20"/>
        </w:rPr>
      </w:pPr>
      <w:r>
        <w:rPr>
          <w:rFonts w:ascii="Times New Roman;Times;Serif" w:hAnsi="Times New Roman;Times;Serif"/>
          <w:b/>
          <w:i w:val="false"/>
          <w:caps/>
          <w:sz w:val="20"/>
        </w:rPr>
        <w:t>Number and/or email</w:t>
      </w:r>
      <w:r>
        <w:rPr>
          <w:rFonts w:ascii="Times New Roman;Times;Serif" w:hAnsi="Times New Roman;Times;Serif"/>
          <w:b w:val="false"/>
          <w:i w:val="false"/>
          <w:caps/>
          <w:sz w:val="20"/>
        </w:rPr>
        <w:t xml:space="preserve">: </w:t>
      </w:r>
    </w:p>
    <w:p>
      <w:pPr>
        <w:pStyle w:val="TextBody"/>
        <w:bidi w:val="0"/>
        <w:spacing w:before="0" w:after="240"/>
        <w:ind w:left="0" w:right="0" w:firstLine="43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Sincerely, </w:t>
      </w:r>
    </w:p>
    <w:p>
      <w:pPr>
        <w:pStyle w:val="TextBody"/>
        <w:bidi w:val="0"/>
        <w:spacing w:before="0" w:after="240"/>
        <w:ind w:left="0" w:right="0" w:firstLine="43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 II PN, LTD.</w:t>
      </w:r>
    </w:p>
    <w:p>
      <w:pPr>
        <w:pStyle w:val="TextBody"/>
        <w:bidi w:val="0"/>
        <w:ind w:left="0" w:right="0" w:firstLine="43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Agreed and approved by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BioAtla, Inc.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br/>
        <w:t>FORM OF COMMITMENT FEE WARRANTS</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1349" w:name="n5620x9_ex23-2.htm"/>
      <w:bookmarkStart w:id="1350" w:name="ksn5620x9_ex232"/>
      <w:bookmarkEnd w:id="1349"/>
      <w:bookmarkEnd w:id="1350"/>
      <w:r>
        <w:rPr>
          <w:rFonts w:ascii="Times New Roman;Times;Serif" w:hAnsi="Times New Roman;Times;Serif"/>
          <w:b w:val="false"/>
          <w:i w:val="false"/>
          <w:caps w:val="false"/>
          <w:smallCaps w:val="false"/>
          <w:sz w:val="20"/>
        </w:rPr>
        <w:t>Exhibit 23.2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use of our report dated March 31, 2026 (except for the fifth paragraph of Note 14, as to which the date is October 19, 2026) in the Registration Statement (Form S-1) and related Prospectus of BioAtla, Inc. for the registration of up to 8,182,110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caps w:val="false"/>
          <w:smallCaps w:val="false"/>
        </w:rPr>
      </w:pPr>
      <w:bookmarkStart w:id="1351" w:name="n5620x9_ex107.htm"/>
      <w:bookmarkStart w:id="1352" w:name="ksn5620x9_ex107"/>
      <w:bookmarkEnd w:id="1351"/>
      <w:bookmarkEnd w:id="1352"/>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bookmarkStart w:id="1353" w:name="xdx_901_effd--FeeExhibitTp_dxL_c20261019"/>
      <w:bookmarkEnd w:id="1353"/>
      <w:r>
        <w:rPr>
          <w:rFonts w:ascii="Arial;Helvetica;sans-serif" w:hAnsi="Arial;Helvetica;sans-serif"/>
          <w:b/>
          <w:i w:val="false"/>
          <w:caps w:val="false"/>
          <w:smallCaps w:val="false"/>
          <w:sz w:val="20"/>
        </w:rPr>
        <w:t>Exhibit 107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Calculation of Filing Fee Tables </w:t>
      </w:r>
      <w:bookmarkStart w:id="1354" w:name="xdx_90E_effd--OfferingTableNa_c20261019_"/>
      <w:bookmarkEnd w:id="1354"/>
      <w:r>
        <w:rPr>
          <w:rFonts w:ascii="Arial;Helvetica;sans-serif" w:hAnsi="Arial;Helvetica;san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Form </w:t>
      </w:r>
      <w:bookmarkStart w:id="1355" w:name="xdx_90E_effd--FormTp_c20261019__20261019"/>
      <w:bookmarkStart w:id="1356" w:name="xdx_90E_effd--SubmissnTp_c20261019__2026"/>
      <w:bookmarkEnd w:id="1355"/>
      <w:bookmarkEnd w:id="1356"/>
      <w:r>
        <w:rPr>
          <w:rFonts w:ascii="Arial;Helvetica;sans-serif" w:hAnsi="Arial;Helvetica;sans-serif"/>
          <w:b/>
          <w:i w:val="false"/>
          <w:caps w:val="false"/>
          <w:smallCaps w:val="false"/>
          <w:sz w:val="20"/>
        </w:rPr>
        <w:t>S-1</w:t>
      </w:r>
      <w:r>
        <w:rPr>
          <w:rFonts w:ascii="Arial;Helvetica;sans-serif" w:hAnsi="Arial;Helvetica;sans-serif"/>
          <w:b w:val="false"/>
          <w:i w:val="false"/>
          <w:caps w:val="false"/>
          <w:smallCaps w:val="false"/>
          <w:sz w:val="20"/>
        </w:rPr>
        <w:br/>
        <w:t>(Form Type)</w:t>
      </w:r>
      <w:bookmarkStart w:id="1357" w:name="xdx_90B_effd--CombinedProspectusTableNa_"/>
      <w:bookmarkStart w:id="1358" w:name="xdx_903_effd--OffsetTableNa_c20261019__2"/>
      <w:bookmarkEnd w:id="1357"/>
      <w:bookmarkEnd w:id="1358"/>
      <w:r>
        <w:rPr>
          <w:rFonts w:ascii="Arial;Helvetica;sans-serif" w:hAnsi="Arial;Helvetica;sans-serif"/>
          <w:b w:val="false"/>
          <w:i w:val="false"/>
          <w:caps w:val="false"/>
          <w:smallCaps w:val="false"/>
          <w:sz w:val="20"/>
        </w:rPr>
        <w:t>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1359" w:name="xdx_90C_edei--EntityRegistrantName_c2026"/>
      <w:bookmarkEnd w:id="1359"/>
      <w:r>
        <w:rPr>
          <w:rFonts w:ascii="Arial;Helvetica;sans-serif" w:hAnsi="Arial;Helvetica;sans-serif"/>
          <w:b/>
          <w:i w:val="false"/>
          <w:caps w:val="false"/>
          <w:smallCaps w:val="false"/>
          <w:sz w:val="20"/>
        </w:rPr>
        <w:t>BioAtla, Inc.</w:t>
      </w:r>
      <w:r>
        <w:rPr>
          <w:rFonts w:ascii="Arial;Helvetica;sans-serif" w:hAnsi="Arial;Helvetica;sans-serif"/>
          <w:b w:val="false"/>
          <w:i w:val="false"/>
          <w:caps w:val="false"/>
          <w:smallCaps w:val="false"/>
          <w:sz w:val="20"/>
        </w:rPr>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Table 1: Newly Registered and Carry Forward Securities </w:t>
      </w:r>
    </w:p>
    <w:tbl>
      <w:tblPr>
        <w:tblW w:w="17219" w:type="dxa"/>
        <w:jc w:val="left"/>
        <w:tblInd w:w="0" w:type="dxa"/>
        <w:tblLayout w:type="fixed"/>
        <w:tblCellMar>
          <w:top w:w="0" w:type="dxa"/>
          <w:left w:w="0" w:type="dxa"/>
          <w:bottom w:w="28" w:type="dxa"/>
          <w:right w:w="108" w:type="dxa"/>
        </w:tblCellMar>
      </w:tblPr>
      <w:tblGrid>
        <w:gridCol w:w="1246"/>
        <w:gridCol w:w="241"/>
        <w:gridCol w:w="1051"/>
        <w:gridCol w:w="1081"/>
        <w:gridCol w:w="1396"/>
        <w:gridCol w:w="1351"/>
        <w:gridCol w:w="1231"/>
        <w:gridCol w:w="1771"/>
        <w:gridCol w:w="1381"/>
        <w:gridCol w:w="1501"/>
        <w:gridCol w:w="1336"/>
        <w:gridCol w:w="1051"/>
        <w:gridCol w:w="1096"/>
        <w:gridCol w:w="1486"/>
      </w:tblGrid>
      <w:tr>
        <w:trPr/>
        <w:tc>
          <w:tcPr>
            <w:tcW w:w="1246" w:type="dxa"/>
            <w:tcBorders>
              <w:bottom w:val="single" w:sz="12" w:space="0" w:color="FFFFFF"/>
              <w:right w:val="single" w:sz="12" w:space="0" w:color="FFFFFF"/>
            </w:tcBorders>
            <w:shd w:fill="9ADAF6" w:val="clear"/>
            <w:vAlign w:val="center"/>
          </w:tcPr>
          <w:p>
            <w:pPr>
              <w:pStyle w:val="TableContents"/>
              <w:bidi w:val="0"/>
              <w:spacing w:before="0" w:after="283"/>
              <w:jc w:val="center"/>
              <w:rPr/>
            </w:pPr>
            <w:r>
              <w:rPr/>
              <w:t> </w:t>
            </w:r>
          </w:p>
        </w:tc>
        <w:tc>
          <w:tcPr>
            <w:tcW w:w="241" w:type="dxa"/>
            <w:tcBorders>
              <w:bottom w:val="single" w:sz="12" w:space="0" w:color="FFFFFF"/>
              <w:right w:val="single" w:sz="12" w:space="0" w:color="FFFFFF"/>
            </w:tcBorders>
            <w:shd w:fill="9ADAF6" w:val="clear"/>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b/>
                <w:sz w:val="24"/>
              </w:rPr>
              <w:t>Security</w:t>
            </w:r>
            <w:r>
              <w:rPr>
                <w:rFonts w:ascii="Arial;Helvetica;Sans-Serif" w:hAnsi="Arial;Helvetica;Sans-Serif"/>
                <w:sz w:val="24"/>
              </w:rPr>
              <w:br/>
            </w:r>
            <w:r>
              <w:rPr>
                <w:rFonts w:ascii="Arial;Helvetica;Sans-Serif" w:hAnsi="Arial;Helvetica;Sans-Serif"/>
                <w:b/>
                <w:sz w:val="24"/>
              </w:rPr>
              <w:t>Type</w:t>
            </w:r>
          </w:p>
        </w:tc>
        <w:tc>
          <w:tcPr>
            <w:tcW w:w="1081" w:type="dxa"/>
            <w:tcBorders>
              <w:bottom w:val="single" w:sz="12" w:space="0" w:color="FFFFFF"/>
              <w:right w:val="single" w:sz="12" w:space="0" w:color="FFFFFF"/>
            </w:tcBorders>
            <w:shd w:fill="9ADAF6" w:val="cle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Security</w:t>
            </w:r>
            <w:r>
              <w:rPr>
                <w:rFonts w:ascii="Arial;Helvetica;Sans-Serif" w:hAnsi="Arial;Helvetica;Sans-Serif"/>
                <w:b w:val="false"/>
                <w:i w:val="false"/>
                <w:caps w:val="false"/>
                <w:smallCaps w:val="false"/>
                <w:sz w:val="24"/>
              </w:rPr>
              <w:br/>
            </w:r>
            <w:r>
              <w:rPr>
                <w:rFonts w:ascii="Arial;Helvetica;Sans-Serif" w:hAnsi="Arial;Helvetica;Sans-Serif"/>
                <w:b/>
                <w:i w:val="false"/>
                <w:caps w:val="false"/>
                <w:smallCaps w:val="false"/>
                <w:sz w:val="24"/>
              </w:rPr>
              <w:t>Class</w:t>
            </w:r>
          </w:p>
          <w:p>
            <w:pPr>
              <w:pStyle w:val="TableContents"/>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Title</w:t>
            </w:r>
          </w:p>
        </w:tc>
        <w:tc>
          <w:tcPr>
            <w:tcW w:w="1396"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b/>
                <w:sz w:val="24"/>
              </w:rPr>
              <w:t>Fee Calculation</w:t>
            </w:r>
            <w:r>
              <w:rPr>
                <w:rFonts w:ascii="Arial;Helvetica;Sans-Serif" w:hAnsi="Arial;Helvetica;Sans-Serif"/>
                <w:sz w:val="24"/>
              </w:rPr>
              <w:br/>
            </w:r>
            <w:r>
              <w:rPr>
                <w:rFonts w:ascii="Arial;Helvetica;Sans-Serif" w:hAnsi="Arial;Helvetica;Sans-Serif"/>
                <w:b/>
                <w:sz w:val="24"/>
              </w:rPr>
              <w:t>or Carry</w:t>
            </w:r>
            <w:r>
              <w:rPr>
                <w:rFonts w:ascii="Arial;Helvetica;Sans-Serif" w:hAnsi="Arial;Helvetica;Sans-Serif"/>
                <w:sz w:val="24"/>
              </w:rPr>
              <w:br/>
            </w:r>
            <w:r>
              <w:rPr>
                <w:rFonts w:ascii="Arial;Helvetica;Sans-Serif" w:hAnsi="Arial;Helvetica;Sans-Serif"/>
                <w:b/>
                <w:sz w:val="24"/>
              </w:rPr>
              <w:t>Forward</w:t>
            </w:r>
            <w:r>
              <w:rPr>
                <w:rFonts w:ascii="Arial;Helvetica;Sans-Serif" w:hAnsi="Arial;Helvetica;Sans-Serif"/>
                <w:sz w:val="24"/>
              </w:rPr>
              <w:br/>
            </w:r>
            <w:r>
              <w:rPr>
                <w:rFonts w:ascii="Arial;Helvetica;Sans-Serif" w:hAnsi="Arial;Helvetica;Sans-Serif"/>
                <w:b/>
                <w:sz w:val="24"/>
              </w:rPr>
              <w:t>Rule</w:t>
            </w:r>
          </w:p>
        </w:tc>
        <w:tc>
          <w:tcPr>
            <w:tcW w:w="135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b/>
                <w:sz w:val="24"/>
              </w:rPr>
              <w:t>Amount</w:t>
            </w:r>
            <w:r>
              <w:rPr>
                <w:rFonts w:ascii="Arial;Helvetica;Sans-Serif" w:hAnsi="Arial;Helvetica;Sans-Serif"/>
                <w:sz w:val="24"/>
              </w:rPr>
              <w:br/>
            </w:r>
            <w:r>
              <w:rPr>
                <w:rFonts w:ascii="Arial;Helvetica;Sans-Serif" w:hAnsi="Arial;Helvetica;Sans-Serif"/>
                <w:b/>
                <w:sz w:val="24"/>
              </w:rPr>
              <w:t>Registered</w:t>
            </w:r>
          </w:p>
        </w:tc>
        <w:tc>
          <w:tcPr>
            <w:tcW w:w="123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b/>
                <w:sz w:val="24"/>
              </w:rPr>
              <w:t>Proposed</w:t>
            </w:r>
            <w:r>
              <w:rPr>
                <w:rFonts w:ascii="Arial;Helvetica;Sans-Serif" w:hAnsi="Arial;Helvetica;Sans-Serif"/>
                <w:sz w:val="24"/>
              </w:rPr>
              <w:br/>
            </w:r>
            <w:r>
              <w:rPr>
                <w:rFonts w:ascii="Arial;Helvetica;Sans-Serif" w:hAnsi="Arial;Helvetica;Sans-Serif"/>
                <w:b/>
                <w:sz w:val="24"/>
              </w:rPr>
              <w:t>Maximum</w:t>
            </w:r>
            <w:r>
              <w:rPr>
                <w:rFonts w:ascii="Arial;Helvetica;Sans-Serif" w:hAnsi="Arial;Helvetica;Sans-Serif"/>
                <w:sz w:val="24"/>
              </w:rPr>
              <w:br/>
            </w:r>
            <w:r>
              <w:rPr>
                <w:rFonts w:ascii="Arial;Helvetica;Sans-Serif" w:hAnsi="Arial;Helvetica;Sans-Serif"/>
                <w:b/>
                <w:sz w:val="24"/>
              </w:rPr>
              <w:t>Offering</w:t>
            </w:r>
            <w:r>
              <w:rPr>
                <w:rFonts w:ascii="Arial;Helvetica;Sans-Serif" w:hAnsi="Arial;Helvetica;Sans-Serif"/>
                <w:sz w:val="24"/>
              </w:rPr>
              <w:br/>
            </w:r>
            <w:r>
              <w:rPr>
                <w:rFonts w:ascii="Arial;Helvetica;Sans-Serif" w:hAnsi="Arial;Helvetica;Sans-Serif"/>
                <w:b/>
                <w:sz w:val="24"/>
              </w:rPr>
              <w:t>Price Per</w:t>
            </w:r>
            <w:r>
              <w:rPr>
                <w:rFonts w:ascii="Arial;Helvetica;Sans-Serif" w:hAnsi="Arial;Helvetica;Sans-Serif"/>
                <w:sz w:val="24"/>
              </w:rPr>
              <w:br/>
            </w:r>
            <w:r>
              <w:rPr>
                <w:rFonts w:ascii="Arial;Helvetica;Sans-Serif" w:hAnsi="Arial;Helvetica;Sans-Serif"/>
                <w:b/>
                <w:sz w:val="24"/>
              </w:rPr>
              <w:t>Unit</w:t>
            </w:r>
          </w:p>
        </w:tc>
        <w:tc>
          <w:tcPr>
            <w:tcW w:w="177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Maximum Aggregate Offering Price</w:t>
            </w:r>
          </w:p>
        </w:tc>
        <w:tc>
          <w:tcPr>
            <w:tcW w:w="138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Fee Rate</w:t>
            </w:r>
          </w:p>
        </w:tc>
        <w:tc>
          <w:tcPr>
            <w:tcW w:w="150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Amount of Registration Fee</w:t>
            </w:r>
          </w:p>
        </w:tc>
        <w:tc>
          <w:tcPr>
            <w:tcW w:w="1336"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Carry Forward Form Type</w:t>
            </w:r>
          </w:p>
        </w:tc>
        <w:tc>
          <w:tcPr>
            <w:tcW w:w="1051"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Carry Forward File Number</w:t>
            </w:r>
          </w:p>
        </w:tc>
        <w:tc>
          <w:tcPr>
            <w:tcW w:w="1096" w:type="dxa"/>
            <w:tcBorders>
              <w:bottom w:val="single" w:sz="12" w:space="0" w:color="FFFFFF"/>
              <w:right w:val="single" w:sz="12" w:space="0" w:color="FFFFFF"/>
            </w:tcBorders>
            <w:shd w:fill="9ADAF6"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Carry Forward Initial Effective Date</w:t>
            </w:r>
          </w:p>
        </w:tc>
        <w:tc>
          <w:tcPr>
            <w:tcW w:w="1486" w:type="dxa"/>
            <w:tcBorders>
              <w:bottom w:val="single" w:sz="12" w:space="0" w:color="FFFFFF"/>
            </w:tcBorders>
            <w:shd w:fill="9ADAF6" w:val="clear"/>
            <w:tcMar>
              <w:righ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Filing Fee Previously Paid In Connection with Unsold Securities to be Carried Forward</w:t>
            </w:r>
          </w:p>
        </w:tc>
      </w:tr>
      <w:tr>
        <w:trPr/>
        <w:tc>
          <w:tcPr>
            <w:tcW w:w="17219" w:type="dxa"/>
            <w:gridSpan w:val="14"/>
            <w:tcBorders>
              <w:bottom w:val="single" w:sz="12" w:space="0" w:color="FFFFFF"/>
            </w:tcBorders>
            <w:tcMar>
              <w:righ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Newly Registered Securities</w:t>
            </w:r>
            <w:bookmarkStart w:id="1360" w:name="xdx_98B_effd--PrevslyPdFlg_dbF_c20261019"/>
            <w:bookmarkEnd w:id="1360"/>
          </w:p>
        </w:tc>
      </w:tr>
      <w:tr>
        <w:trPr/>
        <w:tc>
          <w:tcPr>
            <w:tcW w:w="1246" w:type="dxa"/>
            <w:tcBorders>
              <w:bottom w:val="single" w:sz="12" w:space="0" w:color="FFFFFF"/>
              <w:right w:val="single" w:sz="12" w:space="0" w:color="FFFFFF"/>
            </w:tcBorders>
            <w:shd w:fill="E7E7E2" w:val="clear"/>
            <w:vAlign w:val="center"/>
          </w:tcPr>
          <w:p>
            <w:pPr>
              <w:pStyle w:val="TableContents"/>
              <w:bidi w:val="0"/>
              <w:spacing w:before="0" w:after="283"/>
              <w:jc w:val="left"/>
              <w:rPr>
                <w:rFonts w:ascii="Arial;Helvetica;Sans-Serif" w:hAnsi="Arial;Helvetica;Sans-Serif"/>
                <w:sz w:val="24"/>
              </w:rPr>
            </w:pPr>
            <w:r>
              <w:rPr>
                <w:rFonts w:ascii="Arial;Helvetica;Sans-Serif" w:hAnsi="Arial;Helvetica;Sans-Serif"/>
                <w:sz w:val="24"/>
              </w:rPr>
              <w:t>Fees to be Paid</w:t>
            </w:r>
          </w:p>
        </w:tc>
        <w:tc>
          <w:tcPr>
            <w:tcW w:w="241" w:type="dxa"/>
            <w:tcBorders>
              <w:bottom w:val="single" w:sz="12" w:space="0" w:color="FFFFFF"/>
              <w:right w:val="single" w:sz="12" w:space="0" w:color="FFFFFF"/>
            </w:tcBorders>
            <w:shd w:fill="E7E7E2" w:val="clear"/>
            <w:vAlign w:val="center"/>
          </w:tcPr>
          <w:p>
            <w:pPr>
              <w:pStyle w:val="TableContents"/>
              <w:bidi w:val="0"/>
              <w:spacing w:before="0" w:after="283"/>
              <w:jc w:val="left"/>
              <w:rPr>
                <w:rFonts w:ascii="Arial;Helvetica;Sans-Serif" w:hAnsi="Arial;Helvetica;Sans-Serif"/>
                <w:sz w:val="24"/>
              </w:rPr>
            </w:pPr>
            <w:r>
              <w:rPr>
                <w:rFonts w:ascii="Arial;Helvetica;Sans-Serif" w:hAnsi="Arial;Helvetica;Sans-Serif"/>
                <w:sz w:val="24"/>
              </w:rPr>
              <w:t>1</w:t>
            </w:r>
            <w:bookmarkStart w:id="1361" w:name="xdx_983_effd--OfferingSctyTp_dxL_c202610"/>
            <w:bookmarkEnd w:id="1361"/>
          </w:p>
        </w:tc>
        <w:tc>
          <w:tcPr>
            <w:tcW w:w="1051" w:type="dxa"/>
            <w:tcBorders>
              <w:bottom w:val="single" w:sz="12" w:space="0" w:color="FFFFFF"/>
              <w:right w:val="single" w:sz="12" w:space="0" w:color="FFFFFF"/>
            </w:tcBorders>
            <w:shd w:fill="E7E7E2"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Equity</w:t>
            </w:r>
            <w:bookmarkStart w:id="1362" w:name="xdx_98D_effd--OfferingSctyTitl_c20261019"/>
            <w:bookmarkEnd w:id="1362"/>
          </w:p>
        </w:tc>
        <w:tc>
          <w:tcPr>
            <w:tcW w:w="1081" w:type="dxa"/>
            <w:tcBorders>
              <w:bottom w:val="single" w:sz="12" w:space="0" w:color="FFFFFF"/>
              <w:right w:val="single" w:sz="12" w:space="0" w:color="FFFFFF"/>
            </w:tcBorders>
            <w:shd w:fill="E7E7E2" w:val="clear"/>
            <w:vAlign w:val="center"/>
          </w:tcPr>
          <w:p>
            <w:pPr>
              <w:pStyle w:val="TableContents"/>
              <w:bidi w:val="0"/>
              <w:spacing w:before="0" w:after="283"/>
              <w:jc w:val="left"/>
              <w:rPr>
                <w:rFonts w:ascii="Arial;Helvetica;Sans-Serif" w:hAnsi="Arial;Helvetica;Sans-Serif"/>
                <w:sz w:val="24"/>
              </w:rPr>
            </w:pPr>
            <w:r>
              <w:rPr>
                <w:rFonts w:ascii="Arial;Helvetica;Sans-Serif" w:hAnsi="Arial;Helvetica;Sans-Serif"/>
                <w:sz w:val="24"/>
              </w:rPr>
              <w:t>Common Stock, par value $0.0001</w:t>
            </w:r>
            <w:bookmarkStart w:id="1363" w:name="xdx_983_effd--Rule457aFlg_dbT_c20261019_"/>
            <w:bookmarkEnd w:id="1363"/>
          </w:p>
        </w:tc>
        <w:tc>
          <w:tcPr>
            <w:tcW w:w="1396" w:type="dxa"/>
            <w:tcBorders>
              <w:bottom w:val="single" w:sz="12" w:space="0" w:color="FFFFFF"/>
              <w:right w:val="single" w:sz="12" w:space="0" w:color="FFFFFF"/>
            </w:tcBorders>
            <w:shd w:fill="E7E7E2"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457(a)</w:t>
            </w:r>
            <w:bookmarkStart w:id="1364" w:name="xdx_98B_effd--AmtSctiesRegd_c20261019__2"/>
            <w:bookmarkEnd w:id="1364"/>
          </w:p>
        </w:tc>
        <w:tc>
          <w:tcPr>
            <w:tcW w:w="1351" w:type="dxa"/>
            <w:tcBorders>
              <w:bottom w:val="single" w:sz="12" w:space="0" w:color="FFFFFF"/>
              <w:right w:val="single" w:sz="12" w:space="0" w:color="FFFFFF"/>
            </w:tcBorders>
            <w:shd w:fill="E7E7E2"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8,182,110</w:t>
            </w:r>
            <w:bookmarkStart w:id="1365" w:name="xdx_981_effd--MaxOfferingPricPerScty_c20"/>
            <w:bookmarkEnd w:id="1365"/>
          </w:p>
        </w:tc>
        <w:tc>
          <w:tcPr>
            <w:tcW w:w="1231" w:type="dxa"/>
            <w:tcBorders>
              <w:bottom w:val="single" w:sz="12" w:space="0" w:color="FFFFFF"/>
              <w:right w:val="single" w:sz="12" w:space="0" w:color="FFFFFF"/>
            </w:tcBorders>
            <w:shd w:fill="E7E7E2"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$1.30</w:t>
            </w:r>
            <w:bookmarkStart w:id="1366" w:name="xdx_985_effd--MaxAggtOfferingPric_c20261"/>
            <w:bookmarkEnd w:id="1366"/>
          </w:p>
        </w:tc>
        <w:tc>
          <w:tcPr>
            <w:tcW w:w="1771" w:type="dxa"/>
            <w:tcBorders>
              <w:bottom w:val="single" w:sz="12" w:space="0" w:color="FFFFFF"/>
              <w:right w:val="single" w:sz="12" w:space="0" w:color="FFFFFF"/>
            </w:tcBorders>
            <w:shd w:fill="E7E7E2" w:val="clear"/>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$10,636,743.00</w:t>
            </w:r>
            <w:bookmarkStart w:id="1367" w:name="xdx_98A_effd--FeeRate_c20261019__2026101"/>
            <w:bookmarkEnd w:id="1367"/>
          </w:p>
        </w:tc>
        <w:tc>
          <w:tcPr>
            <w:tcW w:w="1381" w:type="dxa"/>
            <w:tcBorders>
              <w:bottom w:val="single" w:sz="12" w:space="0" w:color="FFFFFF"/>
              <w:right w:val="single" w:sz="12" w:space="0" w:color="FFFFFF"/>
            </w:tcBorders>
            <w:shd w:fill="E7E7E2" w:val="cle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0.00008700</w:t>
            </w:r>
            <w:bookmarkStart w:id="1368" w:name="xdx_98E_effd--FeeAmt_pp2p0_uUSD_c2026101"/>
            <w:bookmarkEnd w:id="1368"/>
          </w:p>
        </w:tc>
        <w:tc>
          <w:tcPr>
            <w:tcW w:w="1501" w:type="dxa"/>
            <w:tcBorders>
              <w:bottom w:val="single" w:sz="12" w:space="0" w:color="FFFFFF"/>
              <w:right w:val="single" w:sz="12" w:space="0" w:color="FFFFFF"/>
            </w:tcBorders>
            <w:shd w:fill="E7E7E2" w:val="clear"/>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$925.40</w:t>
            </w:r>
          </w:p>
        </w:tc>
        <w:tc>
          <w:tcPr>
            <w:tcW w:w="133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9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486" w:type="dxa"/>
            <w:tcBorders>
              <w:bottom w:val="single" w:sz="12" w:space="0" w:color="FFFFFF"/>
            </w:tcBorders>
            <w:shd w:fill="E7E7E2" w:val="clear"/>
            <w:tcMar>
              <w:right w:w="0" w:type="dxa"/>
            </w:tcMar>
            <w:vAlign w:val="center"/>
          </w:tcPr>
          <w:p>
            <w:pPr>
              <w:pStyle w:val="TableContents"/>
              <w:bidi w:val="0"/>
              <w:spacing w:before="0" w:after="283"/>
              <w:jc w:val="center"/>
              <w:rPr/>
            </w:pPr>
            <w:r>
              <w:rPr/>
              <w:t> </w:t>
            </w:r>
          </w:p>
        </w:tc>
      </w:tr>
      <w:tr>
        <w:trPr/>
        <w:tc>
          <w:tcPr>
            <w:tcW w:w="1246" w:type="dxa"/>
            <w:tcBorders>
              <w:bottom w:val="single" w:sz="12" w:space="0" w:color="FFFFFF"/>
              <w:right w:val="single" w:sz="12" w:space="0" w:color="FFFFFF"/>
            </w:tcBorders>
            <w:shd w:fill="E7E7E2" w:val="clear"/>
            <w:vAlign w:val="center"/>
          </w:tcPr>
          <w:p>
            <w:pPr>
              <w:pStyle w:val="TableContents"/>
              <w:bidi w:val="0"/>
              <w:spacing w:before="0" w:after="283"/>
              <w:jc w:val="left"/>
              <w:rPr>
                <w:rFonts w:ascii="Arial;Helvetica;Sans-Serif" w:hAnsi="Arial;Helvetica;Sans-Serif"/>
                <w:sz w:val="24"/>
              </w:rPr>
            </w:pPr>
            <w:r>
              <w:rPr>
                <w:rFonts w:ascii="Arial;Helvetica;Sans-Serif" w:hAnsi="Arial;Helvetica;Sans-Serif"/>
                <w:sz w:val="24"/>
              </w:rPr>
              <w:t>Fees Previously Paid</w:t>
            </w:r>
          </w:p>
        </w:tc>
        <w:tc>
          <w:tcPr>
            <w:tcW w:w="241" w:type="dxa"/>
            <w:tcBorders>
              <w:bottom w:val="single" w:sz="12" w:space="0" w:color="FFFFFF"/>
              <w:right w:val="single" w:sz="12" w:space="0" w:color="FFFFFF"/>
            </w:tcBorders>
            <w:shd w:fill="E7E7E2" w:val="clear"/>
            <w:vAlign w:val="center"/>
          </w:tcPr>
          <w:p>
            <w:pPr>
              <w:pStyle w:val="TableContents"/>
              <w:bidi w:val="0"/>
              <w:spacing w:before="0" w:after="283"/>
              <w:jc w:val="left"/>
              <w:rPr/>
            </w:pPr>
            <w:r>
              <w:rPr/>
              <w:t> </w:t>
            </w:r>
          </w:p>
        </w:tc>
        <w:tc>
          <w:tcPr>
            <w:tcW w:w="10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8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39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3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23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77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38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501" w:type="dxa"/>
            <w:tcBorders>
              <w:bottom w:val="single" w:sz="12" w:space="0" w:color="FFFFFF"/>
              <w:right w:val="single" w:sz="12" w:space="0" w:color="FFFFFF"/>
            </w:tcBorders>
            <w:shd w:fill="E7E7E2" w:val="clear"/>
            <w:vAlign w:val="center"/>
          </w:tcPr>
          <w:p>
            <w:pPr>
              <w:pStyle w:val="TableContents"/>
              <w:bidi w:val="0"/>
              <w:spacing w:before="0" w:after="283"/>
              <w:jc w:val="right"/>
              <w:rPr/>
            </w:pPr>
            <w:r>
              <w:rPr/>
              <w:t> </w:t>
            </w:r>
          </w:p>
        </w:tc>
        <w:tc>
          <w:tcPr>
            <w:tcW w:w="133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9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486" w:type="dxa"/>
            <w:tcBorders>
              <w:bottom w:val="single" w:sz="12" w:space="0" w:color="FFFFFF"/>
            </w:tcBorders>
            <w:shd w:fill="E7E7E2" w:val="clear"/>
            <w:tcMar>
              <w:right w:w="0" w:type="dxa"/>
            </w:tcMar>
            <w:vAlign w:val="center"/>
          </w:tcPr>
          <w:p>
            <w:pPr>
              <w:pStyle w:val="TableContents"/>
              <w:bidi w:val="0"/>
              <w:spacing w:before="0" w:after="283"/>
              <w:jc w:val="center"/>
              <w:rPr/>
            </w:pPr>
            <w:r>
              <w:rPr/>
              <w:t> </w:t>
            </w:r>
          </w:p>
        </w:tc>
      </w:tr>
      <w:tr>
        <w:trPr/>
        <w:tc>
          <w:tcPr>
            <w:tcW w:w="17219" w:type="dxa"/>
            <w:gridSpan w:val="14"/>
            <w:tcBorders>
              <w:bottom w:val="single" w:sz="12" w:space="0" w:color="FFFFFF"/>
            </w:tcBorders>
            <w:tcMar>
              <w:righ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Carry Forward Securities</w:t>
            </w:r>
          </w:p>
        </w:tc>
      </w:tr>
      <w:tr>
        <w:trPr/>
        <w:tc>
          <w:tcPr>
            <w:tcW w:w="1246" w:type="dxa"/>
            <w:tcBorders>
              <w:bottom w:val="single" w:sz="12" w:space="0" w:color="FFFFFF"/>
              <w:right w:val="single" w:sz="12" w:space="0" w:color="FFFFFF"/>
            </w:tcBorders>
            <w:shd w:fill="E7E7E2" w:val="clear"/>
            <w:vAlign w:val="center"/>
          </w:tcPr>
          <w:p>
            <w:pPr>
              <w:pStyle w:val="TableContents"/>
              <w:bidi w:val="0"/>
              <w:spacing w:before="0" w:after="283"/>
              <w:jc w:val="left"/>
              <w:rPr>
                <w:rFonts w:ascii="Arial;Helvetica;Sans-Serif" w:hAnsi="Arial;Helvetica;Sans-Serif"/>
                <w:sz w:val="24"/>
              </w:rPr>
            </w:pPr>
            <w:r>
              <w:rPr>
                <w:rFonts w:ascii="Arial;Helvetica;Sans-Serif" w:hAnsi="Arial;Helvetica;Sans-Serif"/>
                <w:sz w:val="24"/>
              </w:rPr>
              <w:t>Carry Forward Securities</w:t>
            </w:r>
          </w:p>
        </w:tc>
        <w:tc>
          <w:tcPr>
            <w:tcW w:w="241" w:type="dxa"/>
            <w:tcBorders>
              <w:bottom w:val="single" w:sz="12" w:space="0" w:color="FFFFFF"/>
              <w:right w:val="single" w:sz="12" w:space="0" w:color="FFFFFF"/>
            </w:tcBorders>
            <w:shd w:fill="E7E7E2" w:val="clear"/>
            <w:vAlign w:val="center"/>
          </w:tcPr>
          <w:p>
            <w:pPr>
              <w:pStyle w:val="TableContents"/>
              <w:bidi w:val="0"/>
              <w:spacing w:before="0" w:after="283"/>
              <w:jc w:val="left"/>
              <w:rPr/>
            </w:pPr>
            <w:r>
              <w:rPr/>
              <w:t> </w:t>
            </w:r>
          </w:p>
        </w:tc>
        <w:tc>
          <w:tcPr>
            <w:tcW w:w="10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8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39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3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23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77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38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501" w:type="dxa"/>
            <w:tcBorders>
              <w:bottom w:val="single" w:sz="12" w:space="0" w:color="FFFFFF"/>
              <w:right w:val="single" w:sz="12" w:space="0" w:color="FFFFFF"/>
            </w:tcBorders>
            <w:shd w:fill="E7E7E2" w:val="clear"/>
            <w:vAlign w:val="center"/>
          </w:tcPr>
          <w:p>
            <w:pPr>
              <w:pStyle w:val="TableContents"/>
              <w:bidi w:val="0"/>
              <w:spacing w:before="0" w:after="283"/>
              <w:jc w:val="right"/>
              <w:rPr/>
            </w:pPr>
            <w:r>
              <w:rPr/>
              <w:t> </w:t>
            </w:r>
          </w:p>
        </w:tc>
        <w:tc>
          <w:tcPr>
            <w:tcW w:w="133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096" w:type="dxa"/>
            <w:tcBorders>
              <w:bottom w:val="single" w:sz="12" w:space="0" w:color="FFFFFF"/>
              <w:right w:val="single" w:sz="12" w:space="0" w:color="FFFFFF"/>
            </w:tcBorders>
            <w:shd w:fill="E7E7E2" w:val="clear"/>
            <w:vAlign w:val="center"/>
          </w:tcPr>
          <w:p>
            <w:pPr>
              <w:pStyle w:val="TableContents"/>
              <w:bidi w:val="0"/>
              <w:spacing w:before="0" w:after="283"/>
              <w:jc w:val="center"/>
              <w:rPr/>
            </w:pPr>
            <w:r>
              <w:rPr/>
              <w:t> </w:t>
            </w:r>
          </w:p>
        </w:tc>
        <w:tc>
          <w:tcPr>
            <w:tcW w:w="1486" w:type="dxa"/>
            <w:tcBorders>
              <w:bottom w:val="single" w:sz="12" w:space="0" w:color="FFFFFF"/>
            </w:tcBorders>
            <w:shd w:fill="E7E7E2" w:val="clear"/>
            <w:tcMar>
              <w:right w:w="0" w:type="dxa"/>
            </w:tcMar>
            <w:vAlign w:val="center"/>
          </w:tcPr>
          <w:p>
            <w:pPr>
              <w:pStyle w:val="TableContents"/>
              <w:bidi w:val="0"/>
              <w:spacing w:before="0" w:after="283"/>
              <w:jc w:val="center"/>
              <w:rPr/>
            </w:pPr>
            <w:r>
              <w:rPr/>
              <w:t> </w:t>
            </w:r>
          </w:p>
        </w:tc>
      </w:tr>
      <w:tr>
        <w:trPr/>
        <w:tc>
          <w:tcPr>
            <w:tcW w:w="124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24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6110" w:type="dxa"/>
            <w:gridSpan w:val="5"/>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Total Offering Amounts:</w:t>
            </w:r>
            <w:bookmarkStart w:id="1369" w:name="xdx_98C_effd--TtlOfferingAmt_c20261019__"/>
            <w:bookmarkEnd w:id="1369"/>
          </w:p>
        </w:tc>
        <w:tc>
          <w:tcPr>
            <w:tcW w:w="1771" w:type="dxa"/>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$10,636,743.00</w:t>
            </w:r>
          </w:p>
        </w:tc>
        <w:tc>
          <w:tcPr>
            <w:tcW w:w="1381" w:type="dxa"/>
            <w:tcBorders>
              <w:bottom w:val="single" w:sz="12" w:space="0" w:color="FFFFFF"/>
              <w:right w:val="single" w:sz="12" w:space="0" w:color="FFFFFF"/>
            </w:tcBorders>
            <w:vAlign w:val="center"/>
          </w:tcPr>
          <w:p>
            <w:pPr>
              <w:pStyle w:val="TableContents"/>
              <w:bidi w:val="0"/>
              <w:spacing w:before="0" w:after="283"/>
              <w:jc w:val="center"/>
              <w:rPr/>
            </w:pPr>
            <w:r>
              <w:rPr/>
              <w:t> </w:t>
            </w:r>
            <w:bookmarkStart w:id="1370" w:name="xdx_986_effd--TtlFeeAmt_pp2p0_uUSD_c2026"/>
            <w:bookmarkEnd w:id="1370"/>
          </w:p>
        </w:tc>
        <w:tc>
          <w:tcPr>
            <w:tcW w:w="1501" w:type="dxa"/>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$925.40</w:t>
            </w:r>
          </w:p>
        </w:tc>
        <w:tc>
          <w:tcPr>
            <w:tcW w:w="133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09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486" w:type="dxa"/>
            <w:tcBorders>
              <w:bottom w:val="single" w:sz="12" w:space="0" w:color="FFFFFF"/>
            </w:tcBorders>
            <w:tcMar>
              <w:right w:w="0" w:type="dxa"/>
            </w:tcMar>
            <w:vAlign w:val="center"/>
          </w:tcPr>
          <w:p>
            <w:pPr>
              <w:pStyle w:val="TableContents"/>
              <w:bidi w:val="0"/>
              <w:spacing w:before="0" w:after="283"/>
              <w:jc w:val="center"/>
              <w:rPr/>
            </w:pPr>
            <w:r>
              <w:rPr/>
              <w:t> </w:t>
            </w:r>
          </w:p>
        </w:tc>
      </w:tr>
      <w:tr>
        <w:trPr/>
        <w:tc>
          <w:tcPr>
            <w:tcW w:w="124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24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6110" w:type="dxa"/>
            <w:gridSpan w:val="5"/>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Total Fees Previously Paid:</w:t>
            </w:r>
          </w:p>
        </w:tc>
        <w:tc>
          <w:tcPr>
            <w:tcW w:w="177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381" w:type="dxa"/>
            <w:tcBorders>
              <w:bottom w:val="single" w:sz="12" w:space="0" w:color="FFFFFF"/>
              <w:right w:val="single" w:sz="12" w:space="0" w:color="FFFFFF"/>
            </w:tcBorders>
            <w:vAlign w:val="center"/>
          </w:tcPr>
          <w:p>
            <w:pPr>
              <w:pStyle w:val="TableContents"/>
              <w:bidi w:val="0"/>
              <w:spacing w:before="0" w:after="283"/>
              <w:jc w:val="center"/>
              <w:rPr/>
            </w:pPr>
            <w:r>
              <w:rPr/>
              <w:t> </w:t>
            </w:r>
            <w:bookmarkStart w:id="1371" w:name="xdx_985_effd--TtlPrevslyPdAmt_pp2p0_uUSD"/>
            <w:bookmarkEnd w:id="1371"/>
          </w:p>
        </w:tc>
        <w:tc>
          <w:tcPr>
            <w:tcW w:w="1501" w:type="dxa"/>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$0.00</w:t>
            </w:r>
          </w:p>
        </w:tc>
        <w:tc>
          <w:tcPr>
            <w:tcW w:w="133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09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486" w:type="dxa"/>
            <w:tcBorders>
              <w:bottom w:val="single" w:sz="12" w:space="0" w:color="FFFFFF"/>
            </w:tcBorders>
            <w:tcMar>
              <w:right w:w="0" w:type="dxa"/>
            </w:tcMar>
            <w:vAlign w:val="center"/>
          </w:tcPr>
          <w:p>
            <w:pPr>
              <w:pStyle w:val="TableContents"/>
              <w:bidi w:val="0"/>
              <w:spacing w:before="0" w:after="283"/>
              <w:jc w:val="center"/>
              <w:rPr/>
            </w:pPr>
            <w:r>
              <w:rPr/>
              <w:t> </w:t>
            </w:r>
          </w:p>
        </w:tc>
      </w:tr>
      <w:tr>
        <w:trPr/>
        <w:tc>
          <w:tcPr>
            <w:tcW w:w="124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24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6110" w:type="dxa"/>
            <w:gridSpan w:val="5"/>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Total Fee Offsets:</w:t>
            </w:r>
          </w:p>
        </w:tc>
        <w:tc>
          <w:tcPr>
            <w:tcW w:w="177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381" w:type="dxa"/>
            <w:tcBorders>
              <w:bottom w:val="single" w:sz="12" w:space="0" w:color="FFFFFF"/>
              <w:right w:val="single" w:sz="12" w:space="0" w:color="FFFFFF"/>
            </w:tcBorders>
            <w:vAlign w:val="center"/>
          </w:tcPr>
          <w:p>
            <w:pPr>
              <w:pStyle w:val="TableContents"/>
              <w:bidi w:val="0"/>
              <w:spacing w:before="0" w:after="283"/>
              <w:jc w:val="center"/>
              <w:rPr/>
            </w:pPr>
            <w:r>
              <w:rPr/>
              <w:t> </w:t>
            </w:r>
            <w:bookmarkStart w:id="1372" w:name="xdx_98B_effd--TtlOffsetAmt_pp2p0_uUSD_c2"/>
            <w:bookmarkEnd w:id="1372"/>
          </w:p>
        </w:tc>
        <w:tc>
          <w:tcPr>
            <w:tcW w:w="1501" w:type="dxa"/>
            <w:tcBorders>
              <w:bottom w:val="single" w:sz="12" w:space="0" w:color="FFFFFF"/>
              <w:right w:val="single" w:sz="12" w:space="0" w:color="FFFFFF"/>
            </w:tcBorders>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$0.00</w:t>
            </w:r>
          </w:p>
        </w:tc>
        <w:tc>
          <w:tcPr>
            <w:tcW w:w="133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051"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096" w:type="dxa"/>
            <w:tcBorders>
              <w:bottom w:val="single" w:sz="12" w:space="0" w:color="FFFFFF"/>
              <w:right w:val="single" w:sz="12" w:space="0" w:color="FFFFFF"/>
            </w:tcBorders>
            <w:vAlign w:val="center"/>
          </w:tcPr>
          <w:p>
            <w:pPr>
              <w:pStyle w:val="TableContents"/>
              <w:bidi w:val="0"/>
              <w:spacing w:before="0" w:after="283"/>
              <w:jc w:val="center"/>
              <w:rPr/>
            </w:pPr>
            <w:r>
              <w:rPr/>
              <w:t> </w:t>
            </w:r>
          </w:p>
        </w:tc>
        <w:tc>
          <w:tcPr>
            <w:tcW w:w="1486" w:type="dxa"/>
            <w:tcBorders>
              <w:bottom w:val="single" w:sz="12" w:space="0" w:color="FFFFFF"/>
            </w:tcBorders>
            <w:tcMar>
              <w:right w:w="0" w:type="dxa"/>
            </w:tcMar>
            <w:vAlign w:val="center"/>
          </w:tcPr>
          <w:p>
            <w:pPr>
              <w:pStyle w:val="TableContents"/>
              <w:bidi w:val="0"/>
              <w:spacing w:before="0" w:after="283"/>
              <w:jc w:val="center"/>
              <w:rPr/>
            </w:pPr>
            <w:r>
              <w:rPr/>
              <w:t> </w:t>
            </w:r>
          </w:p>
        </w:tc>
      </w:tr>
      <w:tr>
        <w:trPr/>
        <w:tc>
          <w:tcPr>
            <w:tcW w:w="1246" w:type="dxa"/>
            <w:tcBorders>
              <w:right w:val="single" w:sz="12" w:space="0" w:color="FFFFFF"/>
            </w:tcBorders>
            <w:tcMar>
              <w:bottom w:w="0" w:type="dxa"/>
            </w:tcMar>
            <w:vAlign w:val="center"/>
          </w:tcPr>
          <w:p>
            <w:pPr>
              <w:pStyle w:val="TableContents"/>
              <w:bidi w:val="0"/>
              <w:spacing w:before="0" w:after="283"/>
              <w:jc w:val="center"/>
              <w:rPr/>
            </w:pPr>
            <w:r>
              <w:rPr/>
              <w:t> </w:t>
            </w:r>
          </w:p>
        </w:tc>
        <w:tc>
          <w:tcPr>
            <w:tcW w:w="241" w:type="dxa"/>
            <w:tcBorders>
              <w:right w:val="single" w:sz="12" w:space="0" w:color="FFFFFF"/>
            </w:tcBorders>
            <w:tcMar>
              <w:bottom w:w="0" w:type="dxa"/>
            </w:tcMar>
            <w:vAlign w:val="center"/>
          </w:tcPr>
          <w:p>
            <w:pPr>
              <w:pStyle w:val="TableContents"/>
              <w:bidi w:val="0"/>
              <w:spacing w:before="0" w:after="283"/>
              <w:jc w:val="center"/>
              <w:rPr/>
            </w:pPr>
            <w:r>
              <w:rPr/>
              <w:t> </w:t>
            </w:r>
          </w:p>
        </w:tc>
        <w:tc>
          <w:tcPr>
            <w:tcW w:w="6110" w:type="dxa"/>
            <w:gridSpan w:val="5"/>
            <w:tcBorders>
              <w:right w:val="single" w:sz="12" w:space="0" w:color="FFFFFF"/>
            </w:tcBorders>
            <w:tcMar>
              <w:bottom w:w="0" w:type="dxa"/>
            </w:tcMar>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Net Fee Due</w:t>
            </w:r>
          </w:p>
        </w:tc>
        <w:tc>
          <w:tcPr>
            <w:tcW w:w="1771" w:type="dxa"/>
            <w:tcBorders>
              <w:right w:val="single" w:sz="12" w:space="0" w:color="FFFFFF"/>
            </w:tcBorders>
            <w:tcMar>
              <w:bottom w:w="0" w:type="dxa"/>
            </w:tcMar>
            <w:vAlign w:val="center"/>
          </w:tcPr>
          <w:p>
            <w:pPr>
              <w:pStyle w:val="TableContents"/>
              <w:bidi w:val="0"/>
              <w:spacing w:before="0" w:after="283"/>
              <w:jc w:val="center"/>
              <w:rPr/>
            </w:pPr>
            <w:r>
              <w:rPr/>
              <w:t> </w:t>
            </w:r>
          </w:p>
        </w:tc>
        <w:tc>
          <w:tcPr>
            <w:tcW w:w="1381" w:type="dxa"/>
            <w:tcBorders>
              <w:right w:val="single" w:sz="12" w:space="0" w:color="FFFFFF"/>
            </w:tcBorders>
            <w:tcMar>
              <w:bottom w:w="0" w:type="dxa"/>
            </w:tcMar>
            <w:vAlign w:val="center"/>
          </w:tcPr>
          <w:p>
            <w:pPr>
              <w:pStyle w:val="TableContents"/>
              <w:bidi w:val="0"/>
              <w:spacing w:before="0" w:after="283"/>
              <w:jc w:val="center"/>
              <w:rPr/>
            </w:pPr>
            <w:r>
              <w:rPr/>
              <w:t> </w:t>
            </w:r>
            <w:bookmarkStart w:id="1373" w:name="xdx_98F_effd--NetFeeAmt_pp2p0_uUSD_c2026"/>
            <w:bookmarkEnd w:id="1373"/>
          </w:p>
        </w:tc>
        <w:tc>
          <w:tcPr>
            <w:tcW w:w="1501" w:type="dxa"/>
            <w:tcBorders>
              <w:right w:val="single" w:sz="12" w:space="0" w:color="FFFFFF"/>
            </w:tcBorders>
            <w:tcMar>
              <w:bottom w:w="0" w:type="dxa"/>
            </w:tcMar>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$925.40</w:t>
            </w:r>
          </w:p>
        </w:tc>
        <w:tc>
          <w:tcPr>
            <w:tcW w:w="1336" w:type="dxa"/>
            <w:tcBorders>
              <w:right w:val="single" w:sz="12" w:space="0" w:color="FFFFFF"/>
            </w:tcBorders>
            <w:tcMar>
              <w:bottom w:w="0" w:type="dxa"/>
            </w:tcMar>
            <w:vAlign w:val="center"/>
          </w:tcPr>
          <w:p>
            <w:pPr>
              <w:pStyle w:val="TableContents"/>
              <w:bidi w:val="0"/>
              <w:spacing w:before="0" w:after="283"/>
              <w:jc w:val="center"/>
              <w:rPr/>
            </w:pPr>
            <w:r>
              <w:rPr/>
              <w:t> </w:t>
            </w:r>
          </w:p>
        </w:tc>
        <w:tc>
          <w:tcPr>
            <w:tcW w:w="1051" w:type="dxa"/>
            <w:tcBorders>
              <w:right w:val="single" w:sz="12" w:space="0" w:color="FFFFFF"/>
            </w:tcBorders>
            <w:tcMar>
              <w:bottom w:w="0" w:type="dxa"/>
            </w:tcMar>
            <w:vAlign w:val="center"/>
          </w:tcPr>
          <w:p>
            <w:pPr>
              <w:pStyle w:val="TableContents"/>
              <w:bidi w:val="0"/>
              <w:spacing w:before="0" w:after="283"/>
              <w:jc w:val="center"/>
              <w:rPr/>
            </w:pPr>
            <w:r>
              <w:rPr/>
              <w:t> </w:t>
            </w:r>
          </w:p>
        </w:tc>
        <w:tc>
          <w:tcPr>
            <w:tcW w:w="1096" w:type="dxa"/>
            <w:tcBorders>
              <w:right w:val="single" w:sz="12" w:space="0" w:color="FFFFFF"/>
            </w:tcBorders>
            <w:tcMar>
              <w:bottom w:w="0" w:type="dxa"/>
            </w:tcMar>
            <w:vAlign w:val="center"/>
          </w:tcPr>
          <w:p>
            <w:pPr>
              <w:pStyle w:val="TableContents"/>
              <w:bidi w:val="0"/>
              <w:spacing w:before="0" w:after="283"/>
              <w:jc w:val="center"/>
              <w:rPr/>
            </w:pPr>
            <w:r>
              <w:rPr/>
              <w:t> </w:t>
            </w:r>
          </w:p>
        </w:tc>
        <w:tc>
          <w:tcPr>
            <w:tcW w:w="1486" w:type="dxa"/>
            <w:tcBorders/>
            <w:tcMar>
              <w:bottom w:w="0" w:type="dxa"/>
              <w:righ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Offering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position w:val="7"/>
          <w:sz w:val="16"/>
          <w:sz w:val="20"/>
        </w:rPr>
      </w:pPr>
      <w:r>
        <w:rPr>
          <w:rFonts w:ascii="Arial;Helvetica;sans-serif" w:hAnsi="Arial;Helvetica;san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bookmarkStart w:id="1374" w:name="xdx_800_effd--OfferingNote_hffd--Offerin"/>
      <w:bookmarkEnd w:id="1374"/>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Pursuant to Rule 416(a) of the Securities Act, there are also being registered an indeterminable number of additional shares of common stock, par value $0.0001 per share (“Common Stock”) of BioAtla, Inc. (the “Company”) as may be issued to prevent dilution resulting from stock splits, stock dividends or similar transactions.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Includes (i) up to 8,000,000 shares of Common Stock that may be issued to YA II PN, LTD (“Yorkville”) pursuant to the Standby Equity Purchase Agreement, dated as of October 15, 2026, by and between the Company and Yorkville (the “SEPA”), and (ii) 182,110 shares of Common Stock issuable to Yorkville upon exercise of warrants as consideration for Yorkville’s commitment to purchase shares of Common Stock pursuant to the SEPA.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Estimated solely for the purpose of calculating the amount of the registration fee pursuant to Rule 457(c) under the Securities Act, based on the average of the high and low prices of the Company’s Common Stock as reported on the OTCQB Venture Market on October 15, 2026, which date is within five business days of the filing of this Registration Statement.</w:t>
      </w:r>
    </w:p>
    <w:p>
      <w:pPr>
        <w:pStyle w:val="TextBody"/>
        <w:bidi w:val="0"/>
        <w:spacing w:before="0" w:after="0"/>
        <w:ind w:left="360" w:right="0" w:hanging="0"/>
        <w:jc w:val="left"/>
        <w:rPr>
          <w:caps w:val="false"/>
          <w:smallCaps w:val="false"/>
        </w:rPr>
      </w:pPr>
      <w:bookmarkStart w:id="1375" w:name="xdx_81C_zzkhZHY1pTO9"/>
      <w:bookmarkEnd w:id="1375"/>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Table 2: Fee Offset Claims and Sources </w:t>
      </w:r>
    </w:p>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Table 3: Combined Prospectuses </w:t>
      </w:r>
    </w:p>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www.sec.gov/Archives/edgar/data/1826892/000119312526031942/bcab-ex1_1.htm" TargetMode="External"/><Relationship Id="rId6" Type="http://schemas.openxmlformats.org/officeDocument/2006/relationships/hyperlink" Target="http://www.sec.gov/Archives/edgar/data/1826892/000153949726000812/exh1_1.htm" TargetMode="External"/><Relationship Id="rId7" Type="http://schemas.openxmlformats.org/officeDocument/2006/relationships/hyperlink" Target="http://www.sec.gov/Archives/edgar/data/1826892/000119312520321571/d89083dex31.htm" TargetMode="External"/><Relationship Id="rId8" Type="http://schemas.openxmlformats.org/officeDocument/2006/relationships/hyperlink" Target="http://www.sec.gov/Archives/edgar/data/0001826892/000119312520321571/d89083dex32.htm" TargetMode="External"/><Relationship Id="rId9" Type="http://schemas.openxmlformats.org/officeDocument/2006/relationships/hyperlink" Target="http://www.sec.gov/Archives/edgar/data/1826892/000119312520312311/d258427dex41.htm" TargetMode="External"/><Relationship Id="rId10" Type="http://schemas.openxmlformats.org/officeDocument/2006/relationships/hyperlink" Target="http://www.sec.gov/Archives/edgar/data/1826892/000119312520312311/d258427dex42.htm" TargetMode="External"/><Relationship Id="rId11" Type="http://schemas.openxmlformats.org/officeDocument/2006/relationships/hyperlink" Target="http://www.sec.gov/Archives/edgar/data/1826892/000119312524283212/d823541dex41.htm" TargetMode="External"/><Relationship Id="rId12" Type="http://schemas.openxmlformats.org/officeDocument/2006/relationships/hyperlink" Target="http://www.sec.gov/Archives/edgar/data/1826892/000119312520312311/d258427dex101.htm" TargetMode="External"/><Relationship Id="rId13" Type="http://schemas.openxmlformats.org/officeDocument/2006/relationships/hyperlink" Target="http://www.sec.gov/Archives/edgar/data/1826892/000119312520321696/d56161dex992.htm" TargetMode="External"/><Relationship Id="rId14" Type="http://schemas.openxmlformats.org/officeDocument/2006/relationships/hyperlink" Target="http://www.sec.gov/Archives/edgar/data/1826892/000095017022002303/bcab-ex10_26.htm" TargetMode="External"/><Relationship Id="rId15" Type="http://schemas.openxmlformats.org/officeDocument/2006/relationships/hyperlink" Target="http://www.sec.gov/Archives/edgar/data/1826892/000119312520312311/d258427dex103.htm" TargetMode="External"/><Relationship Id="rId16" Type="http://schemas.openxmlformats.org/officeDocument/2006/relationships/hyperlink" Target="http://www.sec.gov/Archives/edgar/data/1826892/000095017022002303/bcab-ex10_27.htm" TargetMode="External"/><Relationship Id="rId17" Type="http://schemas.openxmlformats.org/officeDocument/2006/relationships/hyperlink" Target="http://www.sec.gov/Archives/edgar/data/0001826892/000119312520293235/d258427dex104.htm" TargetMode="External"/><Relationship Id="rId18" Type="http://schemas.openxmlformats.org/officeDocument/2006/relationships/hyperlink" Target="http://www.sec.gov/Archives/edgar/data/0001826892/000119312520293235/d258427dex108.htm" TargetMode="External"/><Relationship Id="rId19" Type="http://schemas.openxmlformats.org/officeDocument/2006/relationships/hyperlink" Target="http://www.sec.gov/Archives/edgar/data/1826892/000095017022002303/bcab-ex10_28.htm" TargetMode="External"/><Relationship Id="rId20" Type="http://schemas.openxmlformats.org/officeDocument/2006/relationships/hyperlink" Target="http://www.sec.gov/Archives/edgar/data/1826892/000119312520312311/d258427dex1011.htm" TargetMode="External"/><Relationship Id="rId21" Type="http://schemas.openxmlformats.org/officeDocument/2006/relationships/hyperlink" Target="http://www.sec.gov/Archives/edgar/data/1826892/000119312520312311/d258427dex1013.htm" TargetMode="External"/><Relationship Id="rId22" Type="http://schemas.openxmlformats.org/officeDocument/2006/relationships/hyperlink" Target="http://www.sec.gov/Archives/edgar/data/1826892/000095017022002303/bcab-ex10_19.htm" TargetMode="External"/><Relationship Id="rId23" Type="http://schemas.openxmlformats.org/officeDocument/2006/relationships/hyperlink" Target="http://www.sec.gov/Archives/edgar/data/1826892/000095017022002303/bcab-ex10_20.htm" TargetMode="External"/><Relationship Id="rId24" Type="http://schemas.openxmlformats.org/officeDocument/2006/relationships/hyperlink" Target="http://www.sec.gov/Archives/edgar/data/1826892/000095017022002303/bcab-ex10_21.htm" TargetMode="External"/><Relationship Id="rId25" Type="http://schemas.openxmlformats.org/officeDocument/2006/relationships/hyperlink" Target="http://www.sec.gov/Archives/edgar/data/1826892/000119312526407817/bcab-ex10_1.htm" TargetMode="External"/><Relationship Id="rId26" Type="http://schemas.openxmlformats.org/officeDocument/2006/relationships/hyperlink" Target="http://www.sec.gov/Archives/edgar/data/1826892/000095017022002303/bcab-ex10_22.htm" TargetMode="External"/><Relationship Id="rId27" Type="http://schemas.openxmlformats.org/officeDocument/2006/relationships/hyperlink" Target="http://www.sec.gov/Archives/edgar/data/1826892/000119312520312311/d258427dex1018.htm" TargetMode="External"/><Relationship Id="rId28" Type="http://schemas.openxmlformats.org/officeDocument/2006/relationships/hyperlink" Target="http://www.sec.gov/Archives/edgar/data/1826892/000119312520312311/d258427dex1019.htm" TargetMode="External"/><Relationship Id="rId29" Type="http://schemas.openxmlformats.org/officeDocument/2006/relationships/hyperlink" Target="http://www.sec.gov/Archives/edgar/data/1826892/000095017024036548/bcab-20231231.htm" TargetMode="External"/><Relationship Id="rId30" Type="http://schemas.openxmlformats.org/officeDocument/2006/relationships/hyperlink" Target="http://www.sec.gov/Archives/edgar/data/1826892/000095017025105220/bcab-ex10_1.htm" TargetMode="External"/><Relationship Id="rId31" Type="http://schemas.openxmlformats.org/officeDocument/2006/relationships/hyperlink" Target="http://www.sec.gov/Archives/edgar/data/1826892/000095017022022036/bcab-ex10_2.htm" TargetMode="External"/><Relationship Id="rId32" Type="http://schemas.openxmlformats.org/officeDocument/2006/relationships/hyperlink" Target="http://www.sec.gov/Archives/edgar/data/1826892/000095017023009551/bcab-ex10_24.htm" TargetMode="External"/><Relationship Id="rId33" Type="http://schemas.openxmlformats.org/officeDocument/2006/relationships/hyperlink" Target="http://www.sec.gov/Archives/edgar/data/1826892/000095017022016149/bcab-ex10_1.htm" TargetMode="External"/><Relationship Id="rId34" Type="http://schemas.openxmlformats.org/officeDocument/2006/relationships/hyperlink" Target="http://www.sec.gov/Archives/edgar/data/1826892/000095017024036548/bcab-ex10_24.htm" TargetMode="External"/><Relationship Id="rId35" Type="http://schemas.openxmlformats.org/officeDocument/2006/relationships/hyperlink" Target="http://www.sec.gov/Archives/edgar/data/1826892/000095017024036548/bcab-ex10_25.htm" TargetMode="External"/><Relationship Id="rId36" Type="http://schemas.openxmlformats.org/officeDocument/2006/relationships/hyperlink" Target="http://www.sec.gov/Archives/edgar/data/1826892/000095017024094164/bcab-ex10_1.htm" TargetMode="External"/><Relationship Id="rId37" Type="http://schemas.openxmlformats.org/officeDocument/2006/relationships/hyperlink" Target="http://www.sec.gov/Archives/edgar/data/1826892/000095017022018700/bcab-20220915.htm" TargetMode="External"/><Relationship Id="rId38" Type="http://schemas.openxmlformats.org/officeDocument/2006/relationships/hyperlink" Target="http://www.sec.gov/Archives/edgar/data/1826892/000119312523003550/d437048dex11.htm" TargetMode="External"/><Relationship Id="rId39" Type="http://schemas.openxmlformats.org/officeDocument/2006/relationships/hyperlink" Target="http://www.sec.gov/Archives/edgar/data/1826892/000095017024059757/bcab-ex10_2.htm" TargetMode="External"/><Relationship Id="rId40" Type="http://schemas.openxmlformats.org/officeDocument/2006/relationships/hyperlink" Target="http://www.sec.gov/Archives/edgar/data/1826892/000095017024094164/bcab-ex10_2.htm" TargetMode="External"/><Relationship Id="rId41" Type="http://schemas.openxmlformats.org/officeDocument/2006/relationships/hyperlink" Target="http://www.sec.gov/Archives/edgar/data/1826892/000119312524223282/d845616dex101.htm" TargetMode="External"/><Relationship Id="rId42" Type="http://schemas.openxmlformats.org/officeDocument/2006/relationships/hyperlink" Target="http://www.sec.gov/Archives/edgar/data/1826892/000119312524223282/d845616dex102.htm" TargetMode="External"/><Relationship Id="rId43" Type="http://schemas.openxmlformats.org/officeDocument/2006/relationships/hyperlink" Target="http://www.sec.gov/Archives/edgar/data/1826892/000119312524283212/d823541dex101.htm" TargetMode="External"/><Relationship Id="rId44" Type="http://schemas.openxmlformats.org/officeDocument/2006/relationships/hyperlink" Target="http://www.sec.gov/Archives/edgar/data/1826892/000119312525290474/bcab-ex10_1.htm" TargetMode="External"/><Relationship Id="rId45" Type="http://schemas.openxmlformats.org/officeDocument/2006/relationships/hyperlink" Target="http://www.sec.gov/Archives/edgar/data/1826892/000119312520293235/d258427dex105.htm" TargetMode="External"/><Relationship Id="rId46" Type="http://schemas.openxmlformats.org/officeDocument/2006/relationships/hyperlink" Target="http://www.sec.gov/Archives/edgar/data/0001826892/000119312526134499/bcab-ex10_35.htm" TargetMode="External"/><Relationship Id="rId47" Type="http://schemas.openxmlformats.org/officeDocument/2006/relationships/hyperlink" Target="http://www.sec.gov/Archives/edgar/data/0001826892/000119312526134499/bcab-ex10_36.htm" TargetMode="External"/><Relationship Id="rId48" Type="http://schemas.openxmlformats.org/officeDocument/2006/relationships/hyperlink" Target="http://www.sec.gov/Archives/edgar/data/0001826892/000119312526134499/bcab-ex10_37.htm" TargetMode="External"/><Relationship Id="rId49" Type="http://schemas.openxmlformats.org/officeDocument/2006/relationships/image" Target="media/image3.gif"/><Relationship Id="rId50" Type="http://schemas.openxmlformats.org/officeDocument/2006/relationships/image" Target="media/image4.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165876</Words>
  <Characters>909981</Characters>
  <CharactersWithSpaces>1078700</CharactersWithSpaces>
  <Paragraphs>15038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