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cab-20260630.htm"/>
      <w:bookmarkStart w:id="1" w:name="ksbcab202606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001-39787</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BIOATLA,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877" w:type="dxa"/>
        <w:jc w:val="left"/>
        <w:tblInd w:w="0" w:type="dxa"/>
        <w:tblLayout w:type="fixed"/>
        <w:tblCellMar>
          <w:top w:w="28" w:type="dxa"/>
          <w:left w:w="28" w:type="dxa"/>
          <w:bottom w:w="28" w:type="dxa"/>
          <w:right w:w="28" w:type="dxa"/>
        </w:tblCellMar>
      </w:tblPr>
      <w:tblGrid>
        <w:gridCol w:w="3631"/>
        <w:gridCol w:w="1246"/>
      </w:tblGrid>
      <w:tr>
        <w:trPr/>
        <w:tc>
          <w:tcPr>
            <w:tcW w:w="36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85-1922320</w:t>
            </w:r>
          </w:p>
        </w:tc>
      </w:tr>
      <w:tr>
        <w:trPr/>
        <w:tc>
          <w:tcPr>
            <w:tcW w:w="36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6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11085 Torreyana Road, San Diego,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(858) 558-0708</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BCAB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10, 2026 the number of shares of the registrant’s common stock outstanding was 1,666,100</w:t>
      </w:r>
      <w:r>
        <w:rPr>
          <w:rFonts w:ascii="Times New Roman" w:hAnsi="Times New Roman"/>
          <w:color w:val="000000"/>
          <w:sz w:val="20"/>
        </w:rPr>
        <w:t xml:space="preserve"> </w:t>
      </w:r>
      <w:r>
        <w:rPr>
          <w:rFonts w:ascii="Times New Roman" w:hAnsi="Times New Roman"/>
          <w:color w:val="000000"/>
          <w:sz w:val="18"/>
        </w:rPr>
        <w:t>and the number of shares of the registrant’s Class B common stock outstanding was</w:t>
      </w:r>
      <w:r>
        <w:rPr>
          <w:rFonts w:ascii="Times New Roman" w:hAnsi="Times New Roman"/>
          <w:color w:val="000000"/>
          <w:sz w:val="20"/>
        </w:rPr>
        <w:t xml:space="preserve"> </w:t>
      </w:r>
      <w:r>
        <w:rPr>
          <w:rFonts w:ascii="Times New Roman" w:hAnsi="Times New Roman"/>
          <w:color w:val="000000"/>
          <w:sz w:val="18"/>
        </w:rPr>
        <w:t>0.</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8"/>
        <w:gridCol w:w="8768"/>
        <w:gridCol w:w="649"/>
      </w:tblGrid>
      <w:tr>
        <w:trPr/>
        <w:tc>
          <w:tcPr>
            <w:tcW w:w="788" w:type="dxa"/>
            <w:tcBorders/>
            <w:vAlign w:val="center"/>
          </w:tcPr>
          <w:p>
            <w:pPr>
              <w:pStyle w:val="TableContents"/>
              <w:bidi w:val="0"/>
              <w:spacing w:before="0" w:after="283"/>
              <w:jc w:val="left"/>
              <w:rPr>
                <w:sz w:val="4"/>
                <w:szCs w:val="4"/>
              </w:rPr>
            </w:pPr>
            <w:r>
              <w:rPr>
                <w:sz w:val="4"/>
                <w:szCs w:val="4"/>
              </w:rPr>
            </w:r>
          </w:p>
        </w:tc>
        <w:tc>
          <w:tcPr>
            <w:tcW w:w="876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PART I.</w:t>
            </w:r>
          </w:p>
        </w:tc>
        <w:tc>
          <w:tcPr>
            <w:tcW w:w="87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18"/>
                  <w:u w:val="single"/>
                </w:rPr>
                <w:t>FINANCIAL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87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18"/>
                  <w:u w:val="single"/>
                </w:rPr>
                <w:t>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sz w:val="4"/>
                <w:szCs w:val="4"/>
              </w:rPr>
            </w:pPr>
            <w:r>
              <w:rPr>
                <w:sz w:val="4"/>
                <w:szCs w:val="4"/>
              </w:rPr>
            </w:r>
          </w:p>
        </w:tc>
        <w:tc>
          <w:tcPr>
            <w:tcW w:w="8768"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pPr>
            <w:hyperlink w:anchor="condensed_consolidated_balance_sheets">
              <w:r>
                <w:rPr>
                  <w:rStyle w:val="InternetLink"/>
                  <w:rFonts w:ascii="Times New Roman" w:hAnsi="Times New Roman"/>
                  <w:color w:val="0000FF"/>
                  <w:sz w:val="18"/>
                  <w:u w:val="single"/>
                </w:rPr>
                <w:t>Condensed Consolidated Balance Sheets as of June 30, 2026 (unaudited) and December 31, 2025</w:t>
              </w:r>
            </w:hyperlink>
            <w:r>
              <w:rPr>
                <w:rFonts w:ascii="Times New Roman" w:hAnsi="Times New Roman"/>
                <w:color w:val="000000"/>
                <w:sz w:val="18"/>
              </w:rPr>
              <w:t xml:space="preserve">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c>
          <w:tcPr>
            <w:tcW w:w="8768" w:type="dxa"/>
            <w:tcBorders/>
            <w:shd w:fill="FFFFFF" w:val="clear"/>
            <w:tcMar>
              <w:top w:w="0" w:type="dxa"/>
              <w:left w:w="0" w:type="dxa"/>
              <w:bottom w:w="0" w:type="dxa"/>
              <w:right w:w="0" w:type="dxa"/>
            </w:tcMar>
            <w:vAlign w:val="center"/>
          </w:tcPr>
          <w:p>
            <w:pPr>
              <w:pStyle w:val="TableContents"/>
              <w:bidi w:val="0"/>
              <w:spacing w:before="0" w:after="283"/>
              <w:ind w:left="0" w:right="0" w:firstLine="259"/>
              <w:jc w:val="left"/>
              <w:rPr/>
            </w:pPr>
            <w:hyperlink w:anchor="condensed_consolidated_statements_ops">
              <w:r>
                <w:rPr>
                  <w:rStyle w:val="InternetLink"/>
                  <w:rFonts w:ascii="Times New Roman" w:hAnsi="Times New Roman"/>
                  <w:color w:val="0000FF"/>
                  <w:sz w:val="18"/>
                  <w:u w:val="single"/>
                </w:rPr>
                <w:t>Condensed Consolidated Statements of Operations and Comprehensive Income (Loss) (unaudited) for the three and six months ended June 30,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ind w:left="0" w:right="0" w:firstLine="446"/>
              <w:jc w:val="left"/>
              <w:rPr>
                <w:sz w:val="4"/>
                <w:szCs w:val="4"/>
              </w:rPr>
            </w:pPr>
            <w:r>
              <w:rPr>
                <w:sz w:val="4"/>
                <w:szCs w:val="4"/>
              </w:rPr>
            </w:r>
          </w:p>
        </w:tc>
        <w:tc>
          <w:tcPr>
            <w:tcW w:w="8768" w:type="dxa"/>
            <w:tcBorders/>
            <w:shd w:fill="FFFFFF" w:val="clear"/>
            <w:tcMar>
              <w:top w:w="0" w:type="dxa"/>
              <w:left w:w="0" w:type="dxa"/>
              <w:bottom w:w="0" w:type="dxa"/>
              <w:right w:w="0" w:type="dxa"/>
            </w:tcMar>
            <w:vAlign w:val="center"/>
          </w:tcPr>
          <w:p>
            <w:pPr>
              <w:pStyle w:val="TableContents"/>
              <w:bidi w:val="0"/>
              <w:spacing w:before="0" w:after="283"/>
              <w:ind w:left="0" w:right="0" w:firstLine="446"/>
              <w:jc w:val="left"/>
              <w:rPr/>
            </w:pPr>
            <w:hyperlink w:anchor="condensed_consolidated_soe">
              <w:r>
                <w:rPr>
                  <w:rStyle w:val="InternetLink"/>
                  <w:rFonts w:ascii="Times New Roman" w:hAnsi="Times New Roman"/>
                  <w:color w:val="0000FF"/>
                  <w:sz w:val="18"/>
                  <w:u w:val="single"/>
                </w:rPr>
                <w:t>Condensed Consolidated Statements of Stockholders’ Equity (Deficit) (unaudited) for the three and six months ended June 30, 2026 and 2025</w:t>
              </w:r>
            </w:hyperlink>
            <w:hyperlink w:anchor="condensed_consolidated_soe">
              <w:r>
                <w:rPr>
                  <w:rStyle w:val="InternetLink"/>
                  <w:rFonts w:ascii="Times New Roman" w:hAnsi="Times New Roman"/>
                  <w:color w:val="0000FF"/>
                  <w:sz w:val="18"/>
                </w:rPr>
                <w:t xml:space="preserve"> </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sz w:val="4"/>
                <w:szCs w:val="4"/>
              </w:rPr>
            </w:pPr>
            <w:r>
              <w:rPr>
                <w:sz w:val="4"/>
                <w:szCs w:val="4"/>
              </w:rPr>
            </w:r>
          </w:p>
        </w:tc>
        <w:tc>
          <w:tcPr>
            <w:tcW w:w="8768"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pPr>
            <w:hyperlink w:anchor="condensed_consolidated_statements_cf">
              <w:r>
                <w:rPr>
                  <w:rStyle w:val="InternetLink"/>
                  <w:rFonts w:ascii="Times New Roman" w:hAnsi="Times New Roman"/>
                  <w:color w:val="0000FF"/>
                  <w:sz w:val="18"/>
                  <w:u w:val="single"/>
                </w:rPr>
                <w:t>Condensed Consolidated Statements of Cash Flows (unaudited) for the six months ended June 30,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sz w:val="4"/>
                <w:szCs w:val="4"/>
              </w:rPr>
            </w:pPr>
            <w:r>
              <w:rPr>
                <w:sz w:val="4"/>
                <w:szCs w:val="4"/>
              </w:rPr>
            </w:r>
          </w:p>
        </w:tc>
        <w:tc>
          <w:tcPr>
            <w:tcW w:w="8768"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pPr>
            <w:hyperlink w:anchor="notes_financial_statements">
              <w:r>
                <w:rPr>
                  <w:rStyle w:val="InternetLink"/>
                  <w:rFonts w:ascii="Times New Roman" w:hAnsi="Times New Roman"/>
                  <w:color w:val="0000FF"/>
                  <w:sz w:val="18"/>
                  <w:u w:val="single"/>
                </w:rPr>
                <w:t>Notes to Condensed Consolidated Financial Statements (unaudited)</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87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18"/>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3.</w:t>
            </w:r>
          </w:p>
        </w:tc>
        <w:tc>
          <w:tcPr>
            <w:tcW w:w="87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18"/>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4.</w:t>
            </w:r>
          </w:p>
        </w:tc>
        <w:tc>
          <w:tcPr>
            <w:tcW w:w="87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18"/>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PART II.</w:t>
            </w:r>
          </w:p>
        </w:tc>
        <w:tc>
          <w:tcPr>
            <w:tcW w:w="87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18"/>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87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18"/>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1A.</w:t>
            </w:r>
          </w:p>
        </w:tc>
        <w:tc>
          <w:tcPr>
            <w:tcW w:w="87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18"/>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87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18"/>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3.</w:t>
            </w:r>
          </w:p>
        </w:tc>
        <w:tc>
          <w:tcPr>
            <w:tcW w:w="87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18"/>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4.</w:t>
            </w:r>
          </w:p>
        </w:tc>
        <w:tc>
          <w:tcPr>
            <w:tcW w:w="87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18"/>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5.</w:t>
            </w:r>
          </w:p>
        </w:tc>
        <w:tc>
          <w:tcPr>
            <w:tcW w:w="87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18"/>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6.</w:t>
            </w:r>
          </w:p>
        </w:tc>
        <w:tc>
          <w:tcPr>
            <w:tcW w:w="87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18"/>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18"/>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par value and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17"/>
        <w:gridCol w:w="146"/>
        <w:gridCol w:w="211"/>
        <w:gridCol w:w="841"/>
        <w:gridCol w:w="166"/>
        <w:gridCol w:w="146"/>
        <w:gridCol w:w="217"/>
        <w:gridCol w:w="869"/>
        <w:gridCol w:w="392"/>
      </w:tblGrid>
      <w:tr>
        <w:trPr/>
        <w:tc>
          <w:tcPr>
            <w:tcW w:w="7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13,828</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 (includes related party amounts of $300 and $0,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16,353</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PPAs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to licensor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200,000,000 shares authorized at June 30, 2026</w:t>
              <w:br/>
              <w:t>   and December 31, 2025; 0 shares issued and outstanding at June 30, 2026</w:t>
              <w:br/>
              <w:t>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350,000,000 shares authorized at </w:t>
              <w:br/>
              <w:t>   June 30, 2026 and December 31, 2025; 1,663,280 and 1,269,286</w:t>
              <w:br/>
              <w:t>   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Class B common stock, $0.0001 par value; 15,368,569 shares authorized at </w:t>
              <w:br/>
              <w:t>   June 30, 2026 and December 31, 2025; 0 shares issued and outstanding at</w:t>
              <w:br/>
              <w: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509,457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(545,646</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(36,189</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13,828</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densed_consolidated_statements_ops"/>
      <w:bookmarkEnd w:id="5"/>
      <w:r>
        <w:rPr>
          <w:rFonts w:ascii="Times New Roman" w:hAnsi="Times New Roman"/>
          <w:b/>
          <w:color w:val="000000"/>
          <w:sz w:val="20"/>
        </w:rPr>
        <w:t>Unaudited Condensed Consolidated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5066"/>
        <w:gridCol w:w="197"/>
        <w:gridCol w:w="832"/>
        <w:gridCol w:w="167"/>
        <w:gridCol w:w="197"/>
        <w:gridCol w:w="832"/>
        <w:gridCol w:w="166"/>
        <w:gridCol w:w="146"/>
        <w:gridCol w:w="196"/>
        <w:gridCol w:w="826"/>
        <w:gridCol w:w="166"/>
        <w:gridCol w:w="196"/>
        <w:gridCol w:w="826"/>
        <w:gridCol w:w="392"/>
      </w:tblGrid>
      <w:tr>
        <w:trPr/>
        <w:tc>
          <w:tcPr>
            <w:tcW w:w="50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and other revenue</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Research and development expense (includes related party amounts of $975</w:t>
            </w:r>
            <w:r>
              <w:rPr>
                <w:rFonts w:ascii="Times New Roman" w:hAnsi="Times New Roman"/>
                <w:color w:val="000000"/>
                <w:sz w:val="20"/>
              </w:rPr>
              <w:t> </w:t>
            </w:r>
            <w:r>
              <w:rPr>
                <w:rFonts w:ascii="Times New Roman" w:hAnsi="Times New Roman"/>
                <w:color w:val="000000"/>
                <w:sz w:val="18"/>
              </w:rPr>
              <w:t>for the three and six months ended June 30, 2026 and $0</w:t>
            </w:r>
            <w:r>
              <w:rPr>
                <w:rFonts w:ascii="Times New Roman" w:hAnsi="Times New Roman"/>
                <w:color w:val="000000"/>
                <w:sz w:val="20"/>
              </w:rPr>
              <w:t> </w:t>
            </w:r>
            <w:r>
              <w:rPr>
                <w:rFonts w:ascii="Times New Roman" w:hAnsi="Times New Roman"/>
                <w:color w:val="000000"/>
                <w:sz w:val="18"/>
              </w:rPr>
              <w:t>for the three and six months ended June 30, 2025)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26,039</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36,261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operations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(36,261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(loss) on warrant liability</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PPAs liability</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net income (loss) and comprehensive income (loss)</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(34,045</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per common share, basic</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per common share, diluted</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of common stock outstanding, basic</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1,660,586</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1,581,554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1,167,550</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of common stock outstanding, diluted</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1,661,709</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1,581,554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1,167,550</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sz w:val="20"/>
        </w:rPr>
      </w:pPr>
      <w:bookmarkStart w:id="6" w:name="condensed_consolidated_soe"/>
      <w:bookmarkEnd w:id="6"/>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603"/>
        <w:gridCol w:w="146"/>
        <w:gridCol w:w="826"/>
        <w:gridCol w:w="146"/>
        <w:gridCol w:w="249"/>
        <w:gridCol w:w="442"/>
        <w:gridCol w:w="146"/>
        <w:gridCol w:w="196"/>
        <w:gridCol w:w="691"/>
        <w:gridCol w:w="166"/>
        <w:gridCol w:w="217"/>
        <w:gridCol w:w="834"/>
        <w:gridCol w:w="166"/>
        <w:gridCol w:w="264"/>
        <w:gridCol w:w="900"/>
        <w:gridCol w:w="213"/>
      </w:tblGrid>
      <w:tr>
        <w:trPr/>
        <w:tc>
          <w:tcPr>
            <w:tcW w:w="4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9" w:type="dxa"/>
            <w:gridSpan w:val="1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(37,309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(551,538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(36,236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80" w:after="283"/>
        <w:jc w:val="center"/>
        <w:rPr/>
      </w:pPr>
      <w:r>
        <w:rPr/>
        <w:t> </w:t>
      </w:r>
    </w:p>
    <w:p>
      <w:pPr>
        <w:pStyle w:val="TextBody"/>
        <w:bidi w:val="0"/>
        <w:spacing w:before="18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4603"/>
        <w:gridCol w:w="146"/>
        <w:gridCol w:w="826"/>
        <w:gridCol w:w="146"/>
        <w:gridCol w:w="249"/>
        <w:gridCol w:w="442"/>
        <w:gridCol w:w="146"/>
        <w:gridCol w:w="196"/>
        <w:gridCol w:w="691"/>
        <w:gridCol w:w="166"/>
        <w:gridCol w:w="217"/>
        <w:gridCol w:w="834"/>
        <w:gridCol w:w="166"/>
        <w:gridCol w:w="264"/>
        <w:gridCol w:w="900"/>
        <w:gridCol w:w="213"/>
      </w:tblGrid>
      <w:tr>
        <w:trPr/>
        <w:tc>
          <w:tcPr>
            <w:tcW w:w="4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9" w:type="dxa"/>
            <w:gridSpan w:val="1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1,174,431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(16,745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sz w:val="20"/>
        </w:rPr>
      </w:pPr>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603"/>
        <w:gridCol w:w="146"/>
        <w:gridCol w:w="826"/>
        <w:gridCol w:w="146"/>
        <w:gridCol w:w="249"/>
        <w:gridCol w:w="442"/>
        <w:gridCol w:w="146"/>
        <w:gridCol w:w="196"/>
        <w:gridCol w:w="691"/>
        <w:gridCol w:w="166"/>
        <w:gridCol w:w="217"/>
        <w:gridCol w:w="834"/>
        <w:gridCol w:w="166"/>
        <w:gridCol w:w="264"/>
        <w:gridCol w:w="900"/>
        <w:gridCol w:w="213"/>
      </w:tblGrid>
      <w:tr>
        <w:trPr/>
        <w:tc>
          <w:tcPr>
            <w:tcW w:w="4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9" w:type="dxa"/>
            <w:gridSpan w:val="1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(36,189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PPAs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SEPA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(551,538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(36,236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8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4603"/>
        <w:gridCol w:w="146"/>
        <w:gridCol w:w="826"/>
        <w:gridCol w:w="146"/>
        <w:gridCol w:w="249"/>
        <w:gridCol w:w="442"/>
        <w:gridCol w:w="146"/>
        <w:gridCol w:w="196"/>
        <w:gridCol w:w="691"/>
        <w:gridCol w:w="166"/>
        <w:gridCol w:w="217"/>
        <w:gridCol w:w="834"/>
        <w:gridCol w:w="166"/>
        <w:gridCol w:w="264"/>
        <w:gridCol w:w="900"/>
        <w:gridCol w:w="213"/>
      </w:tblGrid>
      <w:tr>
        <w:trPr/>
        <w:tc>
          <w:tcPr>
            <w:tcW w:w="4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9" w:type="dxa"/>
            <w:gridSpan w:val="1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14,265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(34,045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1,174,431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(16,745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f"/>
      <w:bookmarkEnd w:id="7"/>
      <w:r>
        <w:rPr>
          <w:rFonts w:ascii="Times New Roman" w:hAnsi="Times New Roman"/>
          <w:b/>
          <w:color w:val="000000"/>
          <w:sz w:val="20"/>
        </w:rPr>
        <w:t>Unaudited Condensed</w:t>
      </w:r>
      <w:r>
        <w:rPr>
          <w:rFonts w:ascii="Times New Roman" w:hAnsi="Times New Roman"/>
          <w:color w:val="000000"/>
          <w:sz w:val="20"/>
        </w:rPr>
        <w:t xml:space="preserve"> </w:t>
      </w:r>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47"/>
        <w:gridCol w:w="146"/>
        <w:gridCol w:w="211"/>
        <w:gridCol w:w="631"/>
        <w:gridCol w:w="166"/>
        <w:gridCol w:w="146"/>
        <w:gridCol w:w="211"/>
        <w:gridCol w:w="736"/>
        <w:gridCol w:w="611"/>
      </w:tblGrid>
      <w:tr>
        <w:trPr/>
        <w:tc>
          <w:tcPr>
            <w:tcW w:w="7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PPAs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3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3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expenses -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Right-of-use assets and lease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financing costs related to issuance of common stock, PPAs and SEPA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taxes related to net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 issued in satisfaction of PPAs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right-of-use assets and operating lease liabilities resulting from contract 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sz w:val="20"/>
        </w:rPr>
      </w:pPr>
      <w:bookmarkStart w:id="8" w:name="notes_financial_statements"/>
      <w:bookmarkEnd w:id="8"/>
      <w:r>
        <w:rPr>
          <w:rFonts w:ascii="Times New Roman" w:hAnsi="Times New Roman"/>
          <w:b/>
          <w:color w:val="000000"/>
          <w:sz w:val="20"/>
        </w:rPr>
        <w:t>Notes to Unaudited Condensed</w:t>
      </w:r>
      <w:r>
        <w:rPr>
          <w:rFonts w:ascii="Times New Roman" w:hAnsi="Times New Roman"/>
          <w:color w:val="000000"/>
          <w:sz w:val="20"/>
        </w:rPr>
        <w:t xml:space="preserve"> </w:t>
      </w:r>
      <w:r>
        <w:rPr>
          <w:rFonts w:ascii="Times New Roman" w:hAnsi="Times New Roman"/>
          <w:b/>
          <w:color w:val="000000"/>
          <w:sz w:val="20"/>
        </w:rPr>
        <w:t>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BioAtla, LLC was formed in Delaware in March 2007 and was converted to a Delaware corporation in July 2020 and renamed BioAtla, Inc. (the “Company”). BioAtla, Inc. is a single legal entity with one consolidated variable interest entity (“VIE”), BA 3021 SPV LLC (see Note 10). The Company has a proprietary platform for creating biologics, including its conditionally active biologics (“CAB” or “CABs”). CABs have been designed to be active only under certain conditions found in diseased tissue, while remaining inactive in normal tissue. The Company has developed several CAB drug candidates through Phase 2 clinical trials including: two CAB antibody drug conjugates (“CAB ADC”), mecbotamab vedotin (BA3011), a CAB ADC targeting AXL, and ozuriftamab vedotin (BA3021), a CAB ADC targeting ROR2; and evalstotug (BA3071), a CAB anti-CTLA-4 antibody. The Company has an ongoing Phase 1 trial for BA3182 (CAB-EpCAM x CAB-CD3), a CAB bispecific antibody targeting EpCAM.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Merger and Related Share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23, 2026, the Company’s stockholders approved the Agreement and Plan of Merger, as amended from time to time, including pursuant to Amendment No. 1 to Agreement and Plan of Merger, pursuant to which (i) a wholly owned subsidiary (the “Merger Sub”) of the Company would merge with and into the Company, with the Company surviving (the “Merger”), and (ii) every fifty (50) shares of common stock of the Company issued and outstanding, or held as treasury stock, would be converted into one (1) share of common stock of the surviving corporation, which would be the Company (the “Share Consolidation”). The effective date of the Merger and the related Share Consolidation was April 6, 2026. The Share Consolidation did not change the par value or the number of authorized shares of the Company’s common stock. The Company’s condensed consolidated financial statements and notes to the condensed consolidated financial statements present the retroactive effect of the Share Consolidation on the Company’s common stock share and per share data, and exercise price data for applicable common stock equivalents, for all periods presented prior to the effective date of the Share Consolidation.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as of June 30, 2026, and for the three and six months ended June 30, 2026 and 2025, have been prepared in accordance with the rules and regulations of the Securities and Exchange Commission (“SEC”), and with accounting principles generally accepted in the United States (“GAAP”) applicable to interim financial statements. These unaudited condensed consolidated financial statements have been prepared on the same basis as the audited consolidated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consolidated financial statements should be read in conjunction with the Company’s audited consolidated financial statements for the year ended December 31, 2025, included in its Annual Report on Form 10-K filed with the SEC on March 31, 2026, as amended by Amendment No. 1 to the Annual Report on Form 10-K/A filed with the SEC on April 29,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has incurred cumulative operating losses and negative cash flows from operations since its inception and expects to continue to incur significant expenses and operating losses for the foreseeable future as it continues development of its product candidate BA3182. As of June 30, 2026, the Company had</w:t>
      </w:r>
      <w:r>
        <w:rPr>
          <w:rFonts w:ascii="Times New Roman" w:hAnsi="Times New Roman"/>
          <w:color w:val="0000FF"/>
          <w:sz w:val="20"/>
        </w:rPr>
        <w:t xml:space="preserve"> </w:t>
      </w:r>
      <w:r>
        <w:rPr>
          <w:rFonts w:ascii="Times New Roman" w:hAnsi="Times New Roman"/>
          <w:color w:val="000000"/>
          <w:sz w:val="20"/>
        </w:rPr>
        <w:t>an accumulated deficit of $551.5 million.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November 2025, the Company entered into the Standby Equity Purchase Agreement (the “SEPA”) with YA II PN, Ltd. (“Yorkville”) pursuant to which the Company has the right to sell to Yorkville up to $15.0 million of shares of common stock (the “Commitment Amount”), subject to certain limitations and conditions set forth in the SEPA, during the 36 months beginning November 20, 2025 (such shares, the “SEPA Shares”). As of June 30, 2026, 48,092 SEPA Shares had been sold under the SEPA, with gross proceeds to the Company totaling approximately $0.4 million. Additional sales of the SEPA Shares to Yorkville and the timing of any such sales, if elected to be utilized by the Company at a future date, are at the Company’s option.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On March 2, 2026, the Company announced a formal process to explore and evaluate strategic options to maximize shareholder value, including the sale of preclinical and clinical assets, licensing transactions, strategic partnerships or other corporate transactions. The Company plans to continue to fund its losses from operations and capital funding needs through proceeds received through the SEPA, this strategic process, other public or private equity or debt financings, or other sources. In connection with the evaluation of strategic options, the Company also implemented a reduction in force and other cost-containment measures intended to better align resources with its near-term priorities. In order to continue to preserve capital during this period, the Company is re-evaluating the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timing and scope of its clinical development programs. As part of this process, the Company paused further enrollment in its ongoing Phase 1 study of BA3182 (CAB-EpCAM x CAB-CD3), while continuing treatment and follow-up of patients, including obtaining new scans in the study.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the Company is not able to secure adequate additional funding, the Company may be forced to make further reductions in spending, extend payment terms with suppliers, liquidate assets where possible, suspend or curtail planned programs or wind down the Company. Any of these actions could materially harm the Company’s business, results of operations and future prospects.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concluded that there is substantial doubt about the Company’s ability to continue as a going concern for a period of at least one year from the issuance date of these condensed consolidated financial statements.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has prepared its condensed consolidated financial statements on a going concern basis, which assumes that the Company will realize its assets and satisfy its liabilities in the normal course of business. The accompanying condensed consolidated financial statements do not include any adjustments to reflect the possible future effects on the recoverability and classification of assets or the amounts and classifications of liabilities that may result from the outcome of the uncertainty concerning the Company’s ability to continue as a going concern.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Variable Interest Entities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consolidates entities in which it has a controlling financial interest. The Company determines whether it has a controlling financial interest in an entity by first evaluating whether the entity is a voting interest entity or a VIE. VIEs are entities in which (i) the total equity investment at risk is sufficient to enable the entity to finance its activities independently, (ii) the equity holders have the power to direct the activities of the entity that most significantly impact its economic performance, the obligation to absorb the losses of the entity and the right to receive the residual returns of the entity and (iii) the legal entity is structured with substantive voting rights. A VIE is an entity that lacks one or more of the characteristics of a voting interest entity. The Company has a controlling financial interest in a VIE when the Company has a variable interest or interests that provide it with (i) the power to direct the activities of the VIE that most significantly impact the VIE’s economic performance and (ii) the obligation to absorb losses of the VIE or the right to receive benefits from the VIE that could potentially be significant to the VIE. The Company evaluates its relationships with its VIEs on an ongoing basis to determine whether or not it has a controlling financial interest.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condensed consolidated financial statements requires it to make estimates and assumptions that impact the reported amounts of assets, liabilities, revenues and expenses and the disclosure of contingent assets and liabilities in the Company’s condensed consolidated financial statements and accompanying notes. The most significant estimates in the Company’s condensed consolidated financial statements relate to accruals for research and development costs, equity-based compensation, and fair value measurements related to the Warrant Liability (as defined in Note 4).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The fair value of RSUs is based on the closing sales price of the Company’s common stock on the date of grant. Equity award forfeitures are recognized as they occur.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recognized as incurred and are not included in the calculation of the ROU asset or the related lease liability.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Operating leases are included in operating lease right-of-use assets, operating lease liabilities, and operating lease liabilities, non-current on the Company’s condensed consolidated balance sheets. The Company does not have any finance leases.</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Option</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Under the ASC 825, Financial Instruments (“ASC 825”), the Company has the irrevocable option to report certain financial assets and financial liabilities at fair value on an instrument-by-instrument basis. Under the Pre-Paid Advance Agreements (the “PPAs”) entered into in November 2025, pre-paid advances having an aggregate principal amount of $7.5 million (the “Pre-Paid Advance”) were issued to the Company. The Company elected the fair value option to account for the Pre-Paid Advance (See Note 4 and Note 7). The fair value option was elected as management believes fair value measurement better aligns with the instrument’s economic risks and expected settlement outcomes. This election also eliminates the need to bifurcate the embedded conversion features and account for them separately as derivative instruments. </w:t>
      </w:r>
    </w:p>
    <w:p>
      <w:pPr>
        <w:pStyle w:val="TextBody"/>
        <w:bidi w:val="0"/>
        <w:spacing w:before="56" w:after="283"/>
        <w:jc w:val="left"/>
        <w:rPr>
          <w:rFonts w:ascii="Times New Roman" w:hAnsi="Times New Roman"/>
          <w:color w:val="000000"/>
          <w:sz w:val="20"/>
        </w:rPr>
      </w:pPr>
      <w:r>
        <w:rPr>
          <w:rFonts w:ascii="Times New Roman" w:hAnsi="Times New Roman"/>
          <w:color w:val="000000"/>
          <w:sz w:val="20"/>
        </w:rPr>
        <w:t>The Pre-Paid Advance was initially recorded at fair value at issuance, which was determined to be equal to the transaction price of $7.15 million. Issuance costs incurred in connection with the Pre-Paid Advance were expensed as incurred, consistent with the requirements applicable to instruments measured at fair value under ASC 825. Subsequent to initial recognition, the Company remeasured the Pre-Paid Advance to fair value at each reporting date, with changes in fair value recognized in earnings within the gain on PPAs liability on the condensed consolidated statements of operations and comprehensive income (loss). The change in fair value related to accrued interest is presented with the total change in fair value of the Pre-Paid Advance as a single line within the gain on PPAs liability on the condensed consolidated statements of operations and comprehensive income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income (loss) is defined as a change in equity during a period from transactions and other events and circumstances from non-owner sources, and consists of net income (loss) and other comprehensive gain (loss). There have been no items qualifying as other comprehensive income (loss) and, therefore, for all periods presented, the Company’s comprehensive income (loss) was the same as its reported net income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income (loss) per common share is computed by dividing the net income (loss) by the weighted-average number of common shares outstanding for the period, without consideration for potentially dilutive securities. Diluted net income (loss) per share is computed by dividing the net income (loss) by the weighted-average number of common shares and dilutive common stock equivalents outstanding for the period determined using the treasury-stock method. Dilutive common stock equivalents are comprised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common stock warrants, RSUs, common stock options outstanding under the Company’s stock option plan, and contingently issuable shares under the BioAtla, Inc. Employee Stock Purchase Plan (the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income (loss) per share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61"/>
        <w:gridCol w:w="199"/>
        <w:gridCol w:w="841"/>
        <w:gridCol w:w="148"/>
        <w:gridCol w:w="199"/>
        <w:gridCol w:w="841"/>
        <w:gridCol w:w="166"/>
        <w:gridCol w:w="146"/>
        <w:gridCol w:w="196"/>
        <w:gridCol w:w="826"/>
        <w:gridCol w:w="166"/>
        <w:gridCol w:w="196"/>
        <w:gridCol w:w="826"/>
        <w:gridCol w:w="394"/>
      </w:tblGrid>
      <w:tr>
        <w:trPr/>
        <w:tc>
          <w:tcPr>
            <w:tcW w:w="50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Consolidated net income (loss)</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(34,045</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Denominator:</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Denominator for basic net income (loss) per share - weighted-average common stock outstanding</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1,660,586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1,581,554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1,167,550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Effect of dilutive securities:</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RSUs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Denominator for diluted net income (loss) per share - adjusted weighted-average common stock outstanding</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1,661,709</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1,581,554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1,167,550</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net income (loss) per share</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net income (loss) per share</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Potentially dilutive securities not included in the calculation of diluted net income (loss) per common share because to do so would be anti-dilutive are as follows (in common stock equivalents):</w:t>
      </w:r>
    </w:p>
    <w:tbl>
      <w:tblPr>
        <w:tblW w:w="4554" w:type="dxa"/>
        <w:jc w:val="left"/>
        <w:tblInd w:w="0" w:type="dxa"/>
        <w:tblLayout w:type="fixed"/>
        <w:tblCellMar>
          <w:top w:w="28" w:type="dxa"/>
          <w:left w:w="28" w:type="dxa"/>
          <w:bottom w:w="28" w:type="dxa"/>
          <w:right w:w="28" w:type="dxa"/>
        </w:tblCellMar>
      </w:tblPr>
      <w:tblGrid>
        <w:gridCol w:w="2071"/>
        <w:gridCol w:w="146"/>
        <w:gridCol w:w="146"/>
        <w:gridCol w:w="781"/>
        <w:gridCol w:w="146"/>
        <w:gridCol w:w="146"/>
        <w:gridCol w:w="146"/>
        <w:gridCol w:w="78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 setting bodies and adopted by the Company as of the specified effective date. Unless otherwise discussed, Accounting Standards Updates (“ASU”) not included in the Company’s disclosures were assessed and determined to be either not applicable or are not expected to have a material impact on the Company’s financial statements or disclosures.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November 2024, the FASB issued ASU No. 2024-03, “Income Statement - Reporting Comprehensive Income - Expense Disaggregation Disclosures (Subtopic 220-40): Disaggregation of Income Statement Expenses,” which requires public entities, at annual and interim reporting periods, to disclose in a tabular format additional information about specific expense categories in the notes to the consolidated financial statements. ASU 2024-03 is effective for annual reporting periods beginning after December 15, 2026, and interim reporting periods beginning after December 15, 2027, with early adoption permitted. The Company is currently evaluating the impact of this guidance on its consolidated financial statements.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December 2025, the FASB issued ASU No. 2025-11, “Interim Reporting (Topic 270): Narrow Scope Improvements”. This update will improve the navigability of required interim disclosures and clarify when that guidance is applicable, and will require entities to disclose events since the end of the last annual reporting period that have a material impact on the entity. ASU 2025-11 is effective for interim periods within annual reporting periods beginning after December 15, 2027, with early adoption permitted. The Company will adopt the standard for the interim periods within the year ending December 31, 2028. The Company is currently evaluating the impact of the adoption on its consolidated financial statements and related disclosures.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Balance Sheet Details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left"/>
        <w:rPr/>
      </w:pPr>
      <w:r>
        <w:rPr/>
        <w:t> </w:t>
      </w:r>
    </w:p>
    <w:tbl>
      <w:tblPr>
        <w:tblW w:w="5925" w:type="dxa"/>
        <w:jc w:val="left"/>
        <w:tblInd w:w="0" w:type="dxa"/>
        <w:tblLayout w:type="fixed"/>
        <w:tblCellMar>
          <w:top w:w="28" w:type="dxa"/>
          <w:left w:w="28" w:type="dxa"/>
          <w:bottom w:w="28" w:type="dxa"/>
          <w:right w:w="28" w:type="dxa"/>
        </w:tblCellMar>
      </w:tblPr>
      <w:tblGrid>
        <w:gridCol w:w="3481"/>
        <w:gridCol w:w="146"/>
        <w:gridCol w:w="240"/>
        <w:gridCol w:w="480"/>
        <w:gridCol w:w="146"/>
        <w:gridCol w:w="146"/>
        <w:gridCol w:w="364"/>
        <w:gridCol w:w="731"/>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Property and equipment consist of the following (in thousands):</w:t>
      </w:r>
    </w:p>
    <w:p>
      <w:pPr>
        <w:pStyle w:val="TextBody"/>
        <w:bidi w:val="0"/>
        <w:jc w:val="left"/>
        <w:rPr/>
      </w:pPr>
      <w:r>
        <w:rPr/>
        <w:t> </w:t>
      </w:r>
    </w:p>
    <w:tbl>
      <w:tblPr>
        <w:tblW w:w="7629" w:type="dxa"/>
        <w:jc w:val="left"/>
        <w:tblInd w:w="0" w:type="dxa"/>
        <w:tblLayout w:type="fixed"/>
        <w:tblCellMar>
          <w:top w:w="28" w:type="dxa"/>
          <w:left w:w="28" w:type="dxa"/>
          <w:bottom w:w="28" w:type="dxa"/>
          <w:right w:w="28" w:type="dxa"/>
        </w:tblCellMar>
      </w:tblPr>
      <w:tblGrid>
        <w:gridCol w:w="4051"/>
        <w:gridCol w:w="146"/>
        <w:gridCol w:w="826"/>
        <w:gridCol w:w="146"/>
        <w:gridCol w:w="211"/>
        <w:gridCol w:w="631"/>
        <w:gridCol w:w="166"/>
        <w:gridCol w:w="146"/>
        <w:gridCol w:w="274"/>
        <w:gridCol w:w="82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Accounts payable and accrued expenses consist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5"/>
        <w:gridCol w:w="146"/>
        <w:gridCol w:w="211"/>
        <w:gridCol w:w="676"/>
        <w:gridCol w:w="146"/>
        <w:gridCol w:w="146"/>
        <w:gridCol w:w="257"/>
        <w:gridCol w:w="826"/>
        <w:gridCol w:w="192"/>
      </w:tblGrid>
      <w:tr>
        <w:trPr/>
        <w:tc>
          <w:tcPr>
            <w:tcW w:w="7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6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8,194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Accrued research and development (includes related party amounts of $300</w:t>
            </w:r>
            <w:r>
              <w:rPr>
                <w:rFonts w:ascii="Times New Roman" w:hAnsi="Times New Roman"/>
                <w:color w:val="000000"/>
                <w:sz w:val="20"/>
              </w:rPr>
              <w:t> </w:t>
            </w:r>
            <w:r>
              <w:rPr>
                <w:rFonts w:ascii="Times New Roman" w:hAnsi="Times New Roman"/>
                <w:color w:val="000000"/>
                <w:sz w:val="19"/>
              </w:rPr>
              <w:t>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7,280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879</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16,353</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2026, the Company announced that it has initiated a formal process to explore and evaluate strategic options to maximize shareholder value, including sale of preclinical and clinical assets, licensing transactions, strategic partnerships or other corporate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evaluation of strategic alternatives, the Company implemented a restructuring plan that included a workforce reduction of approximately 70%. The Company recorded restructuring costs of $0 and $0.5 million during the three and six months ended June 30, 2026, of which $0.4 million is included in research and development expense and $0.1 million is included in general and administrative expense for the six months ended June 30, 2026 in the condensed consolidated statements of operations and comprehensive income (loss). Restructuring costs primarily consisted of employee severance, continuing healthcare benefits and other employee-related costs. The Company made cash payments of $0.5 million during the first quarter of 2026 and made immaterial cash payments in the second quarter of 2026. As of June 30, 2026, there is no remaining restructuring liability balance.</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The Company’s financial instruments consist of cash and cash equivalents, accounts payable and accrued expenses, and warrants to purchase common stock. The carrying amounts of the Company’s cash and cash equivalents and accounts payable and accrued expenses are considered to be representative of their respective fair values due to their short-term nature.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Level 1: Observable inputs such as quoted prices in active markets. </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 xml:space="preserve">Level 2: Inputs, other than the quoted prices in active markets that are observable either directly or indirectly. </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 xml:space="preserve">Level 3: Unobservable inputs in which there is little or no market data, which require the reporting entity to develop its own assumptions.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When quoted market prices are available in active markets, the fair value of assets and liabilities is estimated within Level 1 of the valuation hierarchy. If quoted prices are not available, then fair values are estimated by using pricing models, quoted prices of assets and liabilities with similar characteristics, or discounted cash flows within Level 2 of the valuation hierarchy. In cases where Level 1 or Level 2 inputs are not available, the fair values are estimated by using inputs within Level 3 of the hierarchy.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The Company has determined the estimated fair value of its financial instruments based on appropriate valuation methodologies; however, considerable judgment is required to develop these estimates. Accordingly, these estimated fair values are not necessarily indicative of the amounts the Company could realize in a current market exchange. The estimated fair values can be materially affected by using different assumptions or methodologies. The methods and assumptions used in estimating the fair values of financial instruments are based on carrying values and future cash flows.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spacing w:before="108" w:after="283"/>
        <w:jc w:val="left"/>
        <w:rPr/>
      </w:pPr>
      <w:r>
        <w:rPr/>
        <w:t> </w:t>
      </w:r>
    </w:p>
    <w:tbl>
      <w:tblPr>
        <w:tblW w:w="5983" w:type="dxa"/>
        <w:jc w:val="left"/>
        <w:tblInd w:w="0" w:type="dxa"/>
        <w:tblLayout w:type="fixed"/>
        <w:tblCellMar>
          <w:top w:w="28" w:type="dxa"/>
          <w:left w:w="28" w:type="dxa"/>
          <w:bottom w:w="28" w:type="dxa"/>
          <w:right w:w="28" w:type="dxa"/>
        </w:tblCellMar>
      </w:tblPr>
      <w:tblGrid>
        <w:gridCol w:w="1716"/>
        <w:gridCol w:w="146"/>
        <w:gridCol w:w="211"/>
        <w:gridCol w:w="571"/>
        <w:gridCol w:w="146"/>
        <w:gridCol w:w="146"/>
        <w:gridCol w:w="244"/>
        <w:gridCol w:w="401"/>
        <w:gridCol w:w="146"/>
        <w:gridCol w:w="146"/>
        <w:gridCol w:w="215"/>
        <w:gridCol w:w="430"/>
        <w:gridCol w:w="146"/>
        <w:gridCol w:w="146"/>
        <w:gridCol w:w="211"/>
        <w:gridCol w:w="571"/>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8" w:after="283"/>
        <w:jc w:val="left"/>
        <w:rPr/>
      </w:pPr>
      <w:r>
        <w:rPr/>
        <w:t> </w:t>
      </w:r>
    </w:p>
    <w:tbl>
      <w:tblPr>
        <w:tblW w:w="6165" w:type="dxa"/>
        <w:jc w:val="left"/>
        <w:tblInd w:w="0" w:type="dxa"/>
        <w:tblLayout w:type="fixed"/>
        <w:tblCellMar>
          <w:top w:w="28" w:type="dxa"/>
          <w:left w:w="28" w:type="dxa"/>
          <w:bottom w:w="28" w:type="dxa"/>
          <w:right w:w="28" w:type="dxa"/>
        </w:tblCellMar>
      </w:tblPr>
      <w:tblGrid>
        <w:gridCol w:w="1761"/>
        <w:gridCol w:w="146"/>
        <w:gridCol w:w="211"/>
        <w:gridCol w:w="571"/>
        <w:gridCol w:w="146"/>
        <w:gridCol w:w="146"/>
        <w:gridCol w:w="244"/>
        <w:gridCol w:w="401"/>
        <w:gridCol w:w="146"/>
        <w:gridCol w:w="146"/>
        <w:gridCol w:w="211"/>
        <w:gridCol w:w="571"/>
        <w:gridCol w:w="146"/>
        <w:gridCol w:w="146"/>
        <w:gridCol w:w="211"/>
        <w:gridCol w:w="571"/>
        <w:gridCol w:w="391"/>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Advance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No transfers between levels have occurred during the periods presented.</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Cash Equivalents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Cash equivalents are comprised of money market funds, which are classified within Level 1 of the fair value hierarchy because they are valued using quoted market prices in active markets.</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Warrant Liability</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As of June 30, 2026, Level 3 liabilities include the warrant liability which resulted from warrants being issued on December 20, 2024 (as further described in Note 8), which did not meet the criteria for equity classification in accordance with ASC Subtopic 815-40, Derivatives and Hedging - Contracts in Entity’s Own Equity (“ASC 815-40”), and are therefore accounted for as liabilities at fair value.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estimates the fair value of its warrants using significant unobservable inputs, which represent Level 3 measurements within the fair value hierarchy. The Company estimated the fair value of the warrants using the Black-Scholes option pricing model.</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108"/>
        <w:jc w:val="left"/>
        <w:rPr>
          <w:rFonts w:ascii="Times New Roman" w:hAnsi="Times New Roman"/>
          <w:color w:val="000000"/>
          <w:sz w:val="20"/>
        </w:rPr>
      </w:pPr>
      <w:r>
        <w:rPr>
          <w:rFonts w:ascii="Times New Roman" w:hAnsi="Times New Roman"/>
          <w:color w:val="000000"/>
          <w:sz w:val="20"/>
        </w:rPr>
        <w:t>The significant inputs used in the valuation models to measure the fair value of the warrants are as follows:</w:t>
      </w:r>
    </w:p>
    <w:tbl>
      <w:tblPr>
        <w:tblW w:w="4315" w:type="dxa"/>
        <w:jc w:val="left"/>
        <w:tblInd w:w="0" w:type="dxa"/>
        <w:tblLayout w:type="fixed"/>
        <w:tblCellMar>
          <w:top w:w="28" w:type="dxa"/>
          <w:left w:w="28" w:type="dxa"/>
          <w:bottom w:w="28" w:type="dxa"/>
          <w:right w:w="28" w:type="dxa"/>
        </w:tblCellMar>
      </w:tblPr>
      <w:tblGrid>
        <w:gridCol w:w="2086"/>
        <w:gridCol w:w="146"/>
        <w:gridCol w:w="751"/>
        <w:gridCol w:w="146"/>
        <w:gridCol w:w="118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 Date</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r>
    </w:tbl>
    <w:p>
      <w:pPr>
        <w:pStyle w:val="TextBody"/>
        <w:bidi w:val="0"/>
        <w:spacing w:before="216" w:after="108"/>
        <w:jc w:val="left"/>
        <w:rPr>
          <w:rFonts w:ascii="Times New Roman" w:hAnsi="Times New Roman"/>
          <w:color w:val="000000"/>
          <w:sz w:val="20"/>
        </w:rPr>
      </w:pPr>
      <w:r>
        <w:rPr>
          <w:rFonts w:ascii="Times New Roman" w:hAnsi="Times New Roman"/>
          <w:color w:val="000000"/>
          <w:sz w:val="20"/>
        </w:rPr>
        <w:t>The following table presents the changes in the fair value of Level 3 liabilities for the six months ended June 30, 2026 (in thousands):</w:t>
      </w:r>
    </w:p>
    <w:tbl>
      <w:tblPr>
        <w:tblW w:w="5538" w:type="dxa"/>
        <w:jc w:val="left"/>
        <w:tblInd w:w="0" w:type="dxa"/>
        <w:tblLayout w:type="fixed"/>
        <w:tblCellMar>
          <w:top w:w="28" w:type="dxa"/>
          <w:left w:w="28" w:type="dxa"/>
          <w:bottom w:w="28" w:type="dxa"/>
          <w:right w:w="28" w:type="dxa"/>
        </w:tblCellMar>
      </w:tblPr>
      <w:tblGrid>
        <w:gridCol w:w="3531"/>
        <w:gridCol w:w="146"/>
        <w:gridCol w:w="368"/>
        <w:gridCol w:w="1102"/>
        <w:gridCol w:w="39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 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fair value of the warrant liability as of June 30, 2026 was determined using the re-priced exercise price of $4.35 which was determined in April 2026 after the Share Consolidation (refer to Note 8 for further details). Changes in the fair value of the liability-classified warrants are recognized within the gain (loss) on warrant liability, a component of other income (expense) in the condensed consolidated statements of operations and comprehensive income (loss).</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PPAs Liability</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 xml:space="preserve">As of December 31, 2025, Level 3 liabilities included the Pre-Paid Advance (as defined in Note 7) issued to the Company in November 2025, for which the Company elected the fair value option. The Pre-Paid Advance was fully converted into shares of the Company’s common stock as of February 2026 under the terms of the agreement and no remaining liability was outstanding as of June 30, 2026.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Pre-Paid Advance was classified within Level 3 of the fair value hierarchy as the fair value was derived using a Monte Carlo simulation model in a risk neutral framework, which uses significant unobservable inputs. The significant assumptions used in the valuation model included volatility, expected term, risk-free rates, and credit-adjusted discount rates.</w:t>
      </w:r>
    </w:p>
    <w:p>
      <w:pPr>
        <w:pStyle w:val="TextBody"/>
        <w:bidi w:val="0"/>
        <w:spacing w:before="216" w:after="216"/>
        <w:jc w:val="left"/>
        <w:rPr>
          <w:rFonts w:ascii="Times New Roman" w:hAnsi="Times New Roman"/>
          <w:color w:val="000000"/>
          <w:sz w:val="20"/>
        </w:rPr>
      </w:pPr>
      <w:r>
        <w:rPr>
          <w:rFonts w:ascii="Times New Roman" w:hAnsi="Times New Roman"/>
          <w:color w:val="000000"/>
          <w:sz w:val="20"/>
        </w:rPr>
        <w:t>The following table presents the changes in the fair value of Level 3 liabilities for the six months ended June 30, 2026 (in thousands):</w:t>
      </w:r>
    </w:p>
    <w:tbl>
      <w:tblPr>
        <w:tblW w:w="6338" w:type="dxa"/>
        <w:jc w:val="left"/>
        <w:tblInd w:w="0" w:type="dxa"/>
        <w:tblLayout w:type="fixed"/>
        <w:tblCellMar>
          <w:top w:w="28" w:type="dxa"/>
          <w:left w:w="28" w:type="dxa"/>
          <w:bottom w:w="28" w:type="dxa"/>
          <w:right w:w="28" w:type="dxa"/>
        </w:tblCellMar>
      </w:tblPr>
      <w:tblGrid>
        <w:gridCol w:w="4566"/>
        <w:gridCol w:w="146"/>
        <w:gridCol w:w="304"/>
        <w:gridCol w:w="911"/>
        <w:gridCol w:w="411"/>
      </w:tblGrid>
      <w:tr>
        <w:trPr/>
        <w:tc>
          <w:tcPr>
            <w:tcW w:w="4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PPAs Liability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Pre-Paid Advance into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PPAs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Changes in the fair value of the Pre-Paid Advance are recognized within the gain on PPAs liability, a component of other income (expense) on the condensed consolidated statements of operations and comprehensive income (loss).</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has a single operating lease for its corporate headquarters and laboratory space in San Diego, California. In June 2025, the Company entered into an amendment to the lease which reduced the leased space and extended the lease term for the remaining space through November 2030. Pursuant to the amended lease, the Company also has a one-time option to extend the lease term by an additional three years. The amended lease includes certain rent abatement, rent escalations, tenant improvement allowances and additional charges for common area maintenance and other costs.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Under the relevant guidance, the Company reassessed the lease classification and remeasured the lease liability as of the effective date of modification and recognized a lease liability and ROU asset of approximately $6.0 million on the Company’s 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16"/>
        <w:jc w:val="left"/>
        <w:rPr>
          <w:rFonts w:ascii="Times New Roman" w:hAnsi="Times New Roman"/>
          <w:color w:val="000000"/>
          <w:sz w:val="20"/>
        </w:rPr>
      </w:pPr>
      <w:r>
        <w:rPr>
          <w:rFonts w:ascii="Times New Roman" w:hAnsi="Times New Roman"/>
          <w:color w:val="000000"/>
          <w:sz w:val="20"/>
        </w:rPr>
        <w:t>The components of lease expense included in the Company’s condensed consolidated statements of operations and comprehensive income (loss) include (in thousands):</w:t>
      </w:r>
    </w:p>
    <w:tbl>
      <w:tblPr>
        <w:tblW w:w="7225" w:type="dxa"/>
        <w:jc w:val="left"/>
        <w:tblInd w:w="0" w:type="dxa"/>
        <w:tblLayout w:type="fixed"/>
        <w:tblCellMar>
          <w:top w:w="28" w:type="dxa"/>
          <w:left w:w="28" w:type="dxa"/>
          <w:bottom w:w="28" w:type="dxa"/>
          <w:right w:w="28" w:type="dxa"/>
        </w:tblCellMar>
      </w:tblPr>
      <w:tblGrid>
        <w:gridCol w:w="2086"/>
        <w:gridCol w:w="146"/>
        <w:gridCol w:w="331"/>
        <w:gridCol w:w="661"/>
        <w:gridCol w:w="229"/>
        <w:gridCol w:w="229"/>
        <w:gridCol w:w="331"/>
        <w:gridCol w:w="661"/>
        <w:gridCol w:w="146"/>
        <w:gridCol w:w="146"/>
        <w:gridCol w:w="280"/>
        <w:gridCol w:w="560"/>
        <w:gridCol w:w="194"/>
        <w:gridCol w:w="194"/>
        <w:gridCol w:w="280"/>
        <w:gridCol w:w="560"/>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Variable lease costs are primarily related to payments made to lessors for common area maintenance, property taxes, insurance, and other operating expenses. The Company did not have any short-term leases or finance leases for the three and six months ended June 30, 2026 and 2025. </w:t>
      </w:r>
    </w:p>
    <w:p>
      <w:pPr>
        <w:pStyle w:val="TextBody"/>
        <w:bidi w:val="0"/>
        <w:spacing w:before="216" w:after="216"/>
        <w:jc w:val="left"/>
        <w:rPr>
          <w:rFonts w:ascii="Times New Roman" w:hAnsi="Times New Roman"/>
          <w:color w:val="000000"/>
          <w:sz w:val="20"/>
        </w:rPr>
      </w:pPr>
      <w:r>
        <w:rPr>
          <w:rFonts w:ascii="Times New Roman" w:hAnsi="Times New Roman"/>
          <w:color w:val="000000"/>
          <w:sz w:val="20"/>
        </w:rPr>
        <w:t>The weighted average remaining lease term and weighted average discount rate for operating leases were as follows:</w:t>
      </w:r>
    </w:p>
    <w:tbl>
      <w:tblPr>
        <w:tblW w:w="6214" w:type="dxa"/>
        <w:jc w:val="left"/>
        <w:tblInd w:w="0" w:type="dxa"/>
        <w:tblLayout w:type="fixed"/>
        <w:tblCellMar>
          <w:top w:w="28" w:type="dxa"/>
          <w:left w:w="28" w:type="dxa"/>
          <w:bottom w:w="28" w:type="dxa"/>
          <w:right w:w="28" w:type="dxa"/>
        </w:tblCellMar>
      </w:tblPr>
      <w:tblGrid>
        <w:gridCol w:w="4111"/>
        <w:gridCol w:w="146"/>
        <w:gridCol w:w="146"/>
        <w:gridCol w:w="466"/>
        <w:gridCol w:w="271"/>
        <w:gridCol w:w="146"/>
        <w:gridCol w:w="146"/>
        <w:gridCol w:w="466"/>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16" w:after="216"/>
        <w:jc w:val="left"/>
        <w:rPr>
          <w:rFonts w:ascii="Times New Roman" w:hAnsi="Times New Roman"/>
          <w:color w:val="000000"/>
          <w:sz w:val="20"/>
        </w:rPr>
      </w:pPr>
      <w:r>
        <w:rPr>
          <w:rFonts w:ascii="Times New Roman" w:hAnsi="Times New Roman"/>
          <w:color w:val="000000"/>
          <w:sz w:val="20"/>
        </w:rPr>
        <w:t>Supplemental cash flow information related to leases under which the Company is the lessee was as follows (amounts in thousands):</w:t>
      </w:r>
    </w:p>
    <w:tbl>
      <w:tblPr>
        <w:tblW w:w="10205" w:type="dxa"/>
        <w:jc w:val="left"/>
        <w:tblInd w:w="0" w:type="dxa"/>
        <w:tblLayout w:type="fixed"/>
        <w:tblCellMar>
          <w:top w:w="28" w:type="dxa"/>
          <w:left w:w="28" w:type="dxa"/>
          <w:bottom w:w="28" w:type="dxa"/>
          <w:right w:w="28" w:type="dxa"/>
        </w:tblCellMar>
      </w:tblPr>
      <w:tblGrid>
        <w:gridCol w:w="5375"/>
        <w:gridCol w:w="146"/>
        <w:gridCol w:w="296"/>
        <w:gridCol w:w="592"/>
        <w:gridCol w:w="204"/>
        <w:gridCol w:w="204"/>
        <w:gridCol w:w="296"/>
        <w:gridCol w:w="592"/>
        <w:gridCol w:w="146"/>
        <w:gridCol w:w="146"/>
        <w:gridCol w:w="272"/>
        <w:gridCol w:w="545"/>
        <w:gridCol w:w="188"/>
        <w:gridCol w:w="188"/>
        <w:gridCol w:w="272"/>
        <w:gridCol w:w="545"/>
        <w:gridCol w:w="198"/>
      </w:tblGrid>
      <w:tr>
        <w:trPr/>
        <w:tc>
          <w:tcPr>
            <w:tcW w:w="5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16" w:after="216"/>
        <w:jc w:val="left"/>
        <w:rPr>
          <w:rFonts w:ascii="Times New Roman" w:hAnsi="Times New Roman"/>
          <w:color w:val="000000"/>
          <w:sz w:val="20"/>
        </w:rPr>
      </w:pPr>
      <w:r>
        <w:rPr>
          <w:rFonts w:ascii="Times New Roman" w:hAnsi="Times New Roman"/>
          <w:color w:val="000000"/>
          <w:sz w:val="20"/>
        </w:rPr>
        <w:t xml:space="preserve">Maturities of operating lease liabilities as of June 30, 2026 were as follows (in thousands): </w:t>
      </w:r>
    </w:p>
    <w:tbl>
      <w:tblPr>
        <w:tblW w:w="4484" w:type="dxa"/>
        <w:jc w:val="left"/>
        <w:tblInd w:w="0" w:type="dxa"/>
        <w:tblLayout w:type="fixed"/>
        <w:tblCellMar>
          <w:top w:w="28" w:type="dxa"/>
          <w:left w:w="28" w:type="dxa"/>
          <w:bottom w:w="28" w:type="dxa"/>
          <w:right w:w="28" w:type="dxa"/>
        </w:tblCellMar>
      </w:tblPr>
      <w:tblGrid>
        <w:gridCol w:w="3271"/>
        <w:gridCol w:w="146"/>
        <w:gridCol w:w="214"/>
        <w:gridCol w:w="642"/>
        <w:gridCol w:w="2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Six months ending December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7. Pre-Paid Advance</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In November 2025, the Company closed on the PPAs with YA II PN, Ltd. (“Yorkville”), Anson Investments Master Fund LP and Anson East Master Fund LP (collectively, the “Anson Funds” and together with Yorkville, the “Investors”). Pursuant to the PPAs, the Investors agreed to provide the Company with pre-paid advances having an aggregate principal amount of $7.5 million, at a purchase price equal to 95% of the face amount. The purchase resulted in gross proceeds to the Company of $7.13 million. The Pre-Paid Advance accrued interest at 4% per annum.</w:t>
      </w:r>
    </w:p>
    <w:p>
      <w:pPr>
        <w:pStyle w:val="TextBody"/>
        <w:bidi w:val="0"/>
        <w:spacing w:before="216" w:after="160"/>
        <w:jc w:val="left"/>
        <w:rPr>
          <w:rFonts w:ascii="Times New Roman" w:hAnsi="Times New Roman"/>
          <w:color w:val="000000"/>
          <w:sz w:val="20"/>
        </w:rPr>
      </w:pPr>
      <w:r>
        <w:rPr>
          <w:rFonts w:ascii="Times New Roman" w:hAnsi="Times New Roman"/>
          <w:color w:val="000000"/>
          <w:sz w:val="20"/>
        </w:rPr>
        <w:t xml:space="preserve">As a result of the Company’s election to account for the Pre-Paid Advance under the fair value option in ASC 825, the Pre-Paid Advance was initially recorded at fair value at issuance using the Monte Carlo simulation model, which uses significant unobservable inputs (Level 3). See Note 4 for significant assumptions used in determining the fair value.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160"/>
        <w:jc w:val="left"/>
        <w:rPr>
          <w:rFonts w:ascii="Times New Roman" w:hAnsi="Times New Roman"/>
          <w:color w:val="000000"/>
          <w:sz w:val="20"/>
        </w:rPr>
      </w:pPr>
      <w:r>
        <w:rPr>
          <w:rFonts w:ascii="Times New Roman" w:hAnsi="Times New Roman"/>
          <w:color w:val="000000"/>
          <w:sz w:val="20"/>
        </w:rPr>
        <w:t xml:space="preserve">The Company incurred issuance costs of $0.7 million, which were expensed as incurred, as required under the fair value option, and such costs are presented within other income (expense) on the consolidated statements of operations and comprehensive income (loss) for the twelve months ended December 31, 2025. </w:t>
      </w:r>
    </w:p>
    <w:p>
      <w:pPr>
        <w:pStyle w:val="TextBody"/>
        <w:bidi w:val="0"/>
        <w:spacing w:before="56" w:after="283"/>
        <w:jc w:val="left"/>
        <w:rPr>
          <w:rFonts w:ascii="Times New Roman" w:hAnsi="Times New Roman"/>
          <w:color w:val="000000"/>
          <w:sz w:val="20"/>
        </w:rPr>
      </w:pPr>
      <w:r>
        <w:rPr>
          <w:rFonts w:ascii="Times New Roman" w:hAnsi="Times New Roman"/>
          <w:color w:val="000000"/>
          <w:sz w:val="20"/>
        </w:rPr>
        <w:t>The Pre-Paid Advance was fully converted into shares of the Company’s common stock as of February 2026 under the terms of the agreement. During the first quarter of 2026, the Company issued common stock to the Investors in settlement of approximately $4.5 million in principal and accrued interest under the Pre-Paid Advance. As of March 31, 2026 and June 30, 2026, there was no remaining outstanding principal balance of the Pre</w:t>
        <w:noBreakHyphen/>
        <w:t>Paid Advance.</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8. Stockholders’ Equity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Merger and Related Share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6, 2026, the Company effected the Share Consolidation of its outstanding shares of common stock pursuant to which every 50 shares of issued and outstanding common stock were converted into one share of common stock. No fractional shares were issued in connection with the Share Consolidation. Stockholders of record who otherwise were entitled to receive fractional shares received an amount in cash (without interest or deduction) equal to the fraction of one share to which such stockholder was otherwise entitled multiplied by the closing price of the common stock on The Nasdaq Capital Market on April 6, 2026. All share and per share amounts prior to the effective date of the Share Consolidation included within these condensed consolidated financial statements have been retrospectively adjusted to reflect the Share Consolidation.</w:t>
      </w:r>
    </w:p>
    <w:p>
      <w:pPr>
        <w:pStyle w:val="TextBody"/>
        <w:bidi w:val="0"/>
        <w:spacing w:before="216" w:after="283"/>
        <w:jc w:val="left"/>
        <w:rPr>
          <w:rFonts w:ascii="Times New Roman" w:hAnsi="Times New Roman"/>
          <w:b/>
          <w:i/>
          <w:color w:val="000000"/>
          <w:sz w:val="20"/>
        </w:rPr>
      </w:pPr>
      <w:r>
        <w:rPr>
          <w:rFonts w:ascii="Times New Roman" w:hAnsi="Times New Roman"/>
          <w:b/>
          <w:i/>
          <w:color w:val="000000"/>
          <w:sz w:val="20"/>
        </w:rPr>
        <w:t>November 2025 Standby Equity Purchase Agreement</w:t>
      </w:r>
    </w:p>
    <w:p>
      <w:pPr>
        <w:pStyle w:val="TextBody"/>
        <w:bidi w:val="0"/>
        <w:spacing w:before="108" w:after="160"/>
        <w:jc w:val="left"/>
        <w:rPr>
          <w:rFonts w:ascii="Times New Roman" w:hAnsi="Times New Roman"/>
          <w:color w:val="000000"/>
          <w:sz w:val="20"/>
        </w:rPr>
      </w:pPr>
      <w:r>
        <w:rPr>
          <w:rFonts w:ascii="Times New Roman" w:hAnsi="Times New Roman"/>
          <w:color w:val="000000"/>
          <w:sz w:val="20"/>
        </w:rPr>
        <w:t>In November 2025, in connection with the entry into the PPAs (as defined in Note 1), the Company entered into the SEPA with Yorkville pursuant to which the Company has the right to sell to Yorkville SEPA Shares to the Commitment Amount, over a 36-month period. Sales of SEPA Shares to Yorkville and the timing of any such sales are at the Company’s option, and the Company is under no obligation to sell such shares to Yorkville. The SEPA will automatically terminate on the earliest to occur of (i) the 36-month anniversary of the effective date or (ii) the date on which Yorkville has purchased SEPA Shares equal to the Commitment Amount. The Company has the right to terminate the SEPA at no cost or penalty with five trading days’ written notice. The Company and Yorkville may also agree to terminate the SEPA by mutual written consent.</w:t>
      </w:r>
    </w:p>
    <w:p>
      <w:pPr>
        <w:pStyle w:val="TextBody"/>
        <w:bidi w:val="0"/>
        <w:spacing w:before="56" w:after="160"/>
        <w:jc w:val="left"/>
        <w:rPr>
          <w:rFonts w:ascii="Times New Roman" w:hAnsi="Times New Roman"/>
          <w:color w:val="000000"/>
          <w:sz w:val="20"/>
        </w:rPr>
      </w:pPr>
      <w:r>
        <w:rPr>
          <w:rFonts w:ascii="Times New Roman" w:hAnsi="Times New Roman"/>
          <w:color w:val="000000"/>
          <w:sz w:val="20"/>
        </w:rPr>
        <w:t xml:space="preserve">Each advance (each, a “SEPA Advance”) the Company requests from Yorkville may be for a number of SEPA Shares up to 100% of the average daily trading volume of the Company’s common stock on The Nasdaq Capital Market during the five trading days immediately prior to the date of the Company’s request. The SEPA Shares delivered by the Company will be purchased by Yorkville at a price equal to 97% of the lowest daily volume weighted average price (“VWAP”) of the Company’s common stock during the three trading days prior to the request, subject to a minimum price that may be specified in the Company’s request. </w:t>
      </w:r>
    </w:p>
    <w:p>
      <w:pPr>
        <w:pStyle w:val="TextBody"/>
        <w:bidi w:val="0"/>
        <w:spacing w:before="56" w:after="160"/>
        <w:jc w:val="left"/>
        <w:rPr>
          <w:rFonts w:ascii="Times New Roman" w:hAnsi="Times New Roman"/>
          <w:color w:val="000000"/>
          <w:sz w:val="20"/>
        </w:rPr>
      </w:pPr>
      <w:r>
        <w:rPr>
          <w:rFonts w:ascii="Times New Roman" w:hAnsi="Times New Roman"/>
          <w:color w:val="000000"/>
          <w:sz w:val="20"/>
        </w:rPr>
        <w:t>The issuance of shares under the SEPA is subject to further limitations and conditions, including that the shares of common stock beneficially owned by each Investor and its affiliates at any one time will not exceed 4.99% of the then-outstanding shares of the Company’s common stock.</w:t>
      </w:r>
    </w:p>
    <w:p>
      <w:pPr>
        <w:pStyle w:val="TextBody"/>
        <w:bidi w:val="0"/>
        <w:spacing w:before="56" w:after="160"/>
        <w:jc w:val="left"/>
        <w:rPr>
          <w:rFonts w:ascii="Times New Roman" w:hAnsi="Times New Roman"/>
          <w:color w:val="000000"/>
          <w:sz w:val="20"/>
        </w:rPr>
      </w:pPr>
      <w:r>
        <w:rPr>
          <w:rFonts w:ascii="Times New Roman" w:hAnsi="Times New Roman"/>
          <w:color w:val="000000"/>
          <w:sz w:val="20"/>
        </w:rPr>
        <w:t>As consideration for Yorkville’s commitment to purchase SEPA Shares, the Company paid Yorkville a cash structuring fee and issued 4,868 shares of common stock to Yorkville. Such fees, totaling approximately $0.3 million, were expensed as incurred and are presented as a component of other income (expense) on the condensed consolidated statements of operations and comprehensive income (loss). During three and six months ended June 30, 2026, 0 and 48,092 SEPA Shares were sold under the SEPA, respectively, with gross proceeds to the Company totaling approximately $0.0 million and $0.4 million, respectively.</w:t>
      </w:r>
    </w:p>
    <w:p>
      <w:pPr>
        <w:pStyle w:val="TextBody"/>
        <w:bidi w:val="0"/>
        <w:spacing w:before="56" w:after="283"/>
        <w:jc w:val="left"/>
        <w:rPr>
          <w:rFonts w:ascii="Times New Roman" w:hAnsi="Times New Roman"/>
          <w:b/>
          <w:i/>
          <w:color w:val="000000"/>
          <w:sz w:val="20"/>
        </w:rPr>
      </w:pPr>
      <w:r>
        <w:rPr>
          <w:rFonts w:ascii="Times New Roman" w:hAnsi="Times New Roman"/>
          <w:b/>
          <w:i/>
          <w:color w:val="000000"/>
          <w:sz w:val="20"/>
        </w:rPr>
        <w:t>December 2024 Offering and Warrant Issuance</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In December 2024, the Company closed on an offering (the “December 2024 Offering”) of 193,581 shares of common stock at a price of $47.60 per share with accompanying warrants to purchase up to 193,581 shares of common stock, which initially had an exercise price of $59.50 per share (the “Warrants”). Pursuant to the re-pricing mechanism contained in the Warrants, the exercise price of the Warrants was reduced to $4.35 to match the lowest VWAP of our common stock during the eleven (11) trading days commencing five (5) trading days immediately preceding the Share Consolidation and ending five (5) trading days immediately following the Share Consolidation. As discussed in Note 4, the Company recorded a liability at fair value related to the issuance of the Warrants, with changes in fair value each reporting period recognized as a component of other income (loss) in the Company’s unaudited condensed consolidated statements of operations and comprehensive income (loss). The fair value of the warrant liability as of June 30, 2026 was determined using the adjusted exercise price of $4.35. The accompanying Warrants became exercisable on June 20, 2025 and will expire five years from the date of initial exercisability. There were 193,581 Warrants outstanding and exercisable at June 30, 2026.</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2020 Equity Incentive Plan (the “2020 Plan”), the Company may grant awards of common stock to the Company’s employees, consultants and non-employee directors pursuant to option awards, stock appreciation rights awards, restricted stock awards, restricted stock unit awards, performance stock awards, performance stock unit awards and other stock-based awards. As of June 30, 2026 and December 31, 2025, the total number of common shares authorized for issuance under the 2020 Plan was 276,246 and 245,477, respectively. On January 1st of each year, commencing with the first January 1st following the effective date of the 2020 Plan, the shares authorized for issuance under the 2020 Plan shall be increased by the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 as an employee, non-employee director, or independent contractor.</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Stock-based compensation expense recognized for all equity awards under the 2020 Plan for the three and six months ended June 30, 2026 and 2025 has been reported in the condensed consolidated statements of operations and comprehensive income (loss) as follows (in thousands):</w:t>
      </w:r>
    </w:p>
    <w:p>
      <w:pPr>
        <w:pStyle w:val="TextBody"/>
        <w:bidi w:val="0"/>
        <w:jc w:val="left"/>
        <w:rPr/>
      </w:pPr>
      <w:r>
        <w:rPr/>
        <w:t> </w:t>
      </w:r>
    </w:p>
    <w:tbl>
      <w:tblPr>
        <w:tblW w:w="6502" w:type="dxa"/>
        <w:jc w:val="left"/>
        <w:tblInd w:w="0" w:type="dxa"/>
        <w:tblLayout w:type="fixed"/>
        <w:tblCellMar>
          <w:top w:w="28" w:type="dxa"/>
          <w:left w:w="28" w:type="dxa"/>
          <w:bottom w:w="28" w:type="dxa"/>
          <w:right w:w="28" w:type="dxa"/>
        </w:tblCellMar>
      </w:tblPr>
      <w:tblGrid>
        <w:gridCol w:w="2311"/>
        <w:gridCol w:w="146"/>
        <w:gridCol w:w="211"/>
        <w:gridCol w:w="421"/>
        <w:gridCol w:w="146"/>
        <w:gridCol w:w="146"/>
        <w:gridCol w:w="211"/>
        <w:gridCol w:w="571"/>
        <w:gridCol w:w="146"/>
        <w:gridCol w:w="146"/>
        <w:gridCol w:w="211"/>
        <w:gridCol w:w="571"/>
        <w:gridCol w:w="146"/>
        <w:gridCol w:w="146"/>
        <w:gridCol w:w="211"/>
        <w:gridCol w:w="57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RSU activity under the 2020 Plan for the six months ended June 30, 2026:</w:t>
      </w:r>
    </w:p>
    <w:p>
      <w:pPr>
        <w:pStyle w:val="TextBody"/>
        <w:bidi w:val="0"/>
        <w:jc w:val="left"/>
        <w:rPr/>
      </w:pPr>
      <w:r>
        <w:rPr/>
        <w:t> </w:t>
      </w:r>
    </w:p>
    <w:tbl>
      <w:tblPr>
        <w:tblW w:w="6235" w:type="dxa"/>
        <w:jc w:val="left"/>
        <w:tblInd w:w="0" w:type="dxa"/>
        <w:tblLayout w:type="fixed"/>
        <w:tblCellMar>
          <w:top w:w="28" w:type="dxa"/>
          <w:left w:w="28" w:type="dxa"/>
          <w:bottom w:w="28" w:type="dxa"/>
          <w:right w:w="28" w:type="dxa"/>
        </w:tblCellMar>
      </w:tblPr>
      <w:tblGrid>
        <w:gridCol w:w="2941"/>
        <w:gridCol w:w="146"/>
        <w:gridCol w:w="146"/>
        <w:gridCol w:w="739"/>
        <w:gridCol w:w="166"/>
        <w:gridCol w:w="146"/>
        <w:gridCol w:w="419"/>
        <w:gridCol w:w="114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 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As of June 30, 2026,</w:t>
      </w:r>
      <w:r>
        <w:rPr>
          <w:rFonts w:ascii="Times New Roman" w:hAnsi="Times New Roman"/>
          <w:color w:val="FF0000"/>
          <w:sz w:val="20"/>
        </w:rPr>
        <w:t xml:space="preserve"> </w:t>
      </w:r>
      <w:r>
        <w:rPr>
          <w:rFonts w:ascii="Times New Roman" w:hAnsi="Times New Roman"/>
          <w:color w:val="000000"/>
          <w:sz w:val="20"/>
        </w:rPr>
        <w:t xml:space="preserve">total unrecognized stock-based compensation expense for RSUs was $1.5 million, which is expected to be recognized over a remaining weighted-average period of approximately 3.1 years.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stock option activity under the 2020 Plan for the six months ended June 30, 2026:</w:t>
      </w:r>
    </w:p>
    <w:p>
      <w:pPr>
        <w:pStyle w:val="TextBody"/>
        <w:bidi w:val="0"/>
        <w:jc w:val="left"/>
        <w:rPr/>
      </w:pPr>
      <w:r>
        <w:rPr/>
        <w:t> </w:t>
      </w:r>
    </w:p>
    <w:tbl>
      <w:tblPr>
        <w:tblW w:w="10072" w:type="dxa"/>
        <w:jc w:val="left"/>
        <w:tblInd w:w="0" w:type="dxa"/>
        <w:tblLayout w:type="fixed"/>
        <w:tblCellMar>
          <w:top w:w="28" w:type="dxa"/>
          <w:left w:w="28" w:type="dxa"/>
          <w:bottom w:w="28" w:type="dxa"/>
          <w:right w:w="28" w:type="dxa"/>
        </w:tblCellMar>
      </w:tblPr>
      <w:tblGrid>
        <w:gridCol w:w="3766"/>
        <w:gridCol w:w="146"/>
        <w:gridCol w:w="146"/>
        <w:gridCol w:w="781"/>
        <w:gridCol w:w="166"/>
        <w:gridCol w:w="146"/>
        <w:gridCol w:w="371"/>
        <w:gridCol w:w="1189"/>
        <w:gridCol w:w="146"/>
        <w:gridCol w:w="146"/>
        <w:gridCol w:w="361"/>
        <w:gridCol w:w="1154"/>
        <w:gridCol w:w="146"/>
        <w:gridCol w:w="146"/>
        <w:gridCol w:w="329"/>
        <w:gridCol w:w="542"/>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 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June 30, 2026, total unrecognized stock-based compensation cost for unvested common stock options was $1.1 million, which is expected to be recognized over a remaining weighted-average period of approximately 0.7 years. There were no stock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options granted during the six months ended June 30, 2026. The total fair value of options vested during the six months ended June 30, 2026 was $1.0 million. Upon option exercise, the Company issues new shares of its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Employee Stock Purchase Plan (the “ESPP”) permits participants to purchase common stock through payroll deductions of up to 15% of their eligible compensation. As of June 30, 2026 and December 31, 2025, a total of 77,008 shares and 60,717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18,593 common shares or (iii) a number determined by the Company’s board of directors that is less than (i) and (ii). The Company issued 800 and 2,709 of common stock under the ESPP during the six months ended June 30, 2026 and 2025. As of June 30, 2026, 59,278 shares of common stock remained available for issuance under the ESPP. Stock-based compensation expense related to the ESPP for the three and six months ended June 30, 2026 and 2025 was immaterial.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 Reserved for Future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reserved for future issuance are as follows in common equivalent shares:</w:t>
      </w:r>
    </w:p>
    <w:p>
      <w:pPr>
        <w:pStyle w:val="TextBody"/>
        <w:bidi w:val="0"/>
        <w:jc w:val="left"/>
        <w:rPr/>
      </w:pPr>
      <w:r>
        <w:rPr/>
        <w:t> </w:t>
      </w:r>
    </w:p>
    <w:tbl>
      <w:tblPr>
        <w:tblW w:w="8652" w:type="dxa"/>
        <w:jc w:val="left"/>
        <w:tblInd w:w="0" w:type="dxa"/>
        <w:tblLayout w:type="fixed"/>
        <w:tblCellMar>
          <w:top w:w="28" w:type="dxa"/>
          <w:left w:w="28" w:type="dxa"/>
          <w:bottom w:w="28" w:type="dxa"/>
          <w:right w:w="28" w:type="dxa"/>
        </w:tblCellMar>
      </w:tblPr>
      <w:tblGrid>
        <w:gridCol w:w="6001"/>
        <w:gridCol w:w="146"/>
        <w:gridCol w:w="146"/>
        <w:gridCol w:w="781"/>
        <w:gridCol w:w="146"/>
        <w:gridCol w:w="146"/>
        <w:gridCol w:w="172"/>
        <w:gridCol w:w="923"/>
        <w:gridCol w:w="1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for the 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and restricted stock units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available for future issuance under the 2020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available for future issuance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conversions of PPAs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 Collaboration, License and Option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Global Co-Development and Collaboration Agreement with BeOne Medicines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In April 2019, the Company entered into a Global Co-Development and Collaboration agreement (the “BeOne Collaboration”) with BeOne Medicines Ltd., formerly BeiGene Ltd. (“BeOne”), for the development, manufacturing and commercialization of evalstotug (BA3071). The BeOne Collaboration was amended several times between 2019 and 2021 and the Company received a total of $25.0 million in non-refundable payments from BeOne during that time.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November 2021, the BeOne Collaboration was terminated, subject to survival of certain provisions, and BeOne handed back rights to know-how and materials received under the amended BeOne Collaboration. As a result, the Company is responsible for the global development and commercialization of evalstotug. As consideration for this amendment, the Company agreed to pay BeOne mid-single digit royalties on sales worldwide and on a limited basis will share in any upfront and milestone payments received through a sublicense of evalstotug. The Company reclassified its then remaining $19.8 million of deferred revenue as a long-term liability which is expected to settle as licensing payments are made to BeOne in accordance with the resulting amendment. In the event the license is terminated, the liability will be extinguished with no further payment to BeOne.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did not recognize any revenue related to the collaboration agreement with BeOne during the three and six months ended June 30, 2026 and 2025. The Company had a $19.8 million liability to licensor as of June 30, 2026 and December 31, 2025.</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 with Context Therapeutics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a Nectin-4 x CD3 T cell engaging (“TCE”) bispecific antibody (the “License”). The Company also transferred know-how, including any necessary materials Context would need to perform research and development. In exchange for the License, the Company is eligible to receive up to $133.5 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SEZC, a related party (See Note 10).</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 single performance obligation was identified under the Context License Agreement comprised of BioAtla’s promise to transfer the License. Context is responsible for developing BA3362 and for global regulatory filings and commercialization. Context will bear all costs associated with the research, development, and commercialization of any products.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accordance with Topic 606, the Company determined the transaction price of the agreement is limited to the up-front payment received, and excluded the variable consideration of development and sale milestone payments and royalties as they were fully constrained.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would be recognized when the related sales occur. Further, the Company determined that there were no significant financing components, noncash consideration, or amounts that may be refunded to the customer.</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Management determined that the transfer of the License did not meet any of the criteria for recognizing revenue over time, and therefore revenue was recognized at the point in time that the Context License Agreement was executed and the License was transferred to Context. Additional revenue was recognized for development milestone payment received in November 2025.</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On May 14, 2026, the Company entered into a First Amendment (the “Context Amendment”) to the Context License Agreement, by and between the Company and Context. Under the terms of the Context Amendment, and in full consideration for the amended license rights described below, Context agreed to pay to the Company: (i) $4,500,000, payable within five (5) business days of the effective date of the Context Amendment, and (ii) $2,000,000, payable by August 1, 2026 (together, the “Amendment Consideration”).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Amendment Consideration was recognized as revenue during the three and six months ended June 30, 2026 as all performance obligations had been previously satisfied. The Amendment Consideration represents consideration for the modification of the existing licensing arrangement and the elimination of future milestone and royalty payment obligations under the Context License Agreement. Accordingly, the Company accounted for the Context Amendment in accordance with ASC 606 contract modification guidance and recognized $6.5 million of revenue. The Amendment Consideration satisfies in full any and all milestone and royalty payment obligations contemplated by the Context License Agreement. In addition, the Context Amendment modified the license granted to Context such that it became irrevocable, exclusive, royalty-free, fully paid-up and non-terminable, and removed any and all diligence obligations with respect to Context.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did not recognize any revenue related to the Context License Agreement for the three and six months ended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Related Party Transactions</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Himalaya Therapeutics SEZC</w:t>
      </w:r>
    </w:p>
    <w:p>
      <w:pPr>
        <w:pStyle w:val="TextBody"/>
        <w:bidi w:val="0"/>
        <w:spacing w:before="216" w:after="283"/>
        <w:jc w:val="left"/>
        <w:rPr>
          <w:rFonts w:ascii="Times New Roman" w:hAnsi="Times New Roman"/>
          <w:i/>
          <w:color w:val="000000"/>
          <w:sz w:val="20"/>
        </w:rPr>
      </w:pPr>
      <w:r>
        <w:rPr>
          <w:rFonts w:ascii="Times New Roman" w:hAnsi="Times New Roman"/>
          <w:i/>
          <w:color w:val="000000"/>
          <w:sz w:val="20"/>
        </w:rPr>
        <w:t>Global Transaction Agreement</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In September 2024, the Company entered into a Global Transaction Agreement (the “Himalaya Agreement”) with Himalaya. BioAtla and Himalaya had previously entered into an Amended and Restated Exclusive Rights Agreement (the “Amended Rights Agreement”) in January of 2020. Pursuant to the Amended Rights Agreement, Himalaya controls rights to develop, manufacture and commercialize certain assets, including BA3362 which was licensed to Context (see Note 9), in certain territories as further specified in the Amended Rights Agreement. Pursuant to the Himalaya Agreement, Himalaya consented to BioAtla’s execution and performance of the Agreement, and granted to BioAtla an exclusive, worldwide, sublicensable license for those impacted products and intellectual property. Further, as set forth in the Amended Rights Agreement and further clarified in the Himalaya Agreement, BioAtla agreed to pay, subject to any applicable tax withholdings, to Himalaya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is the principal in the Context License Agreement and in the Himalaya Agreement, and will record revenues and expenses on a gross basis given that the Company had full discretion in setting consideration pricing in the Context License Agreement, the Company will be primarily responsible for providing the License, and Himalaya has no obligation to be a part of any of the fulfillment activities.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For the three and six months ended June 30, 2026, the Company recognized $1.0 million in expense related to the transactions with Himalaya. For the three and six months ended June 30, 2025, the Company did not recognize any expense related to the transactions with Himalaya. As of June 30, 2026, the Company had $0.3 million due to Himalaya.</w:t>
      </w:r>
    </w:p>
    <w:p>
      <w:pPr>
        <w:pStyle w:val="TextBody"/>
        <w:bidi w:val="0"/>
        <w:spacing w:before="216" w:after="283"/>
        <w:jc w:val="left"/>
        <w:rPr>
          <w:rFonts w:ascii="Times New Roman" w:hAnsi="Times New Roman"/>
          <w:sz w:val="20"/>
        </w:rPr>
      </w:pPr>
      <w:r>
        <w:rPr>
          <w:rFonts w:ascii="Times New Roman" w:hAnsi="Times New Roman"/>
          <w:b/>
          <w:i/>
          <w:color w:val="000000"/>
          <w:sz w:val="20"/>
        </w:rPr>
        <w:t>BA 3021 SPV, LLC</w:t>
      </w:r>
      <w:r>
        <w:rPr>
          <w:rFonts w:ascii="Times New Roman" w:hAnsi="Times New Roman"/>
          <w:color w:val="000000"/>
          <w:sz w:val="20"/>
        </w:rPr>
        <w:t xml:space="preserve"> </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BA 3021 SPV LLC, a Delaware limited liability company (the “SPV”), was incorporated in December 2025. However, the Company has not yet completed the legal steps required to form the new entity as a wholly owned subsidiary, and the new entity has not issued any common units or finalized its limited liability company agreement as of June 30, 2026. The Company determined that BioAtla is the primary beneficiary of the SPV as of December 31, 2025 and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401(k)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is a clinical-stage biopharmaceutical company and has not generated any product revenue from its CAB antibody-based products. The Company’s operations are organized and reported as a single reportable segment, which includes all activities related to the discovery, development, and commercialization of its CAB products. The Company’s CODM, its chief executive officer, reviews operating results on an aggregate basis and manages the operations as a single operating segment. The measure of segment assets is reported on the condensed consolidated balance sheets as total assets. The CODM evaluates performance and allocates resources based on consolidated net income or loss that also is reported on the condensed consolidated statements of operations and comprehensive income (loss) as net income (loss), and cash used in operations.</w:t>
      </w:r>
    </w:p>
    <w:p>
      <w:pPr>
        <w:pStyle w:val="TextBody"/>
        <w:bidi w:val="0"/>
        <w:spacing w:before="216" w:after="120"/>
        <w:jc w:val="left"/>
        <w:rPr>
          <w:rFonts w:ascii="Times New Roman" w:hAnsi="Times New Roman"/>
          <w:color w:val="000000"/>
          <w:sz w:val="20"/>
        </w:rPr>
      </w:pPr>
      <w:r>
        <w:rPr>
          <w:rFonts w:ascii="Times New Roman" w:hAnsi="Times New Roman"/>
          <w:color w:val="000000"/>
          <w:sz w:val="20"/>
        </w:rPr>
        <w:t>The following table provides R&amp;D expenses by program with a reconciliation to net income (loss) for the periods indicated, which are regularly reviewed by the CODM:</w:t>
      </w:r>
    </w:p>
    <w:tbl>
      <w:tblPr>
        <w:tblW w:w="8291" w:type="dxa"/>
        <w:jc w:val="left"/>
        <w:tblInd w:w="0" w:type="dxa"/>
        <w:tblLayout w:type="fixed"/>
        <w:tblCellMar>
          <w:top w:w="28" w:type="dxa"/>
          <w:left w:w="28" w:type="dxa"/>
          <w:bottom w:w="28" w:type="dxa"/>
          <w:right w:w="28" w:type="dxa"/>
        </w:tblCellMar>
      </w:tblPr>
      <w:tblGrid>
        <w:gridCol w:w="3796"/>
        <w:gridCol w:w="196"/>
        <w:gridCol w:w="511"/>
        <w:gridCol w:w="146"/>
        <w:gridCol w:w="146"/>
        <w:gridCol w:w="196"/>
        <w:gridCol w:w="661"/>
        <w:gridCol w:w="166"/>
        <w:gridCol w:w="146"/>
        <w:gridCol w:w="196"/>
        <w:gridCol w:w="571"/>
        <w:gridCol w:w="166"/>
        <w:gridCol w:w="146"/>
        <w:gridCol w:w="196"/>
        <w:gridCol w:w="661"/>
        <w:gridCol w:w="391"/>
      </w:tblGrid>
      <w:tr>
        <w:trPr/>
        <w:tc>
          <w:tcPr>
            <w:tcW w:w="37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and other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Program expenses: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BA3182 (CAB EpCAM x CAB CD3)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CAB Programs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program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 and related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Equity-based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and other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 and related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Facilities and 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general and administrative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and other income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and comprehensive income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08" w:after="160"/>
        <w:jc w:val="left"/>
        <w:rPr>
          <w:rFonts w:ascii="Times New Roman" w:hAnsi="Times New Roman"/>
          <w:color w:val="000000"/>
          <w:sz w:val="20"/>
        </w:rPr>
      </w:pPr>
      <w:r>
        <w:rPr>
          <w:rFonts w:ascii="Times New Roman" w:hAnsi="Times New Roman"/>
          <w:color w:val="000000"/>
          <w:sz w:val="20"/>
        </w:rPr>
        <w:t>The Company has completed an evaluation of all subsequent events through August 13, 2026 for the condensed consolidated financial statements as of and for the three and six months ended June 30, 2026 to ensure these condensed consolidated financial statements include appropriate disclosure of events both recognized in the condensed consolidated financial statements and events which occurred but were not recognized in the condensed consolidated financial statements. Except as described below or elsewhere in these condensed consolidated financial statements, the Company has concluded that no subsequent event has occurred that requires disclosure.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connection with the Context Amendment, the Company received the additional $2.0 million payment from Context that was due by August 1, 2026.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_item2"/>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together with our unaudited condensed consolidated financial statements and notes thereto included in “Item 1. Financial Statements” of this Quarterly Report on Form 10-Q (this “Quarterly Report”) and the audited consolidated financial statements and notes thereto as of and for the year ended December 31, 2025 included in the Annual Report on Form 10-K, filed with the Securities and Exchange Commission, or the SEC, on March 31, 2026, as amended by Amendment No. 1 to the Annual Report on Form 10-K/A, filed with the SEC on April 29, 2026 (together, the “Annual Report”).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proprietary approach is to identify the necessary targeting and potency required for cancer cell destruction, while aiming to eliminate or greatly reduce on-target, off-tumor toxicity—one of the fundamental challenges of existing cancer therapies.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are a United States-based company with facilities in San Diego, California. Since the commencement of our operations, we have focused substantially all of our resources on conducting research and development activities, including drug discovery, preclinical studies and clinical trials of our product candidates, including the completed Phase 2 clinical trials of mecbotamab vedotin (BA3011), ozuriftamab vedotin (BA3021), evalstotug (BA3071), and our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On March 2, 2026, we announced that our Board of Directors initiated a formal process to explore and evaluate strategic options to maximize shareholder value, including the sale of preclinical and clinical assets, licensing transactions, strategic partnerships or other corporate transactions. There can be no assurance that this process will result in any agreements or transactions. We do not intend to provide updates until our Board of Directors approves a specific action or otherwise determines whether disclosure is appropriate or required.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In connection with the evaluation of strategic options, we also implemented a reduction in force and other cost-containment measures intended to better align resources with our near-term priorities. In order to continue to preserve capital during this period, we are re-evaluating the timing and scope of our clinical development programs. As part of this process, we paused further enrollment in our ongoing Phase 1 study of BA3182 (CAB-EpCAM x CAB-CD3), while continuing treatment, follow-up of patients, including obtaining new scans in the study. We are also reassessing the appropriate timeline and pacing of further enrollment in the Phase 1 study as well as the appropriate timeline to commence a Phase 3 study for ozuriftamab vedotin (BA3021) (CAB-ROR2-ADC) in 2L+ oropharyngeal squamous cell carcinoma (“OPSCC”). While our goal is to continue these studies, there can be no assurances that clinical development of our programs will not be limited or delayed pending the outcome of the strategic process.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have incurred significant losses to date. Our ability to generate product revenue sufficient to achieve profitability will depend on the successful development and eventual commercialization of one or more of our current and future product candidates. We reported net income of $0.5 million and a net loss of $5.9 million for the three and six months ended June 30, 2026, compared to net losses of $18.7 million and $34.0 million for the three and six months ended June 30, 2025. As of June 30, 2026, we had an accumulated deficit of $551.5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clinical development of our product candidates. During the year ended December 31, 2025, we implemented certain initiatives to lower cost and extend our cash runway, including a restructuring in March 2025 that included a 30% workforce reduction, and a reduction in our lease footprint by almost half in June 2025. Additionally, in March 2026 we implemented a restructuring plan that included a 70% workforce reduction. We expect our expenses to decrease in the near term as a result of the March 2026 workforce reduction, cost containment measures and capital preservation initiatives discussed above.</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Over the long-term, we expect our expenses to increase substantially in connection with the development of our clinical programs beyond our existing and potential future clinical trials and potentially through the commercialization of our product candidates. As a result, we will require substantial additional capital to develop and commercialize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As of June 30, 2026, our cash and cash equivalents totaled approximately $1.5 million. On May 14, 2026, we entered into a First Amendment (the "Context Amendment") to that certain License Agreement, dated September 23, 2024 (the "Context License Agreement"), by and between us and Context Therapeutics, Inc., a Delaware corporation ("Context"). Under the terms of the Context Amendment, and in full consideration for the amended license rights in the Context Amendment, we received $4,500,000 upfront from Context and the additional $2,000,000 that was due by August 1, 2026.</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our current operating plan, and along with our history of operating losses, our current cash and cash equivalents are not sufficient to fund our ongoing operations for a period of at least twelve months from the date the condensed consolidated financial statements included in this report are issued, and these circumstances raise substantial doubt about our ability to continue as a going concern.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 from the sale of products and do not expect to generate meaningful revenue in the near future.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We have entered into collaborations and licensing agreements with various third parties that, in some cases, may provide for potential future milestone and royalty payments to us (see Note 9 to our condensed consolidated financial statements). In September 2024, we licensed BA3362, a Nectin-4 x CD3 T cell engaging bispecific antibody, to Context. In November 2025, we received the first $2.0 million milestone payment under the Context License Agreement.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May 2026, in connection with the Context Amendment, we received $4.5 million. We subsequently received the additional $2.0 million that was due by August 1, 2026. We recognized $6.5 million in revenue during the three and six months ended June 30, 2026, related to these payments under the Context License Agreement. We did not recognize any revenue during the three and six months ended June 30, 2025, related to the Context License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in the discovery and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expenses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third parties such as contractors, clinical research organizations (CROs) and consultants, and other costs related to preclinical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third parties such as contract manufacturing organizations (CMOs) and other vendors for manufacturing research and clinical trial materials;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laboratory supplies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Unallocated expenses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including salaries, benefits and equity-based compensation expenses, for personnel in our research and development functions;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Related equipment and facilities depreciation expense.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expect our research and development expenses to decrease in the near term due to cost containment measures and capital preservation initiatives discussed above. However, research and development could increase upon initiation of new clinical trials, including registrational trials for our lead product candidates.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primarily of interest earned on our cash and cash equivalent balances.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Gain (Loss) on 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(loss) on warrant liability relates to the changes in the fair value of our liability-classified warrants to purchase common stock.</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Gain on PPAs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on PPAs liability relates to the changes in the fair value of our liability-classified PPAs (as defined below).</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consists of miscellaneous income and expense unrelated to our core operations.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pPr>
      <w:r>
        <w:rPr/>
        <w:t> </w:t>
      </w:r>
    </w:p>
    <w:tbl>
      <w:tblPr>
        <w:tblW w:w="9243" w:type="dxa"/>
        <w:jc w:val="left"/>
        <w:tblInd w:w="0" w:type="dxa"/>
        <w:tblLayout w:type="fixed"/>
        <w:tblCellMar>
          <w:top w:w="28" w:type="dxa"/>
          <w:left w:w="28" w:type="dxa"/>
          <w:bottom w:w="28" w:type="dxa"/>
          <w:right w:w="28" w:type="dxa"/>
        </w:tblCellMar>
      </w:tblPr>
      <w:tblGrid>
        <w:gridCol w:w="5386"/>
        <w:gridCol w:w="146"/>
        <w:gridCol w:w="211"/>
        <w:gridCol w:w="571"/>
        <w:gridCol w:w="166"/>
        <w:gridCol w:w="146"/>
        <w:gridCol w:w="211"/>
        <w:gridCol w:w="736"/>
        <w:gridCol w:w="166"/>
        <w:gridCol w:w="146"/>
        <w:gridCol w:w="211"/>
        <w:gridCol w:w="736"/>
        <w:gridCol w:w="41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income (loss) and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Collaboration and 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and other revenue was $6.5 million and $0.0 million during the three months ended June 30, 2026 and 2025, respectively. The $6.5 million increase was due to amounts due under the Context Amendment in the current quarter.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allocated by CAB program for the periods indicated:</w:t>
      </w:r>
    </w:p>
    <w:p>
      <w:pPr>
        <w:pStyle w:val="TextBody"/>
        <w:bidi w:val="0"/>
        <w:spacing w:before="120" w:after="283"/>
        <w:jc w:val="left"/>
        <w:rPr/>
      </w:pPr>
      <w:r>
        <w:rPr/>
        <w:t> </w:t>
      </w:r>
    </w:p>
    <w:tbl>
      <w:tblPr>
        <w:tblW w:w="7253" w:type="dxa"/>
        <w:jc w:val="left"/>
        <w:tblInd w:w="0" w:type="dxa"/>
        <w:tblLayout w:type="fixed"/>
        <w:tblCellMar>
          <w:top w:w="28" w:type="dxa"/>
          <w:left w:w="28" w:type="dxa"/>
          <w:bottom w:w="28" w:type="dxa"/>
          <w:right w:w="28" w:type="dxa"/>
        </w:tblCellMar>
      </w:tblPr>
      <w:tblGrid>
        <w:gridCol w:w="3496"/>
        <w:gridCol w:w="146"/>
        <w:gridCol w:w="211"/>
        <w:gridCol w:w="571"/>
        <w:gridCol w:w="146"/>
        <w:gridCol w:w="146"/>
        <w:gridCol w:w="211"/>
        <w:gridCol w:w="676"/>
        <w:gridCol w:w="146"/>
        <w:gridCol w:w="146"/>
        <w:gridCol w:w="211"/>
        <w:gridCol w:w="736"/>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BA3182 (CAB EpCAM x CAB CD3)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CAB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and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were $3.3 million and $13.7 million for the three months ended June 30, 2026 and 2025, respectively. The decrease of approximately $10.3 million was primarily driven by a $8.8 million decrease in program development costs due to completion of our Phase 2 trials for mecbotamab vedotin, ozuriftamab vedotin, and evalstotug. The remaining decrease in research and development expense is due to a $2.1 million decrease in personnel related expense, including stock-based compensation, primarily due to our reduction in force in March 2026, and a $0.4 million decrease in facilities and other allocated costs. This was offset by a $1.0 million increase in related party expense incurred in connection with the Context Amendment in May 2026.</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$2.9 million and $5.0 million for the three months ended June 30, 2026 and 2025, respectively. The decrease of approximately $2.0 million was primarily driven by a $1.2 million decrease in personnel related expense, including stock-based compensation, primarily due to our reduction in force in March 2026, a $0.8 million decrease in professional fees primarily related to the Company’s intellectual property portfolio, offset by a $0.4 million increase in advisor fees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related to closing the Context Amendment in May 2026. The remaining $0.4 million decrease is related to facility and other allocated costs.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$0.0 million and $0.2 million for the three months ended June 30, 2026 and 2025, respectively. The decrease of $0.2 million was primarily due to lower cash and cash equivalents compared to the same period in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Gain (loss) on 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on warrant liability was $0.2 million for the three months ended June 30, 2026, as compared to a loss on warrant liability of $0.3 million for the three months ended June 30, 2025. The increase of $0.5 million was due to the change in fair value of the warrants which were issued in December 2024 and are adjusted to fair value at each period, including the impact of an adjustment to the warrant exercise price related to the Share Consolidation which became effective in April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pPr>
      <w:r>
        <w:rPr/>
        <w:t> </w:t>
      </w:r>
    </w:p>
    <w:tbl>
      <w:tblPr>
        <w:tblW w:w="6723" w:type="dxa"/>
        <w:jc w:val="left"/>
        <w:tblInd w:w="0" w:type="dxa"/>
        <w:tblLayout w:type="fixed"/>
        <w:tblCellMar>
          <w:top w:w="28" w:type="dxa"/>
          <w:left w:w="28" w:type="dxa"/>
          <w:bottom w:w="28" w:type="dxa"/>
          <w:right w:w="28" w:type="dxa"/>
        </w:tblCellMar>
      </w:tblPr>
      <w:tblGrid>
        <w:gridCol w:w="2761"/>
        <w:gridCol w:w="146"/>
        <w:gridCol w:w="211"/>
        <w:gridCol w:w="676"/>
        <w:gridCol w:w="166"/>
        <w:gridCol w:w="146"/>
        <w:gridCol w:w="211"/>
        <w:gridCol w:w="736"/>
        <w:gridCol w:w="166"/>
        <w:gridCol w:w="146"/>
        <w:gridCol w:w="211"/>
        <w:gridCol w:w="736"/>
        <w:gridCol w:w="4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PPAs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Collaboration and 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and other revenue was $6.5 million and $0.0 million during the six months ended June 30, 2026 and 2025, respectively. The $6.5 million increase was due to amounts due under the Context Amendment in the current quarter.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allocated by CAB program for the periods indicated:</w:t>
      </w:r>
    </w:p>
    <w:p>
      <w:pPr>
        <w:pStyle w:val="TextBody"/>
        <w:bidi w:val="0"/>
        <w:spacing w:before="120" w:after="283"/>
        <w:jc w:val="left"/>
        <w:rPr/>
      </w:pPr>
      <w:r>
        <w:rPr/>
        <w:t> </w:t>
      </w:r>
    </w:p>
    <w:tbl>
      <w:tblPr>
        <w:tblW w:w="7253" w:type="dxa"/>
        <w:jc w:val="left"/>
        <w:tblInd w:w="0" w:type="dxa"/>
        <w:tblLayout w:type="fixed"/>
        <w:tblCellMar>
          <w:top w:w="28" w:type="dxa"/>
          <w:left w:w="28" w:type="dxa"/>
          <w:bottom w:w="28" w:type="dxa"/>
          <w:right w:w="28" w:type="dxa"/>
        </w:tblCellMar>
      </w:tblPr>
      <w:tblGrid>
        <w:gridCol w:w="3496"/>
        <w:gridCol w:w="146"/>
        <w:gridCol w:w="211"/>
        <w:gridCol w:w="571"/>
        <w:gridCol w:w="146"/>
        <w:gridCol w:w="146"/>
        <w:gridCol w:w="211"/>
        <w:gridCol w:w="676"/>
        <w:gridCol w:w="146"/>
        <w:gridCol w:w="146"/>
        <w:gridCol w:w="211"/>
        <w:gridCol w:w="736"/>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BA3182 (CAB EpCAM x CAB CD3)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CAB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and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were $7.9 million and $26.0 million for the six months ended June 30, 2026 and 2025, respectively. The decrease of approximately $18.1 million was primarily driven by a $14.2 million decrease in program development costs due to completion of our Phase 2 trials for mecbotamab vedotin, ozuriftamab vedotin, and evalstotug, a $4.2 million decrease in personnel related expense, including stock-based compensation, primarily due to workforce reductions in March 2025 and March 2026, a lower bonus expense in 2026, and a $0.7 million decrease in facilities and other allocated costs. This was offset by a $1.0 million increase in related party expense incurred in connection with the Context Amendment in May 2026.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$7.7 million and $10.2 million for the six months ended June 30, 2026 and 2025, respectively. The decrease of approximately $2.5 million was primarily driven by a $2.3 million decrease in personnel expense, including stock-based compensation, primarily due to workforce reductions in March 2025 and March 2026, and lower bonus expense in 2026, a $0.5 million decrease in professional fees primarily related to the Company’s intellectual property portfolio, and a $0.4 million decrease in facility and other allocated costs. This was offset by a $0.4 million increase in advisor fees related to closing the Context Amendment in May 2026, and a $0.3 million increase in fees related to the Company’s efforts to maintain compliance with Nasdaq listing requirements including the share consolidation that became effective in April 2026.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$0.1 million and $0.6 million for the six months ended June 30, 2026 and 2025, respectively. The decrease of $0.5 million was primarily due to lower cash and cash equivalents compared to the same period in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Gain on 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on warrant liability was $2.9 million and $1.6 million for the six months ended June 30, 2026 and 2025, respectively. The increase of $1.3 million was due to the change in fair value of the warrants which were issued in December 2024 and are adjusted to fair value at each period, including the impact of an adjustment to the warrant exercise price related to the share consolidation which became effective in April 2026.</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Gain on PPAs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on PPAs liability was $0.3 million for the six months ended June 30, 2026 compared to zero for the six months ended June 30, 2025. The gain of $0.3 million was due to the change in fair value for our pre-paid agreement liability which was initiated in November 2025 and has been fully converted into common stock as of March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aggregate net losses and negative cash flows from operations since our inception and anticipate we will continue to incur net losses for the foreseeable future. Since July 2020, we have funded our operations primarily through the issuance of equity. As of June 30, 2026, we had cash and cash equivalents of $1.5 million.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November 2025, we entered into Pre-Paid Advance Agreements (the “PPAs”) with each of YA II PN, Ltd., a Cayman Islands exempt limited partnership (“Yorkville”), Anson Investments Master Fund LP and Anson East Master Fund LP (collectively, the “Investors”). Pursuant to the PPAs, the Investors agreed to advance to us $7.5 million (the “Pre-Paid Advance”). The Pre-Paid Advance was purchased by the Investors at 95% of the face amount of the Pre-Paid Advance for gross proceeds of approximately $7.13 million. The Pre-Paid Advance accrued interest at an annual rate of 4%. As of March 2026, the entire balance of the Pre-Paid Advance has been converted into PPA Shares and no amounts remain outstanding under the PPAs.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November 2025, we also entered into the Standby Equity Purchase Agreement (the “SEPA”) with Yorkville pursuant to which we have the right to sell to Yorkville up to $15.0 million of shares of common stock (the “Commitment Amount”), subject to certain limitations and conditions set forth in the SEPA, during the 36 months beginning November 20, 2025 (such shares, the “SEPA Shares”). Sales of the SEPA Shares to Yorkville and the timing of any such sales, if elected to be utilized by us at a future date, are at our option, and we are under no obligation to sell any SEPA Shares to Yorkville. As consideration for Yorkville’s commitment to purchase the SEPA Shares, we agreed to pay to Yorkville a commitment fee equal to 2.00% of the Commitment Amount, or $300,000, which was satisfied by the issuance to Yorkville of an aggregate of 4,868 shares of common stock (the “Commitment Shares”). As of June 30, 2026, 48,092 SEPA Shares had been sold under the SEPA, with gross proceeds to the Company totaling approximately $0.4 million.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In December 2024, we closed on an offering (the “December 2024 Offering”) that included warrants to purchase up to 193,581 shares of common stock, which initially had an exercise price of $59.50 per share (the “Warrants”) subject to certain adjustments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including for reverse stock splits and share consolidations. As a result of the April 6, 2026 Share Consolidation and pursuant to the re-pricing mechanism contained in the Warrants, the exercise price of the Warrants was adjusted to $4.35 to match the lowest VWAP of our common stock during the eleven (11) trading days commencing five (5) trading days immediately preceding the Share Consolidation and ending five (5) trading days immediately following the Share Consolidation. The Warrants became exercisable on June 20, 2025 and will expire five years from the date of initial exercisability. There were 193,581 Warrants outstanding and exercisable at June 30, 2026.</w:t>
      </w:r>
    </w:p>
    <w:p>
      <w:pPr>
        <w:pStyle w:val="TextBody"/>
        <w:bidi w:val="0"/>
        <w:spacing w:before="216" w:after="160"/>
        <w:jc w:val="left"/>
        <w:rPr>
          <w:rFonts w:ascii="Times New Roman" w:hAnsi="Times New Roman"/>
          <w:color w:val="000000"/>
          <w:sz w:val="20"/>
        </w:rPr>
      </w:pPr>
      <w:r>
        <w:rPr>
          <w:rFonts w:ascii="Times New Roman" w:hAnsi="Times New Roman"/>
          <w:color w:val="000000"/>
          <w:sz w:val="20"/>
        </w:rPr>
        <w:t>On May 14, 2026, we entered into the Context Amendment. Under the terms of the Context Amendment, and in full consideration for the amended license rights described below, we received $4.5 million upfront from Context and the additional $2.0 million that was due by August 1, 2026 (together, the "Amendment Consideration"). The Amendment Consideration satisfies in full any and all milestone and royalty payment obligations contemplated by the Context License Agreement. Among other modifications to the Context License Agreement, under the terms of the Context Amendment, the license granted to Context under the Context License Agreement is amended to be irrevocable, exclusive, royalty-free, fully paid-up and non-terminable, and any and all diligence obligations with respect to Context are removed.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outcome of our recently initiated evaluation of strategic options;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and advancement, scope, rate of progress, completion of enrollment, results and costs of our preclinical studies, clinical trials and other related activities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manufacturing our product candidates and establishing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costs of capital expenditures to support our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other product candidates that we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from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hire additional management,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products that may limit market penetration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and success of any collaboration, licensing, or other arrangements into which we may enter in the future, including the timing of receipt of any milestone or royalty payments under these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compliance and administrative costs associated with being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 although we have no commitments or agreements relating to any of these types of transactions.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Based on our current operating plan, our current cash and cash equivalents are not sufficient to fund our ongoing operations for a period of at least twelve months from the date the condensed consolidated financial statements included in this Quarterly Report are issued. We have based this estimate on assumptions that may prove to be wrong, and we could utilize our available capital resources sooner than we currently expect. These circumstances raise substantial doubt about our ability to continue as a going concern.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On March 2, 2026, we announced a formal process to explore and evaluate strategic options to maximize shareholder value, including the sale of preclinical and clinical assets, licensing transactions, strategic partnerships or other corporate transactions. The Company plans to continue to fund its losses from operations and capital funding needs through proceeds received through the SEPA, this strategic process, other public or private equity or debt financings, or other sources. In connection with the evaluation of strategic options, the Company also implemented a reduction in force and other cost-containment measures intended to better align resources with its near-term priorities. In order to continue to preserve capital during this period, the Company is re-evaluating the timing and scope of its clinical development programs.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While management believes additional funds can be raised through a combination of these approaches, which may alleviate the conditions that raise substantial doubt, these plans are not entirely within our control and cannot be assessed as being probable of occurring. We may not be able to secure additional financing in a timely manner or on favorable terms, if at all. If the Company is not able to secure adequate additional funding, the Company may be forced to make further reductions in spending, extend payment terms with suppliers, liquidate assets where possible, suspend or curtail planned programs or wind down the Company. Any of these actions could materially harm the Company’s business, results of operations and future prospects.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recent and future government shutdowns, tariffs and trade disputes with other countries, inflation, high interest rates, growing recession risks, supply chain disruptions, and geopolitical tensions and disruptions, including the US and EU sanctions on Russian oil and gas, the ongoing conflict between Russia and Ukraine, the wars between Israel and the terrorist groups Hamas and Hezbollah, geopolitical instability in Venezuela and the conflict in Iran,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additional reductions in staff and delay, scale back or stop certain research and development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our cash flows for the periods indicated:</w:t>
      </w:r>
    </w:p>
    <w:p>
      <w:pPr>
        <w:pStyle w:val="TextBody"/>
        <w:bidi w:val="0"/>
        <w:jc w:val="left"/>
        <w:rPr/>
      </w:pPr>
      <w:r>
        <w:rPr/>
        <w:t> </w:t>
      </w:r>
    </w:p>
    <w:tbl>
      <w:tblPr>
        <w:tblW w:w="6154" w:type="dxa"/>
        <w:jc w:val="left"/>
        <w:tblInd w:w="0" w:type="dxa"/>
        <w:tblLayout w:type="fixed"/>
        <w:tblCellMar>
          <w:top w:w="28" w:type="dxa"/>
          <w:left w:w="28" w:type="dxa"/>
          <w:bottom w:w="28" w:type="dxa"/>
          <w:right w:w="28" w:type="dxa"/>
        </w:tblCellMar>
      </w:tblPr>
      <w:tblGrid>
        <w:gridCol w:w="3496"/>
        <w:gridCol w:w="146"/>
        <w:gridCol w:w="211"/>
        <w:gridCol w:w="631"/>
        <w:gridCol w:w="166"/>
        <w:gridCol w:w="146"/>
        <w:gridCol w:w="211"/>
        <w:gridCol w:w="736"/>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Cash used in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2026 was $5.7 million, which consisted of a net loss of $5.9 million, a net change of $1.7 million in our operating assets and liabilities and $1.5 million of non-cash transactions. The net change in our operating assets and liabilities was primarily due to an increase in accounts payable and accrued expenses of $3.4 million, an increase in operating lease ROU asset and lease liability of $0.1 million, and a decrease in prepaid expenses and other assets of $0.2 million, offset by an increase in accounts receivable of $2.0 million. The non-cash transactions primarily consisted of $2.9 million related to the change in fair value of the warrant liability and $0.3 million related to the change in fair value of the PPAs liability, offset by $1.6 million of stock-based compensation and non-cash charges of $0.1 million related to depreciation and amortization.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2025 was $30.4 million, which consisted of a net loss of $34.0 million, a net change of $1.9 million in our operating assets and liabilities and $1.7 million of non-cash transactions. The net change in our operating assets and liabilities was primarily due to an increase in accounts payable and accrued expenses of $2.5 million, offset by an increase in prepaid expenses and other assets of $0.4 million and a net decrease in operating lease right-of-use assets and lease liabilities of $0.3 million. The non-cash transactions primarily consisted of $3.0 million of stock-based compensation and non-cash charges of $0.3 million related to depreciation and amortization, offset by $1.6 million related to the change in fair value of the warrant liability.</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provided by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$0.1 million for the six months ended June 30, 2026, consisting primarily of proceeds from issuance of common stock under the SEPA of $0.4 million, offset by the payment of financing costs in connection with the PPAs and SEPA of $0.3 million.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Net cash used in financing activities was $0.4 million for the six months ended June 30, 2025, consisting primarily of the payment of financing costs in connection with the December 2024 offering and the payment of taxes related to the net settlement of restricted stock units, partially offset by the proceeds from the issuance of common stock under the ESPP and the 2020 Plan.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There have not been any material changes to the critical accounting policies discussed therein during the six months ended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entered into any off-balance sheet arrangements, as defined in the rules and regulations of the SEC.</w:t>
      </w:r>
    </w:p>
    <w:p>
      <w:pPr>
        <w:pStyle w:val="TextBody"/>
        <w:bidi w:val="0"/>
        <w:spacing w:before="360" w:after="283"/>
        <w:jc w:val="left"/>
        <w:rPr>
          <w:rFonts w:ascii="Times New Roman" w:hAnsi="Times New Roman"/>
          <w:b/>
          <w:color w:val="000000"/>
          <w:sz w:val="20"/>
        </w:rPr>
      </w:pPr>
      <w:bookmarkStart w:id="10" w:name="i_item3"/>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 to a smaller reporting company.</w:t>
      </w:r>
    </w:p>
    <w:p>
      <w:pPr>
        <w:pStyle w:val="TextBody"/>
        <w:bidi w:val="0"/>
        <w:spacing w:before="360" w:after="283"/>
        <w:jc w:val="left"/>
        <w:rPr>
          <w:rFonts w:ascii="Times New Roman" w:hAnsi="Times New Roman"/>
          <w:b/>
          <w:color w:val="000000"/>
          <w:sz w:val="20"/>
        </w:rPr>
      </w:pPr>
      <w:bookmarkStart w:id="11" w:name="i_item4"/>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Rules 13a-15(b) and 15d-15(b) of the Exchange Act, our management, with the participation of our Chief Executive Officer and our Chief Financial Officer,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our Chief Financial Officer concluded that, as of such date, our disclosure controls and procedures were effective at the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quarter ended June 30, 2026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2" w:name="part_ii"/>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i_item1"/>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pStyle w:val="TextBody"/>
        <w:bidi w:val="0"/>
        <w:spacing w:before="360" w:after="283"/>
        <w:jc w:val="left"/>
        <w:rPr>
          <w:rFonts w:ascii="Times New Roman" w:hAnsi="Times New Roman"/>
          <w:b/>
          <w:color w:val="000000"/>
          <w:sz w:val="20"/>
        </w:rPr>
      </w:pPr>
      <w:bookmarkStart w:id="14" w:name="ii_item1a"/>
      <w:bookmarkEnd w:id="14"/>
      <w:r>
        <w:rPr>
          <w:rFonts w:ascii="Times New Roman" w:hAnsi="Times New Roman"/>
          <w:b/>
          <w:color w:val="000000"/>
          <w:sz w:val="20"/>
        </w:rPr>
        <w:t>Item 1A. Risk Factors.</w:t>
      </w:r>
    </w:p>
    <w:p>
      <w:pPr>
        <w:pStyle w:val="TextBody"/>
        <w:bidi w:val="0"/>
        <w:spacing w:before="108" w:after="283"/>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Investing in our common stock involves a high degree of risk. You should carefully consider all information in this Quarterly Report, including our condensed consolidated financial statements and related notes appearing elsewhere in this report and “Management’s Discussion and Analysis of Financial Condition and Results of Operations,” before purchasing our common stock. These risks and uncertainties include, but are not limited to,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initiated a formal process to explore and evaluate strategic options, and there is no guarantee that this strategic path will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complete a strategic transaction, we may be forced to cease operations altogether or file for bankruptcy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and no products approved for commercial sale, and we have a history of significant losses and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and we will need additional funding to continue development of our CAB technology platform and our CAB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fail in development or suffer delays that adversely affect their commercial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patented CAB technology platform, and our future success depends heavily on the successful development of this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from early-stage clinical trials may not be predictive of results from late-stage or other clinical trials, and the results of our clinical trials may not satisfy the requirements of the U.S. Food and Drug Administration (“FDA”), the European Medicine Agency (“EMA”) or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expend our resources to pursue particular product candidates and fail to capitalize on product candidates that may be more profitable or for which there is a greater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Preliminary, preplanned interim and topline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commencement and completion of clinical trials could increase costs and delay or prevent regulatory approval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from entities that have developed or may develop product candidates for cancer, including companies developing novel treatments and technology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not in compliance with Nasdaq’s continued listing requirements. If we are unable to comply with Nasdaq’s continued listing requirements, our common stock could be delisted.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obtain U.S. or foreign regulatory approval and, as a result, unable to commercialize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Fast Track designation for one or more of our product candidates but we might not receive such designation and, even if granted, such designation may not lead to a faster development or regulatory review or approval process and does not increase the likelihood that our product candidates will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receive regulatory approval for any of our product candidates, we will be subject to ongoing regulatory obligations and continued regulatory review, which may result in significant additional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substantial uncertainty regarding the Administration’s initiatives and how these might impact the FDA, including its implementation of laws, regulations, policies and guidance and its personnel. Similar initiatives may also be directed toward other government agencies. These initiatives could prevent, limit or delay development and regulatory review and approval of our product candidates, which would negatively impact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attract and retain qualified senior management and key scientific personnel, our business may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related to health epidemics and outbreaks which could significantly disrupt our preclinical studies and could affect enrollment of patients in our clinical trials. Continuation and increasing severity of these conditions could delay or prevent our receipt of necessary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issuance of equity or of debt securities that are convertible into equity will dilute our share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formal process to explore and evaluate strategic options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initiated a formal process to explore and evaluate strategic options, and there is no guarantee that this strategic path will be successful.</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 xml:space="preserve">We are exploring and evaluating strategic options to maximize shareholder value, including sale of preclinical and clinical assets, licensing transactions, strategic partnerships or other corporate transactions. We expect to devote substantial time and resources to exploring such strategic options; however, there is no set time frame and there can be no assurance that such activities will result in any agreements or transactions that will enhance shareholder value. Evaluating a strategic option may divert the attention of our management from ordinary operating matters. The identification, negotiation and completion of any such transaction may also require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more time and cash resources than we anticipate. In addition, potential strategic options that require stockholder approval may not be approved by our stockholders.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There can be no assurance that our process to identify and evaluate potential strategic options will result in any definitive offer to consummate a strategic transaction, or if made that the terms thereof will be acceptable to us. If any definitive offer to consummate a strategic transaction is received, there can be no assurance that a definitive agreement will be executed or that, if a definitive agreement is executed, the transaction will be consummated. In addition, there can be no assurance that any transaction involving us and/or our assets that is consummated would enhance shareholder value.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we are successful in completing a strategic transaction, we may be exposed to other operational and financial risks, including increased near-term or long-term expenditures, exposure to unknown liabilities, incurrence of substantial debt, higher-than-expected acquisition and integration costs, write-downs of assets or impairment charges and increased amortization expenses. If a strategic transaction is not completed, we may be subject to a number of material risks or suffer a number of consequences that may adversely affect our business, financial results and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successfully complete a strategic transaction, we may be forced to cease operations altogether or file for bankruptcy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any of our plans will be successful or that additional capital will be available to us on reasonable terms, or at all, when needed or that we will successfully complete a strategic transaction. If we are unable to obtain sufficient additional capital or to conclude a successful strategic transaction, we may be forced to defer, reduce or eliminate significant planned expenditures, dispose of technology or assets including intangible assets, conclude a strategic transaction that is unfavorable to stockholders, enter into arrangements that may require us to relinquish rights to certain of our products or product candidates, technologies or potential markets, delay or stop ongoing clinical trials, cease operations altogether or file for bankruptcy protection.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board of directors remains dedicated to diligently deliberating upon and making informed decisions that the directors believe are in the best interests of the Company and its stockholders. There can be no assurance, however, that our current strategic direction, or our board of director’s evaluation of strategic options, will result in any initiatives, agreements, transactions or plans that will further enhance shareholder value.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given the current restructuring of our operations and recent workforce reduction, it may be difficult to evaluate our current business and future prospects on the basis of historical operating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realize any additional value in a strategic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counterparties in a strategic transaction involving the Company may place minimal or no value on our assets. Further, the development and any potential commercialization of our product candidates will require substantial additional cash to fund the costs associated with conducting the necessary preclinical and clinical testing and obtaining regulatory approval. Consequently, any potential counterparty in a strategic transaction involving the Company may choose not to spend additional resources for the development of our product candidates and may attribute little or no value, in such a transaction, to those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successful in completing a strategic transaction, we may be exposed to other operational and financial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there can be no assurance that a strategic transaction will result from the process we have undertaken to identify and evaluate strategic options, the negotiation and consummation of any such transaction will require significant time on the part of our management, and the diversion of management’s attention may disrupt our business. The negotiation and consummation of any such transaction may also require more time or greater cash resources than we anticipate and expose us to other operational and financial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retain our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near-term and long-term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exposure to unknown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than expected acquisition or integration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incurrence of substantial debt or dilutive issuances of equity securities to fund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write-downs of assets or incurrence of non-recurring, impairment or other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amortization expenses; and</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possibility of future litigation.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Any of the foregoing risks could have a material adverse effect on our business, financial condition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fully realize the expected cost savings and/or operating efficiencies from our restructuring activities and our ability to consummate a strategic transaction depends on our ability to retain our employees required to consummate such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 2026, we announced that we have initiated a formal process to explore and evaluate strategic options to maximize shareholder value, including sale of preclinical and clinical assets, licensing transactions, strategic partnerships or other corporate transactions. In connection with the evaluation of strategic alternatives, we have implemented a restructuring plan that included a workforce reduction of approximately 70%.</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believe that these changes were needed to streamline our organization and reallocate our resources to better align with our current strategic goals, including our current focus on pursuing strategic options. However, these expense reduction measures have and may continue to yield unintended consequences and costs, such as the loss of institutional knowledge and expertise, attrition beyond our intended reductions in workforce, and the risk that we may not achieve the anticipated benefits, all of which may have an adverse effect on our results of operations or financial condition.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ability to consummate a strategic transaction depends upon our ability to retain our employees required to consummate such a transaction, the loss of whose services may adversely impact the ability to consummate such transaction. There is no set timetable for the process we have initiated to explore strategic options and there can be no assurance that this process will result in the Company pursuing a transaction or that any transaction, if pursued, will be completed on attractive terms. If we are unable to complete a transaction, we may be required to seek a reorganization, liquidation or other restructuring. In addition, our cash conservation activities, as well as the announcement that we are seeking strategic options, may yield unintended consequences.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Transactions that we have previously entered into may be re-evaluated or restructured as part of the strategic process, and there can be no assurance that clinical development of our programs will not be limited or delayed as a result of the strategic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strategic process, transactions we have previously entered into may be re-evaluated or restructured. For example, the previously announced transaction with Inversagen AI, LLC is being re-evaluated and may not close, or if it does close, may close on materially different terms than originally contemplated. As a result, we may fail to realize the anticipated benefits of such transactions, which could adversely affect our research and development capabilities, competitive position and long-term business prospects.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there can be no assurance that clinical development of our programs will not be limited or delayed as a result of the strategic process. We are actively re-evaluating the timing and scope of our clinical development programs, and clinical trial timelines have been adjusted, extended or paused pending the outcome of the strategic process. Any such limitation, delay or suspension of our clinical development activities could harm our ability to advance our product candidates, generate meaningful clinical data and achieve key development milestones on a timely basis, or at all.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We have incurred significant losses to date. Our ability to generate product revenue sufficient to achieve profitability will depend on the successful development and eventual commercialization of one or more of our current and future product candidates. Our net losses were $59.6 million and $69.8 million for the years ended December 31, 2025 and 2024, respectively. For the six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months ended June 30, 2026 and 2025, our net losses were $5.9 million and $34.0 million, respectively. As of June 30, 2026, we had an accumulated deficit of $551.5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In the near term, we expect that these expenses will begin to decrease as we complete certain clinical trials, however, these expenses, and the potential for losses, may generally increase as we progress our lead product candidates through the regulatory approval process. We also expect that our expenses will vary as a result of macroeconomic factors, including inflation. For example, recently, several of our vendors have passed along price increases they have experienced in their own business as a result of inflation.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will continue to incur significant expenses in connection with our ongoing activities, particularly as we conduct clinical trials of, and seek marketing approval for mecbotamab vedotin, ozuriftamab vedotin, evalstotug, and BA3182.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authorities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Advancing the development of our product candidates will require a significant amount of capital. Our existing cash and cash equivalents are not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outcome of our recently initiated evaluation of strategic options;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our ongoing and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of our collaborators with whom we have entered, or may in the future enter, into collaboration agreements and research and development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licenses, collaboration and research and development programs or possibly establish new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prosecuting and enforcing patent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attract and retain personnel, including personnel to support development of our product candidates and satisfy our obligations as a public company.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If we are unable to obtain funding on a timely basis, including under our current or future collaborations, or on acceptable terms, we may have to wind down the company, delay, reduce or terminate further development of our CAB technology platform and CAB product candidates, limit strategic opportunities or undergo reductions in our workforce or other corporate restructuring activities. We may seek to raise any necessary additional capital through a combination of public or private equity offerings, debt financings,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If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financings,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and negative cash flows from operations since our inception. We may incur losses over the next several years and may never achieve or maintain profitability. Without taking other actions, these factors raise substantial doubt about our ability to continue as a going concern and we will need additional funding to continue development of our CAB technology platform and our CAB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exploring and evaluating strategic options to maximize shareholder value, including the sale of preclinical and clinical assets, licensing transactions, strategic partnerships or other corporate transactions. We may be forced to wind-down our operations if we are unable to consummate a strategic transaction and/or obtain sufficient funding.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approximately $1.5 million in cash and cash equivalents. Based on our current operating plan, and along with our history of operating losses, our current cash and cash equivalents are not sufficient to fund our ongoing operations for a period of at least twelve months from the date the condensed consolidated financial statements included in this report are issued, and these circumstances raise substantial doubt about our ability to continue as a going concern.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We expect to finance our future cash needs through equity or debt financings, strategic collaborations transactions, or a combination of these approaches. However, there can be no assurance that we will be successful in acquiring additional funding at levels sufficient to fund our operations or on terms favorable or acceptable to us, if at all. In addition, our ability to raise additional funds may be adversely impacted by negative global economic conditions and any disruptions to and volatility in the credit and financial markets in the United States and worldwide or other factors. If we are unable to obtain adequate financing when needed or on terms favorable or acceptable to us, we may be forced to wind down the company, delay, reduce the scope of or eliminate one or more of our research and development programs. Moreover, the terms of any financing may adversely affect the holdings or the rights of our stockholders and the issuance of additional securities by us, whether equity or debt, or the market perception that such issuances are likely to occur, could cause the market price of our common stock to decline. If we are unable to raise sufficient capital when needed, our business, financial condition and results of operations will be harmed, and we will need to significantly modify our operational plans to continue as a going concern. If we are unable to continue as a going concern, we might have to liquidate our assets and the values we receive for our assets in liquidation or dissolution could be significantly lower than the values reflected in our condensed consolidated financial statements.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Any additional capital raising efforts may divert our management from their day-to-day activities, which may adversely affect our ability to develop and commercialize our current and future product candidates, if approved. The perception that we might be unable to continue as a going concern may also make it more difficult to obtain financing for the continuation of our operations on terms that are favorable to us, or at all, and could result in the loss of confidence by investors and employees.</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invest a portion of our cash in a money market fund, which is vulnerable to market-specific risks that could adversely affect our business and financial condition.</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We invest a portion of our cash in a money market fund backed by U.S. government securities. All securities are subject to risk, including fluctuations in interest rates, credit risk, market risk and systemic economic risk. Changes or movements in any of these investment-related risk items may result in a loss or impairment to our invested cash and may have a material adverse effect on our business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products on the market and our product candidates are in various stages of development. We have completed clinical trials of mecbotamab vedotin, ozuriftamab vedotin, and evalstotug, and are continuing patient treatment and follow-up in a Phase 1 trial of BA3182.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our clinical trials resulting from external factors including global conflicts and health epidemics;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inconclusive results from preclinical testing or clinical trials leading to a decision or requirement to conduct additional preclinical testing or clinical trials or abandon a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safety issues, including occurrence of treatment emergent adverse events (“TEAEs”) associated with the product candidate that are viewed to outweigh the product candidate’s potential benefits or to expose participants in clinical trials to an unreasonable and significant risk of illness or injury at an effective dose;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side effects experienced by participants in clinical trials or by individuals using therapeutic biologics that share characteristics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submitting INDs or comparable foreign applications or delays or failure in obtaining the necessary approvals from regulators or institutional review boards (“IRBs”), to commence a clinical trial, or a suspension or termination of a clinical trial, including a clinical hold issued by a regulator,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imposed by the FDA or comparable foreign authorities, including the EMA, regarding the scope or design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enrolling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drop-out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drug materials or other supplies necessary for the conduct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obtain alternative sources of supply for which we have a single source for product candidate components or materials, if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than anticipated clinical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poor effectiveness of our product candidates during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FDA or other regulatory authority inspection and review of a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deficiencies in our third-party manufacturers’ manufacturing processes or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any third-party contractors, investigators or contract research organizations (“CROs”), to comply with regulatory requirements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changes in regulatory requirements, policy and guidelines, including the imposition of additional regulatory oversight around clinical testing generally or with respect to our technology or product candidates in particular;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varying interpretations of data by the FDA and comparable foreign regulatory authorities, including the EMA.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CABs represent a new generation of antibodies, a delay or failure in development of any CAB product candidate could represent a major set-back for our patented technology platform and for our company generally.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from early-stage clinical trials may not be predictive of results from late-stage or other clinical trials, and the results of our clinical trials may not satisfy the requirements of the FDA, EMA or other comparable foreign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or in any subsequent or post-marketing confirmatory clinical trials. 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and we cannot assure you that the FDA will agree that the results from our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Recently, the FDA has increasingly scrutinized oncology clinical trial results where a substantial portion of the enrollment took place outside the U.S. on the basis that the results from these sites are not applicable to the U.S. population due at least in part to choice of comparator. While we intend to enroll sufficient numbers of U.S. patients to address these concerns, the FDA may disagree and question the applicability of the clinical trial results to the U.S. population. To the extent that the results of the trials are not satisfactory to the FDA, EMA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Furthermore, there have been in the past, and may be in the future, investigator-initiated clinical trials using our investigational products.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EMA or comparable foreign regulatory authorities. To the extent the results of these or other investigator-initiated trials are inconsistent with, or different from, the results of our ongoing or planned company-sponsored trials or raise concerns regarding our product candidates, the FDA or a comparable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support regulatory approval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substantially dependent on the success of our patented CAB technology platform, and our future success depends heavily on the successful development of this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our CAB technology platform to develop product candidates for cancer. Any failures or setbacks involving our CAB technology platform, including adverse events, could have a detrimental impact on all of our product candidates and our research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our efforts to use and expand our patented CAB technology platform to continue to build a pipeline of product candidates and develop marketable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used our patented technology platform to develop CABs in oncology indications with our lead product candidates mecbotamab vedotin, ozuriftamab vedotin, evalstotug, BA3182, and other preclinical product candidates. We may also in the future continue to build our pipeline of CAB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expend our resources to pursue particular product candidates and fail to capitalize on product candidates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For example, we are exploring potential strategic collaboration with third parties to accelerate development of certain assets. In addition, we may decide to further prioritize development of certain programs and certain indications.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market opportunities for any product that we develop are smaller than we believe they are, our revenue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focus our product candidate development on therapeutic CAB antibodies for the treatment of various oncology indications, such as sarcoma, NSCLC, melanoma, colorectal carcinoma,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receipt of any marketing and commercialization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any approvals and the countries in which approvals are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and efficacy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adverse side effects associated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any labeling approved by the FDA, EMA or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obtain new biopsies or consent to provide existing tumor tissue specimens;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accept any new methods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any physician education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adequate government and third-party payor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of our products, particularly as compared to alternative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alternative effective treatments for the disease indications our product candidates are intended to treat and the relative risks, benefits and costs of those treatments.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product candidate we commercialize fails to achieve market acceptance, it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Preliminary, preplanned interim and topline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Delays in the commencement and completion of clinical trials could increase costs and delay or prevent regulatory approval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preclinical data;</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receiving the required regulatory clearance from the appropriate regulatory authorities to commence clinical trials or amend clinical trial protocols, including any objections to our INDs or protocol amendments from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a failure to reach, a consensus with regulatory authorities on study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failure to reach, agreement on acceptable terms with prospective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obtaining IRB approval at each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 recruiting suitable patients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enroll a sufficient number of patients in clinical trials to ensure adequate statistical power to detect statistically significant treatment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having patients complete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CROs or clinical trial sites failing to comply with regulatory requirements or meet their contractual obligations to us in a timely manner, or at all, deviating from the protocol or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safety issues, including occurrence of TEAEs associated with the product candidate that are viewed to outweigh the product candidate’s potential benefits or to expose participants in clinical trials to an unreasonable and significant risk of illness or injury;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adding new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ambiguous or negative interim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manufacturing sufficient quantities of product candidate acceptable for use in clinical trials in a timely manner, or at all;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epidemics and outbreaks, which in the past has resulted in, and in the future may result in, delays to patient enrollment, patients discontinuing their treatment or follow up visits or changes to trial protocols.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could encounter delays if a clinical trial is suspended or terminated by us, by the IRBs of the institutions in which such trials are being conducted, by a Data Safety Monitoring Board (“DSMB”), for such trial or by the FDA or comparable foreign regulatory authorities. Such authorities may impose such a suspension or termination, including by the imposition of a clinical hold, due to several factors, including failure to conduct the clinical trial in accordance with regulatory requirements or our clinical protocols, inspection of the clinical trial operations or trial site by the FDA or comparable foreign regulatory authorities,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or lost.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made more difficult or rendered impossible by multiple factors outside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health epidemics or pandemics, the existing body of safety and efficacy data with respect to the study drug, the number and nature of competing treatments and ongoing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Undesirable side effects caused by our product candidates could cause us or regulatory authorities to interrupt, delay or halt clinical trials and could result in a more restrictive label or the delay or denial of regulatory approval by the FDA, EMA or comparable foreign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our clinical trials for our antibody-drug conjugates mecbotamab vedotin and ozuriftamab vedotin, we have observed adverse events such as reversible myelosuppression, transient liver enzyme elevations, pyrexia, or fever, metabolic disturbances and peripheral neuropathy. In our clinical trial for evalstotug, we have observed infusion-related reactions, cytokine release syndrome, and immune-related adverse events. In our clinical trial of BA3182, we have observed adverse events, such as cytokine release syndrome, diarrhea, and transient elevations in liver enzymes and bilirubin, and colitis, including a grade 2 colitis where the patient subsequently withdrew from the study and transferred into hospice and ultimately died, with the death being attributed to colitis. We may also observe undesirable side effects in clinical trials for our other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EMA or comparable foreign regulatory authorities delaying, suspending or terminating one or more of our clinical trials and which could jeopardize regulatory approval.</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ozuriftamab vedotin, evalstotug, and BA3182 have demonstrated manageable tolerability profiles when delivered at optimized doses thus far, we cannot assure you that these and our other product candidates will not cause more severe side effects in a greater proportion of patients or when delivered at higher doses.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mecbotamab vedotin, ozuriftamab vedotin, and evalstotug have been studied in combination with other therapies, which may exacerbate adverse events associated with the therapy. Patients treated with these or our other product candidates may have recently received surgical, radiation or chemotherapy treatments, which can cause side effects or adverse events that are unrelated to our product candidate but may still impact the success of our clinical trials.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the clinical trials may die or experience major clinical events either during the course of our clinical trials or after participating in such trials due mainly to the gravity of their illness, which has occurred in the past.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the event that any of our product candidates receive regulatory approval, and we or others later identify undesirable and unforeseen side effects caused by such product, negative consequences, including any of the following, could occur:</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suspend, limit or withdraw their approval of such product, or seek an injunction against its manufacture or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conduct additional clinical trials or post-approval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requested or required to recall a product or change the way such product is administered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the particular product or the manufacturing processes for the product or any component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implement a Risk Evaluation and Mitigation Strategy (“REMS”) and/or create a Medication Guide outlining the risks of such side effects for distribution to patients, a communication plan for healthcare providers and/or other elements to assure safe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developing certain of our product candidates in combination with other therapies, and regulatory approval, safety or supply issues with these other therapies may delay or prevent the development and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investigated the use of each of mecbotamab vedotin, ozuriftamab vedotin, and evalstotug in combination with an anti-PD-1 antibody.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use of a companion diagnostic test is determined to be essential for the safe and effective use of any of our product candidates, such as mecbotamab vedotin and ozuriftamab vedotin, then the FDA generally will require approval, authorization, or clearance of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companion diagnostic before or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a PMA is time-consuming and costly and a delay in diagnostic approval could delay drug approval.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In 2024, CDRH announced that it intended to reclassify most high-risk in vitro diagnostic products from Class III to Class II medical devices and stated that it expected most future companion diagnostics would be regulated as Class II devices. Reclassification would allow companion diagnostic developers to seek marketing authorization through the FDA’s 510(k) or de novo classification pathways rather than the more costly and time-consuming PMA pathway. Since that time, CDRH has taken steps to begin the reclassification process for certain companion diagnostic products, such as in situ hybridization test systems and nucleic acid-based test systems intended for use with a corresponding approved oncology therapeutic product. However, these proposed reclassifications are not yet final and commercializing any such tests requires PMA approval until the reclassification is final. While the 510(k) and de novo submission processes are less burdensome than the PMA process, there is no guarantee that the diagnostics test that would be used with our product candidates will be reclassified or that they would obtain marketing authorization through either process more quickly than through the PMA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authorized, or cleared for that indication. If a satisfactory companion diagnostic is not commercially available, we may be required to create or obtain one that would be subject to regulatory approval requirements. For example, we have in the past explored predictive biomarkers, such as the Tumor Membrane Percent Score (“TmPS”), which measures AXL and ROR2 expression levels on the tumor membrane, to help inform which patients may be most suitable for treatment with mecbotamab vedotin and ozuriftamab vedotin. Currently, patients with negative or only 1% TmPS scores appear to have experienced clinical benefit in our ongoing clinical trials. However, if the AXL and/or ROR2 TmPS scores predict those most likely to experience clinical benefit, we may be required to pursue the further use of a companion diagnostic in our mecbotamab vedotin or ozuriftamab vedotin clinical trials, and the available market for mecbotamab vedotin or ozuriftamab vedotin, both in patient numbers and patient acceptance of the protocol, could be limited. In addition, we expect to rely on third parties for the design, development and manufacture of companion diagnostic tests for any of our product candidates that require such tests.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perceived to be safer and more effective than competing products. Our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opportunity and success will be reduced or eliminated if competing products are perceived to be safer, more effective or less expensive than the therapeutics we develop.</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Although we do not believe competing companies have selective CAB technology, there is a wide array of activity in several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of our programs.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commercial opportunity could be substantially limited in the event that our competitors develop and commercialize products that are perceived to be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biologic product candidates for which we intend to seek approval may face competition through an abbreviated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Biologics Price Competition and Innovation Act of 2009 (the “BPCIA”), enacted as part of the Affordable Care Act (the “ACA”), created an abbreviated approval pathway for biological products that are biosimilar to or interchangeable with an FDA-licensed reference biological product. Under the BPCIA, an application for a biosimilar product referencing an exclusivity-protected product may not be submitted to the FDA until four years following the date that the reference product was first licensed by the FDA. In addition, the approval of a biosimilar product referencing an exclusivity-protected biological product may not be made effective by the FDA until 12 years from the date on which the reference product was first licensed. During this 12-year period of exclusivity, another company may still market a competing version of the reference product if the FDA approves a full Biologics License Application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There is a risk that any product candidates we may develop that are approved by FDA as a biological product under a BLA would not qualify for the 12-year period of exclusivity or that this exclusivity could be shortened due to congressional action or otherwise, potentially creating the opportunity for generic competition sooner than anticipated.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if we are unable to obtain sufficient insurance coverage, such failure could have a material and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regulatory approval, other legal compliance matters and taxation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currently not in compliance with Nasdaq’s continued listing requirements. If we are unable to comply with Nasdaq’s continued listing requirements, our common stock could be delisted, which could affect the price of our common stock and liquidity and reduce our ability to raise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currently listed on The Nasdaq Capital Market. The Nasdaq Capital Market has established certain quantitative criteria and qualitative standards that companies must meet to remain listed for trading on this market.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On August 6, 2025, the Listing Qualifications Staff (the “Staff”) of Nasdaq issued a delist determination to the Company, indicating that the Company did not satisfy Nasdaq Listing Rule 5550(a)(2) (the “Minimum Bid Price Requirement”) and Nasdaq Listing Rule 5450(b)(1)(A) (the “Minimum Stockholders’ Equity Requirement”) (or the alternative standards of $50 million in market value of listed securities (“MVLS”) or $50 million in total assets and $50 million in total revenue). The Company requested a hearing (the “Hearing”) before the Nasdaq Hearing Panel (the “Panel”), at which the Company presented its plan to evidence compliance with all applicable criteria for continued listing on The Nasdaq Capital Market under Nasdaq Listing Rule 5550, including the Minimum Bid Price Requirement and the Minimum Stockholders’ Equity Requirement, the alternatives to which are $35 million in MVLS (the “MVLS Rule”) or $500,000 in net income (and, together, the “Equity/MVLS Rule”). On September 16, 2025, the Panel granted the Company’s request for continued listing (the “Panel Decision”), subject to the Company’s timely submission of an application to transfer its listing to The Nasdaq Capital Market, and the Company’s compliance with the Equity/MVLS Rule and the Minimum Bid Price Requirement by December 31, 2025 and February 2, 2026, respectively.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Beginning September 24, 2025, through the close of business on December 31, 2025 (the deadline for compliance with the Minimum Stockholders’ Equity Requirement as set forth in the Panel Decision), the Company evidenced a minimum $35 million MVLS for 69 consecutive trading days, ranging from a low MVLS of $36.03 million to a high MVLS of $71.73 million. Having evidenced compliance with the MVLS Rule for 57 consecutive business days as of December 18, 2025, on December 19, 2025, the Company requested that Nasdaq issue a determination that the Company had regained compliance with the MVLS Rule as an alternative to the Equity Rule.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On January 13, 2026, Nasdaq denied the Company’s request for a compliance determination given that the Company no longer satisfied the MVLS Rule (or the alternative Equity Rule) as of that date. Nasdaq provided the Company with the opportunity to update its plan to evidence compliance with either the Equity/MVLS Rule, which update the Company submitted on January 20, 2026. Nasdaq notified the Company on January 27, 2026, that the Panel had granted the Company an extension through February 2, 2026 to evidence compliance with all applicable criteria for continued listing on The Nasdaq Capital Market.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On February 6, 2026, the Company received notice that Nasdaq had determined to suspend trading in the Company’s securities effective February 10, 2026 (the “Delist Determination”), based upon (i) the Company’s non-compliance with the Minimum Bid Price Requirement and (ii) the Company’s failure to demonstrate compliance with the Minimum Stockholders’ Equity Requirement, the latter notwithstanding the Company’s prior compliance with the alternative threshold of $35 million in MVLS under the MVLS Rule for 69 consecutive trading days. Immediately upon receipt of the Delist Determination, and in accordance with Nasdaq Listing Rule 5820(b), the Company submitted a request to the Nasdaq Listing and Hearing Review Council (the “Listing Council”) that the Listing Council call for immediate review of the Delist Determination and stay any suspension or delisting action pending completion of the Listing Council’s review. The Company was notified on February 8, 2026 that the Listing Council had determined to call for review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Delist Determination. In rendering its decision, the Listing Council also determined to stay any suspension and delisting action pending the outcome of the Listing Council’s review. Accordingly, the Company’s common stock continues to trade on Nasdaq during the Listing Council review process. The review process is currently ongoing, and it is the Company’s understanding that the review process may take several weeks to a few months to complete.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can provide no assurance that the Listing Council’s review will result in the continued listing of the Company’s common stock on Nasdaq after the outcome of such review. Any delisting of our common stock could adversely affect the market liquidity of our common stock, and the market price of our common stock could decrease. In addition, delisting of our common stock could result in the loss of confidence by investors and adversely affect our ability to raise capital on terms acceptable to us, or at all, and would also make it more difficult for our stockholders to sell or purchase our common stock when they wish to do so. If trading in the Company’s common stock is ultimately suspended or delisted from Nasdaq, the Company should be eligible to trade on the OTC Markets system, which may have a material adverse effect on the trading price and volume for the common Stock, and the Company’s stockholders may find it more difficult to sell their shares.</w:t>
      </w:r>
    </w:p>
    <w:p>
      <w:pPr>
        <w:pStyle w:val="TextBody"/>
        <w:bidi w:val="0"/>
        <w:spacing w:before="320" w:after="283"/>
        <w:jc w:val="left"/>
        <w:rPr>
          <w:rFonts w:ascii="Times New Roman" w:hAnsi="Times New Roman"/>
          <w:b/>
          <w:i/>
          <w:color w:val="000000"/>
          <w:sz w:val="20"/>
        </w:rPr>
      </w:pPr>
      <w:r>
        <w:rPr>
          <w:rFonts w:ascii="Times New Roman" w:hAnsi="Times New Roman"/>
          <w:b/>
          <w:i/>
          <w:color w:val="000000"/>
          <w:sz w:val="20"/>
        </w:rPr>
        <w:t>The Share Consolidation may not be sufficient to regain or maintain compliance with the Minimum Bid Price Requirement, and the re-pricing mechanism contained in the Warrants will substantially limit the proceeds we receive from the exercise of such Warrants following the Share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the purpose of the Share Consolidation that we effected on April 6, 2026 is to help regain compliance with the Minimum Bid Price Requirement for continued listing on The Nasdaq Capital Market, as well as to increase the trading price of our common stock to enhance overall liquidity of the common stock by attracting new investors. While we have been in compliance with the Minimum Bid Price Requirement since April 6, 2026, Nasdaq will not deem us back into compliance with the Minimum Bid Price Requirement while the Listing Council review is still pending. There is no assurance that the Listing Council review will result in the continued listing of the Company’s common stock on Nasdaq. The effect of the Share Consolidation on the market price of our common stock cannot be predicted with any certainty, and we cannot assure you that the Share Consolidation will accomplish these objectives for any meaningful period of time, or at all. We cannot assure you that the Share Consolidation will result in any permanent or sustained increase in the market price of our common stock. The market price of our common stock may be affected by other factors which may be unrelated to the number of shares outstanding, including our business and financial performance, general market conditions and prospects for future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Share Consolidation effected a reduction in the number of shares of our common stock issuable upon the exercise of the Warrants exercisable for shares of common stock in proportion to the Share Consolidation ratio. Pursuant to the re-pricing mechanism contained in the Warrants, the exercise price of the Warrants was reduced to $4.35 to match the lowest VWAP of our common stock during the eleven (11) trading days commencing five (5) trading days immediately preceding the Share Consolidation and ending five (5) trading days immediately following the Share Consolidation. Because the re-pricing mechanism was triggered, our ability to receive significant proceeds from the exercise of the outstanding warrants will be substantially limited.</w:t>
      </w:r>
    </w:p>
    <w:p>
      <w:pPr>
        <w:pStyle w:val="TextBody"/>
        <w:bidi w:val="0"/>
        <w:spacing w:before="320" w:after="283"/>
        <w:jc w:val="left"/>
        <w:rPr>
          <w:rFonts w:ascii="Times New Roman" w:hAnsi="Times New Roman"/>
          <w:b/>
          <w:i/>
          <w:color w:val="000000"/>
          <w:sz w:val="20"/>
        </w:rPr>
      </w:pPr>
      <w:r>
        <w:rPr>
          <w:rFonts w:ascii="Times New Roman" w:hAnsi="Times New Roman"/>
          <w:b/>
          <w:i/>
          <w:color w:val="000000"/>
          <w:sz w:val="20"/>
        </w:rPr>
        <w:t>We may be unable to obtain U.S. or foreign regulatory approval and, as a result, unable to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We have not completed any large-scale or pivotal clinical trials nor managed the regulatory approval process with the FDA or any other comparable foreign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advanced Project Optimus, which is an initiative to reform the dose optimization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We are considering these and other policy changes as they relate to our programs.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our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pure and potent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fail to achieve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the dose for the product candidate has been optimized;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a sufficient response rate or duration of response for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submitted in support of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contractors may not meet the current Good Manufacturing Practices (“cGMPs”) and other applicable requirements for manufacturing processes, procedures, documentation and facilities necessary for approval by the FDA or comparable foreign regulatory authorities.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 From time to time during the development and regulatory approval process for our therapeutic candidates, we engage in discussions with the FDA and other regulatory authorities regarding our development programs, including discussions about the regulatory requirements for approval. Sometimes different regulatory authorities provide different or conflicting advice. While we attempt to harmonize the advice we receive from multiple regulatory authorities, it is not always practical to do so. Also, we may choose not to harmonize conflicting advice when harmonization would significantly delay clinical trial data or when we believe it is otherwise inappropriate. In addition, regulatory authorities may change their views on aspects of the clinical programs, including study designs, or the ability of the studies as designed to support approval of a product. If we are unable to effectively and efficiently resolve and comply with the inquiries and requests of the FDA and other regulatory authorities, the approval of our therapeutic candidates may be delayed, and their value may be reduced.</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accelerated approval for one or more of our product candidates. Under the accelerated approval program, the FDA may grant accelerated approval to a product candidate designed to treat a serious or life-threatening condition that addresses an unmet medical need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that our product candidate addresses an unmet medical need.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Prior to seeking accelerated approval for any of our product candidates, we intend to seek feedback from the FDA and will otherwise evaluate our ability to seek and receive accelerated approval. For example, we received feedback from the FDA in November 2025 on the design of our planned Phase 3 trial of ozuriftamab vedotin for the treatment of oropharyngeal squamous cell carcinoma to support potential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Recently, the accelerated approval pathway has come under scrutiny within the FDA and by Congress. The FDA has put increased focus on ensuring that confirmatory studies are conducted with diligence and, ultimately, that such studies confirm the anticipated clinical benefit. For example, the FDA has convened its Oncologic Drugs Advisory Committee to review what the FDA has called dangling or delinquent accelerated approvals where confirmatory studies have not been completed or where results did not confirm benefit.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FDA is authorized to require a post-approval study to be underway prior to approval or within a specified time period following approval. The FDA must also specify conditions of any required post-approval study, which may include milestones such as a target date of study completion. Sponsors must submit progress reports for required post-approval studies and any conditions required by the FDA not later than 180 days following approval and not less frequently than every 180 days thereafter until completion or termination of the study. The FDA can initiate an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Fast Track designation for one or more of our product candidates but we might not receive such designation and, even if granted, such designation may not lead to a faster development or regulatory review or approval process and does not increase the likelihood that our product candidates will receive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the FDA granted Fast Track designation for ozuriftamab vedotin in recurrent or metastatic SCCHN, and we may seek Fast Track designation in the future for other product candidates. If a drug is intended for the treatment of a serious or life-threatening disease and the drug demonstrates the potential to address unmet medical needs for this disease, the drug may qualify for Fast Track designation. The FDA has broad discretion whether or not to grant this designation. Even if we believe a particular product candidate is eligible for this designation, we cannot assure you that the FDA would decide to grant it. Even if product candidates do receive Fast Track designation, as ozuriftamab vedotin has in recurrent or metastatic SCCHN, we may not experience a faster development process, review or approval compared to conventional FDA procedures. The FDA may withdraw Fast Track designation if it believes that the designation is no longer supported by data from its clinical development programs. Many drugs that have received Fast Track designation have failed to obtain approval, and there can be no assurance that such Fast Track designation would lead to a faster development or regulatory review or approval process, or increase the likelihood of receiving regulatory approval.</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If we decide to seek Orphan Drug Designation for some of our product candidates, we may be unsuccessful or may be unable to maintain the benefits associated with Orphan Drug Designation, including the potential for orphan drug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tax advantages and user fee waivers. In addition, if a product that has Orphan Drug Designation subsequently receives the first FDA approval of the drug to treat the disease for which it has such designation, the product is entitled to orphan drug exclusivity, which means that the FDA may not approve any other applications, including a full BLA, to market the same product for the same condition for seven years, except in limited circumstances, such as a showing of clinical superiority to the product with orphan drug exclusivity or where the manufacturer is unable to assure sufficient product quantity.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Even if we obtain Orphan Drug Designation for our product candidates in specific conditions, we may not be the first to obtain marketing approval of these product candidates for the orphan-designated condition due to the uncertainties associated with developing pharmaceutical products; in such case, no orphan drug exclusivity would be available unless we could demonstrate “clinical superiority.” In addition, exclusive marketing rights in the United States may be limited if we seek approval for an indication broader than the orphan-designated condition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principal molecular structural features can be approved for the same condition. Even after an orphan product is approved, the FDA can subsequently approve the same drug or therapeutic biologic with the same principal molecular structural features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not receive such designations.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Additionally, we may receive approval for indications or patient populations that are not as broad as intended or desired.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comparable foreign regulatory authorities,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labeling, marketing, or manufacturing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or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of approval or refusal by the FDA or comparable foreign regulatory authorities in other jurisdictions to approve pending applications or supplements to approved applications filed by us, our current collaborator or any future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revocation of product license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are able to commercialize any product candidate, such product candidate may become subject to unfavorable pricing regulations or third-party coverage and reimbursement policies, which would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At our programs’ current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There is significant uncertainty related to third-party payor coverage and reimbursement of newly approved products. For example, in the United States, principal decisions about reimbursement for new products are typically made by the Centers for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State Medicaid agencies and Medicaid managed care plans make coverage and payment decisions under Medicaid within federal guidelines.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May 12, 2025, President Trump issued an Executive Order that, among other things, required HHS, within 30 days, to establish and communicate to drug manufacturers most-favored-nation (“MFN”) price targets designed to bring drug prices for American patients in line with those in comparably developed nations. If significant progress towards MFN pricing is not achieved, the Executive Order requires HHS to propose a rulemaking to implement MFN pricing. Recently, on December 23, 2025, CMS issued proposed regulations to establish, under the Center for Medicare and Medicaid Innovation, two mandatory MFN pricing demonstration models under Medicare Part B and Part D. If these rules or other MFN pricing rules are finalized, they are likely to mandate reduced prices of at least some drugs in the United States, if they are also sold in comparator countries. Even if we do not market drugs in such countries, we will be indirectly affected if our drugs competed with drugs that were reduced by MFN pricing.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some countries, particularly member states of the European Union (EU),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There may be significant delays in obtaining reimbursement for newly approved drugs or therapeutic biologics, and coverage may be more limited than the purposes for which the drug or therapeutic biologic is approved by the FDA or similar regulatory authorities outside of the United States. Moreover, eligibility for reimbursement does not guarantee that any drug or therapeutic biologic will be reimbursed in all cases or at a rate that permits us to cover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FDA and other comparable foreign regulatory authorities actively enforce the laws and regulations prohibiting the promotion of off-label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and we are found to have improperly promoted off-label uses of those products, we may become subject to significant liability. The FDA and other comparable foreign regulatory authorities strictly regulate the promotional claims that may be made about prescription products, such as our product candidates, if approved. In particular, a product may not be promoted for uses that are not approved by the FDA or such other comparable foreign regulatory authorities as reflected in the product’s approved labeling. For example, if we receive marketing approval for mecbotamab vedotin as a treatment for mKRAS NSCLC, and we are found to have promoted off-label uses, we may become subject to significant liability. Physicians may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nevertheless use our product for their patients in a manner that is inconsistent with the approved labeling.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Disruptions at the FDA, the SEC and other government agencies caused by, among other factors, funding shortages or global health concerns could hinder their ability to hire and retain key leadership and other personnel,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Disruptions at the FDA and other agencies may also slow the time necessary for new drugs to be reviewed or approved by necessary government agencies, which would adversely affect our business. Furthermore, the application of newly developed artificial intelligence (“AI”) and other technologies may have the impact of reducing the development time to bring new products to market, which may materially increase the volume of applications for product approval to the FDA compared to historical application levels. If this increased application volume materializes and funding for additional staff and resources are not allocated to the FDA, the FDA may not be able to continue its current pace of application reviews and review timelines could be extended. Regulatory authorities outside the U.S. facing similar increases in application volume may also experience delays in their regulatory activities.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Similar consequences would also result in the event of a significant shutdown of the federal government. For example, over the last several years, including for 35 days beginning on December 22, 2018, and most recently beginning on October 1, 2025, the U.S. government has shut down several times and certain regulatory authorities, such as the FDA, have had to furlough critical employees and stop critical activities to the extent they are not funded by existing available user fees. Additionally, starting in January 2025, the Trump administration has reduced the number of federal employees by establishing voluntary termination programs, by position eliminations or by involuntary terminations.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a prolonged government shutdown occurs, if funding for the FDA, including for user-fee funded activities or other federal agencies (including their workforce) is reduced or exhausted, if global health concerns prevent the FDA or comparable foreign regulatory authorities from conducting their regular inspections, reviews, or other regulatory activities, or if the volume of applications to the FDA or comparable foreign regulatory authorities for new product candidates increases materially, it could significantly impact the ability of the FDA or comparable foreign regulatory authorities to timely review and process our regulatory submissions, and could even result in a complete cessation of such activities until appropriations legislation or a continuing resolution is passed,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is substantial uncertainty regarding the Administration’s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impact our business.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 xml:space="preserve">FDA-regulated industries, such as ours, face substantial uncertainty in regard to the regulatory environment we will face as we proceed with research and development, and possibly in the future commercialization, efforts following the inauguration of President Trump in January 2025. Some of these efforts have manifested to date as efforts to reduce the size of the federal government, including large-scale reductions in force at FDA. The loss of key personnel at the FDA, including those in leadership positions, is likely to impact operations at the FDA, which could result in, among other things, delays or limitations on our ability to obtain guidance from the FDA on our product candidates in development, longer review times, and delays in obtaining regulatory approvals for our product candidates. Moreover, the Administration has paused payments by, reduced the budget of, and terminated grants provided by the National Institutes of Health (“NIH”) as related to its funding for medical research, which has decreased, and may continue to decrease, the ability of facilities that rely on NIH funding to enroll and conduct clinical trials. Some of these actions have been challenged in court and there remains general uncertainty regarding future activities. The Administration could issue or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 xml:space="preserve">promulgate executive orders, regulations, policies or guidance that adversely affects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or our collaborators become negatively impacted by future governmental orders, regulations, policies or guidance as a result of the Administration, there could be a material adverse effect on us and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FDA, EMA and other comparable foreign regulatory authorities may not accept data from trials conducted in locations outside of their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legislative reform measures may have a material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In addition, in the United States, there have been and continue to be several legislative initiatives to contain healthcare costs. Previously, in March 2010, the ACA was enacted, which was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Later healthcare reform initiatives culminated in the enactment of the IRA in August 2022, which, among other things, requires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single-source drugs) are eligible to be selected by CMS for negotiation, with the negotiated price taking effect two years after the selection year. For 2026, the first year in which negotiated prices became effective, CMS selected 10 high-cost Medicare Part D products in 2023, negotiations began in 2024, the negotiated maximum fair price for each product was announced, and these prices became effective in 2026. These negotiations resulted in significant price reductions for the products from their 2023 list prices, ranging from 38 to 79 percent, with an average price reduction of 59.4 percent. In addition, CMS has selected and negotiated maximum fair pricing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Currently, a drug or biological product that has an orphan drug designation for only one rare disease or condition is excluded from the IRA’s price negotiation requirements, as long as it is approved only for an indication within that disease or condition.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negotiated prices have represented, and will continue to represent, a significant discount from average prices to wholesalers and direct purchasers. The law also imposes rebates on Medicare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Part D and Part B drugs whose prices have increased at a rate greater than the rate of inflation. Manufacturers that fail to comply with the IRA may be subject to various penalties, including civil monetary penalties. The IRA permits the Secretary of HHS to implement many of these provisions through guidance, as opposed to regulation, for the initial years. These provisions may be subject to legal challenges. For example, the provisions related to the negotiation of selling prices of high-expenditure single-source drugs and biologics have been challenged in several lawsuits. Thus, while it is unclear how certain provisions of the IRA will be implemented, the IRA will likely have a significant impact on the pharmaceutical industry. It is unclear to what extent other statutory, regulatory, and administrative initiatives will be enacted and implemented, and to what extent these or any future legislation or regulations by the current administration or subsequent administrations will have on our business, including market acceptance, and sales, of our products and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On July 4, 2025, President Trump signed into law the One Big Beautiful Bill Act (“OBBBA”), which, among other things, contains a number of provisions designed to reduce the number of Americans insured under Medicaid and health exchange plans established under the 2010 Affordable Care Act. The provisions intended to reduce Medicaid enrollment include a work requirement, under which applicants and current beneficiaries will be required to demonstrate that they are engaged for at least 80 hours per month in work, community service, an educational program, or some combination of these. Parents and caregivers of dependent children 13 years old or less and certain other beneficiaries are exempted. In addition, the OBBBA establishes more frequent eligibility verification requirements, restrictions on how states can finance their share of Medicaid, elimination of coverage for undocumented immigrants, and elimination of coverage for gender affirming care and certain family planning clinics. A Congressional Budget Office (“CBO”) analysis of the Act estimates that 7.8 million adults will lose Medicaid coverage by 2034, of which 5.2 million will be due to the work requirement. In addition, the OBBBA makes changes to the ACA insurance marketplaces, including, among other measures, greater limitations on enrollment periods, which will result in an additional 3.6 million Americans being uninsured by 2034 according to CBO’s estimate. These significant decreases in the numbers of insured Americans will reduce the ability of patients, especially those of modest means, to afford medications, which could reduce the demand for our products.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the FDA authorized the first such plan in Florida in January 2024, which has been extended until November 2026. In June 2026, FDA authorized Colorado’s importation plan. It is unclear whether these programs will be extended, how they will be implemented, including which drugs will be chosen, and whether they will be subject to legal challenges in the United States or Canada. Other states have also submitted proposals that are pending review by the FDA.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 and distribute our product candidates for which we obtain marketing approval. Restrictions under applicable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Anti-Kickback Statute, which prohibits, among other things, persons and entities from knowingly and willfully soliciting, receiving, offering, or providing remuneration, directly or indirectly, in cash or in kind to induce or reward, or in return for, either the referral of an individual,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a claim including items and services resulting from a violation of the federal Anti-Kickback Statute constitutes a false or fraudulent claim for purposes of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consumer protection and unfair competition laws, which broadly regulate marketplace activities and activities that potentially harm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information related to drug pricing, including price increases. Certain state and local laws also require the registration of pharmaceutical sales representatives.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Foreign and state laws also govern the privacy and security of health information in some circumstances, many of which differ from each other in significant ways and often are not preempted by HIPAA, thus complicating compliance efforts. For instance, the collection and use of health data in the EU is governed by the General Data Protection Regulation (“GDPR”) which extends the geographical scope of EU data protection law to non-EU entities under certain conditions, tightens existing EU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 which could further complicate compliance efforts, increase our potential liability and adversely affect our business.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U.S. and foreign regulatory requirements, regulatory authorities could limit or withdraw any marketing or commercialization approvals we may receive and subject us to other penalties that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comparable foreign regulatory authorities,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research and development activities could be affected or delayed as a result of possible restrictions on animal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laws and regulations may require us to conduct preclinical testing, which is routinely conducted in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the FDA announced a plan to phase out animal testing requirements for monoclonal antibodies and other drugs. This plan involves replacing animal testing with scientifically validated new approach methodologies (“NAMs”), including computational modeling and in vitro human-based systems. A roadmap published at the time of the announcement lays out an implementation plan over the next three years, which includes encouraging sponsors to submit NAM data in parallel with animal data, efforts to encourage the reduction and duration of animal testing, and exploration of the feasibility of replacing animal testing with NAMs. This roadmap also identified a long-term goal (3-5 years) to make animal studies the exception, rather than the norm. There is substantial uncertainty regarding the steps the FDA may ultimately take to encourage or require companies to reduce the use of animal testing for any type of investigational product, when such steps might be taken, and what consequences these might have for development programs such as ours. Furthermore, animal testing may still be required for drug approval outside of the U.S. which could impact our development timelines and cost.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and our third-party contractors must comply with environmental, health and safety laws and regulations. A failure to comply with these laws and regulations could expose us to significant costs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may adversely affect us or our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rules dealing with the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changes have been made and changes are likely to continue to occur in the future. For example, the OBBBA was signed into law on July 4, 2025, and extends many of the tax law provisions that were set to expire in 2025, allows for the immediate expensing of domestic U.S. research and development expenses, and makes changes to the U.S. taxation of profits derived from foreign operations. The impact of this newly enacted law on our tax position is currently under review and will depend on how the provision is implemented and interpreted by the IRS and other regulatory authorities.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employee matters, managing our growth and other risks related to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attract and retain qualified senior management and key clinical and scientific personnel, our business may be materially and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There is competition for qualified personnel in the pharmaceutical, biopharmaceutical and biotechnology field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and regulatory review process for mecbotamab vedotin, ozuriftamab vedotin, evalstotug, BA3182 and any other product candidates, while complying with our contractual obligations to contractors and other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financial performance and our ability to successfully develop and, if approved, commercialize mecbotamab vedotin, ozuriftamab vedotin, evalstotug, BA3182,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as a smaller organization, we may face limitations in our ability to successfully implement and manage our plans and strategies due to resource constraints and limited personnel. These limitations may hinder our ability to execute multiple initiatives simultaneously, respond quickly to market or regulatory changes, and effectively compete with larger organizations that have greater resources and infrastructure. If we are unable to overcome the challenges associated with operating as a smaller organization, our business, financial condition, and results of operations could be materially and adversely affected.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evalstotug, BA3182,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evalstotug, BA3182, and any future product candidates and, accordingly, may not achieve our research, development and commercialization goals.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and independent contractors, including principal investigators, CROs, consultants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(4) laws that require the true, complete and accurate reporting of financial information or data or (5) company policies on the use of social media and disclosure of confidential information.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our information technology systems and those of our CROs, manufacturers, contractors and consultants. Our internal computer systems, such as our enterprise resource planning (“ERP”) system,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data or personal data, which could result in additional costs, loss of revenue, significant liabilities, harm to our reputation and material disruption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telecommunication and electrical failures, and attacks enhanced or facilitated by AI.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operate our ERP system and other key business systems on SaaS platforms. Accordingly, we depend on these systems, and the third-party providers of these services, for several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 Additionally, sensitive data of the Company could be leaked, disclosed, or revealed as a result of or in connection with our employees’, personnel’s, or vendors’ use of generative AI technologies. The increasing adoption of AI tools and platforms introduces additional risks, including the potential for unauthorized access to proprietary information, generation of inaccurate or misleading content, and exposure to new cybersecurity threats. AI-generated outputs may also inadvertently violate regulatory requirements or intellectual property rights, which could result in legal liability or reputational harm. As AI technologies evolve rapidly, it may be challenging to anticipate and mitigate all associated risks, and our existing controls may not be sufficient to address emerging threats. Any failure to effectively manage AI-related risks could have a material adverse effect on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previously conducted preclinical research and development activities in China through BioDuro-Sundia, which is U.S. owned, but governed by Chinese laws, rules and regulations, and we may in the future conduct similar research and development activities in China. Additionally, our agreement with Himalaya Therapeutics Limited Company is for the initiation of clinical trials of evalstotug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do some business with companies in China, and it is possible some of our contractual counterparties could be impacted by the legislation targeting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the bill titled the BIOSECURE Act, which was recently signed into law in December 2025, that prohibits U.S. federal agencies from entering into or renewing any contract with any entity that uses biotechnology equipment or services produced or provided by a “biotechnology company of concern” to perform that contract as well as authorize the U.S. government to name additional Chinese “biotechnology companies of concern.” The BIOSECURE Act also prohibits U.S. government loan and grant recipients from using federal loan or grant money to enter into contracts with entities that use equipment from “biotechnology companies of concern” in the performance of any federal prime contract or subcontract. The Office of Management and Budget (“OMB”) of the U.S. Government will issue a list of “biotechnology companies of concern,” which will include certain companies that are identified on the U.S. Department of Defense’s annual List of Chinese Military Companies, also known as the 1260H List, other entities which the U.S. Government has deemed as such pursuant to a separate designation process, and certain subsidiary, parent, and successor entities of the foregoing. We are currently party to agreements with WuXi Biologics and WuXi XDC Hong Kong for certain development and manufacturing services. WuXi AppTec is currently designated on the 1260H List, but neither WuXi Biologics nor WuXi XDC Hong Kong are currently designated on the 1260H List. WuXi Biologics was previously explicitly named as a “biotechnology company of concern” in prior versions of the BIOSECURE Act.” In addition, the BIOSECURE Act provides a grandfathering period of five years for entities that are designated by the U.S. Government; however, entities identified on the 1260H List are not eligible for such grandfathering period. It is possible for the legislation to be amended. If this law, or similar laws that are passed impact Chinese biotechnology manufacturing companies that may be or may become contractors of ours or provide biotechnology equipment or services in the manufacture of our products or products candidates, we may be restricted in our ability to work with such Chinese biotechnology manufacturing companies to the extent we would contract with, or otherwise receive funding from, the U.S. government. As a result, we may need to seek alternative CMO relationships. While we believe we will be able to identify and contract with such alternative CMOs, we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packaging and other services being interrupted or limited, which could harm our business.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operations are concentrated in one location. We or the third parties upon whom we depend may be adversely affected by earthquakes, wildfires or other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current operations are located in our facilities in San Diego, California, we have in the past conducted and may in the future conduct a portion of our research and development activities in other countries.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from a master cell bank which are stored in multiple locations to reduce the risk of loss. While we believe we will have adequate backup should any cell bank be lost in a catastrophic event, and we take precautions when transporting our cell banks, it is possible that we could lose several cell banks and have our manufacturing severely impacted by the need to replace the cell banks.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subject to economic, political, regulatory and other risks associated with conducting business internationally.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our collaborators or licensees may seek regulatory approval of our product candidates outside of the United States including in China, the EU,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and reimbursement regimes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Furthermore, changes in laws or policies governing the terms of trade, and in particular increased trade restrictions, tariffs or taxes on imports from countries where we manufacture products, such as China, could have a material adverse effect on our business and financial results. The impact of these tariffs is subject to several factors, including the effective date and duration of such tariffs, changes in the amount, scope and nature of the tariffs in the future, any retaliatory responses to such actions that the target countries may take and any mitigating actions that may become available. Under the current U.S. administration, there is significant and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increasing uncertainty about the future relationship between the United States, China, and other exporting countries, including with respect to trade policies, treaties, government regulations, and tariffs. On April 9, 2025, President Trump announced a pause to previously announced tariffs on most countries for 90 days while the United States works with its trade partners to negotiate new trade agreements. On May 12, 2025, a new executive order was issued by President Trump to (i) suspend the previously imposed 34% reciprocal tariff on imports from China for a period of 90 days, through approximately August 12, 2025; (ii) eliminate the retaliatory tariff increases imposed on April 8 and April 9, which had raised the reciprocal tariff rate from 34% to 125%; and (iii) reinstate the 10% baseline tariff on imports originating from China, Hong Kong, and Macau for the duration of the 90-day period. On July 7, 2025, President Trump delayed imposition of new tariff rates until August 1, 2025, and sent letters to leaders of 14 countries with warnings that new higher tariff rates will come into effect unless they reach a trade agreement with the United States by August 1, 2025. Effective as of August 7, 2025, the United States implemented additional “reciprocal” duties on most imports, generally ranging from 15% to 40%. Notably with respect to China, the temporary 10% reciprocal rate was extended for an additional 90 days on August 12, 2025 through November 10, 2025, so Chinese-origin goods remain subject to the 10% reciprocal tariff (in addition to other applicable duties).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Despite recent trade negotiations between the U.S. and the Mexican, Canadian and Chinese governments, given the uncertainty regarding the scope and duration of any new tariffs, as well as the potential for additional tariffs or trade barriers by the U.S., Mexico, Canada, China or other countries, we can provide no assurance that any strategies we implement to mitigate the impact of such tariffs or other trade actions will be successful.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Additionally, geopolitical tensions and disruptions, such as the ongoing conflict between Russia and Ukraine, the wars between Israel and the terrorist groups Hamas and Hezbollah and escalating conflict and tensions with Iran, could impact our current and future international operations or our ability to seek approval of our product candidates outside of the United States. It is not possible to predict the broader consequences of these conflicts, which could include further sanctions, embargoes, greater regional instability, geopolitical shifts and other adverse effects on macroeconomic conditions, such as tariffs and trade disputes with other countries, inflation, rising interest rates, currency exchange rates, supply chain challenges and financial market conditions. These and other risks associated with our international operations may materially adversely affect our ability to attain or maintain profitable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risks related to health epidemics and outbreaks, which could significantly disrupt our preclinical studies, affect enrollment of patients in our clinical trials or delay or prevent our receipt of necessary regulatory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Health pandemics in the past have resulted in, and in the future may result in, governments implementing numerous containment measures, such as travel bans and restrictions, particularly quarantines, shelter-in-place or total lock-down orders and business limitations and shutdowns.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are following, and plan to continue to follow, recommendations from federal, state and local governments regarding workplace policies, practices and procedures. We are complying with all applicable guidelines for our clinical trials, including remote clinical monitoring.</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health epidemics in the past have had, and in the future may have, a severe effect on the clinical trials of many drug candidates of several sponsors. The extent to which any future health epidemics may impact our preclinical and clinical trial operations is uncertain and will depend on future developments.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an outbreak may affect their ability to devote sufficient time and resources to our programs or to travel to sites to perform work for us. Similarly,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entered, and may in the future seek to enter, into collaborations with third parties for the development and commercialization of certain of our product candidates. If we fail to enter into such collaborations, or such collaborations are not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successful, we may not be able to capitalize on the market potential of our patented technology platform and resulting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and may in the future seek to enter, into collaborations with third parties for the development and commercialization of certain of our product candidates. For example, in September 2024 we entered into an agreement to license BA3362, a Nectin-4 x CD3 T cell engaging (“TCE”) bispecific CAB antibody to Context Therapeutics, and subsequently amended this license in May 2026. In addition, we are currently exploring potential third-party collaborators for development and commercialization of select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existing collaboration arrangements currently pose, and future collaborations involving our product candidates will pose, the following risks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with respect to the ownership of any intellectual property developed pursuant to our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this may result in a need for additional capital to pursue further development or commercialization of the applicable current or future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sales and marketing activities or other operations may not be in compliance with applicable laws resulting in civil or criminal proceedings.</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establishing commercialization collaborations, which could adversely affect our ability to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evaluate and, if strategically attractive, seek to enter into additional collaborations, including with major biotechnology or biopharmaceutical companies. The competition for collaborators is intense, and such arrangements are complex and time-consuming to negotiate, document, and implement and they may require substantial resources to maintain.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 availability of suitable animals can vary and impact our development timelines and cost.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apply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reduction or termination of production or deliveries by suppliers, or the raising of prices or renegotiation of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termination or nonrenewal of arrangements or agreements by our third-party contractors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breach by the third-party contractors of our agreements with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third-party contractors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mislabeling of clinical supplies, potentially resulting in the wrong dose amounts being supplied or active drug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misappropriation of our proprietary information, including our trade secrets and know-how.</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All of our therapeutic antibodies are manufactured by starting with cells from a cell bank. In accordance with cGMPs, we produce one master cell bank for each antibody manufactured, which is then stored in multiple locations to reduce the risk of loss. We have also created a working cell bank for certain manufactured antibodies.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obtain, maintain, protect and enforce intellectual property protection for our technologies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or may not be able to make, use or sell compounds that are the same as or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existing or future collaborators are the first to make the inventions covered by each of our issued patents and pending patent applications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existing or future collaborators are the first to file patent applications covering certain aspects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 party may not challenge our patents and, if challenged, that a court would hold that our patents are valid, enforceable and infringed.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issued patents that we own or have licensed will provide us with any competitive advantage, or will not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develop or in-license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that we own or may license will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will not have a material or adverse effect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do not conduct research and development activities in countries where we do not have enforceable patent rights and then use the information learned from such activities to develop competitive products for sale in our commercial markets.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terms of our patents may not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2040, subject to any additional patent extensions that may be available for such patents. If patents are issued on our pending patent applications, the resulting patents are projected to expire on dates ranging from 2030 to 2044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obtain patent term extension for our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patent reform legislation could increase the uncertainties and costs surrounding the prosecution of our patent applications and the enforcement or defense of our issued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2011, the Leahy-Smith America Invents Act, or Leahy-Smith Act, was signed into law. The Leahy-Smith Act includes several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filed or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Leahy-Smith Act also includes several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laws in other countries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For example, the U.S. Supreme Court has ruled on several patent cases in recent years, sometimes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companies or organizations may challenge our or our licensors’ patent rights or may assert patent rights that prevent us from developing and commercializing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inter partes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pStyle w:val="TextBody"/>
        <w:bidi w:val="0"/>
        <w:spacing w:before="216" w:after="283"/>
        <w:jc w:val="left"/>
        <w:rPr>
          <w:rFonts w:ascii="Times New Roman" w:hAnsi="Times New Roman"/>
          <w:sz w:val="20"/>
        </w:rPr>
      </w:pPr>
      <w:r>
        <w:rPr>
          <w:rFonts w:ascii="Times New Roman" w:hAnsi="Times New Roman"/>
          <w:color w:val="000000"/>
          <w:sz w:val="20"/>
        </w:rPr>
        <w:t xml:space="preserve">We generally file a provisional patent application first (a priority filing) at the USPTO. An international application under the Patent Cooperation Treaty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Times New Roman" w:hAnsi="Times New Roman"/>
          <w:i/>
          <w:color w:val="000000"/>
          <w:sz w:val="20"/>
        </w:rPr>
        <w:t>inter alia</w:t>
      </w:r>
      <w:r>
        <w:rPr>
          <w:rFonts w:ascii="Times New Roman" w:hAnsi="Times New Roman"/>
          <w:color w:val="000000"/>
          <w:sz w:val="20"/>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The laws of some jurisdictions do not protect intellectual property rights to the same extent as the laws in the United States, and many companies have encountered significant difficulties in protecting and defending such rights in such jurisdictions. The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litigation could cause us to spend substantial resources and distract our personnel from their normal responsibilities.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our product candidates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several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operating results may fluctuate significantly or may fall below the expectations of investors or securities analysts, each of which may cause our stock price to fluctuate or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annual and quarterly fluctuations. Our net loss and other operating results will be affected by numerous factors,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the level of expense related to the ongoing development of our product candidates or future development programs;</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preclinical studies and clinical trials, or the addition or 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existing collaborations and any potential additional collaborations, licensing or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regulatory approval, the terms of such approval and market acceptance and demand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our product candidates or those of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our operating results fall below the expectations of investors or securities analysts, the price of our common stock could decline substantially. Furthermore, any fluctuations in our operating results may, in turn, cause the price of our stock to fluctuate substantially.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stock price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and is likely to continue to be highly volatile. The market price for our common stock may be influenced by many factors, including the other risks described in this section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our clinical trials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 especially changes in laws or regulations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introductions and announcements of new products by us, our current or future collaborators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new collaboration agreements, or the restructuring or termination of current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regulatory authorities with respect to our products, preclinical studies, clinical trials,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efforts to acquire or in-license additional technologies,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any future collaborations, including those regarding manufacturing, supply and commercialization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earnings estimates or changes in stock market analysts’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or the failure of our competitors to meet analysts’ projections or guidance that we or our competitors may give to the market;</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and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concentrated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terrorist acts, acts of war or periods of widespread civil unrest;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natural disasters or public health emergencies;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future issuance of equity or of debt securities that are convertible into equity will dilute our share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On December 19, 2024, we completed a registered direct offering (the “Registered Direct Offering”) with certain institutional investors, where we issued an aggregate of (a) 193,581 shares of our common stock and (b) warrants to purchase 193,581 shares of our common stock (the “Warrants”). The Warrants became exercisable on June 20, 2025 at an initial exercise price of $59.50 per share, subject to certain adjustments including for reverse stock splits and share consolidations. As a result of the April 6, 2026 Share Consolidation, the exercise price of the warrants was adjusted to $4.35 per share. Once the Warrants are exercised, the issuance of additional shares of our common stock would cause immediate and substantial dilution to our existing shareholders and could cause a significant reduction in the market price of our common stock.</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November 2025, we entered into the PPAs and the SEPA (each as defined herein). The issuances of the PPA Shares (as defined herein) to date caused immediate and substantial dilution to our existing shareholders. In addition, any future issuances of SEPA Shares (as defined herein) may cause immediate and substantial dilution to our existing shareholders and could cause a significant reduction in the market price of our common stock.</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adverse or misleading research or reports regarding us, our business or our market,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executive officers and directors, together with holders of 5% or more of our outstanding common stock and their respective affiliates, beneficially own approximately 26.1% of our outstanding common stock. More specifically, Jay M. Short, Ph.D, our Chairman and Chief Executive Officer, together with his spouse, beneficially own approximately 5.4%, of our outstanding common stock, as of June 30, 2026.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We registered the offer and sale of all shares of common stock that we may issue under our equity compensation plans, which shares will be able to be sold in the public market upon issuance, subject to applicable securities laws.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be called only by the chairman of our board of directors, our chief executive officer, or our board of directors pursuant to a resolution adopted by a majority of the total number of authorized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election to our board of directors and for proposing matters that can be acted upon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directors may only be removed “for cause” and only with 66 2/3% voting stock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only the board of directors may change the number of directors and fill vacancies on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division of our board of directors into three classes, serving staggered terms of three years each;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with such terms as the board of directors may determine.</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Company’s ability to attract and retain qualified members of our board of directors may be impacted due to new laws, including recently enacted diversity quotas.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2018, California enacted SB 826 (“SB 826”) requiring public companies headquartered in California with a board of directors having five members to have at least two female directors, and public company boards with six or more members to have at least three female directors. SB 826 has been challenged in legal proceedings and on May 13, 2022, the Superior Court of California for the County of Los Angeles entered an order striking down SB 826, holding that the statute violates the Equal Protection Clause of the California Constitution. The California Secretary of State has appealed the order and such appeal is currently pending. On September 16, 2022, the appellate court ruled to temporarily stay enforcement of the trial court’s order, which prevented the California Secretary of State from collecting diversity data on corporate disclosure forms pursuant to SB 826,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However, ultimate enforceability of SB 826 remains uncertain.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September 2020, California enacted AB 979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 On April 1, 2022, the Superior Court of California for the County of Los Angeles entered an order striking down AB 979, holding that the statute violates the Equal Protection Clause of the California Constitution. On June 6, 2022, a notice of appeal was filed. On September 16, 2022, the appellate court ruled to temporarily stay enforcement of the trial court’s order, which prevented the California Secretary of State from collecting diversity data on corporate disclosure forms pursuant to AB 979,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In June 2023, the federal district court for the Eastern District of California granted the plaintiffs a summary judgment and determined that AB 979 was unconstitutional on its face. The Eastern District of California’s decision is currently on appeal. Litigation regarding AB 979 will continue.</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evolving state laws or Nasdaq rules, which may expose us to penalties and/or reputational harm.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including obtaining director and officer liability insurance and maintaining such coverage, more time-consuming and costly.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addition, as a public company, we are required to incur costs and obligations in order to comply with SEC rules that implement Section 404 of the Sarbanes-Oxley Act. Currently, as a smaller reporting company and a non-accelerated filer, we can take advantage of exemptions from various reporting requirements, including not being required to comply with the auditor attestation requirements of Section 404 of the Sarbanes-Oxley Act, reduced disclosure obligations regarding executive compensation in our annual report, periodic reports and proxy statements and providing only two years of audited financial statements in our annual report and periodic reports. Under the SEC rules, we are required to make a formal assessment of the effectiveness of our internal control over 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dedicated, and will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Capital Market.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your ability to achieve a return on your investment will depend on appreciation of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our management’s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pStyle w:val="TextBody"/>
        <w:bidi w:val="0"/>
        <w:spacing w:before="360" w:after="283"/>
        <w:jc w:val="left"/>
        <w:rPr>
          <w:rFonts w:ascii="Times New Roman" w:hAnsi="Times New Roman"/>
          <w:b/>
          <w:color w:val="000000"/>
          <w:sz w:val="20"/>
        </w:rPr>
      </w:pPr>
      <w:bookmarkStart w:id="15" w:name="ii_item2"/>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i_item3"/>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i_item4"/>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i_item5"/>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First Amendment to EXUMA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2026 (the “Effective Date”), we entered into the First Amendment (the “First Amendment”) to the Amended and Restated Exclusive License Agreement, dated November 22, 2019 (the “EXUMA License Agreement”), with EXUMA Biotech Corp. (formerly F1 Oncology, Inc.), a Delaware corporation (“EXUMA”), covering certain CAR-T therapies. Under the terms of the First Amendment, and in full consideration for the license and other rights granted by the Company under the EXUMA License Agreement, EXUMA has agreed to pay us $250,000 in immediately available funds within two (2) business days of the Effective Date (the “Amendment Pay-Off Amount”). The Amendment Pay-Off Amount satisfies in full any and all royalty payment obligations contemplated by the EXUMA License Agreement. Under the terms of the First Amendment, the exclusive license granted to EXUMA under the EXUMA License Agreement is amended to be royalty-free, fully paid-up, irrevocable, perpetual and non-terminable, and EXUMA shall be responsible for all Joint Patent (as defined in the EXUMA License Agreement) costs, whether currently outstanding or due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above description of the First Amendment is qualified in its entirety by reference to the full text of the First Amendment, a copy of which will be filed as an exhibit to the Company’s Quarterly Report on Form 10-Q for the quarter ending September 30, 2026.</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b/>
          <w:color w:val="000000"/>
          <w:sz w:val="20"/>
        </w:rPr>
      </w:pPr>
      <w:bookmarkStart w:id="19" w:name="ii_item6"/>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14"/>
        <w:gridCol w:w="146"/>
        <w:gridCol w:w="5817"/>
        <w:gridCol w:w="511"/>
        <w:gridCol w:w="672"/>
        <w:gridCol w:w="631"/>
        <w:gridCol w:w="726"/>
        <w:gridCol w:w="988"/>
      </w:tblGrid>
      <w:tr>
        <w:trPr/>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714"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1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7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Filing Date</w:t>
            </w:r>
          </w:p>
        </w:tc>
        <w:tc>
          <w:tcPr>
            <w:tcW w:w="98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File/Furnished Herewith</w:t>
            </w:r>
          </w:p>
        </w:tc>
      </w:tr>
      <w:tr>
        <w:trPr/>
        <w:tc>
          <w:tcPr>
            <w:tcW w:w="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First Amendment to the License Agreement between BioAtla, Inc. and Context Therapeutics Inc., dated as of May 14, 2026</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001-39787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05-15-2026</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cab-ex31_1.htm">
              <w:r>
                <w:rPr>
                  <w:rStyle w:val="InternetLink"/>
                  <w:rFonts w:ascii="Times New Roman" w:hAnsi="Times New Roman"/>
                  <w:color w:val="0000FF"/>
                  <w:sz w:val="20"/>
                  <w:u w:val="single"/>
                </w:rPr>
                <w:t>Certification of Chief Executive Officer Pursuant to Rules 13a-14(a) and 15d-14(a)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cab-ex31_2.htm">
              <w:r>
                <w:rPr>
                  <w:rStyle w:val="InternetLink"/>
                  <w:rFonts w:ascii="Times New Roman" w:hAnsi="Times New Roman"/>
                  <w:color w:val="0000FF"/>
                  <w:sz w:val="20"/>
                  <w:u w:val="single"/>
                </w:rPr>
                <w:t>Certification of Chief Financial Officer Pursuant to Rules 13a-14(a) and 15d-14(a)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cab-ex32_1.htm">
              <w:r>
                <w:rPr>
                  <w:rStyle w:val="InternetLink"/>
                  <w:rFonts w:ascii="Times New Roman" w:hAnsi="Times New Roman"/>
                  <w:color w:val="0000FF"/>
                  <w:sz w:val="20"/>
                  <w:u w:val="single"/>
                </w:rPr>
                <w:t>Certification of Chief Executive Officer and Chief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Amendment No. 1 to Agreement and Plan of Merger, dated as of March 2, 2026, by and between BioAtla, Inc. and BA Merger Sub,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001-39787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03-02-2026</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center"/>
              <w:rPr/>
            </w:pPr>
            <w:r>
              <w:rPr/>
              <w:t> </w:t>
            </w:r>
          </w:p>
        </w:tc>
      </w:tr>
      <w:tr>
        <w:trPr/>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BioAtla’s Quarterly Report on Form 10-Q for the quarter ended June 30, 2026, formatted in iXBRL (inline eXtensible Business Reporting Language): (i) the Condensed Balance Sheets, (ii) the Condensed Statements of Operations and Comprehensive Income (Loss), (iii) the Condensed Statements of Stockholders’ Equity (Deficit), (iv) the Condensed Statements of Cash Flows, and (v) Notes to Condensed Financial Statements, tagged as blocks of text and including detailed tags.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document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and not filed.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Portions of this exhibit have been omitted or redacted in accordance with Item 601(a)(5) or Item 601(b)(10)(iv) of Regulation S-K.</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02" w:type="dxa"/>
        <w:jc w:val="left"/>
        <w:tblInd w:w="0" w:type="dxa"/>
        <w:tblLayout w:type="fixed"/>
        <w:tblCellMar>
          <w:top w:w="28" w:type="dxa"/>
          <w:left w:w="28" w:type="dxa"/>
          <w:bottom w:w="28" w:type="dxa"/>
          <w:right w:w="28" w:type="dxa"/>
        </w:tblCellMar>
      </w:tblPr>
      <w:tblGrid>
        <w:gridCol w:w="1951"/>
        <w:gridCol w:w="109"/>
        <w:gridCol w:w="406"/>
        <w:gridCol w:w="383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BioAtla,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Jay M. Short,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70"/>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ind w:left="0" w:right="0" w:firstLine="7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ind w:left="0" w:right="0" w:firstLine="70"/>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Christian Vasquez</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Christian Vasquez</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70"/>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ind w:left="0" w:right="0" w:firstLine="7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ind w:left="0" w:right="0" w:firstLine="70"/>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bookmarkStart w:id="21" w:name="bcab-ex31_1.htm"/>
      <w:bookmarkStart w:id="22" w:name="ksbcab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Jay M. Short,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BioAtla,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87" w:type="dxa"/>
        <w:jc w:val="left"/>
        <w:tblInd w:w="0" w:type="dxa"/>
        <w:tblLayout w:type="fixed"/>
        <w:tblCellMar>
          <w:top w:w="28" w:type="dxa"/>
          <w:left w:w="28" w:type="dxa"/>
          <w:bottom w:w="28" w:type="dxa"/>
          <w:right w:w="28" w:type="dxa"/>
        </w:tblCellMar>
      </w:tblPr>
      <w:tblGrid>
        <w:gridCol w:w="1951"/>
        <w:gridCol w:w="109"/>
        <w:gridCol w:w="406"/>
        <w:gridCol w:w="312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Jay M. Short,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bcab-ex31_2.htm"/>
      <w:bookmarkStart w:id="24" w:name="ksbcab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sz w:val="20"/>
        </w:rPr>
      </w:pPr>
      <w:r>
        <w:rPr>
          <w:rFonts w:ascii="Times New Roman" w:hAnsi="Times New Roman"/>
          <w:b/>
          <w:color w:val="000000"/>
          <w:sz w:val="20"/>
        </w:rPr>
        <w:t>CERTIFICATION OF CHIEF FINANCIAL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Christian Vasquez,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BioAtla,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32" w:type="dxa"/>
        <w:jc w:val="left"/>
        <w:tblInd w:w="0" w:type="dxa"/>
        <w:tblLayout w:type="fixed"/>
        <w:tblCellMar>
          <w:top w:w="28" w:type="dxa"/>
          <w:left w:w="28" w:type="dxa"/>
          <w:bottom w:w="28" w:type="dxa"/>
          <w:right w:w="28" w:type="dxa"/>
        </w:tblCellMar>
      </w:tblPr>
      <w:tblGrid>
        <w:gridCol w:w="1951"/>
        <w:gridCol w:w="109"/>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Christian Vasquez</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Christian Vasquez</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bcab-ex32_1.htm"/>
      <w:bookmarkStart w:id="26" w:name="ksbcab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BioAtla, Inc. (the “Company”) on Form 10-Q for the period ending June 30, 2026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1951"/>
        <w:gridCol w:w="109"/>
        <w:gridCol w:w="406"/>
        <w:gridCol w:w="254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Jay M. Short,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70"/>
              <w:jc w:val="left"/>
              <w:rPr>
                <w:sz w:val="4"/>
                <w:szCs w:val="4"/>
              </w:rPr>
            </w:pPr>
            <w:r>
              <w:rPr>
                <w:sz w:val="4"/>
                <w:szCs w:val="4"/>
              </w:rPr>
            </w:r>
          </w:p>
        </w:tc>
        <w:tc>
          <w:tcPr>
            <w:tcW w:w="2546" w:type="dxa"/>
            <w:tcBorders/>
            <w:shd w:fill="FFFFFF" w:val="clear"/>
            <w:tcMar>
              <w:top w:w="0" w:type="dxa"/>
              <w:left w:w="0" w:type="dxa"/>
              <w:bottom w:w="0" w:type="dxa"/>
              <w:right w:w="0" w:type="dxa"/>
            </w:tcMar>
            <w:vAlign w:val="center"/>
          </w:tcPr>
          <w:p>
            <w:pPr>
              <w:pStyle w:val="TableContents"/>
              <w:bidi w:val="0"/>
              <w:ind w:left="0" w:right="0" w:firstLine="7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ind w:left="0" w:right="0" w:firstLine="70"/>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6232" w:type="dxa"/>
        <w:jc w:val="left"/>
        <w:tblInd w:w="0" w:type="dxa"/>
        <w:tblLayout w:type="fixed"/>
        <w:tblCellMar>
          <w:top w:w="28" w:type="dxa"/>
          <w:left w:w="28" w:type="dxa"/>
          <w:bottom w:w="28" w:type="dxa"/>
          <w:right w:w="28" w:type="dxa"/>
        </w:tblCellMar>
      </w:tblPr>
      <w:tblGrid>
        <w:gridCol w:w="1951"/>
        <w:gridCol w:w="109"/>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Christian Vasquez</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Christian Vasquez</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892/000119312526226631/bcab-ex10_3.htm" TargetMode="External"/><Relationship Id="rId3" Type="http://schemas.openxmlformats.org/officeDocument/2006/relationships/hyperlink" Target="https://www.sec.gov/Archives/edgar/data/1826892/000153949726000812/exh1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64792</Words>
  <Characters>360154</Characters>
  <CharactersWithSpaces>424567</CharactersWithSpaces>
  <Paragraphs>4974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