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2"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67"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 w:lineRule="exact"/>
        <w:rPr>
          <w:sz w:val="24"/>
          <w:szCs w:val="24"/>
          <w:color w:val="auto"/>
        </w:rPr>
      </w:pPr>
    </w:p>
    <w:p>
      <w:pPr>
        <w:ind w:left="3400"/>
        <w:spacing w:after="0"/>
        <w:tabs>
          <w:tab w:leader="none" w:pos="6700" w:val="left"/>
          <w:tab w:leader="none" w:pos="7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BIOATLA,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1" w:lineRule="exact"/>
        <w:rPr>
          <w:sz w:val="24"/>
          <w:szCs w:val="24"/>
          <w:color w:val="auto"/>
        </w:rPr>
      </w:pPr>
    </w:p>
    <w:tbl>
      <w:tblPr>
        <w:tblLayout w:type="fixed"/>
        <w:tblInd w:w="120" w:type="dxa"/>
        <w:tblCellMar>
          <w:top w:w="0" w:type="dxa"/>
          <w:left w:w="0" w:type="dxa"/>
          <w:bottom w:w="0" w:type="dxa"/>
          <w:right w:w="0" w:type="dxa"/>
        </w:tblCellMar>
      </w:tblPr>
      <w:tr>
        <w:trPr>
          <w:trHeight w:val="194"/>
        </w:trPr>
        <w:tc>
          <w:tcPr>
            <w:tcW w:w="4680" w:type="dxa"/>
            <w:vAlign w:val="bottom"/>
            <w:gridSpan w:val="4"/>
          </w:tcPr>
          <w:p>
            <w:pPr>
              <w:jc w:val="center"/>
              <w:ind w:left="862"/>
              <w:spacing w:after="0"/>
              <w:rPr>
                <w:sz w:val="20"/>
                <w:szCs w:val="20"/>
                <w:color w:val="auto"/>
              </w:rPr>
            </w:pPr>
            <w:r>
              <w:rPr>
                <w:rFonts w:ascii="Arial" w:cs="Arial" w:eastAsia="Arial" w:hAnsi="Arial"/>
                <w:sz w:val="16"/>
                <w:szCs w:val="16"/>
                <w:b w:val="1"/>
                <w:bCs w:val="1"/>
                <w:color w:val="auto"/>
                <w:w w:val="93"/>
              </w:rPr>
              <w:t>Delaware</w:t>
            </w:r>
          </w:p>
        </w:tc>
        <w:tc>
          <w:tcPr>
            <w:tcW w:w="1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2"/>
          </w:tcPr>
          <w:p>
            <w:pPr>
              <w:jc w:val="right"/>
              <w:ind w:right="2183"/>
              <w:spacing w:after="0"/>
              <w:rPr>
                <w:sz w:val="20"/>
                <w:szCs w:val="20"/>
                <w:color w:val="auto"/>
              </w:rPr>
            </w:pPr>
            <w:r>
              <w:rPr>
                <w:rFonts w:ascii="Arial" w:cs="Arial" w:eastAsia="Arial" w:hAnsi="Arial"/>
                <w:sz w:val="16"/>
                <w:szCs w:val="16"/>
                <w:b w:val="1"/>
                <w:bCs w:val="1"/>
                <w:color w:val="auto"/>
              </w:rPr>
              <w:t>85-1922320</w:t>
            </w:r>
          </w:p>
        </w:tc>
        <w:tc>
          <w:tcPr>
            <w:tcW w:w="0" w:type="dxa"/>
            <w:vAlign w:val="bottom"/>
          </w:tcPr>
          <w:p>
            <w:pPr>
              <w:spacing w:after="0"/>
              <w:rPr>
                <w:sz w:val="1"/>
                <w:szCs w:val="1"/>
                <w:color w:val="auto"/>
              </w:rPr>
            </w:pPr>
          </w:p>
        </w:tc>
      </w:tr>
      <w:tr>
        <w:trPr>
          <w:trHeight w:val="148"/>
        </w:trPr>
        <w:tc>
          <w:tcPr>
            <w:tcW w:w="4680" w:type="dxa"/>
            <w:vAlign w:val="bottom"/>
            <w:gridSpan w:val="4"/>
          </w:tcPr>
          <w:p>
            <w:pPr>
              <w:jc w:val="center"/>
              <w:ind w:left="862"/>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80" w:type="dxa"/>
            <w:vAlign w:val="bottom"/>
            <w:gridSpan w:val="2"/>
          </w:tcPr>
          <w:p>
            <w:pPr>
              <w:jc w:val="center"/>
              <w:ind w:right="1923"/>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680" w:type="dxa"/>
            <w:vAlign w:val="bottom"/>
            <w:gridSpan w:val="4"/>
          </w:tcPr>
          <w:p>
            <w:pPr>
              <w:jc w:val="center"/>
              <w:ind w:left="862"/>
              <w:spacing w:after="0"/>
              <w:rPr>
                <w:sz w:val="20"/>
                <w:szCs w:val="20"/>
                <w:color w:val="auto"/>
              </w:rPr>
            </w:pPr>
            <w:r>
              <w:rPr>
                <w:rFonts w:ascii="Arial" w:cs="Arial" w:eastAsia="Arial" w:hAnsi="Arial"/>
                <w:sz w:val="14"/>
                <w:szCs w:val="14"/>
                <w:b w:val="1"/>
                <w:bCs w:val="1"/>
                <w:color w:val="auto"/>
                <w:w w:val="93"/>
              </w:rPr>
              <w:t>incorporation or organization)</w:t>
            </w:r>
          </w:p>
        </w:tc>
        <w:tc>
          <w:tcPr>
            <w:tcW w:w="1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2"/>
          </w:tcPr>
          <w:p>
            <w:pPr>
              <w:jc w:val="center"/>
              <w:ind w:right="1943"/>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73"/>
        </w:trPr>
        <w:tc>
          <w:tcPr>
            <w:tcW w:w="4680" w:type="dxa"/>
            <w:vAlign w:val="bottom"/>
            <w:gridSpan w:val="4"/>
          </w:tcPr>
          <w:p>
            <w:pPr>
              <w:jc w:val="center"/>
              <w:ind w:left="862"/>
              <w:spacing w:after="0"/>
              <w:rPr>
                <w:sz w:val="20"/>
                <w:szCs w:val="20"/>
                <w:color w:val="auto"/>
              </w:rPr>
            </w:pPr>
            <w:r>
              <w:rPr>
                <w:rFonts w:ascii="Arial" w:cs="Arial" w:eastAsia="Arial" w:hAnsi="Arial"/>
                <w:sz w:val="16"/>
                <w:szCs w:val="16"/>
                <w:b w:val="1"/>
                <w:bCs w:val="1"/>
                <w:color w:val="auto"/>
                <w:w w:val="92"/>
              </w:rPr>
              <w:t>11085 Torreyana Road, San Diego, California</w:t>
            </w:r>
          </w:p>
        </w:tc>
        <w:tc>
          <w:tcPr>
            <w:tcW w:w="1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80" w:type="dxa"/>
            <w:vAlign w:val="bottom"/>
            <w:gridSpan w:val="2"/>
          </w:tcPr>
          <w:p>
            <w:pPr>
              <w:jc w:val="right"/>
              <w:ind w:right="2363"/>
              <w:spacing w:after="0"/>
              <w:rPr>
                <w:sz w:val="20"/>
                <w:szCs w:val="20"/>
                <w:color w:val="auto"/>
              </w:rPr>
            </w:pPr>
            <w:r>
              <w:rPr>
                <w:rFonts w:ascii="Arial" w:cs="Arial" w:eastAsia="Arial" w:hAnsi="Arial"/>
                <w:sz w:val="16"/>
                <w:szCs w:val="16"/>
                <w:b w:val="1"/>
                <w:bCs w:val="1"/>
                <w:color w:val="auto"/>
              </w:rPr>
              <w:t>92121</w:t>
            </w:r>
          </w:p>
        </w:tc>
        <w:tc>
          <w:tcPr>
            <w:tcW w:w="0" w:type="dxa"/>
            <w:vAlign w:val="bottom"/>
          </w:tcPr>
          <w:p>
            <w:pPr>
              <w:spacing w:after="0"/>
              <w:rPr>
                <w:sz w:val="1"/>
                <w:szCs w:val="1"/>
                <w:color w:val="auto"/>
              </w:rPr>
            </w:pPr>
          </w:p>
        </w:tc>
      </w:tr>
      <w:tr>
        <w:trPr>
          <w:trHeight w:val="186"/>
        </w:trPr>
        <w:tc>
          <w:tcPr>
            <w:tcW w:w="4680" w:type="dxa"/>
            <w:vAlign w:val="bottom"/>
            <w:gridSpan w:val="4"/>
          </w:tcPr>
          <w:p>
            <w:pPr>
              <w:jc w:val="center"/>
              <w:ind w:left="8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2"/>
          </w:tcPr>
          <w:p>
            <w:pPr>
              <w:jc w:val="center"/>
              <w:ind w:right="1943"/>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28"/>
        </w:trPr>
        <w:tc>
          <w:tcPr>
            <w:tcW w:w="7740" w:type="dxa"/>
            <w:vAlign w:val="bottom"/>
            <w:gridSpan w:val="8"/>
          </w:tcPr>
          <w:p>
            <w:pPr>
              <w:jc w:val="center"/>
              <w:ind w:left="3182"/>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4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jc w:val="center"/>
              <w:ind w:right="244"/>
              <w:spacing w:after="0"/>
              <w:rPr>
                <w:sz w:val="20"/>
                <w:szCs w:val="20"/>
                <w:color w:val="auto"/>
              </w:rPr>
            </w:pPr>
            <w:r>
              <w:rPr>
                <w:rFonts w:ascii="Arial" w:cs="Arial" w:eastAsia="Arial" w:hAnsi="Arial"/>
                <w:sz w:val="16"/>
                <w:szCs w:val="16"/>
                <w:b w:val="1"/>
                <w:bCs w:val="1"/>
                <w:color w:val="auto"/>
                <w:w w:val="93"/>
              </w:rPr>
              <w:t>(858) 558-0708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740" w:type="dxa"/>
            <w:vAlign w:val="bottom"/>
            <w:gridSpan w:val="8"/>
          </w:tcPr>
          <w:p>
            <w:pPr>
              <w:jc w:val="center"/>
              <w:ind w:left="318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4680" w:type="dxa"/>
            <w:vAlign w:val="bottom"/>
            <w:gridSpan w:val="4"/>
            <w:vMerge w:val="restart"/>
          </w:tcPr>
          <w:p>
            <w:pPr>
              <w:jc w:val="center"/>
              <w:ind w:right="960"/>
              <w:spacing w:after="0"/>
              <w:rPr>
                <w:sz w:val="20"/>
                <w:szCs w:val="20"/>
                <w:color w:val="auto"/>
              </w:rPr>
            </w:pPr>
            <w:r>
              <w:rPr>
                <w:rFonts w:ascii="Arial" w:cs="Arial" w:eastAsia="Arial" w:hAnsi="Arial"/>
                <w:sz w:val="14"/>
                <w:szCs w:val="14"/>
                <w:b w:val="1"/>
                <w:bCs w:val="1"/>
                <w:color w:val="auto"/>
                <w:w w:val="89"/>
              </w:rPr>
              <w:t>Title of each class</w:t>
            </w:r>
          </w:p>
        </w:tc>
        <w:tc>
          <w:tcPr>
            <w:tcW w:w="3060" w:type="dxa"/>
            <w:vAlign w:val="bottom"/>
            <w:gridSpan w:val="4"/>
          </w:tcPr>
          <w:p>
            <w:pPr>
              <w:jc w:val="center"/>
              <w:ind w:right="1180"/>
              <w:spacing w:after="0"/>
              <w:rPr>
                <w:sz w:val="20"/>
                <w:szCs w:val="20"/>
                <w:color w:val="auto"/>
              </w:rPr>
            </w:pPr>
            <w:r>
              <w:rPr>
                <w:rFonts w:ascii="Arial" w:cs="Arial" w:eastAsia="Arial" w:hAnsi="Arial"/>
                <w:sz w:val="14"/>
                <w:szCs w:val="14"/>
                <w:b w:val="1"/>
                <w:bCs w:val="1"/>
                <w:color w:val="auto"/>
                <w:w w:val="93"/>
              </w:rPr>
              <w:t>Trading</w:t>
            </w:r>
          </w:p>
        </w:tc>
        <w:tc>
          <w:tcPr>
            <w:tcW w:w="440" w:type="dxa"/>
            <w:vAlign w:val="bottom"/>
          </w:tcPr>
          <w:p>
            <w:pPr>
              <w:spacing w:after="0"/>
              <w:rPr>
                <w:sz w:val="17"/>
                <w:szCs w:val="17"/>
                <w:color w:val="auto"/>
              </w:rPr>
            </w:pPr>
          </w:p>
        </w:tc>
        <w:tc>
          <w:tcPr>
            <w:tcW w:w="2840" w:type="dxa"/>
            <w:vAlign w:val="bottom"/>
          </w:tcPr>
          <w:p>
            <w:pPr>
              <w:jc w:val="center"/>
              <w:ind w:right="623"/>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4680" w:type="dxa"/>
            <w:vAlign w:val="bottom"/>
            <w:gridSpan w:val="4"/>
            <w:vMerge w:val="continue"/>
          </w:tcPr>
          <w:p>
            <w:pPr>
              <w:spacing w:after="0"/>
              <w:rPr>
                <w:sz w:val="16"/>
                <w:szCs w:val="16"/>
                <w:color w:val="auto"/>
              </w:rPr>
            </w:pPr>
          </w:p>
        </w:tc>
        <w:tc>
          <w:tcPr>
            <w:tcW w:w="3060" w:type="dxa"/>
            <w:vAlign w:val="bottom"/>
            <w:gridSpan w:val="4"/>
          </w:tcPr>
          <w:p>
            <w:pPr>
              <w:jc w:val="center"/>
              <w:ind w:right="1180"/>
              <w:spacing w:after="0"/>
              <w:rPr>
                <w:sz w:val="20"/>
                <w:szCs w:val="20"/>
                <w:color w:val="auto"/>
              </w:rPr>
            </w:pPr>
            <w:r>
              <w:rPr>
                <w:rFonts w:ascii="Arial" w:cs="Arial" w:eastAsia="Arial" w:hAnsi="Arial"/>
                <w:sz w:val="14"/>
                <w:szCs w:val="14"/>
                <w:b w:val="1"/>
                <w:bCs w:val="1"/>
                <w:color w:val="auto"/>
                <w:w w:val="88"/>
              </w:rPr>
              <w:t>Symbol(s)</w:t>
            </w:r>
          </w:p>
        </w:tc>
        <w:tc>
          <w:tcPr>
            <w:tcW w:w="440" w:type="dxa"/>
            <w:vAlign w:val="bottom"/>
          </w:tcPr>
          <w:p>
            <w:pPr>
              <w:spacing w:after="0"/>
              <w:rPr>
                <w:sz w:val="16"/>
                <w:szCs w:val="16"/>
                <w:color w:val="auto"/>
              </w:rPr>
            </w:pPr>
          </w:p>
        </w:tc>
        <w:tc>
          <w:tcPr>
            <w:tcW w:w="2840" w:type="dxa"/>
            <w:vAlign w:val="bottom"/>
          </w:tcPr>
          <w:p>
            <w:pPr>
              <w:jc w:val="center"/>
              <w:ind w:right="623"/>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$0.0001 par value per share</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2"/>
          </w:tcPr>
          <w:p>
            <w:pPr>
              <w:jc w:val="center"/>
              <w:ind w:right="820"/>
              <w:spacing w:after="0"/>
              <w:rPr>
                <w:sz w:val="20"/>
                <w:szCs w:val="20"/>
                <w:color w:val="auto"/>
              </w:rPr>
            </w:pPr>
            <w:r>
              <w:rPr>
                <w:rFonts w:ascii="Arial" w:cs="Arial" w:eastAsia="Arial" w:hAnsi="Arial"/>
                <w:sz w:val="16"/>
                <w:szCs w:val="16"/>
                <w:b w:val="1"/>
                <w:bCs w:val="1"/>
                <w:color w:val="auto"/>
                <w:w w:val="95"/>
              </w:rPr>
              <w:t>BCAB</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23"/>
              <w:spacing w:after="0"/>
              <w:rPr>
                <w:sz w:val="20"/>
                <w:szCs w:val="20"/>
                <w:color w:val="auto"/>
              </w:rPr>
            </w:pPr>
            <w:r>
              <w:rPr>
                <w:rFonts w:ascii="Arial" w:cs="Arial" w:eastAsia="Arial" w:hAnsi="Arial"/>
                <w:sz w:val="16"/>
                <w:szCs w:val="16"/>
                <w:b w:val="1"/>
                <w:bCs w:val="1"/>
                <w:color w:val="auto"/>
                <w:w w:val="94"/>
              </w:rPr>
              <w:t>The Nasdaq Global Market</w:t>
            </w:r>
          </w:p>
        </w:tc>
        <w:tc>
          <w:tcPr>
            <w:tcW w:w="0" w:type="dxa"/>
            <w:vAlign w:val="bottom"/>
          </w:tcPr>
          <w:p>
            <w:pPr>
              <w:spacing w:after="0"/>
              <w:rPr>
                <w:sz w:val="1"/>
                <w:szCs w:val="1"/>
                <w:color w:val="auto"/>
              </w:rPr>
            </w:pPr>
          </w:p>
        </w:tc>
      </w:tr>
      <w:tr>
        <w:trPr>
          <w:trHeight w:val="243"/>
        </w:trPr>
        <w:tc>
          <w:tcPr>
            <w:tcW w:w="7740" w:type="dxa"/>
            <w:vAlign w:val="bottom"/>
            <w:gridSpan w:val="8"/>
          </w:tcPr>
          <w:p>
            <w:pPr>
              <w:jc w:val="center"/>
              <w:ind w:left="3182"/>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4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340" w:type="dxa"/>
            <w:vAlign w:val="bottom"/>
            <w:gridSpan w:val="3"/>
          </w:tcPr>
          <w:p>
            <w:pPr>
              <w:spacing w:after="0"/>
              <w:rPr>
                <w:sz w:val="16"/>
                <w:szCs w:val="16"/>
                <w:color w:val="auto"/>
              </w:rPr>
            </w:pPr>
          </w:p>
        </w:tc>
        <w:tc>
          <w:tcPr>
            <w:tcW w:w="2320" w:type="dxa"/>
            <w:vAlign w:val="bottom"/>
            <w:tcBorders>
              <w:bottom w:val="single" w:sz="8" w:color="auto"/>
            </w:tcBorders>
            <w:gridSpan w:val="2"/>
          </w:tcPr>
          <w:p>
            <w:pPr>
              <w:spacing w:after="0"/>
              <w:rPr>
                <w:sz w:val="16"/>
                <w:szCs w:val="16"/>
                <w:color w:val="auto"/>
              </w:rPr>
            </w:pPr>
          </w:p>
        </w:tc>
        <w:tc>
          <w:tcPr>
            <w:tcW w:w="1520" w:type="dxa"/>
            <w:vAlign w:val="bottom"/>
            <w:gridSpan w:val="4"/>
          </w:tcPr>
          <w:p>
            <w:pPr>
              <w:spacing w:after="0"/>
              <w:rPr>
                <w:sz w:val="16"/>
                <w:szCs w:val="16"/>
                <w:color w:val="auto"/>
              </w:rPr>
            </w:pPr>
          </w:p>
        </w:tc>
        <w:tc>
          <w:tcPr>
            <w:tcW w:w="284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or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5"/>
        </w:trPr>
        <w:tc>
          <w:tcPr>
            <w:tcW w:w="8180" w:type="dxa"/>
            <w:vAlign w:val="bottom"/>
            <w:gridSpan w:val="9"/>
          </w:tcPr>
          <w:p>
            <w:pPr>
              <w:ind w:left="44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2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80" w:type="dxa"/>
            <w:vAlign w:val="bottom"/>
            <w:gridSpan w:val="9"/>
          </w:tcPr>
          <w:p>
            <w:pPr>
              <w:ind w:left="44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284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or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2" w:lineRule="exact"/>
        <w:rPr>
          <w:sz w:val="24"/>
          <w:szCs w:val="24"/>
          <w:color w:val="auto"/>
        </w:rPr>
      </w:pPr>
    </w:p>
    <w:p>
      <w:pPr>
        <w:jc w:val="both"/>
        <w:ind w:left="120" w:right="40" w:firstLine="44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120"/>
        <w:spacing w:after="0" w:line="184" w:lineRule="exact"/>
        <w:tabs>
          <w:tab w:leader="none" w:pos="800" w:val="left"/>
        </w:tabs>
        <w:rPr>
          <w:sz w:val="20"/>
          <w:szCs w:val="20"/>
          <w:color w:val="auto"/>
        </w:rPr>
      </w:pPr>
      <w:r>
        <w:rPr>
          <w:rFonts w:ascii="Arial" w:cs="Arial" w:eastAsia="Arial" w:hAnsi="Arial"/>
          <w:sz w:val="16"/>
          <w:szCs w:val="16"/>
          <w:color w:val="auto"/>
        </w:rPr>
        <w:t>90 days.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or No </w:t>
      </w:r>
      <w:r>
        <w:rPr>
          <w:rFonts w:ascii="MS PGothic" w:cs="MS PGothic" w:eastAsia="MS PGothic" w:hAnsi="MS PGothic"/>
          <w:sz w:val="15"/>
          <w:szCs w:val="15"/>
          <w:color w:val="auto"/>
        </w:rPr>
        <w:t>☐</w:t>
      </w:r>
    </w:p>
    <w:p>
      <w:pPr>
        <w:spacing w:after="0" w:line="69" w:lineRule="exact"/>
        <w:rPr>
          <w:sz w:val="24"/>
          <w:szCs w:val="24"/>
          <w:color w:val="auto"/>
        </w:rPr>
      </w:pPr>
    </w:p>
    <w:p>
      <w:pPr>
        <w:ind w:left="120" w:right="800" w:firstLine="440"/>
        <w:spacing w:after="0" w:line="30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ind w:left="120"/>
        <w:spacing w:after="0" w:line="184" w:lineRule="exact"/>
        <w:tabs>
          <w:tab w:leader="none" w:pos="620" w:val="left"/>
          <w:tab w:leader="none" w:pos="126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left="120" w:right="100" w:firstLine="4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8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jc w:val="right"/>
              <w:spacing w:after="0"/>
              <w:rPr>
                <w:sz w:val="20"/>
                <w:szCs w:val="20"/>
                <w:color w:val="auto"/>
              </w:rPr>
            </w:pPr>
            <w:r>
              <w:rPr>
                <w:rFonts w:ascii="Arial" w:cs="Arial" w:eastAsia="Arial" w:hAnsi="Arial"/>
                <w:sz w:val="16"/>
                <w:szCs w:val="16"/>
                <w:color w:val="auto"/>
              </w:rPr>
              <w:t>Accelerated filer</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20" w:type="dxa"/>
            <w:vAlign w:val="bottom"/>
          </w:tcPr>
          <w:p>
            <w:pPr>
              <w:spacing w:after="0"/>
              <w:rPr>
                <w:sz w:val="20"/>
                <w:szCs w:val="20"/>
                <w:color w:val="auto"/>
              </w:rPr>
            </w:pPr>
            <w:r>
              <w:rPr>
                <w:rFonts w:ascii="Arial" w:cs="Arial" w:eastAsia="Arial" w:hAnsi="Arial"/>
                <w:sz w:val="16"/>
                <w:szCs w:val="16"/>
                <w:color w:val="auto"/>
              </w:rPr>
              <w:t>Non-accelerated filer</w:t>
            </w:r>
          </w:p>
        </w:tc>
        <w:tc>
          <w:tcPr>
            <w:tcW w:w="38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jc w:val="right"/>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320" w:type="dxa"/>
            <w:vAlign w:val="bottom"/>
          </w:tcPr>
          <w:p>
            <w:pPr>
              <w:jc w:val="right"/>
              <w:spacing w:after="0"/>
              <w:rPr>
                <w:sz w:val="20"/>
                <w:szCs w:val="20"/>
                <w:color w:val="auto"/>
              </w:rPr>
            </w:pPr>
            <w:r>
              <w:rPr>
                <w:rFonts w:ascii="Arial" w:cs="Arial" w:eastAsia="Arial" w:hAnsi="Arial"/>
                <w:sz w:val="16"/>
                <w:szCs w:val="16"/>
                <w:color w:val="auto"/>
              </w:rPr>
              <w:t>Emerging growth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ind w:left="560" w:right="1940"/>
        <w:spacing w:after="0" w:line="21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 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4" w:lineRule="exact"/>
        <w:rPr>
          <w:sz w:val="24"/>
          <w:szCs w:val="24"/>
          <w:color w:val="auto"/>
        </w:rPr>
      </w:pPr>
    </w:p>
    <w:p>
      <w:pPr>
        <w:ind w:left="120" w:right="180" w:firstLine="44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 w:lineRule="exact"/>
        <w:rPr>
          <w:sz w:val="24"/>
          <w:szCs w:val="24"/>
          <w:color w:val="auto"/>
        </w:rPr>
      </w:pPr>
    </w:p>
    <w:p>
      <w:pPr>
        <w:ind w:left="560"/>
        <w:spacing w:after="0" w:line="184" w:lineRule="exact"/>
        <w:tabs>
          <w:tab w:leader="none" w:pos="7380" w:val="left"/>
          <w:tab w:leader="none" w:pos="80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left="120" w:right="60" w:firstLine="440"/>
        <w:spacing w:after="0" w:line="278" w:lineRule="auto"/>
        <w:rPr>
          <w:sz w:val="20"/>
          <w:szCs w:val="20"/>
          <w:color w:val="auto"/>
        </w:rPr>
      </w:pPr>
      <w:r>
        <w:rPr>
          <w:rFonts w:ascii="Arial" w:cs="Arial" w:eastAsia="Arial" w:hAnsi="Arial"/>
          <w:sz w:val="16"/>
          <w:szCs w:val="16"/>
          <w:color w:val="auto"/>
        </w:rPr>
        <w:t>The registrant did not have a public float on the last business day of its most recently completed second fiscal quarter because there was no public market for the registrant’s common equity as of such date. As of March 22, 2021, the number of shares of the registrant’s common stock outstanding was 32,171,560 and the number of shares of the registrant’s Class B common stock outstanding was 1,492,059.</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jc w:val="both"/>
        <w:ind w:left="120" w:right="80" w:firstLine="440"/>
        <w:spacing w:after="0" w:line="278" w:lineRule="auto"/>
        <w:rPr>
          <w:sz w:val="20"/>
          <w:szCs w:val="20"/>
          <w:color w:val="auto"/>
        </w:rPr>
      </w:pPr>
      <w:r>
        <w:rPr>
          <w:rFonts w:ascii="Arial" w:cs="Arial" w:eastAsia="Arial" w:hAnsi="Arial"/>
          <w:sz w:val="16"/>
          <w:szCs w:val="16"/>
          <w:color w:val="auto"/>
        </w:rPr>
        <w:t>Part III incorporates by reference certain information from the registrant’s definitive proxy statement (the “Proxy Statement”) relating to its 2021 Annual Meeting of Stockholders. The Proxy Statement will be filed with the United States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80" w:type="dxa"/>
            <w:vAlign w:val="bottom"/>
            <w:gridSpan w:val="2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00" w:type="dxa"/>
            <w:vAlign w:val="bottom"/>
          </w:tcPr>
          <w:p>
            <w:pPr>
              <w:spacing w:after="0"/>
              <w:rPr>
                <w:sz w:val="17"/>
                <w:szCs w:val="17"/>
                <w:color w:val="auto"/>
              </w:rPr>
            </w:pPr>
          </w:p>
        </w:tc>
      </w:tr>
      <w:tr>
        <w:trPr>
          <w:trHeight w:val="519"/>
        </w:trPr>
        <w:tc>
          <w:tcPr>
            <w:tcW w:w="1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6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rPr>
              <w:t>BIOATLA, INC.</w:t>
            </w:r>
          </w:p>
        </w:tc>
        <w:tc>
          <w:tcPr>
            <w:tcW w:w="11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60" w:type="dxa"/>
            <w:vAlign w:val="bottom"/>
            <w:gridSpan w:val="8"/>
          </w:tcPr>
          <w:p>
            <w:pPr>
              <w:jc w:val="center"/>
              <w:ind w:right="3140"/>
              <w:spacing w:after="0"/>
              <w:rPr>
                <w:sz w:val="20"/>
                <w:szCs w:val="20"/>
                <w:color w:val="auto"/>
              </w:rPr>
            </w:pPr>
            <w:r>
              <w:rPr>
                <w:rFonts w:ascii="Arial" w:cs="Arial" w:eastAsia="Arial" w:hAnsi="Arial"/>
                <w:sz w:val="18"/>
                <w:szCs w:val="18"/>
                <w:color w:val="auto"/>
                <w:w w:val="92"/>
              </w:rPr>
              <w:t>Annual Report on Form 10-K</w:t>
            </w:r>
          </w:p>
        </w:tc>
        <w:tc>
          <w:tcPr>
            <w:tcW w:w="110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40" w:type="dxa"/>
            <w:vAlign w:val="bottom"/>
            <w:gridSpan w:val="10"/>
          </w:tcPr>
          <w:p>
            <w:pPr>
              <w:jc w:val="center"/>
              <w:ind w:right="2680"/>
              <w:spacing w:after="0"/>
              <w:rPr>
                <w:sz w:val="20"/>
                <w:szCs w:val="20"/>
                <w:color w:val="auto"/>
              </w:rPr>
            </w:pPr>
            <w:r>
              <w:rPr>
                <w:rFonts w:ascii="Arial" w:cs="Arial" w:eastAsia="Arial" w:hAnsi="Arial"/>
                <w:sz w:val="18"/>
                <w:szCs w:val="18"/>
                <w:color w:val="auto"/>
                <w:w w:val="89"/>
              </w:rPr>
              <w:t>For the Fiscal Year Ended December 31, 2020</w:t>
            </w:r>
          </w:p>
        </w:tc>
        <w:tc>
          <w:tcPr>
            <w:tcW w:w="110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6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8"/>
              </w:rPr>
              <w:t>TABLE OF CONTENTS</w:t>
            </w:r>
          </w:p>
        </w:tc>
        <w:tc>
          <w:tcPr>
            <w:tcW w:w="110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9860" w:type="dxa"/>
            <w:vAlign w:val="bottom"/>
            <w:gridSpan w:val="23"/>
          </w:tcPr>
          <w:p>
            <w:pPr>
              <w:spacing w:after="0"/>
              <w:rPr>
                <w:sz w:val="20"/>
                <w:szCs w:val="20"/>
                <w:color w:val="auto"/>
              </w:rPr>
            </w:pPr>
            <w:r>
              <w:rPr>
                <w:rFonts w:ascii="Arial" w:cs="Arial" w:eastAsia="Arial" w:hAnsi="Arial"/>
                <w:sz w:val="18"/>
                <w:szCs w:val="18"/>
                <w:color w:val="auto"/>
              </w:rPr>
              <w:t>SPECIAL NOTE REGARDING FORWARD-LOOKING STATEMENTS</w:t>
            </w:r>
          </w:p>
        </w:tc>
        <w:tc>
          <w:tcPr>
            <w:tcW w:w="1100" w:type="dxa"/>
            <w:vAlign w:val="bottom"/>
          </w:tcPr>
          <w:p>
            <w:pPr>
              <w:spacing w:after="0"/>
              <w:rPr>
                <w:sz w:val="24"/>
                <w:szCs w:val="24"/>
                <w:color w:val="auto"/>
              </w:rPr>
            </w:pPr>
          </w:p>
        </w:tc>
      </w:tr>
      <w:tr>
        <w:trPr>
          <w:trHeight w:val="310"/>
        </w:trPr>
        <w:tc>
          <w:tcPr>
            <w:tcW w:w="1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96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8900" w:type="dxa"/>
            <w:vAlign w:val="bottom"/>
            <w:gridSpan w:val="22"/>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Risk Factors</w:t>
              </w:r>
            </w:hyperlink>
          </w:p>
        </w:tc>
        <w:tc>
          <w:tcPr>
            <w:tcW w:w="7980" w:type="dxa"/>
            <w:vAlign w:val="bottom"/>
            <w:gridSpan w:val="1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19">
              <w:r>
                <w:rPr>
                  <w:rFonts w:ascii="Arial" w:cs="Arial" w:eastAsia="Arial" w:hAnsi="Arial"/>
                  <w:sz w:val="18"/>
                  <w:szCs w:val="18"/>
                  <w:color w:val="0000EE"/>
                  <w:w w:val="90"/>
                </w:rPr>
                <w:t>Unresolved Staff Comments</w:t>
              </w:r>
            </w:hyperlink>
          </w:p>
        </w:tc>
        <w:tc>
          <w:tcPr>
            <w:tcW w:w="6840" w:type="dxa"/>
            <w:vAlign w:val="bottom"/>
            <w:gridSpan w:val="1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20">
              <w:r>
                <w:rPr>
                  <w:rFonts w:ascii="Arial" w:cs="Arial" w:eastAsia="Arial" w:hAnsi="Arial"/>
                  <w:sz w:val="18"/>
                  <w:szCs w:val="18"/>
                  <w:color w:val="0000EE"/>
                  <w:w w:val="87"/>
                </w:rPr>
                <w:t>Properties</w:t>
              </w:r>
            </w:hyperlink>
          </w:p>
        </w:tc>
        <w:tc>
          <w:tcPr>
            <w:tcW w:w="8160" w:type="dxa"/>
            <w:vAlign w:val="bottom"/>
            <w:gridSpan w:val="1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8900" w:type="dxa"/>
            <w:vAlign w:val="bottom"/>
            <w:gridSpan w:val="2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Legal Proceedings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20"/>
        </w:trPr>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900" w:type="dxa"/>
            <w:vAlign w:val="bottom"/>
            <w:gridSpan w:val="2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Mine Safety Disclosures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330"/>
        </w:trPr>
        <w:tc>
          <w:tcPr>
            <w:tcW w:w="1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96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900" w:type="dxa"/>
            <w:vAlign w:val="bottom"/>
            <w:gridSpan w:val="22"/>
          </w:tcPr>
          <w:p>
            <w:pPr>
              <w:spacing w:after="0" w:line="190" w:lineRule="exact"/>
              <w:rPr>
                <w:rFonts w:ascii="Arial" w:cs="Arial" w:eastAsia="Arial" w:hAnsi="Arial"/>
                <w:sz w:val="18"/>
                <w:szCs w:val="18"/>
                <w:color w:val="0000EE"/>
                <w:w w:val="99"/>
              </w:rPr>
            </w:pPr>
            <w:hyperlink w:anchor="page121">
              <w:r>
                <w:rPr>
                  <w:rFonts w:ascii="Arial" w:cs="Arial" w:eastAsia="Arial" w:hAnsi="Arial"/>
                  <w:sz w:val="18"/>
                  <w:szCs w:val="18"/>
                  <w:color w:val="0000EE"/>
                  <w:w w:val="99"/>
                </w:rPr>
                <w:t>Market for Registrant’s Common Equity, Related Stockholder Matters and Issuer Purchases of Equity Securities</w:t>
              </w:r>
            </w:hyperlink>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119</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900" w:type="dxa"/>
            <w:vAlign w:val="bottom"/>
            <w:gridSpan w:val="22"/>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Management’s Discussion and Analysis of Financial Condition and Results of Operations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Quantitative and Qualitative Disclosures About Market Risk</w:t>
              </w:r>
            </w:hyperlink>
          </w:p>
        </w:tc>
        <w:tc>
          <w:tcPr>
            <w:tcW w:w="2440" w:type="dxa"/>
            <w:vAlign w:val="bottom"/>
            <w:gridSpan w:val="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138">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54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8900" w:type="dxa"/>
            <w:vAlign w:val="bottom"/>
            <w:gridSpan w:val="22"/>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Changes in and Disagreements with Accountants on Accounting and Financial Disclosure</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176">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242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8900" w:type="dxa"/>
            <w:vAlign w:val="bottom"/>
            <w:gridSpan w:val="22"/>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Other Information</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330"/>
        </w:trPr>
        <w:tc>
          <w:tcPr>
            <w:tcW w:w="1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96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8900" w:type="dxa"/>
            <w:vAlign w:val="bottom"/>
            <w:gridSpan w:val="22"/>
          </w:tcPr>
          <w:p>
            <w:pPr>
              <w:spacing w:after="0" w:line="190" w:lineRule="exact"/>
              <w:rPr>
                <w:rFonts w:ascii="Arial" w:cs="Arial" w:eastAsia="Arial" w:hAnsi="Arial"/>
                <w:sz w:val="18"/>
                <w:szCs w:val="18"/>
                <w:color w:val="0000EE"/>
              </w:rPr>
            </w:pPr>
            <w:hyperlink w:anchor="page177">
              <w:r>
                <w:rPr>
                  <w:rFonts w:ascii="Arial" w:cs="Arial" w:eastAsia="Arial" w:hAnsi="Arial"/>
                  <w:sz w:val="18"/>
                  <w:szCs w:val="18"/>
                  <w:color w:val="0000EE"/>
                </w:rPr>
                <w:t>Directors, Executive Officers and Corporate Governance</w:t>
              </w:r>
            </w:hyperlink>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175</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77">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800" w:type="dxa"/>
            <w:vAlign w:val="bottom"/>
            <w:gridSpan w:val="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77">
              <w:r>
                <w:rPr>
                  <w:rFonts w:ascii="Arial" w:cs="Arial" w:eastAsia="Arial" w:hAnsi="Arial"/>
                  <w:sz w:val="18"/>
                  <w:szCs w:val="18"/>
                  <w:color w:val="0000EE"/>
                  <w:w w:val="90"/>
                </w:rPr>
                <w:t>Security Ownership of Certain Beneficial Owners and Management and Related Stockholder Matters</w:t>
              </w:r>
            </w:hyperlink>
          </w:p>
        </w:tc>
        <w:tc>
          <w:tcPr>
            <w:tcW w:w="160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77">
              <w:r>
                <w:rPr>
                  <w:rFonts w:ascii="Arial" w:cs="Arial" w:eastAsia="Arial" w:hAnsi="Arial"/>
                  <w:sz w:val="18"/>
                  <w:szCs w:val="18"/>
                  <w:color w:val="0000EE"/>
                  <w:w w:val="89"/>
                </w:rPr>
                <w:t>Certain Relationships and Related Transactions, and Director Independence</w:t>
              </w:r>
            </w:hyperlink>
          </w:p>
        </w:tc>
        <w:tc>
          <w:tcPr>
            <w:tcW w:w="3440" w:type="dxa"/>
            <w:vAlign w:val="bottom"/>
            <w:gridSpan w:val="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8900" w:type="dxa"/>
            <w:vAlign w:val="bottom"/>
            <w:gridSpan w:val="22"/>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Principal Accountant Fees and Services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330"/>
        </w:trPr>
        <w:tc>
          <w:tcPr>
            <w:tcW w:w="1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96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8900" w:type="dxa"/>
            <w:vAlign w:val="bottom"/>
            <w:gridSpan w:val="22"/>
          </w:tcPr>
          <w:p>
            <w:pPr>
              <w:spacing w:after="0" w:line="190" w:lineRule="exact"/>
              <w:rPr>
                <w:rFonts w:ascii="Arial" w:cs="Arial" w:eastAsia="Arial" w:hAnsi="Arial"/>
                <w:sz w:val="18"/>
                <w:szCs w:val="18"/>
                <w:color w:val="0000EE"/>
              </w:rPr>
            </w:pPr>
            <w:hyperlink w:anchor="page178">
              <w:r>
                <w:rPr>
                  <w:rFonts w:ascii="Arial" w:cs="Arial" w:eastAsia="Arial" w:hAnsi="Arial"/>
                  <w:sz w:val="18"/>
                  <w:szCs w:val="18"/>
                  <w:color w:val="0000EE"/>
                </w:rPr>
                <w:t>Exhibits and Financial Statement Schedules</w:t>
              </w:r>
            </w:hyperlink>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176</w:t>
            </w:r>
          </w:p>
        </w:tc>
      </w:tr>
      <w:tr>
        <w:trPr>
          <w:trHeight w:val="196"/>
        </w:trPr>
        <w:tc>
          <w:tcPr>
            <w:tcW w:w="12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178">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6"/>
          </w:tcPr>
          <w:p>
            <w:pPr>
              <w:spacing w:after="0"/>
              <w:rPr>
                <w:sz w:val="17"/>
                <w:szCs w:val="17"/>
                <w:color w:val="auto"/>
              </w:rPr>
            </w:pPr>
          </w:p>
        </w:tc>
        <w:tc>
          <w:tcPr>
            <w:tcW w:w="5740" w:type="dxa"/>
            <w:vAlign w:val="bottom"/>
            <w:gridSpan w:val="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196"/>
        </w:trPr>
        <w:tc>
          <w:tcPr>
            <w:tcW w:w="12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81">
              <w:r>
                <w:rPr>
                  <w:rFonts w:ascii="Arial" w:cs="Arial" w:eastAsia="Arial" w:hAnsi="Arial"/>
                  <w:sz w:val="18"/>
                  <w:szCs w:val="18"/>
                  <w:color w:val="0000EE"/>
                  <w:w w:val="92"/>
                </w:rPr>
                <w:t>SIGNATURES</w:t>
              </w:r>
            </w:hyperlink>
          </w:p>
        </w:tc>
        <w:tc>
          <w:tcPr>
            <w:tcW w:w="8760" w:type="dxa"/>
            <w:vAlign w:val="bottom"/>
            <w:gridSpan w:val="2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179</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Annual Report on Form 10-K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w:t>
      </w:r>
    </w:p>
    <w:p>
      <w:pPr>
        <w:spacing w:after="0" w:line="18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known and unknown risks, uncertainties and assumptions, including risks described in the section titled “Risk Factors” set forth in Part I, Item 1A of this Annual Report on Form 10-K and in our other filings with the Securities and Exchange Commission (the “SEC”).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may differ materially and adversely from those anticipated or implied in the forward-looking statements. Forward-looking statements contained in this Annual Report on Form 10-K include, but are not limited to, statements about:</w:t>
      </w:r>
    </w:p>
    <w:p>
      <w:pPr>
        <w:spacing w:after="0" w:line="72"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our current product candidates and programs into, and successfully complete,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strategies to develop and commercialize our CAB antibodies;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further develop our technology platform and expand our pipeline of product candidates;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advantages of our current and future product candidates that we may develop from our patented technology platform;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financial condition, results of operations, and prospects;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Europe and other foreign countries;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plans to obtain funding for our operations, including from our existing and potential future collaboration and licensing agreements;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technology platform and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strategic relationships and our plans to pursue additional strategic relationships;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Annual Report on Form 10-K.</w:t>
      </w:r>
    </w:p>
    <w:p>
      <w:pPr>
        <w:spacing w:after="0" w:line="23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Annual Report on Form 10-K or to conform these statements to actual results or revised expectations.</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You should read this Annual Report on Form 10-K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This Annual Report on Form 10-K contains estimates, projections and other information concerning our industry, our business and the markets for our product candidates. We obtained the industry, market and similar data set forth in this report from our own internal estimates and research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Unless the context requires otherwise, references in this Annual Report on Form 10-K to “BioAtla,” “we,” “us” and “our” refer, prior to the LLC conversion discussed below, to BioAtla, LLC and, after the conversion, to BioAtla, Inc.</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17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broad applicability of our CAB technology allows us to develop a wide array of product candidate modalities, such as monoclonal antibodies, antibody-drug conjugates, or ADCs, T cell-engaging bispecific antibodies and chimeric antigen receptor T cells, or CAR-T cells. A key advantage of our application of the CAB technology to antibodies is that it allows us to selectively target antigens on tumor cells and minimizes or eliminates binding to these antigens on normal cells, which reduces the toxicity associated with traditional approaches. We have initiated potentially registration-enabling Phase 2 trials for our two latest stage ADC product candidates, BA3011 (targeting AXL) and BA3021 (targeting ROR2) in multiple cancer indications,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including sarcoma, NSCLC and melanoma. The FDA has reviewed the trial designs, but has not opined on whether the Phase 2 clinical trials will in fact be sufficient to support regulatory approval. However, the FDA is expected to consider this further at the interim data review point. We cannot assure you that the FDA will agree that such data will be sufficient to support approval. We are also supporting investigator-initiated trials for both BA3011 and BA3021 in platinum-resistant ovarian cancer. We have observed encouraging initial clinical signs of response to treatment and a wide therapeutic window, or range of dosage and duration. BA3011 and BA3021 have the potential to address large unmet medical needs in indications that together account for more than 350,000 new cases of solid tumor cancers and 150,000 deaths per year, in the United States alone. Additionally, we plan to work with our partner BeiGene to initiate Phase 1 trials in multiple cancer indications in 2021 for our immuno-oncology antibody, BA3071</w:t>
      </w:r>
    </w:p>
    <w:p>
      <w:pPr>
        <w:spacing w:after="0" w:line="2"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(targeting CTLA-4), which is designed to overcome the toxicity limitations of the currently approved anti-CTLA-4 antibody, to improve patient outcomes. We also have several candidates in our preclinical pipeline that include CAB bispecific antibodies targeting unmet medical needs in multiple types of solid tumors.</w:t>
      </w:r>
    </w:p>
    <w:p>
      <w:pPr>
        <w:spacing w:after="0" w:line="190" w:lineRule="exact"/>
        <w:rPr>
          <w:sz w:val="20"/>
          <w:szCs w:val="20"/>
          <w:color w:val="auto"/>
        </w:rPr>
      </w:pPr>
    </w:p>
    <w:p>
      <w:pPr>
        <w:ind w:left="120" w:right="40" w:firstLine="440"/>
        <w:spacing w:after="0" w:line="267" w:lineRule="auto"/>
        <w:rPr>
          <w:sz w:val="20"/>
          <w:szCs w:val="20"/>
          <w:color w:val="auto"/>
        </w:rPr>
      </w:pPr>
      <w:r>
        <w:rPr>
          <w:rFonts w:ascii="Arial" w:cs="Arial" w:eastAsia="Arial" w:hAnsi="Arial"/>
          <w:sz w:val="17"/>
          <w:szCs w:val="17"/>
          <w:color w:val="auto"/>
        </w:rPr>
        <w:t>Our goal is to develop well-tolerated, novel cancer therapies that provide cures or extended survival to ensure patients’ improved quality of life. Studies have shown that, as a drug class, antibodies have transformed oncology treatment and include some of the best-selling therapies on the biopharmaceutical market. While therapeutic antibodies have emerged as one of the most successful strategies for both solid and blood-based, or hematologic, malignancies, toxicity has narrowed the therapeutic window and ultimate potential of impacting disease, as many of the key targets on tumor cells are also prevalent on normal cells. By exploiting our novel understanding of tumor biology, including unique characteristics of pH in the tumor microenvironment, we believe that our CAB technology has the potential to transform antibody-based cancer therapy. We have created and patented our CAB technology to enable the development of antibodies that are active in the tumor microenvironment, but inactive under normal physiological conditions, while maintaining target-specific binding. The biology of tumor formation, or tumorigenesis, yields a unique microenvironment consisting of a complex mixture of tumor cells, stromal fibroblasts, endothelial cells and immune cells like microglia, macrophages and lymphocytes and the non-cellular components of extracellular matrix such as collagen, fibronectin, hyaluronan and laminin, among others. The process of tumor formation creates an altered, unique microenvironment in and around the tumor that is also physically and chemically distinct from healthy tissue, with regard to temperature, pressure, chemical composition and especially the acidity or pH. The tumorigenesis-driven shifts in microenvironment conditions further weaken the immune response and promote tumor growth. Our CAB technology aims to uniquely exploit the fundamental pH differences between the tumor and healthy tissue, increasing antibody binding selectivity and thereby potentially eliminating or greatly reducing healthy cell on-target, off-tumor toxicity. This enhanced selectivity has the potential to greatly improve the benefit-risk ratio for the patient and allows us to deliver desired drug levels either as monotherapy or utilizing unique multi-targeted or combination therapies that are currently difficult or impossible to develop. Additionally, the combination of reversible binding with the selective, precision capability of our CAB technology enables both increased antibody potency and reduced toxicity.</w:t>
      </w:r>
    </w:p>
    <w:p>
      <w:pPr>
        <w:spacing w:after="0" w:line="19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Initially, we applied the reversible binding and precision capability of our CAB technology to develop next-generation ADC therapies. Traditional ADCs are a class of biologic drugs that are designed by attaching a toxic small molecule payload to an antibody, which then targets a specific antigen expressed on the target cell, but unfortunately, in most cases, this target is also present on normal tissue. Binding to the target on normal tissue leads to high on-target, off-tumor toxicity, which reduces the utility of traditional ADCs. Our CAB ADCs are designed to selectively bind to the antigens found in acidic pH conditions found in the tumor microenvironment, which has the potential to reduce off-tumor toxicity and related consequences. In addition, we developed CAB antibodies to immuno-oncology targets such as CTLA-4 for antitumor activity. We believe that our CAB technology can reduce the limitations resulting from systemic toxicities and expand the utility of this immuno-oncology therapy. We are also creating bispecific, T cell engaging, CAB antibodies that are comprised of two different binding specificities, which allows the antibody to bind to two specific targets at the same time, generally one target on the tumor cell and one target on an immune system cell. This is a powerful approach to harness cytotoxic T cells to directly kill tumor cells with reduced toxicity.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believe that there is significant potential to improve therapeutics for our patients with our proprietary CAB antibody technology across well-validated oncology targets activated in solid tumors. The following table summarizes our current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3282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86045"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color w:val="auto"/>
        </w:rPr>
        <w:t xml:space="preserve">BA3011: </w:t>
      </w:r>
      <w:r>
        <w:rPr>
          <w:rFonts w:ascii="Arial" w:cs="Arial" w:eastAsia="Arial" w:hAnsi="Arial"/>
          <w:sz w:val="16"/>
          <w:szCs w:val="16"/>
          <w:color w:val="auto"/>
        </w:rPr>
        <w:t>Our lead product candidate, BA3011, is a CAB ADC that targets AXL, a protein that is highly expressed on the surface of many tumors.</w:t>
      </w:r>
      <w:r>
        <w:rPr>
          <w:rFonts w:ascii="Arial" w:cs="Arial" w:eastAsia="Arial" w:hAnsi="Arial"/>
          <w:sz w:val="16"/>
          <w:szCs w:val="16"/>
          <w:b w:val="1"/>
          <w:bCs w:val="1"/>
          <w:color w:val="auto"/>
        </w:rPr>
        <w:t xml:space="preserve"> </w:t>
      </w:r>
      <w:r>
        <w:rPr>
          <w:rFonts w:ascii="Arial" w:cs="Arial" w:eastAsia="Arial" w:hAnsi="Arial"/>
          <w:sz w:val="16"/>
          <w:szCs w:val="16"/>
          <w:color w:val="auto"/>
        </w:rPr>
        <w:t>AXL is considered to be a driver of many cellular processes that are critical for the development, growth and spread of tumors, including proliferation, invasiveness and migration, stemness, which is related to core stem cell properties such as self-renewal and differentiation, angiogenesis, or the growth of blood vessels, and immune modulation. In preclinical studies, we have observed that BA3011 binds to AXL under conditions that reflect those in tumors. AXL has also been shown to be involved in the epithelial-mesenchymal transition, or EMT, a process by which epithelial cells lose their cell polarity and cell-cell adhesion, and gain migratory and invasive properties to become mesenchymal stem cells, or MSCs. MSCs are home to developing aggressive tumors, where they exacerbate cancer cell proliferation, motility, invasion and metastasis, foster angiogenesis, promote tumor fibrosis and suppress antitumor immune responses. Multiple therapeutic agents that target AXL have been developed and investigated in clinical trials. A number of small-molecule AXL kinase inhibitors have been developed; however, the majority of these inhibitors that have been taken into the clinic, including one that has been approved, are not highly selective for AXL. Some anti-AXL antibodies in the clinic have shown encouraging signs of antitumor activity; however, adverse events, such as high-grade constipation and peripheral neuropathy, were particularly pronounced.</w:t>
      </w:r>
    </w:p>
    <w:p>
      <w:pPr>
        <w:spacing w:after="0" w:line="16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developed a quantitative biomarker assay that is called the AXL Tumor membrane Percent Score, or TmPS. The TmPS measures the level of target expression on the tumor membrane which, consistent with industry standard, we use to identify those patients who we believe will be the most likely to respond to our product candidates. We believe that the higher the level of target expression on the tumor membrane, the more likely it is that our product candidates may have the potential to produce a response.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BA3011 is an ADC consisting of a CAB humanized immunoglobulin G, or IgG1, anti-AXL monoclonal antibody. The core antibody is conjugated using a cleavable linker to the well-known and proven toxin monomethyl auristatin E, or MMAE. BA3011 was designed to specifically and reversibly bind to AXL in conditions found within the tumor microenvironment, thus conferring a selectivity binding advantage for tumors over normal cells. Upon binding of BA3011 to AXL on the surface of tumor cells, it is internalized and the MMAE cytotoxin is released, leading to cell killing.</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are developing BA3011 as a potential therapeutic for multiple solid tumors, including soft tissue and bone sarcoma, non-small cell lung cancer (NSCLC) and others, such as ovarian cancer. We have completed a Phase 1 trial in patients with refractory solid tumors, established a recommended Phase 2 dose, and continue to dose patients that are responding to therapy. As of December 1, 2020, five patients have achieved a partial response and preliminary evidence of antitumor activity has been observed in additional patients. We have shown that there appears to be a correlation of antitumor activity with tumor membrane expression of AXL and have developed a robust, quantitative immunohistochemistry assay. We recently initiated dosing in a potentially registration-enabling Phase 2 clinical trial in soft tissue and bone sarcoma. We have also initiated a Phase 2 clinical trial in PD-1 refractory NSCLC patients. The FDA has reviewed the trial designs, but has not opined on whether the Phase 2 clinical trials will in fact be sufficient to support regulatory approval. However, the FDA is expected to consider this further at the interim data review point. We cannot assure you that the FDA will agree that such data will be sufficient to support approval. Additionally, we expect a multi-center investigator-initiated trial in platinum-resistant ovarian cancer to likely commence in the first half of 2021.</w:t>
      </w:r>
    </w:p>
    <w:p>
      <w:pPr>
        <w:spacing w:after="0" w:line="181"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b w:val="1"/>
          <w:bCs w:val="1"/>
          <w:color w:val="auto"/>
        </w:rPr>
        <w:t xml:space="preserve">BA3021: </w:t>
      </w:r>
      <w:r>
        <w:rPr>
          <w:rFonts w:ascii="Arial" w:cs="Arial" w:eastAsia="Arial" w:hAnsi="Arial"/>
          <w:sz w:val="16"/>
          <w:szCs w:val="16"/>
          <w:color w:val="auto"/>
        </w:rPr>
        <w:t>We are developing our second product candidate, BA3021, a CAB antibody directed against ROR2. ROR2 is a receptor tyrosine kinase</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also known as Receptor Tyrosine Kinase Like Orphan Receptor 2. ROR2 is overexpressed across many different solid tumors and its tumoral expression is further enhanced among those treated with PD-1 checkpoint inhibitors. ROR2 is a receptor tyrosine kinase that is commonly overexpressed in multiple types of cancer including breast, lung, pancreatic, renal, colorectal, head and neck and melanoma. Cancer cell expression of ROR2 has been associated with enhanced cancer cell migration, EMT, increased associated risk for relapse, metastasis and unfavorable prognosis. In breast cancer, for example, ROR2 was found to be expressed in the majority of patient samples, with those expressing ROR2 having decreased overall survival. A similar correlation between ROR2 expression level and overall survival was observed in NSCLC and metastatic melanoma. Genetic inactivation of ROR2 in metastatic melanoma cells was shown to prevent metastases of these tumor cells in mice. ROR2 also has essential roles in normal cells and in early development. Inactivation of ROR2 is lethal in mice with defects observed in the heart, nervous system and skeleton. Less severe mutations in ROR2 in humans is associated with skeletal diseases Robinow syndrome and brachydactyly type B.</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Employing a similar approach as with BA3011, we developed a TmPS quantitative assay based on ROR2 tumor membrane expression that we use to identify those patients who we believe will be the most likely to respond to our product candidates.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BA3021 is a CAB anti-ROR2 ADC consisting of a CAB anti-ROR2 humanized IgG1 monoclonal antibody conjugated to MMAE using a cleavable linker. BA3021 binds potently and specifically to ROR2 under conditions found in the tumor microenvironment. Outside of these conditions, BA3021 loses its potency in a reversible manner such that it regains its ROR2 potency when it reenters conditions similar to those in the tumor microenvironment, thereby preventing elimination of ROR2-expressing normal cells.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developing BA3021 as a potential therapeutic for multiple solid tumors, including NSCLC, ovarian cancer and melanoma. We have completed a Phase 1 dose-escalation trial with BA3021 where we observed two partial responses in advanced, treatment refractory NSCLC and one partial response in melanoma. We believe BA3021 has broad potential as a cancer therapy for patients with advanced solid tumors. We recently initiated Phase 2 enrollment in patients with PD-1 refractory NSCLC and melanoma. Additionally, we expect a multi-center investigator-initiated trial in platinum-resistant ovarian cancer to likely commence in the first half of 2021.</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 xml:space="preserve">BA3071: </w:t>
      </w:r>
      <w:r>
        <w:rPr>
          <w:rFonts w:ascii="Arial" w:cs="Arial" w:eastAsia="Arial" w:hAnsi="Arial"/>
          <w:sz w:val="17"/>
          <w:szCs w:val="17"/>
          <w:color w:val="auto"/>
        </w:rPr>
        <w:t>Our third product candidate, BA3071, is a CAB anti-CTLA-4 antibody that is being developed as an immuno-oncology agent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goal of delivering the efficacy of approved CTLA-4 antibodies, such as ipilimumab, but with lower toxicities due to the CAB’s tumor microenvironment-restricted activation. CTLA-4, or cytotoxic T-lymphocyte-associated antigen 4, is an immune checkpoint involved in regulating T-cell activation. The primary role of immune checkpoints is to prevent autoimmune attacks against normal tissue in the body; however, cancer cells often take advantage of this pathway to prevent immune destruction of the tumor. Ipilimumab is an anti-CTLA-4 monoclonal antibody that is approved for the treatment of multiple solid tumors, including melanoma, RCC, colorectal cancer and in combination with an anti-PD-1 antibody, nivolumab in NSCLC. Patients treated with ipilimumab face a risk of a number of adverse events associated with inappropriate activation of the immune system beyond the tumor site including severe and sometimes fatal enterocolitis, hepatitis, dermatitis, neuropathy and endocrinopathy. The usage and dosage of ipilimumab is highly limited due to its safety profile, resulting in the average number of cycles on therapy not exceeding four cycles. Even in combination with nivolumab, at one-third to one-tenth of the monotherapy dosage level, treatment still results in high toxicity.</w:t>
      </w:r>
    </w:p>
    <w:p>
      <w:pPr>
        <w:spacing w:after="0" w:line="18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 global collaboration with Beigene, we are developing BA3071 as a potential therapeutic for multiple solid tumor indications, including renal cell carcinoma, NSCLC, small cell lung cancer, hepatocellular carcinoma, melanoma, bladder cancer, gastric cancer and cervical cancer. Our global collaboration with BeiGene, as amended, provides for the development, manufacturing and commercialization of BA3071. Under the terms of our BeiGene collaboration, BeiGene is generally responsible for developing BA3071 and is responsible for global regulatory filings and commercialization. Subject to the terms of the agreement, BeiGene holds an exclusive license with us to develop and manufacture the product candidate globally. BeiGene is responsible for all costs of development, manufacturing and commercialization globally. We expect to work with our partner BeiGene to support the initiation of a Phase 1 dose-escalation trial of BA3071 as monotherapy and in combination with tislelizumab, an anti-PD-1 antibody in late stage development by BeiGene, in 2021 with expansion cohorts to be enrolled upon identification of the recommended dose.</w:t>
      </w:r>
    </w:p>
    <w:p>
      <w:pPr>
        <w:spacing w:after="0" w:line="161" w:lineRule="exact"/>
        <w:rPr>
          <w:sz w:val="20"/>
          <w:szCs w:val="20"/>
          <w:color w:val="auto"/>
        </w:rPr>
      </w:pPr>
    </w:p>
    <w:p>
      <w:pPr>
        <w:jc w:val="both"/>
        <w:ind w:left="120" w:right="100" w:firstLine="440"/>
        <w:spacing w:after="0" w:line="289" w:lineRule="auto"/>
        <w:rPr>
          <w:sz w:val="20"/>
          <w:szCs w:val="20"/>
          <w:color w:val="auto"/>
        </w:rPr>
      </w:pPr>
      <w:r>
        <w:rPr>
          <w:rFonts w:ascii="Arial" w:cs="Arial" w:eastAsia="Arial" w:hAnsi="Arial"/>
          <w:sz w:val="17"/>
          <w:szCs w:val="17"/>
          <w:b w:val="1"/>
          <w:bCs w:val="1"/>
          <w:color w:val="auto"/>
        </w:rPr>
        <w:t xml:space="preserve">Bispecific antibody programs: </w:t>
      </w:r>
      <w:r>
        <w:rPr>
          <w:rFonts w:ascii="Arial" w:cs="Arial" w:eastAsia="Arial" w:hAnsi="Arial"/>
          <w:sz w:val="17"/>
          <w:szCs w:val="17"/>
          <w:color w:val="auto"/>
        </w:rPr>
        <w:t>We have also leveraged our CAB technology to develop bispecific antibodies, which bind both a tumor-specific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antigen and a T cell receptor using CAB antigen-binding domains. A bispecific antibody is a type of engineered antibody that can simultaneously bind two separate and unique antigens, unlike conventional monospecific antibodies that only bind to one type of target.</w:t>
      </w:r>
    </w:p>
    <w:p>
      <w:pPr>
        <w:spacing w:after="0" w:line="162" w:lineRule="exact"/>
        <w:rPr>
          <w:sz w:val="20"/>
          <w:szCs w:val="20"/>
          <w:color w:val="auto"/>
        </w:rPr>
      </w:pPr>
    </w:p>
    <w:p>
      <w:pPr>
        <w:ind w:left="120" w:right="200" w:firstLine="440"/>
        <w:spacing w:after="0" w:line="287" w:lineRule="auto"/>
        <w:rPr>
          <w:sz w:val="20"/>
          <w:szCs w:val="20"/>
          <w:color w:val="auto"/>
        </w:rPr>
      </w:pPr>
      <w:r>
        <w:rPr>
          <w:rFonts w:ascii="Arial" w:cs="Arial" w:eastAsia="Arial" w:hAnsi="Arial"/>
          <w:sz w:val="16"/>
          <w:szCs w:val="16"/>
          <w:color w:val="auto"/>
        </w:rPr>
        <w:t>A common design feature for a bispecific antibody is to include a T cell engager component (</w:t>
      </w:r>
      <w:r>
        <w:rPr>
          <w:rFonts w:ascii="Arial" w:cs="Arial" w:eastAsia="Arial" w:hAnsi="Arial"/>
          <w:sz w:val="16"/>
          <w:szCs w:val="16"/>
          <w:i w:val="1"/>
          <w:iCs w:val="1"/>
          <w:color w:val="auto"/>
        </w:rPr>
        <w:t>i.e.</w:t>
      </w:r>
      <w:r>
        <w:rPr>
          <w:rFonts w:ascii="Arial" w:cs="Arial" w:eastAsia="Arial" w:hAnsi="Arial"/>
          <w:sz w:val="16"/>
          <w:szCs w:val="16"/>
          <w:color w:val="auto"/>
        </w:rPr>
        <w:t>, CD3 receptor), such that one antigen-binding domain recognizes a surface-expressed tumor antigen and the other antigen-binding domain binds to and activates CD3+ T cells. With this design, bispecific antibodies can induce potent T cell responses against tumors expressing the tumor target antigen in a simplified manner relative to</w:t>
      </w:r>
    </w:p>
    <w:p>
      <w:pPr>
        <w:spacing w:after="0" w:line="2"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even off-the-shelf or allogeneic CAR-T therapies. The first FDA approved bispecific antibody was a T cell engager, blinatumomab, which contained antigen-binding domains for CD19, an antigen found on B-cell leukemias, and CD3, a T cell activating receptor.</w:t>
      </w:r>
    </w:p>
    <w:p>
      <w:pPr>
        <w:spacing w:after="0" w:line="18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There are multiple structural variants of antibodies and other antigen-binding domains being used to construct bispecific product candidates and tested clinically. However, similar to CAR-T cells and blinatumomab, many of these bispecific product candidates have increased risks of generating life-threatening cytokine release syndrome due to systemic immune activation.</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have applied our CAB antibody technology to develop bispecific CAB antibodies in which one or both antigen-binding domains are activated only in the tumor microenvironment. An example of this approach is our EpCAM x CD3 bispecific. EpCAM, or epithelial cell adhesion molecule, is a protein that is over-expressed in many cancers including carcinomas derived from colon, intestine, breast, lung and prostate. Expression of EpCAM has been associated with cell growth and proliferation of both healthy and cancer cells.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EpCAM was one of the first cancer-associated antigens discovered, however in the forty years since, its clinical impact as a target for therapeutic antibodies in cancer has been limited. One of the problems with</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targeting EpCAM is its broad expression in the basolateral membranes of normal epithelial cells. Conventional approaches of avoiding systemic toxicities including deliberately selecting antibodies with low affinity for EpCAM with the intention of generating some degree of selectivity for tumors that express very high levels of EpCAM, have not been successful. Bispecific constructs targeting EpCAM have also not lived up to expectations. Solitomab, an EpCAM x CD3 bispecific led to over 95% of patients in a Phase 1 dose-escalation trial to experience at least one Grade 3 or above adverse event. Over 20% of patients experienced dose-limiting toxicities and there was only one unconfirmed partial response observed among 65 patients at these low doses.</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have shown in preclinical experiments that our CAB bispecific molecules meet or exceed the activity of conventional bispecifics and reduce systemic activation of potentially fatal immune responses. We advanced two CAB bispecific antibody product candidates into IND-enabling studies in the second half of 2020. We are also evaluating ADC modalities for each of our CAB bispecific molecules. Our goal is to submit up to four US INDs in 2022 for our CAB bispecific or ADC molecules.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mission is to develop and commercialize innovative antibody-based therapeutics for the treatment of solid tumors that depend on the physical and chemical properties of tumors and their microenvironment. Our CAB technology enables us to generate antibodies that bind to their targets under conditions found in the tumor, but not in healthy tissue. Therefore, we are able to generate antibodies to targets which to this point have been undruggable due to the lack of sufficient therapeutic window with existing antibody technologies. We are also able to use these antibodies to engage targets that exist not only in tumors, but in healthy tissue as well. This has the potential to reduce side effects and toxicity, one of the fundamental challenges of cancer therapies today, thereby expanding the realm of potential therapeutic antibodies. We believe that our proprietary technology and approach have the potential to transform cancer therapy by decreasing systemic toxicities and improving efficacy. Our strategy to achieve this mission is as follows:</w:t>
      </w:r>
    </w:p>
    <w:p>
      <w:pPr>
        <w:spacing w:after="0" w:line="93" w:lineRule="exact"/>
        <w:rPr>
          <w:sz w:val="20"/>
          <w:szCs w:val="20"/>
          <w:color w:val="auto"/>
        </w:rPr>
      </w:pPr>
    </w:p>
    <w:p>
      <w:pPr>
        <w:ind w:left="1080" w:right="60" w:hanging="424"/>
        <w:spacing w:after="0" w:line="274"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Advance BA3011 through regulatory approval and commercialization. </w:t>
      </w:r>
      <w:r>
        <w:rPr>
          <w:rFonts w:ascii="Arial" w:cs="Arial" w:eastAsia="Arial" w:hAnsi="Arial"/>
          <w:sz w:val="17"/>
          <w:szCs w:val="17"/>
          <w:color w:val="auto"/>
        </w:rPr>
        <w:t>Clinical data from our Phase 1 trial with BA3011 are</w:t>
      </w:r>
      <w:r>
        <w:rPr>
          <w:rFonts w:ascii="Arial" w:cs="Arial" w:eastAsia="Arial" w:hAnsi="Arial"/>
          <w:sz w:val="17"/>
          <w:szCs w:val="17"/>
          <w:b w:val="1"/>
          <w:bCs w:val="1"/>
          <w:color w:val="auto"/>
        </w:rPr>
        <w:t xml:space="preserve"> </w:t>
      </w:r>
      <w:r>
        <w:rPr>
          <w:rFonts w:ascii="Arial" w:cs="Arial" w:eastAsia="Arial" w:hAnsi="Arial"/>
          <w:sz w:val="17"/>
          <w:szCs w:val="17"/>
          <w:color w:val="auto"/>
        </w:rPr>
        <w:t>supportive of its development in sarcomas, a set of cancers with a high unmet clinical need. We have initiated a potentially registration-enabling Phase 2 trial for BA3011 in treatment refractory sarcoma patients (12 years of age or older) with an AXL TmPS of 70% or above and, if successful, we believe we can further advance BA3011 through regulatory approval and commercialization. In addition, we have initiated a potentially registration-enabling Phase 2 trial in NSCLC using an AXL TmPS of 50% or above. We will use a quantitative biomarker assay/TmPS score to identify likely responders and to help enrich our clinical trial programs.</w:t>
      </w:r>
    </w:p>
    <w:p>
      <w:pPr>
        <w:spacing w:after="0" w:line="78" w:lineRule="exact"/>
        <w:rPr>
          <w:rFonts w:ascii="Arial" w:cs="Arial" w:eastAsia="Arial" w:hAnsi="Arial"/>
          <w:sz w:val="17"/>
          <w:szCs w:val="17"/>
          <w:color w:val="auto"/>
        </w:rPr>
      </w:pPr>
    </w:p>
    <w:p>
      <w:pPr>
        <w:ind w:left="1080" w:hanging="424"/>
        <w:spacing w:after="0" w:line="261"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Develop BA3021 in PD-1/L1 refractory tumors through regulatory approval and commercialization. </w:t>
      </w:r>
      <w:r>
        <w:rPr>
          <w:rFonts w:ascii="Arial" w:cs="Arial" w:eastAsia="Arial" w:hAnsi="Arial"/>
          <w:sz w:val="18"/>
          <w:szCs w:val="18"/>
          <w:color w:val="auto"/>
        </w:rPr>
        <w:t>We have observed antitumor</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in PD-1 refractory NSCLC and melanoma patients in our Phase 1 trial and have initiated a Phase 2 trial of BA3021 in each of these indications. We will use a quantitative biomarker assay/TmPS score to identify likely responders and to help enrich our clinical trial programs.</w:t>
      </w:r>
    </w:p>
    <w:p>
      <w:pPr>
        <w:spacing w:after="0" w:line="85" w:lineRule="exact"/>
        <w:rPr>
          <w:rFonts w:ascii="Arial" w:cs="Arial" w:eastAsia="Arial" w:hAnsi="Arial"/>
          <w:sz w:val="18"/>
          <w:szCs w:val="18"/>
          <w:color w:val="auto"/>
        </w:rPr>
      </w:pPr>
    </w:p>
    <w:p>
      <w:pPr>
        <w:ind w:left="1080" w:right="60" w:hanging="424"/>
        <w:spacing w:after="0" w:line="261"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Continue to capitalize on our unique technology to address areas of high unmet need in treating cancer. </w:t>
      </w:r>
      <w:r>
        <w:rPr>
          <w:rFonts w:ascii="Arial" w:cs="Arial" w:eastAsia="Arial" w:hAnsi="Arial"/>
          <w:sz w:val="18"/>
          <w:szCs w:val="18"/>
          <w:color w:val="auto"/>
        </w:rPr>
        <w:t>We believe that,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of our CAB technology, we have the opportunity to develop a broad set of new molecules that include bispecific T cell engagers, immuno-oncology antibodies, as well as other therapies, to attack tumors through preferential activation in the tumor microenvironment.</w:t>
      </w:r>
    </w:p>
    <w:p>
      <w:pPr>
        <w:spacing w:after="0" w:line="85" w:lineRule="exact"/>
        <w:rPr>
          <w:rFonts w:ascii="Arial" w:cs="Arial" w:eastAsia="Arial" w:hAnsi="Arial"/>
          <w:sz w:val="18"/>
          <w:szCs w:val="18"/>
          <w:color w:val="auto"/>
        </w:rPr>
      </w:pPr>
    </w:p>
    <w:p>
      <w:pPr>
        <w:ind w:left="1080" w:right="160" w:hanging="424"/>
        <w:spacing w:after="0" w:line="25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Maintain and strengthen our intellectual property portfolio. </w:t>
      </w:r>
      <w:r>
        <w:rPr>
          <w:rFonts w:ascii="Arial" w:cs="Arial" w:eastAsia="Arial" w:hAnsi="Arial"/>
          <w:sz w:val="18"/>
          <w:szCs w:val="18"/>
          <w:color w:val="auto"/>
        </w:rPr>
        <w:t>As of December 31, 2020, we have a total of 492 patents and patent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with 257 issued patents, 9 allowed applications and 226 pending applications covering our CAB technology and product candidates. This broad patent coverage was designed such that protection of our product candidates is not dependent on any single patent but rather, each product candidate has multiple layers of protection. We plan to continue to maintain, enforce and defend our intellectual property.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74"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Selectively enter into collaborations to maximize the value of our platform and pipeline, including the existing collaboration involving BA3071. </w:t>
      </w:r>
      <w:r>
        <w:rPr>
          <w:rFonts w:ascii="Arial" w:cs="Arial" w:eastAsia="Arial" w:hAnsi="Arial"/>
          <w:sz w:val="17"/>
          <w:szCs w:val="17"/>
          <w:color w:val="auto"/>
        </w:rPr>
        <w:t>Given the potential of our technology to generate novel product candidates addressing a wide variety of solid tumors,</w:t>
      </w:r>
      <w:r>
        <w:rPr>
          <w:rFonts w:ascii="Arial" w:cs="Arial" w:eastAsia="Arial" w:hAnsi="Arial"/>
          <w:sz w:val="17"/>
          <w:szCs w:val="17"/>
          <w:b w:val="1"/>
          <w:bCs w:val="1"/>
          <w:color w:val="auto"/>
        </w:rPr>
        <w:t xml:space="preserve"> </w:t>
      </w:r>
      <w:r>
        <w:rPr>
          <w:rFonts w:ascii="Arial" w:cs="Arial" w:eastAsia="Arial" w:hAnsi="Arial"/>
          <w:sz w:val="17"/>
          <w:szCs w:val="17"/>
          <w:color w:val="auto"/>
        </w:rPr>
        <w:t>we may opportunistically enter into strategic collaborations around specific geographic regions, indications, combinations and companion diagnostics. We may also explore collaboration arrangements to commercialize any product candidates where we believe the resources and expertise of the third party could be beneficial. These collaborations could advance and accelerate our programs to maximize their market potential and expand the worldwide commercial potential of our CAB technology.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Challenges in developing antibody-based therapies for solid tumors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Monoclonal antibody therapeutics have been approved for over 30 targets for multiple diseases, most commonly cancer. Antibodies have become the new backbone of the pharmaceutical industry, which previously relied on small molecules. Treatment with monoclonal antibodies has established itself as one of the most successful therapeutic strategies for both hematologic malignancies and solid tumors. Oncology targets of safe, effective antibodies fall into two broad categories:</w:t>
      </w:r>
    </w:p>
    <w:p>
      <w:pPr>
        <w:spacing w:after="0" w:line="92" w:lineRule="exact"/>
        <w:rPr>
          <w:sz w:val="20"/>
          <w:szCs w:val="20"/>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Antibodies targeting antigens, usually proteins, preferentially expressed on the surface of cancer cells, against which antibodies are used to directly bind and inhibit or destroy these cells;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Antibodies targeting antigens affecting directly or indirectly tumor cells and non-tumor cells that activate the immune system or induce other changes in the tumor, such as limiting the growth of tumor-related blood vessels.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are significant limitations of targeting important antigens with traditional antibodies that can result in reduced efficacy, difficulties related to dosing and decreased durability, all of which significantly limit the potential for cures with traditional antibodies:</w:t>
      </w:r>
    </w:p>
    <w:p>
      <w:pPr>
        <w:spacing w:after="0" w:line="72" w:lineRule="exact"/>
        <w:rPr>
          <w:sz w:val="20"/>
          <w:szCs w:val="20"/>
          <w:color w:val="auto"/>
        </w:rPr>
      </w:pPr>
    </w:p>
    <w:p>
      <w:pPr>
        <w:ind w:left="1080" w:right="60" w:hanging="424"/>
        <w:spacing w:after="0" w:line="282"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Increased toxicity</w:t>
      </w:r>
      <w:r>
        <w:rPr>
          <w:rFonts w:ascii="Arial" w:cs="Arial" w:eastAsia="Arial" w:hAnsi="Arial"/>
          <w:sz w:val="18"/>
          <w:szCs w:val="18"/>
          <w:color w:val="auto"/>
        </w:rPr>
        <w:t>: Antigens are typically expressed in many normal tissues, which for traditional antibodies, including ADCs, could lead</w:t>
      </w:r>
      <w:r>
        <w:rPr>
          <w:rFonts w:ascii="Arial" w:cs="Arial" w:eastAsia="Arial" w:hAnsi="Arial"/>
          <w:sz w:val="18"/>
          <w:szCs w:val="18"/>
          <w:b w:val="1"/>
          <w:bCs w:val="1"/>
          <w:color w:val="auto"/>
        </w:rPr>
        <w:t xml:space="preserve"> </w:t>
      </w:r>
      <w:r>
        <w:rPr>
          <w:rFonts w:ascii="Arial" w:cs="Arial" w:eastAsia="Arial" w:hAnsi="Arial"/>
          <w:sz w:val="18"/>
          <w:szCs w:val="18"/>
          <w:color w:val="auto"/>
        </w:rPr>
        <w:t>to significant on-target, off-tumor toxicity.</w:t>
      </w:r>
    </w:p>
    <w:p>
      <w:pPr>
        <w:spacing w:after="0" w:line="67" w:lineRule="exact"/>
        <w:rPr>
          <w:rFonts w:ascii="Arial" w:cs="Arial" w:eastAsia="Arial" w:hAnsi="Arial"/>
          <w:sz w:val="18"/>
          <w:szCs w:val="18"/>
          <w:color w:val="auto"/>
        </w:rPr>
      </w:pPr>
    </w:p>
    <w:p>
      <w:pPr>
        <w:ind w:left="1080" w:right="100" w:hanging="424"/>
        <w:spacing w:after="0" w:line="25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Target-mediated drug disposition limitation</w:t>
      </w:r>
      <w:r>
        <w:rPr>
          <w:rFonts w:ascii="Arial" w:cs="Arial" w:eastAsia="Arial" w:hAnsi="Arial"/>
          <w:sz w:val="18"/>
          <w:szCs w:val="18"/>
          <w:color w:val="auto"/>
        </w:rPr>
        <w:t>: Target-mediated drug disposition, or TMDD, is the phenomenon in which a drug binds to</w:t>
      </w:r>
      <w:r>
        <w:rPr>
          <w:rFonts w:ascii="Arial" w:cs="Arial" w:eastAsia="Arial" w:hAnsi="Arial"/>
          <w:sz w:val="18"/>
          <w:szCs w:val="18"/>
          <w:b w:val="1"/>
          <w:bCs w:val="1"/>
          <w:color w:val="auto"/>
        </w:rPr>
        <w:t xml:space="preserve"> </w:t>
      </w:r>
      <w:r>
        <w:rPr>
          <w:rFonts w:ascii="Arial" w:cs="Arial" w:eastAsia="Arial" w:hAnsi="Arial"/>
          <w:sz w:val="18"/>
          <w:szCs w:val="18"/>
          <w:color w:val="auto"/>
        </w:rPr>
        <w:t>its pharmacological target on normal tissue, causing the antibody to attack a normal cell and depleting the antibody from circulation. As a consequence, the pharmacokinetic characteristics of the drug can be adversely impacted, leading to reduced half-life, lower tumor exposure, which requires more frequent dosing, increased toxicity and ultimately resulting in patient inconvenience, greater costs and necessitating higher doses of the drug.</w:t>
      </w:r>
    </w:p>
    <w:p>
      <w:pPr>
        <w:spacing w:after="0" w:line="88" w:lineRule="exact"/>
        <w:rPr>
          <w:rFonts w:ascii="Arial" w:cs="Arial" w:eastAsia="Arial" w:hAnsi="Arial"/>
          <w:sz w:val="18"/>
          <w:szCs w:val="18"/>
          <w:color w:val="auto"/>
        </w:rPr>
      </w:pPr>
    </w:p>
    <w:p>
      <w:pPr>
        <w:ind w:left="1080" w:right="80" w:hanging="424"/>
        <w:spacing w:after="0" w:line="26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Immunogenicity</w:t>
      </w:r>
      <w:r>
        <w:rPr>
          <w:rFonts w:ascii="Arial" w:cs="Arial" w:eastAsia="Arial" w:hAnsi="Arial"/>
          <w:sz w:val="18"/>
          <w:szCs w:val="18"/>
          <w:color w:val="auto"/>
        </w:rPr>
        <w:t>: Antibodies also can be sensitive to modifications that can lead to immunogenicity, or a strong negative immune system</w:t>
      </w:r>
      <w:r>
        <w:rPr>
          <w:rFonts w:ascii="Arial" w:cs="Arial" w:eastAsia="Arial" w:hAnsi="Arial"/>
          <w:sz w:val="18"/>
          <w:szCs w:val="18"/>
          <w:b w:val="1"/>
          <w:bCs w:val="1"/>
          <w:color w:val="auto"/>
        </w:rPr>
        <w:t xml:space="preserve"> </w:t>
      </w:r>
      <w:r>
        <w:rPr>
          <w:rFonts w:ascii="Arial" w:cs="Arial" w:eastAsia="Arial" w:hAnsi="Arial"/>
          <w:sz w:val="18"/>
          <w:szCs w:val="18"/>
          <w:color w:val="auto"/>
        </w:rPr>
        <w:t>response from the body, which can induce anti-drug antibodies that can reduce efficacy or lead to severe infusion reactions, thereby restricting the potential improvements that could be made with emerging technologies.</w:t>
      </w:r>
    </w:p>
    <w:p>
      <w:pPr>
        <w:spacing w:after="0" w:line="18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fundamental specificity challenge with traditional monoclonal antibody-based therapy is that there are few known antigens that are specific to tumors and absent in non-cancerous tissues. Drug developers might develop an antibody that is exquisitely specific against its target, but due to the expression of the target on non-tumor cells, systemic administration can result in dose-limiting toxicities from on-target, off-tumor activity. However, clinicians are able to manage the consequences of these adverse events in most hematological cancer patients. In solid tumors, therapies such as cetuximab target an antigen that is highly expressed in colorectal cancer, but is also expressed in epidermal cells throughout the body, which are not restricted in lineage or tissue, nor can be easily regenerated as in the case of cells in the hematopoietic lineage. Consequently, solid tumor treatments may often result in on-target, off-tumor toxicities that are more difficult to manage than with treatments for hematological malignancy. As an example, treatment with cetuximab results in over 80% of</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patients developing skin toxicities that can severely impact patients’ physical, psychological and social well-being and can lead to treatment discontinuation and dose reduction.</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These examples, however, only represent antibodies where the therapeutic benefit clearly outweighs the consequences associated with the adverse events. There are many potential protein targets that do not offer such clear-cut therapeutic windows. The majority of anticancer antibody-based drug products are consequently limited to a small subset of potential tumor antigens. We believe that our novel approach to increase the selectivity of antibody-based therapeutics while maintaining their potency may have the potential to fundamentally transform the development of anticancer therapeutics and expand the universe of targets for novel antibody-based therapies.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CAB leverages the low pH found in the tumor microenvironment</w:t>
      </w:r>
    </w:p>
    <w:p>
      <w:pPr>
        <w:spacing w:after="0" w:line="11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tumor microenvironment has been widely implicated in tumorigenesis because it harbors tumor cells that interact with surrounding cells through the circulatory and lymphatic systems to influence the development and progression of cancer. The tumor microenvironment has conditions distinct from the normal cellular and extracellular environments found in non-cancerous tissue, blood or other parts of a normal body. It has been long appreciated that the extracellular milieu inside and surrounding the growing tumor mass is distinct and unique. One of the most profound physicochemical differences between the tumor microenvironment and normal cellular environment is an increase in lactic acid and an associated decrease in pH in the tumor microenvironment from the normal physiological pH of about 7.4 or higher.</w:t>
      </w:r>
    </w:p>
    <w:p>
      <w:pPr>
        <w:spacing w:after="0" w:line="17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While the tumor is acidic, some of the most acidic regions of tumors can be observed at the edge of the tumors, just at the interface with the surrounding tissue or blood, according to a paper published in 2019 in the journal </w:t>
      </w:r>
      <w:r>
        <w:rPr>
          <w:rFonts w:ascii="Arial" w:cs="Arial" w:eastAsia="Arial" w:hAnsi="Arial"/>
          <w:sz w:val="16"/>
          <w:szCs w:val="16"/>
          <w:i w:val="1"/>
          <w:iCs w:val="1"/>
          <w:color w:val="auto"/>
        </w:rPr>
        <w:t>Cancer Research</w:t>
      </w:r>
      <w:r>
        <w:rPr>
          <w:rFonts w:ascii="Arial" w:cs="Arial" w:eastAsia="Arial" w:hAnsi="Arial"/>
          <w:sz w:val="16"/>
          <w:szCs w:val="16"/>
          <w:color w:val="auto"/>
        </w:rPr>
        <w:t>. In this study, pH low insertion peptide, or pHLIP, a peptide that is taken up by cells at a pH below 6.5, was injected into human tumor-bearing mice. While nearly all tumors took up this peptide, normal tissues did not take up this peptide except in the liver and kidney, where it was metabolized and excreted. As shown in the figure below, certain regions within the tumor and in the cells at the edge of tumors took up some of the highest concentration of the probe, indicating that these areas had pH substantially lower than 6.5. These findings are important when considering the design of therapies for solid tumors because they point to the fact that while the overall tumor is acidic, the most accessible and rapidly growing portions of tumors are likely to have some of the lowest pHs.</w:t>
      </w:r>
    </w:p>
    <w:p>
      <w:pPr>
        <w:spacing w:after="0" w:line="166"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 xml:space="preserve">Shown below is a tumor “heat” map identifying the tumor cells that are surrounded by an acid microenvironment. Exploiting the established ability of pHLIP to label the membrane of cells exclusively under acidic conditions (&lt;pH 6.5)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 cells within the acidic areas of the tumor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can be identified at the histological level. Mice harboring human breast tumor xenografts were administered Cy7-labeled, or dyed, pHLIP peptide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the tumor tissues were later removed and processed for imaging. Shown on the left is a micrograph of the tumor with the cell-based segmentation data overlayed, including positional information relative to tumor edge. The degree of positivity generated in the above analysis was used to identify a 0-3+ positive cells. Note that the acidic areas extend beyond the traditional hypoxic core of the tumor into the aerobic and oxygenated cells at the invasive fronts at the tumor–stroma interface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Shown on the right is the breakdown of cancer cells types that are identified by pHLIP acidic cell staining </w:t>
      </w:r>
      <w:r>
        <w:rPr>
          <w:rFonts w:ascii="Arial" w:cs="Arial" w:eastAsia="Arial" w:hAnsi="Arial"/>
          <w:sz w:val="17"/>
          <w:szCs w:val="17"/>
          <w:i w:val="1"/>
          <w:iCs w:val="1"/>
          <w:color w:val="auto"/>
        </w:rPr>
        <w:t>in vivo</w:t>
      </w:r>
      <w:r>
        <w:rPr>
          <w:rFonts w:ascii="Arial" w:cs="Arial" w:eastAsia="Arial" w:hAnsi="Arial"/>
          <w:sz w:val="17"/>
          <w:szCs w:val="17"/>
          <w:color w:val="auto"/>
        </w:rPr>
        <w:t>. A majority of the cells identified are oxygenated and actively replicating tumor cells, and even the non-dividing cancers cells still maintain an acidic environment.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Tumor “Heat”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171450</wp:posOffset>
            </wp:positionV>
            <wp:extent cx="4491990" cy="2245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9199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460" w:right="220"/>
        <w:spacing w:after="0" w:line="282" w:lineRule="auto"/>
        <w:rPr>
          <w:sz w:val="20"/>
          <w:szCs w:val="20"/>
          <w:color w:val="auto"/>
        </w:rPr>
      </w:pPr>
      <w:r>
        <w:rPr>
          <w:rFonts w:ascii="Arial" w:cs="Arial" w:eastAsia="Arial" w:hAnsi="Arial"/>
          <w:sz w:val="18"/>
          <w:szCs w:val="18"/>
          <w:b w:val="1"/>
          <w:bCs w:val="1"/>
          <w:color w:val="auto"/>
        </w:rPr>
        <w:t xml:space="preserve">Tumors are highly acidic based on the uptake of pHLIP, a pH-sensitive probe. While the entire tumor is acidic, the lowest pH cells are the replicating cells, which are glycolytic and often oxygenated,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the Warburg Effect.</w:t>
      </w:r>
    </w:p>
    <w:p>
      <w:pPr>
        <w:spacing w:after="0" w:line="16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One reason for the low pH in tumors compared to normal cells is that there are distinct differences in the metabolic processes found in normal and cancer cells. Normal cells generate the energy they need primarily through the oxygen-dependent process called oxidative phosphorylation. In comparison, cancer cells have switched their mechanism of energy production preferentially to the non-oxygen-dependent process known as glycolysis, even in the presence and availability of oxygen. This process switch was first described nearly a century ago and is the basis of modern tumor screening technologies. The dependence of a tumor cell on glycolysis results in the tumor cell metabolizing up to 200 times more glucose than a healthy cell and causing the secretion of significant levels of lactic acid into the tumor microenvironment. This inherent buildup of lactic acid in the tumor microenvironment has been shown to reduce immune cell function and modulate other defense mechanisms of the body, promoting tumor growth and tumor survival. The presence of lactic acid in the tumor microenvironment causes it to have a distinctly acidic pH of less than 6.8 and even lower at the tumor cell surface, a pH so low that it is rarely found in the body except in organs designed for low pH, such as the stomach, where antibodies in the blood do not access, and in special circumstances, such as cancer. In some cancers, the pH goes as low as 5.8, an extremely low level given the normal, slightly alkaline, pH in the body. The body holds its pH within a tight range around a pH of 7.4, even in the non-cancerous regions of tissues afflicted with cancer.</w:t>
      </w:r>
    </w:p>
    <w:p>
      <w:pPr>
        <w:spacing w:after="0" w:line="17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These pH differences provide a clear correlation between low pH and cancer, one that is borne out in the aforementioned experiments that measure the uptake by cells of the peptide pH tracer pHLIP. These cells are found to have high levels of lactate dehydrogenase, an enzyme that produces the sugar lactate, </w:t>
      </w:r>
      <w:r>
        <w:rPr>
          <w:rFonts w:ascii="Arial" w:cs="Arial" w:eastAsia="Arial" w:hAnsi="Arial"/>
          <w:sz w:val="17"/>
          <w:szCs w:val="17"/>
          <w:i w:val="1"/>
          <w:iCs w:val="1"/>
          <w:color w:val="auto"/>
        </w:rPr>
        <w:t>i.e.,</w:t>
      </w:r>
      <w:r>
        <w:rPr>
          <w:rFonts w:ascii="Arial" w:cs="Arial" w:eastAsia="Arial" w:hAnsi="Arial"/>
          <w:sz w:val="17"/>
          <w:szCs w:val="17"/>
          <w:color w:val="auto"/>
        </w:rPr>
        <w:t xml:space="preserve"> lactic acid. Lactate production and secretion are known features of glycolysis. Similarly, there is a strong correlation between the uptake of pHLIP and the expression of markers of aggressive tumor growth such as Ki67.</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Tumors not only have characteristically low pH, which assists them in reducing the body’s immune defenses, along with acidity they also generate other aberrant conditions and secrete other chemicals and proteins into the tumor microenvironment that may stimulate tumor growth, promote the development of new blood vessels or angiogenesis, degrade surrounding tissues allowing the tumor to spread or metastasize or actively suppress detection and destruction by the immune system. In view of our preclinical studies and clinical trials and the substantial supporting scientific literature, we believe that there is an opportunity to develop cancer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therapies with improved selectivity for tumors by taking advantage of changes in pH, as do our initial product candidates, as well as in the conditions and levels of temperature, pressure and chemical composition in the tumor microenvironment.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CAB technology</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Our CABs are based on our patented protein discovery and engineering technology. We invented, developed and refined this technology which we believe selectively activates proteins and antibodies in the tumor microenvironment based on differences in local conditions such as pH, temperature, pressure or chemical composition compared to normal healthy tissue. We have shown that activation of our CAB biologics is reversible; not only are they activated due to the pH levels of the tumor microenvironment, but also, unlike prodrugs, they are reversibly inactivated when they leave the tumor microenvironment and are in a normal physiological environment.</w:t>
      </w:r>
    </w:p>
    <w:p>
      <w:pPr>
        <w:spacing w:after="0" w:line="18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Our CAB technology capitalizes on the well-established Warburg Effect that through a glycolytic process leads to an acidic external tumor microenvironment. Extracellular pH levels in tumors have been measured to be as low as pH5.8 compared to the tightly controlled, alkaline, pH7.4 of blood, with even higher pH in healthy tissues. Glycolytic metabolism is also the basis of the established PET scanning technology for cancer detection for tumor types. CAB proteins have increased binding activity as the pH in the microenvironment becomes acidic, while being inactive in normal physiological environments. We discovered a novel chemical switch mechanism involving physiological-occurring chemicals, such as bicarbonate and hydrogen sulfide. These molecules are negatively charged at physiological conditions and interact with positive charged areas on the protein surface. Under acidic conditions of the tumor microenvironment they are neutralized and released from the protein surface, uniquely allowing CAB antibodies to bind to their target and attack the tumor cell. We refer to this novel physiological mechanism, used for generating CABs, as Protein-associated Chemical Switch(es) or PaCS mechanism. The ability to design conditionally active therapeutics with stronger selectivity over narrower pH ranges using the PaCS mechanism offers the opportunity to greatly enhance both the safety and potency of future therapies for solid tumors.</w:t>
      </w:r>
    </w:p>
    <w:p>
      <w:pPr>
        <w:spacing w:after="0" w:line="16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have used and continue to leverage our patented CAB technology to screen antibody candidates for multiple characteristics. By doing so, we can evolve specific regions on the antibody that will only bind in response to environmental conditions, either enhancing or eliminating binding. Our CAB technology allows us to select antibodies that preferentially bind to the target under the conditions of interest, such as high local acidity. CAB antibodies have human or humanized antibody sequences, a characteristic that reduces the risk of immunogenicity compared to emerging technologies in the field, which is supported by both our preclinical and clinical data.</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Our cancer antibodies have been designed to be active in the acidic, lower pH of the tumor microenvironment and inactive under the slightly alkaline pH of 7.4 found in normal physiological conditions. In a quantitative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binding assay we compared a CAB antibody and a non-CAB antibody that both bind to the target AXL with matched strength of binding to the target, or affinities, when measured at pH 6.0. As shown in the figure below, binding of the CAB antibody was highly sensitive to pH with binding becoming much weaker as it approached pH 7.0 and almost undetectable at a physiological pH of 7.4. In contrast, a non-CAB antibody to AXL showed indiscriminate and experimentally equivalent binding across the entire pH range tested, including at pH 7.4 of normal cells. Our CAB development process is capable of identifying CAB antibodies with a range of sensitivities to pH.</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pH-dependent binding of CAB AXL antibodies vs. non-CAB AXL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494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8604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CAB antibodies have pH-dependent binding. Standard antibodies do not have pH-dependent binding in the pH range tested.</w:t>
      </w:r>
    </w:p>
    <w:p>
      <w:pPr>
        <w:spacing w:after="0" w:line="24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Low pH-dependent CAB antibodies are far less likely to bind to targets outside of tumors, resulting in antibodies generated by our CAB platform having a number of potential advantages over traditional antibodies:</w:t>
      </w:r>
    </w:p>
    <w:p>
      <w:pPr>
        <w:spacing w:after="0" w:line="72" w:lineRule="exact"/>
        <w:rPr>
          <w:sz w:val="20"/>
          <w:szCs w:val="20"/>
          <w:color w:val="auto"/>
        </w:rPr>
      </w:pPr>
    </w:p>
    <w:p>
      <w:pPr>
        <w:jc w:val="both"/>
        <w:ind w:left="1080" w:right="220" w:hanging="424"/>
        <w:spacing w:after="0" w:line="26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Wide therapeutic window. </w:t>
      </w:r>
      <w:r>
        <w:rPr>
          <w:rFonts w:ascii="Arial" w:cs="Arial" w:eastAsia="Arial" w:hAnsi="Arial"/>
          <w:sz w:val="18"/>
          <w:szCs w:val="18"/>
          <w:color w:val="auto"/>
        </w:rPr>
        <w:t>Reduced binding to target antigens outside of the tumor has the potential to reduce toxicities that arise from</w:t>
      </w:r>
      <w:r>
        <w:rPr>
          <w:rFonts w:ascii="Arial" w:cs="Arial" w:eastAsia="Arial" w:hAnsi="Arial"/>
          <w:sz w:val="18"/>
          <w:szCs w:val="18"/>
          <w:b w:val="1"/>
          <w:bCs w:val="1"/>
          <w:color w:val="auto"/>
        </w:rPr>
        <w:t xml:space="preserve"> </w:t>
      </w:r>
      <w:r>
        <w:rPr>
          <w:rFonts w:ascii="Arial" w:cs="Arial" w:eastAsia="Arial" w:hAnsi="Arial"/>
          <w:sz w:val="18"/>
          <w:szCs w:val="18"/>
          <w:color w:val="auto"/>
        </w:rPr>
        <w:t>systemic exposure. We believe this may enable higher doses or increased potency to be safely delivered to patients with the potential for increased efficacy.</w:t>
      </w:r>
    </w:p>
    <w:p>
      <w:pPr>
        <w:spacing w:after="0" w:line="81" w:lineRule="exact"/>
        <w:rPr>
          <w:rFonts w:ascii="Arial" w:cs="Arial" w:eastAsia="Arial" w:hAnsi="Arial"/>
          <w:sz w:val="18"/>
          <w:szCs w:val="18"/>
          <w:color w:val="auto"/>
        </w:rPr>
      </w:pPr>
    </w:p>
    <w:p>
      <w:pPr>
        <w:ind w:left="1080" w:right="40" w:hanging="424"/>
        <w:spacing w:after="0" w:line="26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Opportunity to increase tumor-specific killing. </w:t>
      </w:r>
      <w:r>
        <w:rPr>
          <w:rFonts w:ascii="Arial" w:cs="Arial" w:eastAsia="Arial" w:hAnsi="Arial"/>
          <w:sz w:val="18"/>
          <w:szCs w:val="18"/>
          <w:color w:val="auto"/>
        </w:rPr>
        <w:t>The wide therapeutic window imparted by tumor-specific targeting enables CAB</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 to be modified with cytotoxic drugs to create ADCs. Similarly, bispecific antibodies can be developed using CAB antibody domains targeting pairs of targets that direct T cells to attack the tumor, which may exhibit unacceptable toxicities such as cytokine release syndrome and neurological toxicity if constructed using traditional antibody domains.</w:t>
      </w:r>
    </w:p>
    <w:p>
      <w:pPr>
        <w:spacing w:after="0" w:line="85" w:lineRule="exact"/>
        <w:rPr>
          <w:rFonts w:ascii="Arial" w:cs="Arial" w:eastAsia="Arial" w:hAnsi="Arial"/>
          <w:sz w:val="18"/>
          <w:szCs w:val="18"/>
          <w:color w:val="auto"/>
        </w:rPr>
      </w:pPr>
    </w:p>
    <w:p>
      <w:pPr>
        <w:ind w:left="1080" w:right="120" w:hanging="424"/>
        <w:spacing w:after="0" w:line="347"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Increased drug exposure to tumors. </w:t>
      </w:r>
      <w:r>
        <w:rPr>
          <w:rFonts w:ascii="Arial" w:cs="Arial" w:eastAsia="Arial" w:hAnsi="Arial"/>
          <w:sz w:val="16"/>
          <w:szCs w:val="16"/>
          <w:color w:val="auto"/>
        </w:rPr>
        <w:t>Limited binding to targets outside of tumors allows more of the administered CAB antibodies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bind to target sites in the tumor, potentially increasing the concentrations and exposure of these antibodies in tumors.</w:t>
      </w:r>
    </w:p>
    <w:p>
      <w:pPr>
        <w:spacing w:after="0" w:line="21" w:lineRule="exact"/>
        <w:rPr>
          <w:rFonts w:ascii="Arial" w:cs="Arial" w:eastAsia="Arial" w:hAnsi="Arial"/>
          <w:sz w:val="16"/>
          <w:szCs w:val="16"/>
          <w:color w:val="auto"/>
        </w:rPr>
      </w:pPr>
    </w:p>
    <w:p>
      <w:pPr>
        <w:ind w:left="1080" w:hanging="424"/>
        <w:spacing w:after="0" w:line="347"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Improved pharmacokinetics. </w:t>
      </w:r>
      <w:r>
        <w:rPr>
          <w:rFonts w:ascii="Arial" w:cs="Arial" w:eastAsia="Arial" w:hAnsi="Arial"/>
          <w:sz w:val="16"/>
          <w:szCs w:val="16"/>
          <w:color w:val="auto"/>
        </w:rPr>
        <w:t>Limited binding to targets outside of tumors effectively increases their half-life in plasma. The phenomenon</w:t>
      </w:r>
      <w:r>
        <w:rPr>
          <w:rFonts w:ascii="Arial" w:cs="Arial" w:eastAsia="Arial" w:hAnsi="Arial"/>
          <w:sz w:val="16"/>
          <w:szCs w:val="16"/>
          <w:b w:val="1"/>
          <w:bCs w:val="1"/>
          <w:color w:val="auto"/>
        </w:rPr>
        <w:t xml:space="preserve"> </w:t>
      </w:r>
      <w:r>
        <w:rPr>
          <w:rFonts w:ascii="Arial" w:cs="Arial" w:eastAsia="Arial" w:hAnsi="Arial"/>
          <w:sz w:val="16"/>
          <w:szCs w:val="16"/>
          <w:color w:val="auto"/>
        </w:rPr>
        <w:t>of TMDD is a well-known limitation facing the development of many biologics which CAB antibodies may be able to avoid.</w:t>
      </w:r>
    </w:p>
    <w:p>
      <w:pPr>
        <w:spacing w:after="0" w:line="21" w:lineRule="exact"/>
        <w:rPr>
          <w:rFonts w:ascii="Arial" w:cs="Arial" w:eastAsia="Arial" w:hAnsi="Arial"/>
          <w:sz w:val="16"/>
          <w:szCs w:val="16"/>
          <w:color w:val="auto"/>
        </w:rPr>
      </w:pPr>
    </w:p>
    <w:p>
      <w:pPr>
        <w:ind w:left="1080" w:right="80" w:hanging="424"/>
        <w:spacing w:after="0" w:line="289"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Broader universe of tumor-specific antigens that can be targeted. </w:t>
      </w:r>
      <w:r>
        <w:rPr>
          <w:rFonts w:ascii="Arial" w:cs="Arial" w:eastAsia="Arial" w:hAnsi="Arial"/>
          <w:sz w:val="16"/>
          <w:szCs w:val="16"/>
          <w:color w:val="auto"/>
        </w:rPr>
        <w:t>There are few highly prevalent tumor-specific antigens expressed on</w:t>
      </w:r>
      <w:r>
        <w:rPr>
          <w:rFonts w:ascii="Arial" w:cs="Arial" w:eastAsia="Arial" w:hAnsi="Arial"/>
          <w:sz w:val="16"/>
          <w:szCs w:val="16"/>
          <w:b w:val="1"/>
          <w:bCs w:val="1"/>
          <w:color w:val="auto"/>
        </w:rPr>
        <w:t xml:space="preserve"> </w:t>
      </w:r>
      <w:r>
        <w:rPr>
          <w:rFonts w:ascii="Arial" w:cs="Arial" w:eastAsia="Arial" w:hAnsi="Arial"/>
          <w:sz w:val="16"/>
          <w:szCs w:val="16"/>
          <w:color w:val="auto"/>
        </w:rPr>
        <w:t>solid tumors that are not expressed at some level in normal tissues. While some targets, such as EGFR, can be targeted by traditional antibodies with an acceptable level of toxicity in a subset of patients, many other potential targets cannot. CAB antibodies</w:t>
      </w:r>
    </w:p>
    <w:p>
      <w:pPr>
        <w:spacing w:after="0" w:line="1" w:lineRule="exact"/>
        <w:rPr>
          <w:rFonts w:ascii="Arial" w:cs="Arial" w:eastAsia="Arial" w:hAnsi="Arial"/>
          <w:sz w:val="16"/>
          <w:szCs w:val="16"/>
          <w:color w:val="auto"/>
        </w:rPr>
      </w:pPr>
    </w:p>
    <w:p>
      <w:pPr>
        <w:ind w:left="1080" w:right="480"/>
        <w:spacing w:after="0" w:line="260" w:lineRule="auto"/>
        <w:rPr>
          <w:rFonts w:ascii="Arial" w:cs="Arial" w:eastAsia="Arial" w:hAnsi="Arial"/>
          <w:sz w:val="16"/>
          <w:szCs w:val="16"/>
          <w:color w:val="auto"/>
        </w:rPr>
      </w:pPr>
      <w:r>
        <w:rPr>
          <w:rFonts w:ascii="Arial" w:cs="Arial" w:eastAsia="Arial" w:hAnsi="Arial"/>
          <w:sz w:val="18"/>
          <w:szCs w:val="18"/>
          <w:color w:val="auto"/>
        </w:rPr>
        <w:t>with pH-dependent binding have the potential to significantly reduce the potential risk of systemic toxicities caused by expression of targets on normal tissues.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An important emerging class of antibodies is ADCs. An ADC is a modified antibody that generally has a chemotherapy agent attached to the antibody to enable more targeted chemotherapy treatment of a tumor.</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Unfortunately, ADCs frequently bind to targets on normal cells and lead to severe toxicities. In order to evaluate the CAB technology’s ability to eliminate the on-target, off-tumor toxicities, we generated two ADCs during our preclinical testing: one using a CAB antibody to AXL and another using a traditional AXL antibody. Within three days of dosing non-human primates with the traditional ADC, the levels of alanine aminotransferase, or ALT, a sign of liver toxicity, increased sharply. Dosing with the CAB ADC resulted in minimal increase in ALT, supporting that on-target, off-tumor toxicity is reduced with the CAB ADC.</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also observed that the plasma concentration and half-life of the CAB ADC were higher than that of the traditional ADC. We demonstrated a dose dependency of this observation, which indicates that the primary driver of this absence of TMDD effect with CAB ADC is due to the reduced binding of the CAB ADC to AXL outside of the tumor microenvironment.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CAB technology has been studied in robust Phase 1 clinical trials for our two leading clinical programs, which have shown the following:</w:t>
      </w:r>
    </w:p>
    <w:p>
      <w:pPr>
        <w:spacing w:after="0" w:line="142" w:lineRule="exact"/>
        <w:rPr>
          <w:sz w:val="20"/>
          <w:szCs w:val="20"/>
          <w:color w:val="auto"/>
        </w:rPr>
      </w:pPr>
    </w:p>
    <w:p>
      <w:pPr>
        <w:jc w:val="both"/>
        <w:ind w:left="1080" w:right="60" w:hanging="424"/>
        <w:spacing w:after="0" w:line="286"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Objective antitumor responses</w:t>
      </w:r>
      <w:r>
        <w:rPr>
          <w:rFonts w:ascii="Arial" w:cs="Arial" w:eastAsia="Arial" w:hAnsi="Arial"/>
          <w:sz w:val="17"/>
          <w:szCs w:val="17"/>
          <w:color w:val="auto"/>
        </w:rPr>
        <w:t>: We observed multiple confirmed partial clinical responses (at least 30% reduction in tumor size for at least two consecutive time points) in our Phase 1 data for both BA3011 and BA3021, including in one patient tumor volume shrinkage of more than 90%, and several patients who are presently continuing on therapy without tumor progression.</w:t>
      </w:r>
    </w:p>
    <w:p>
      <w:pPr>
        <w:spacing w:after="0" w:line="70" w:lineRule="exact"/>
        <w:rPr>
          <w:rFonts w:ascii="Arial" w:cs="Arial" w:eastAsia="Arial" w:hAnsi="Arial"/>
          <w:sz w:val="17"/>
          <w:szCs w:val="17"/>
          <w:color w:val="auto"/>
        </w:rPr>
      </w:pPr>
    </w:p>
    <w:p>
      <w:pPr>
        <w:ind w:left="1080" w:right="6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Antitumor activity correlates with a proprietary biomarker</w:t>
      </w:r>
      <w:r>
        <w:rPr>
          <w:rFonts w:ascii="Arial" w:cs="Arial" w:eastAsia="Arial" w:hAnsi="Arial"/>
          <w:sz w:val="18"/>
          <w:szCs w:val="18"/>
          <w:color w:val="auto"/>
        </w:rPr>
        <w:t>: The presence of the relevant target on a high percentage of tumor cells appeared to correlate with increased antitumor activity.</w:t>
      </w:r>
    </w:p>
    <w:p>
      <w:pPr>
        <w:spacing w:after="0" w:line="75" w:lineRule="exact"/>
        <w:rPr>
          <w:rFonts w:ascii="Arial" w:cs="Arial" w:eastAsia="Arial" w:hAnsi="Arial"/>
          <w:sz w:val="18"/>
          <w:szCs w:val="18"/>
          <w:color w:val="auto"/>
        </w:rPr>
      </w:pPr>
    </w:p>
    <w:p>
      <w:pPr>
        <w:ind w:left="1080" w:right="180" w:hanging="424"/>
        <w:spacing w:after="0" w:line="286"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Safety and tolerability</w:t>
      </w:r>
      <w:r>
        <w:rPr>
          <w:rFonts w:ascii="Arial" w:cs="Arial" w:eastAsia="Arial" w:hAnsi="Arial"/>
          <w:sz w:val="17"/>
          <w:szCs w:val="17"/>
          <w:color w:val="auto"/>
        </w:rPr>
        <w:t>: BA3011 and BA3021 were generally well-tolerated at the recommended Phase 2 dose range, which is positively differentiated from both preclinical and cross-trial trial results for a similar non-CAB ADC. Side effects have been generally manageable with our CAB ADC product candidates, with some patients able to receive more than a year of treatment.</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Through the use of our proprietary technology, we have developed CAB antibodies, which we believe have specificity for tumors, while avoiding binding to the same antigen target expressed on many normal tissues. This allows us to develop therapeutics against targets that are expressed at high levels on tumors cells but are also present on normal cells and tissues, without the toxicities associated with traditional antibodies. While our lead product candidates primarily exploit the differences in pH between the tumor microenvironment and healthy tissue, there is a potential for other yet to be identified PaCS molecules in disease related microenvironments, whether controlled through pH, concentration, or other molecular characteristics (intra-or intermolecularly) for enhancing a drug’s therapeutic index. Potential new therapeutic candidates addressing these opportunities are not limited to antibodies, but may also include small molecules, encompassing lipids, sugars and nucleic acid-based agents or drugs. Further, it is expected that PaCS protein-chemical systems are important naturally occurring regulatory systems linked to a range of disease-related microenvironments, including cancer, inflammation and cellular senescence.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trials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BA3011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BA3011 Phase 1 clinical trial</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have completed a Phase 1 trial of BA3011 in patients with advanced solid tumors, including sarcoma, pancreatic cancer and NSCLC who were refractory or resistant to standard therapies. As shown below, cohorts were treated with doses of BA3011 ranging from 0.3 mg/kg to 3 mg/kg once every three weeks (Q3W) or doses ranging from 1.2 mg/kg to 1.8 mg/kg twice every three weeks on days 1 and 8 (2Q3W). As of the last data</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cut-off 55 subjects were enrolled into 9 dose cohorts: 0.3 mg/kg Q3W (3 subjects), 0.6 mg/kg Q3W (1 subject), 1.2 mg/kg Q3W (1 subject), 1.8 mg/kg Q3W (9 subjects), 2.4 mg/kg Q3W (9 subjects), 3.0 mg/kg Q3W (1 subject), 1.2 mg/kg 2Q3W (7 subjects), 1.5 mg/kg 2Q3W (4 subjects) and 1.8 mg/kg 2Q3W (20 subjects). The solid tumor types enrolled in this study were: soft tissue sarcoma (19 subjects), pancreatic (12 subjects), NSCLC (4 subjects), colorectal (4 subjects), melanoma (3 subjects), bladder (2 subjects), endometrial (2 subjects), non-TNBC, osteosarcoma, Ewing sarcoma, chondrosarcoma, myoepithelial carcinoma, adenoid cystic carcinoma, small cell lung, renal cell carcinoma and mesothelioma of the pleura (1 subject each).</w:t>
      </w:r>
    </w:p>
    <w:p>
      <w:pPr>
        <w:spacing w:after="0" w:line="19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main goals of this trial were to evaluate the safety, tolerability, antitumor activity, pharmacokinetics and immunogenicity of BA3011 in solid tumor patients. Based upon the overall safety and response rates, the recommended Phase 2 dose is 1.8 mg/kg delivered every two weeks (Q2W). The trial’s objectives were the following: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Primary</w:t>
      </w:r>
    </w:p>
    <w:p>
      <w:pPr>
        <w:spacing w:after="0" w:line="131" w:lineRule="exact"/>
        <w:rPr>
          <w:sz w:val="20"/>
          <w:szCs w:val="20"/>
          <w:color w:val="auto"/>
        </w:rPr>
      </w:pPr>
    </w:p>
    <w:p>
      <w:pPr>
        <w:ind w:left="1080" w:right="420" w:hanging="424"/>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define the safety profile, including dose-limiting toxicity, or DLT, and determine the maximum tolerated dose, or MTD, and/or the recommend Phase 2 dose, or RP2D, and other safety parameters for BA3011 in patients with advanced solid tumors.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Secondary</w:t>
      </w:r>
    </w:p>
    <w:p>
      <w:pPr>
        <w:spacing w:after="0" w:line="131" w:lineRule="exact"/>
        <w:rPr>
          <w:sz w:val="20"/>
          <w:szCs w:val="20"/>
          <w:color w:val="auto"/>
        </w:rPr>
      </w:pPr>
    </w:p>
    <w:p>
      <w:pPr>
        <w:ind w:left="1080" w:right="40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assess antitumor activity of BA3011 including endpoints such as objective response, or OR, change from baseline in tumor size, duration of response, or DoR, disease control, time-to-response, and overall response rate, or ORR, according to Response Evaluation Criteria in Solid Tumors (RECIST) Version 1.1.</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assess the pharmacokinetics of BA3011.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evaluate the immunogenicity of BA3011.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Design of the BA3011 Phase 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171450</wp:posOffset>
            </wp:positionV>
            <wp:extent cx="4680585" cy="2245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8058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460" w:right="300"/>
        <w:spacing w:after="0" w:line="282" w:lineRule="auto"/>
        <w:rPr>
          <w:sz w:val="20"/>
          <w:szCs w:val="20"/>
          <w:color w:val="auto"/>
        </w:rPr>
      </w:pPr>
      <w:r>
        <w:rPr>
          <w:rFonts w:ascii="Arial" w:cs="Arial" w:eastAsia="Arial" w:hAnsi="Arial"/>
          <w:sz w:val="18"/>
          <w:szCs w:val="18"/>
          <w:b w:val="1"/>
          <w:bCs w:val="1"/>
          <w:color w:val="auto"/>
        </w:rPr>
        <w:t>Based on the Phase 1 trial of BA3011, the recommended Phase 2 dose is 1.8 mg/kg delivered every two weeks. As of the last data cut-off, 55 patients have been dosed with BA3011.</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Antitumor activity</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We evaluated OR, one of our secondary endpoints, as shown in the figure below. We have observed five confirmed partial responses (a reduction of at least 30% in the size of the tumor), four in patients with sarcomas and one with NSCLC. These responses have been shown to be durable (³8 months; duration of response is one of our secondary endpoints). Further, additional patients have experienced prolonged progression-free intervals, a period of time where the existing tumor did not measurably increase in size by more than 20% and no new tumors were known to develop. The toxicities observed were consistent with those described with MMAE-based ADCs and were well-tolerated at exposures planned for Phase 2. Importantly we have not observed adverse events that appeared to be related to on-target injury of normal, AXL expressing tissues, </w:t>
      </w:r>
      <w:r>
        <w:rPr>
          <w:rFonts w:ascii="Arial" w:cs="Arial" w:eastAsia="Arial" w:hAnsi="Arial"/>
          <w:sz w:val="18"/>
          <w:szCs w:val="18"/>
          <w:i w:val="1"/>
          <w:iCs w:val="1"/>
          <w:color w:val="auto"/>
        </w:rPr>
        <w:t>i.e.</w:t>
      </w:r>
      <w:r>
        <w:rPr>
          <w:rFonts w:ascii="Arial" w:cs="Arial" w:eastAsia="Arial" w:hAnsi="Arial"/>
          <w:sz w:val="18"/>
          <w:szCs w:val="18"/>
          <w:color w:val="auto"/>
        </w:rPr>
        <w:t>, on-target, off-tumor toxicity.</w:t>
      </w:r>
    </w:p>
    <w:p>
      <w:pPr>
        <w:spacing w:after="0" w:line="1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Percent change in sum of target lesions by visit and AXL for all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171450</wp:posOffset>
            </wp:positionV>
            <wp:extent cx="3909060" cy="1611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0906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500"/>
        <w:spacing w:after="0" w:line="282" w:lineRule="auto"/>
        <w:rPr>
          <w:sz w:val="20"/>
          <w:szCs w:val="20"/>
          <w:color w:val="auto"/>
        </w:rPr>
      </w:pPr>
      <w:r>
        <w:rPr>
          <w:rFonts w:ascii="Arial" w:cs="Arial" w:eastAsia="Arial" w:hAnsi="Arial"/>
          <w:sz w:val="18"/>
          <w:szCs w:val="18"/>
          <w:b w:val="1"/>
          <w:bCs w:val="1"/>
          <w:color w:val="auto"/>
        </w:rPr>
        <w:t>Antitumor response over time by AXL expression for patients enrolled in the Phase 1 dose escalation trial of BA3011 (a variety of tumor types were included).</w:t>
      </w:r>
    </w:p>
    <w:p>
      <w:pPr>
        <w:spacing w:after="0" w:line="16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developed and CLIA-validated (the Clinical Laboratory Improvement Amendments, or CLIA, establishes federal quality standards for laboratory testing) an AXL immunohistochemical assay to quantify the level of target expression on the tumor membrane and cytoplasm. An independent board-certified pathologist scored all samples according to the scoring scheme determined by us during the CLIA validation phase, as well as during the Phase 1 trial. The pathologist determined the percent of tumor cells with positive membrane staining referred to as the TmPS.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observed that approximately 57% of sarcoma patients screened for enrollment had an AXL TmPS of 70% or above (from a scale of 0% to</w:t>
      </w:r>
    </w:p>
    <w:p>
      <w:pPr>
        <w:spacing w:after="0" w:line="46"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100%), as shown in the figure below. In addition, we identified a correlation between the expression of AXL on the membrane of tumor cells and the observed antitumor clinical response. Eight of 10 patients with a confirmed AXL TmPS of 70% or above who were dosed with 1.8 mg/kg of BA3011 Q3W or 2Q3W had a reduction in tumor volume from baseline (one of our secondary endpoints) and five patients of these eight achieved a confirmed partial response. Only two patients whose tumors expressed AXL with a TmPS of 70% or above did not respond to treatment. One of these was a pancreatic cancer patient with very advanced disease at time of trial entry and the other was a leiomyosarcoma patient for whom the archived tissue biopsy sample had been provided from a resection that was performed over one year prior to trial entry and thus may not have accurately represented AXL expression by tumor at the time of treatment.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Best response for patients with TmPS of 70% or above administered 1.8mg/kg Q3W or 2Q3W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3454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8604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640"/>
        <w:spacing w:after="0" w:line="282" w:lineRule="auto"/>
        <w:rPr>
          <w:sz w:val="20"/>
          <w:szCs w:val="20"/>
          <w:color w:val="auto"/>
        </w:rPr>
      </w:pPr>
      <w:r>
        <w:rPr>
          <w:rFonts w:ascii="Arial" w:cs="Arial" w:eastAsia="Arial" w:hAnsi="Arial"/>
          <w:sz w:val="18"/>
          <w:szCs w:val="18"/>
          <w:b w:val="1"/>
          <w:bCs w:val="1"/>
          <w:color w:val="auto"/>
        </w:rPr>
        <w:t>At a dose of 1.8mg/kg Q3W or 2Q3W; Five patients with an AXL TmPS ³70% achieved a partial response. Eight out of 10 patients with an AXL TmPS ³70% experienced a reduction in tumor volume.</w:t>
      </w:r>
    </w:p>
    <w:p>
      <w:pPr>
        <w:spacing w:after="0" w:line="166"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Focusing on the sarcoma patient subset, we observed a correlation of the AXL TmPS and antitumor response. As shown below, five out of six patients with multiple subtypes of sarcoma who were dosed with 1.8 mg/kg Q3W or 2Q3W of BA3011 with TmPS ³70% experienced reductions in tumor volume and four of these five patients achieved confirmed partial responses (observed response for at least two consecutive time points). We intend to confirm this observed correlation and the TmPS cut-off of 70% or more in Phase 2.</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Best response for sarcoma patients with confirmed TmPS of 70% or above administered 1.8mg/kg Q3W or 2Q3W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520" w:right="60"/>
        <w:spacing w:after="0" w:line="282" w:lineRule="auto"/>
        <w:rPr>
          <w:sz w:val="20"/>
          <w:szCs w:val="20"/>
          <w:color w:val="auto"/>
        </w:rPr>
      </w:pPr>
      <w:r>
        <w:rPr>
          <w:rFonts w:ascii="Arial" w:cs="Arial" w:eastAsia="Arial" w:hAnsi="Arial"/>
          <w:sz w:val="18"/>
          <w:szCs w:val="18"/>
          <w:b w:val="1"/>
          <w:bCs w:val="1"/>
          <w:color w:val="auto"/>
        </w:rPr>
        <w:t>At a dose of 1.8mg/kg Q3W or 2Q3W; 5 out of 6 sarcoma patients with an AXL TmPS ³70% experienced a reduction in tumor volume and 4 out of 6 achieved a partial response.</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One patient with leiomyosarcoma who had experienced failure of multiple prior treatments had a 37% reduction in tumor volume while receiving 1.8 mg/kg Q3W BA3011, as shown in the figure below. The figure below reflects the patient noted in blue in the figure above. After over a year of treatment with BA3011, the residual tumor mass was reduced to a sufficient degree, enabling a successful surgical resection.</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320" w:top="459" w:right="5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CT scan of leiomyosarcoma patient after BA3011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171450</wp:posOffset>
            </wp:positionV>
            <wp:extent cx="4560570" cy="2348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6057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600"/>
        <w:spacing w:after="0" w:line="282" w:lineRule="auto"/>
        <w:rPr>
          <w:sz w:val="20"/>
          <w:szCs w:val="20"/>
          <w:color w:val="auto"/>
        </w:rPr>
      </w:pPr>
      <w:r>
        <w:rPr>
          <w:rFonts w:ascii="Arial" w:cs="Arial" w:eastAsia="Arial" w:hAnsi="Arial"/>
          <w:sz w:val="18"/>
          <w:szCs w:val="18"/>
          <w:b w:val="1"/>
          <w:bCs w:val="1"/>
          <w:color w:val="auto"/>
        </w:rPr>
        <w:t>CT scan of a 70 mm leiomyosarcoma tumor which decreased in size with BA3011 treatment (confirmed PR) and after a year of therapy was removed by surgical resection.</w:t>
      </w:r>
    </w:p>
    <w:p>
      <w:pPr>
        <w:spacing w:after="0" w:line="166"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Of the four patients with NSCLC enrolled in our Phase 1 clinical trial, two were AXL negative with a TmPS of 0%, one was not evaluable, and one was AXL positive with a TmPS of 80%. Prior to BA3011 treatment, the AXL positive patient with stage IV adenocarcinoma experienced failure from prior treatments, including treatment with a PD-1 inhibitor (pembrolizumab). As shown below, this patient experienced a partial response characterized by approximately 70% tumor shrinkage with BA3011 delivered at 1.8 mg/kg on days 1 and 8, every three weeks (2Q3W).</w:t>
      </w:r>
    </w:p>
    <w:p>
      <w:pPr>
        <w:spacing w:after="0" w:line="15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 evaluable NSCLC patients enrolled in Phase 1 BA3011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171450</wp:posOffset>
            </wp:positionV>
            <wp:extent cx="4037330" cy="2811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3733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320" w:top="459" w:right="6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20"/>
        <w:spacing w:after="0" w:line="282" w:lineRule="auto"/>
        <w:rPr>
          <w:sz w:val="20"/>
          <w:szCs w:val="20"/>
          <w:color w:val="auto"/>
        </w:rPr>
      </w:pPr>
      <w:r>
        <w:rPr>
          <w:rFonts w:ascii="Arial" w:cs="Arial" w:eastAsia="Arial" w:hAnsi="Arial"/>
          <w:sz w:val="18"/>
          <w:szCs w:val="18"/>
          <w:b w:val="1"/>
          <w:bCs w:val="1"/>
          <w:color w:val="auto"/>
        </w:rPr>
        <w:t>One of four NSCLC patients enrolled in the Phase 1 BA3011 trial had a partial response. This patient was the only patient with an AXL TmPS ³70%.</w:t>
      </w:r>
    </w:p>
    <w:p>
      <w:pPr>
        <w:spacing w:after="0" w:line="166"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We have not yet evaluated certain of our secondary endpoints such as ORR, disease control or time-to-response. Because this clinical trial is a single arm clinical trial, none of the endpoints, including those related to antitumor activity, can be tested for statistical significance.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BA3011 was generally well-tolerated. We have not observed adverse events that appear to be related to on-target injury of normal, AXL-expressing tissues. We believe that toxicities observed at the maximally tolerated dose and lower were manageable and off-target effects of free MMAE were consistent with those described with other marketed MMAE-based ADCs. The estimated half-life of BA3011 was approximately four days, which is twice the 1.9-day half-life reported for enapotamab vedotin, a non-CAB ADC targeting AXL. We believe this difference may be due to the decreased TMDD resulting from the lack of binding of BA3011 to AXL outside of tumors.</w:t>
      </w:r>
    </w:p>
    <w:p>
      <w:pPr>
        <w:spacing w:after="0" w:line="17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 xml:space="preserve">In the Phase 1 trial, the Grade 3 or greater adverse events, or AEs, or serious adverse events, or SAEs, deemed related to BA3011 were consistent with MMAE-based toxicity and could generally be classified as either reversible myelosuppression (AEs: neutropenia and anemia), transient liver enzyme elevations (AEs: AST/ALT increased) or metabolic disturbances (AEs: hyponatremia, hypokalemia). There was a total of 19 (34.5%) patients who experienced an SAE, 8 (14.5%) of which were considered related to treatment. At the anticipated Phase 2 exposure level (1.8mg/kg Q2W), BA3011 was well tolerated with few patients having treatment-related Grade 3-4 AEs (for 1.8 mg 1Q3W: 22% (2/9), vomiting and neutrophil count decrease; for 1.8 mg 2Q3W: 30% (6/20), neutropenia, hypokalemia, hyponatremia, anemia, neutropenia, blood bilirubin increase and lipase increase). Few patients had SAEs (1.8mg/kg Q3W: 4 SAEs (44%; neutrophil count decrease, intestinal obstruction, lower limb fracture, and sepsis caused by </w:t>
      </w:r>
      <w:r>
        <w:rPr>
          <w:rFonts w:ascii="Arial" w:cs="Arial" w:eastAsia="Arial" w:hAnsi="Arial"/>
          <w:sz w:val="16"/>
          <w:szCs w:val="16"/>
          <w:i w:val="1"/>
          <w:iCs w:val="1"/>
          <w:color w:val="auto"/>
        </w:rPr>
        <w:t>E. coli</w:t>
      </w:r>
      <w:r>
        <w:rPr>
          <w:rFonts w:ascii="Arial" w:cs="Arial" w:eastAsia="Arial" w:hAnsi="Arial"/>
          <w:sz w:val="16"/>
          <w:szCs w:val="16"/>
          <w:color w:val="auto"/>
        </w:rPr>
        <w:t>); 1.8mg/kg 2Q3W: 8 SAEs (40%; pyrexia, lipase increased, hyponatremia, syncope, corneal perforation, hypercalcaemia, gastritis and edema of lower extremities) and of these SAEs, even fewer were deemed related to treatment by the investigator (1.8mg/kg Q3W: 1 SAE (11.1%; neutrophil count decrease); 1.8mg/kg 2Q3W: 3 SAEs (15%; pyrexia, lipase increased and hyponatremia). None of the related AEs or SAEs led to treatment discontinuation.</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Overview of adverse events in BA3011 Phase 1 trial for patients administered 1.8mg/kg Q3W (d1) or 2Q3W (d1,8) (safety population)</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1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3"/>
              </w:rPr>
              <w:t>BA3011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BA3011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Characteristic</w:t>
            </w:r>
          </w:p>
        </w:tc>
        <w:tc>
          <w:tcPr>
            <w:tcW w:w="6700" w:type="dxa"/>
            <w:vAlign w:val="bottom"/>
            <w:vMerge w:val="restart"/>
          </w:tcPr>
          <w:p>
            <w:pPr>
              <w:spacing w:after="0"/>
              <w:rPr>
                <w:sz w:val="12"/>
                <w:szCs w:val="12"/>
                <w:color w:val="auto"/>
              </w:rPr>
            </w:pPr>
          </w:p>
        </w:tc>
        <w:tc>
          <w:tcPr>
            <w:tcW w:w="2140" w:type="dxa"/>
            <w:vAlign w:val="bottom"/>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w w:val="95"/>
              </w:rPr>
              <w:t>1.8 mg/kg Q3W</w:t>
            </w:r>
          </w:p>
        </w:tc>
        <w:tc>
          <w:tcPr>
            <w:tcW w:w="13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1.8 mg/kg 2Q3W</w:t>
            </w:r>
          </w:p>
        </w:tc>
        <w:tc>
          <w:tcPr>
            <w:tcW w:w="0" w:type="dxa"/>
            <w:vAlign w:val="bottom"/>
          </w:tcPr>
          <w:p>
            <w:pPr>
              <w:spacing w:after="0"/>
              <w:rPr>
                <w:sz w:val="1"/>
                <w:szCs w:val="1"/>
                <w:color w:val="auto"/>
              </w:rPr>
            </w:pPr>
          </w:p>
        </w:tc>
      </w:tr>
      <w:tr>
        <w:trPr>
          <w:trHeight w:val="163"/>
        </w:trPr>
        <w:tc>
          <w:tcPr>
            <w:tcW w:w="880" w:type="dxa"/>
            <w:vAlign w:val="bottom"/>
            <w:tcBorders>
              <w:bottom w:val="single" w:sz="8" w:color="auto"/>
            </w:tcBorders>
            <w:vMerge w:val="continue"/>
          </w:tcPr>
          <w:p>
            <w:pPr>
              <w:spacing w:after="0"/>
              <w:rPr>
                <w:sz w:val="13"/>
                <w:szCs w:val="13"/>
                <w:color w:val="auto"/>
              </w:rPr>
            </w:pPr>
          </w:p>
        </w:tc>
        <w:tc>
          <w:tcPr>
            <w:tcW w:w="6700" w:type="dxa"/>
            <w:vAlign w:val="bottom"/>
            <w:vMerge w:val="continue"/>
          </w:tcPr>
          <w:p>
            <w:pPr>
              <w:spacing w:after="0"/>
              <w:rPr>
                <w:sz w:val="13"/>
                <w:szCs w:val="13"/>
                <w:color w:val="auto"/>
              </w:rPr>
            </w:pPr>
          </w:p>
        </w:tc>
        <w:tc>
          <w:tcPr>
            <w:tcW w:w="2140" w:type="dxa"/>
            <w:vAlign w:val="bottom"/>
            <w:gridSpan w:val="2"/>
          </w:tcPr>
          <w:p>
            <w:pPr>
              <w:jc w:val="center"/>
              <w:ind w:right="1160"/>
              <w:spacing w:after="0" w:line="158" w:lineRule="exact"/>
              <w:rPr>
                <w:sz w:val="20"/>
                <w:szCs w:val="20"/>
                <w:color w:val="auto"/>
              </w:rPr>
            </w:pPr>
            <w:r>
              <w:rPr>
                <w:rFonts w:ascii="Arial" w:cs="Arial" w:eastAsia="Arial" w:hAnsi="Arial"/>
                <w:sz w:val="14"/>
                <w:szCs w:val="14"/>
                <w:b w:val="1"/>
                <w:bCs w:val="1"/>
                <w:color w:val="auto"/>
                <w:w w:val="95"/>
              </w:rPr>
              <w:t>(N=9)</w:t>
            </w:r>
          </w:p>
        </w:tc>
        <w:tc>
          <w:tcPr>
            <w:tcW w:w="7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(N=20)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Any AEs</w:t>
            </w:r>
          </w:p>
        </w:tc>
        <w:tc>
          <w:tcPr>
            <w:tcW w:w="98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2"/>
            <w:vMerge w:val="continue"/>
            <w:shd w:val="clear" w:color="auto" w:fill="CCEEFF"/>
          </w:tcPr>
          <w:p>
            <w:pPr>
              <w:spacing w:after="0"/>
              <w:rPr>
                <w:sz w:val="17"/>
                <w:szCs w:val="17"/>
                <w:color w:val="auto"/>
              </w:rPr>
            </w:pPr>
          </w:p>
        </w:tc>
        <w:tc>
          <w:tcPr>
            <w:tcW w:w="2140" w:type="dxa"/>
            <w:vAlign w:val="bottom"/>
            <w:gridSpan w:val="2"/>
            <w:shd w:val="clear" w:color="auto" w:fill="CCEEFF"/>
          </w:tcPr>
          <w:p>
            <w:pPr>
              <w:jc w:val="right"/>
              <w:ind w:right="960"/>
              <w:spacing w:after="0" w:line="203" w:lineRule="exact"/>
              <w:rPr>
                <w:sz w:val="20"/>
                <w:szCs w:val="20"/>
                <w:color w:val="auto"/>
              </w:rPr>
            </w:pPr>
            <w:r>
              <w:rPr>
                <w:rFonts w:ascii="Arial" w:cs="Arial" w:eastAsia="Arial" w:hAnsi="Arial"/>
                <w:sz w:val="18"/>
                <w:szCs w:val="18"/>
                <w:color w:val="auto"/>
              </w:rPr>
              <w:t>9 (100%)</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5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1"/>
              </w:rPr>
              <w:t>(85%)</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Related AEs with CTCAE</w:t>
            </w:r>
            <w:r>
              <w:rPr>
                <w:rFonts w:ascii="Arial" w:cs="Arial" w:eastAsia="Arial" w:hAnsi="Arial"/>
                <w:sz w:val="15"/>
                <w:szCs w:val="15"/>
                <w:color w:val="auto"/>
              </w:rPr>
              <w:t>1</w:t>
            </w:r>
            <w:r>
              <w:rPr>
                <w:rFonts w:ascii="Arial" w:cs="Arial" w:eastAsia="Arial" w:hAnsi="Arial"/>
                <w:sz w:val="18"/>
                <w:szCs w:val="18"/>
                <w:color w:val="auto"/>
              </w:rPr>
              <w:t xml:space="preserve"> Grade 3 or 4</w:t>
            </w:r>
            <w:r>
              <w:rPr>
                <w:rFonts w:ascii="Arial" w:cs="Arial" w:eastAsia="Arial" w:hAnsi="Arial"/>
                <w:sz w:val="15"/>
                <w:szCs w:val="15"/>
                <w:color w:val="auto"/>
              </w:rPr>
              <w:t>2</w:t>
            </w:r>
          </w:p>
        </w:tc>
        <w:tc>
          <w:tcPr>
            <w:tcW w:w="2140" w:type="dxa"/>
            <w:vAlign w:val="bottom"/>
            <w:gridSpan w:val="2"/>
          </w:tcPr>
          <w:p>
            <w:pPr>
              <w:jc w:val="right"/>
              <w:ind w:right="960"/>
              <w:spacing w:after="0"/>
              <w:rPr>
                <w:sz w:val="20"/>
                <w:szCs w:val="20"/>
                <w:color w:val="auto"/>
              </w:rPr>
            </w:pPr>
            <w:r>
              <w:rPr>
                <w:rFonts w:ascii="Arial" w:cs="Arial" w:eastAsia="Arial" w:hAnsi="Arial"/>
                <w:sz w:val="18"/>
                <w:szCs w:val="18"/>
                <w:color w:val="auto"/>
              </w:rPr>
              <w:t>2 (22%)</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(30%)</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Any related serious AEs</w:t>
            </w:r>
            <w:r>
              <w:rPr>
                <w:rFonts w:ascii="Arial" w:cs="Arial" w:eastAsia="Arial" w:hAnsi="Arial"/>
                <w:sz w:val="15"/>
                <w:szCs w:val="15"/>
                <w:color w:val="auto"/>
              </w:rPr>
              <w:t>2</w:t>
            </w:r>
          </w:p>
        </w:tc>
        <w:tc>
          <w:tcPr>
            <w:tcW w:w="21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 (11%)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AEs leading to death</w:t>
            </w:r>
          </w:p>
        </w:tc>
        <w:tc>
          <w:tcPr>
            <w:tcW w:w="2140" w:type="dxa"/>
            <w:vAlign w:val="bottom"/>
            <w:gridSpan w:val="2"/>
          </w:tcPr>
          <w:p>
            <w:pPr>
              <w:jc w:val="right"/>
              <w:ind w:right="960"/>
              <w:spacing w:after="0"/>
              <w:rPr>
                <w:sz w:val="20"/>
                <w:szCs w:val="20"/>
                <w:color w:val="auto"/>
              </w:rPr>
            </w:pPr>
            <w:r>
              <w:rPr>
                <w:rFonts w:ascii="Arial" w:cs="Arial" w:eastAsia="Arial" w:hAnsi="Arial"/>
                <w:sz w:val="18"/>
                <w:szCs w:val="18"/>
                <w:color w:val="auto"/>
              </w:rPr>
              <w:t>1 (11%)</w:t>
            </w:r>
          </w:p>
        </w:tc>
        <w:tc>
          <w:tcPr>
            <w:tcW w:w="78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AEs leading to death</w:t>
            </w:r>
            <w:r>
              <w:rPr>
                <w:rFonts w:ascii="Arial" w:cs="Arial" w:eastAsia="Arial" w:hAnsi="Arial"/>
                <w:sz w:val="15"/>
                <w:szCs w:val="15"/>
                <w:color w:val="auto"/>
              </w:rPr>
              <w:t>2</w:t>
            </w:r>
          </w:p>
        </w:tc>
        <w:tc>
          <w:tcPr>
            <w:tcW w:w="21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Related AEs leading to treatment discontinuation</w:t>
            </w:r>
            <w:r>
              <w:rPr>
                <w:rFonts w:ascii="Arial" w:cs="Arial" w:eastAsia="Arial" w:hAnsi="Arial"/>
                <w:sz w:val="15"/>
                <w:szCs w:val="15"/>
                <w:color w:val="auto"/>
              </w:rPr>
              <w:t>2</w:t>
            </w:r>
          </w:p>
        </w:tc>
        <w:tc>
          <w:tcPr>
            <w:tcW w:w="2140" w:type="dxa"/>
            <w:vAlign w:val="bottom"/>
            <w:gridSpan w:val="2"/>
          </w:tcPr>
          <w:p>
            <w:pPr>
              <w:jc w:val="right"/>
              <w:ind w:right="116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20"/>
                <w:szCs w:val="20"/>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680" w:hanging="424"/>
        <w:spacing w:after="0" w:line="25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CTCAE: Common Terminology Criteria for Adverse Events. The NCI Common Terminology Criteria for Adverse Events is a descriptive terminology which is utilized for AE reporting. A grading (severity) scale is provided for each AE term.</w:t>
      </w:r>
    </w:p>
    <w:p>
      <w:pPr>
        <w:spacing w:after="0" w:line="1"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assessed by the investigator. Missing responses are counted as related.</w:t>
      </w:r>
    </w:p>
    <w:p>
      <w:pPr>
        <w:spacing w:after="0" w:line="21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believe that our CAB AXL ADC, BA3011, compares favorably to enapotamab vedotin, a non-CAB AXL ADC with regard to safety and key pharmacokinetic properties. Comparing across the two Phase 1 trials, both ADCs: (i) were designed to deliver 4 MMAE molecules per antibody (DAR4 loading), (ii) employed similar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ADC doses and (iii) enrolled comparable patients with advanced cancer who had experienced treatment failure of prior regimens (see figure below). As a key difference, BA3011 was designed to only bind to the AXL target expressed by tumor while enapotamab vedotin would be anticipated to bind to the AXL target throughout the body.</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Notably, the estimated half-life of BA3011 was approximately four days, which is twice the 1.9-day half-life reported for enapotamab vedotin. We believe this difference may be due to the decreased TMDD resulting from the lack of binding of BA3011 to AXL outside of tumors. With respect to reported toxicity comparisons, constipation is believed to be an on-target delivery of MMAE to normal gut tissues that express the AXL target. Despite including a risk mitigation plan in enapotamab vedotin’s trial protocol (a prophylactic stool-softener medication in all patients), the clinical data presented at ASCO 2019 showed that AEs of constipation Grade 1-2 were reported in 49% of the patients and Grade 3-4 in 9% of patients. The rate of constipation reported with BA3011 (16% Grade 1-2 and 4% Grade 3-4) was approximately 2 to 3-fold lower for both Grade 1-2 and Grade 3-4 TAEs. While supportive of a reduced toxicity benefit from CAB technology, these comparisons are derived from cross-trial analyses, and would not be included as part of our labeling.</w:t>
      </w:r>
    </w:p>
    <w:p>
      <w:pPr>
        <w:spacing w:after="0" w:line="192"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Adverse events, such as peripheral neuropathy, are commonly seen with other ADCs and may be due to free circulating MMAE. Clinical data presented at ASCO 2019 for enapotamab vedotin showed that 38% of the patients had peripheral neuropathy (all Grades) with 2 patients reporting Grade 3-4 AEs. The rate of peripheral neuropathy (all Grade) reported for BA3011 (18%) was approximately half the rate reported with enapotamab vedotin and is believed to be due to the advantageous pharmacokinetic characteristics of a CAB ADC vs. a non-CAB ADC.</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At a dose of 2.4 mg/kg Q3W BA3011, two patients experienced dose-limiting toxicities: one with Grade 3 febrile neutropenia and the other with Grade 4 hyperglycemia. Dosing continued at the 2.4 mg/kg with prophylactic administration of pegfilgrastim without any additional dose limiting toxicities. Dosing above 2.4 mg/kg was terminated due to one patient who experienced Grade 4 febrile neutropenia and cardio-respiratory arrest at 3 mg/kg likely related to delayed hepatic and renal excretion of MMAE.</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Cross-Trial Comparison of BA3011 and Enapotamab Vedotin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171450</wp:posOffset>
            </wp:positionV>
            <wp:extent cx="5160645" cy="2888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6064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initiated a Phase 2, potentially registration-enabling trial with BA3011, enrolling soft-tissue and bone sarcoma patients, with interim analysis anticipated in 2021 and the complete registrational data set expected in 2022. In addition, we have initiated a Phase 2 trial in NSCLC with BA3011 as monotherapy and in combination with an anti-PD-1 agent in patients who have experienced prior disease progression on a PD-1/L1 inhibitor and have a TmPS of 50% or greater. The FDA has reviewed the trial designs, but has not opined on whether Phase 2 clinical trials will in fact be sufficient to support regulatory approval. However, the FDA is expected to consider this further at the interim data review point. We cannot assure you that the FDA will agree that such data will be sufficient to support approval. A summary of our clinical development plan for BA3011 is below.</w:t>
      </w:r>
    </w:p>
    <w:p>
      <w:pPr>
        <w:spacing w:after="0" w:line="16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Additionally, we expect a multi-center investigator-initiated trial of BA3011 led by the Canadian Cancer Trials Group, or CCTG, in platinum-resistant ovarian cancer patients that will likely commence in the first half of 2021.</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Clinical development plan for BA3011, which includes multiple Phase 2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171450</wp:posOffset>
            </wp:positionV>
            <wp:extent cx="4920615" cy="2665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2061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BA3011 sarcoma Phase 2 trial design:</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This Phase 2 trial is an open-label trial to evaluate the efficacy and safety of BA3011 alone and in combination with an anti-PD-1 agent in adult and adolescent patients with AXL-expressing TmPS ³ 70%, and advanced, refractory sarcoma who have measurable disease by RECIST Version 1.1 criteria and have documented progression according to RECIST Version 1.1 criteria within the six months prior to enrollment. To enroll, patients must either be ineligible for chemotherapy or have received at least one regimen containing anthracycline and a maximum of three previous lines of systemic therapy for metastatic disease (no more than two lines of combination regimens), including pazopanib, trabectedin, eribulin mesylate or tazemetostat, if applicable, per regional prescribing information. Patients who meet enrollment criteria will be assigned to receive either BA3011 alone or in combination with an anti-PD-1 agent (for patients 18 years old and above: 240 mg every two weeks (Q2W); for patients 12-17 years old: 3 mg/kg Q2W IV infusion). Patients with tumors showing B-cell infiltration (per immunohistochemistry, or IHC, assay) will be preferentially assigned to receive BA3011 in combination with an anti-PD-1 agent. Based on data from the Phase 1 part of the trial, the dose of BA3011 for Phase 2 is 1.8 mg/kg Q2W.</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Enrollment will be staged, beginning with approximately 10 patients per sarcoma subtype in the monotherapy arm. Up to seven sarcoma subtype groups may be enrolled: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Soft tissue sarcoma:</w:t>
      </w:r>
    </w:p>
    <w:p>
      <w:pPr>
        <w:spacing w:after="0" w:line="131" w:lineRule="exact"/>
        <w:rPr>
          <w:sz w:val="20"/>
          <w:szCs w:val="20"/>
          <w:color w:val="auto"/>
        </w:rPr>
      </w:pPr>
    </w:p>
    <w:p>
      <w:pPr>
        <w:ind w:left="1540" w:hanging="33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Leiomyosarcoma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Synovial sarcoma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Liposarcoma</w:t>
      </w:r>
    </w:p>
    <w:p>
      <w:pPr>
        <w:spacing w:after="0" w:line="130" w:lineRule="exact"/>
        <w:rPr>
          <w:rFonts w:ascii="Arial" w:cs="Arial" w:eastAsia="Arial" w:hAnsi="Arial"/>
          <w:sz w:val="18"/>
          <w:szCs w:val="18"/>
          <w:color w:val="auto"/>
        </w:rPr>
      </w:pPr>
    </w:p>
    <w:p>
      <w:pPr>
        <w:ind w:left="1540" w:right="940" w:hanging="331"/>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soft tissue sarcomas, except gastro intestinal stromal tumors, dermatofibrosarcoma protuberans, inflammatory myofibroblastic tumor and malignant mesothelioma</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Bone sarcoma</w:t>
      </w:r>
      <w:r>
        <w:rPr>
          <w:rFonts w:ascii="Arial" w:cs="Arial" w:eastAsia="Arial" w:hAnsi="Arial"/>
          <w:sz w:val="18"/>
          <w:szCs w:val="18"/>
          <w:color w:val="auto"/>
        </w:rPr>
        <w:t>:</w:t>
      </w:r>
    </w:p>
    <w:p>
      <w:pPr>
        <w:spacing w:after="0" w:line="131" w:lineRule="exact"/>
        <w:rPr>
          <w:sz w:val="20"/>
          <w:szCs w:val="20"/>
          <w:color w:val="auto"/>
        </w:rPr>
      </w:pPr>
    </w:p>
    <w:p>
      <w:pPr>
        <w:ind w:left="1540" w:hanging="331"/>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Osteosarcoma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Ewing sarcoma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bone sarcomas, including undifferentiated pleomorphic sarcoma, malignant fibrous histiocytoma, and chondrosarcoma</w:t>
      </w:r>
    </w:p>
    <w:p>
      <w:pPr>
        <w:spacing w:after="0" w:line="23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the combination arm (BA3011 with an anti-PD-1 agent) of the study, 20 patients of any sarcoma subtype will be enrolled. Among these 20 patients, approximately 10 patients will have a tumor showing B-cell infiltration and 10 patients will not.</w:t>
      </w:r>
    </w:p>
    <w:p>
      <w:pPr>
        <w:spacing w:after="0" w:line="170" w:lineRule="exact"/>
        <w:rPr>
          <w:sz w:val="20"/>
          <w:szCs w:val="20"/>
          <w:color w:val="auto"/>
        </w:rPr>
      </w:pPr>
    </w:p>
    <w:p>
      <w:pPr>
        <w:ind w:left="120" w:right="680" w:firstLine="440"/>
        <w:spacing w:after="0" w:line="342" w:lineRule="auto"/>
        <w:rPr>
          <w:sz w:val="20"/>
          <w:szCs w:val="20"/>
          <w:color w:val="auto"/>
        </w:rPr>
      </w:pPr>
      <w:r>
        <w:rPr>
          <w:rFonts w:ascii="Arial" w:cs="Arial" w:eastAsia="Arial" w:hAnsi="Arial"/>
          <w:sz w:val="16"/>
          <w:szCs w:val="16"/>
          <w:color w:val="auto"/>
        </w:rPr>
        <w:t>Tumor assessment will occur approximately every 6 weeks from cycle 1 day 1 of treatment, or C1D1, until 12 weeks, and every 8 weeks thereafter. Pharmacokinetic, pharmacodynamic, immunogenicity and biomarker assessments will also be performed at various time points.</w:t>
      </w:r>
    </w:p>
    <w:p>
      <w:pPr>
        <w:spacing w:after="0" w:line="12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An interim analysis will be conducted for each subtype or treatment (i.e., BA3011 in combination with an anti-PD-1 agent in patients with tumors with B cell infiltration or BA3011 in combination with an anti-PD-1 agent in patients with tumors without B cell infiltration) after at least 10 patients in the subtype or treatment have the potential to be followed for at least 12 weeks after the initiation of investigational product. Following interim analysis, accrual to the subtype or to a treatment (i.e., BA3011 alone or in combination with an anti-PD-1 agent) may be put on hold if the number of patients with a response (i.e., confirmed or unconfirmed complete response or partial response) and progression-free rate at 12 weeks are below a pre-defined threshold. Approximately 150 additional patients may be enrolled for sarcoma subtypes that meet the threshold. The accrual of patients to a specific subtype or to one or both treatment regimen(s) (i.e., BA3011 alone and/or BA3011 in combination with an anti-PD-1 agent) can be put on hold at any time based on evaluation of available data or by the Independent Data Monitoring Committee, or IDMC, at any time upon review of safety data. Treatment for all enrolled patients will continue until disease progression, unacceptable toxicity, or other reason for treatment discontinuation.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BA3011 NSCLC Phase 2 trial design:</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This is a multi-center, open-label, Phase 2 study designed to evaluate the efficacy and safety of BA3011 alone and in combination with an anti-PD-1 agent in patients with AXL-expressing TmPS³50%, metastatic NSCLC who have measurable disease by RECIST v1.1 criteria and have documented progression according to RECIST v1.1 criteria within the 6 months prior to enrollment. To enroll, patients must have prior disease progression on a PD-1/L-1 inhibitor (either monotherapy or in combination with another therapy such as ipilimumab). Patients with EGFR or anaplastic lymphoma kinase (ALK) genomic tumor aberrations should have had disease progression on FDA-approved therapy for these aberrations.</w:t>
      </w:r>
    </w:p>
    <w:p>
      <w:pPr>
        <w:spacing w:after="0" w:line="16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Patients who meet enrollment criteria will be assigned to receive either BA3011 alone or in combination with an anti-PD-1 agent (240 mg every 2 weeks (Q2W)). For the first 20 patients (Part 1), treatment assignment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will be determined by the sponsor and the medical monitor based on the patient’s prior experience with PD-1/L1 treatment. To be eligible for the PD-1 combination arm, patients must have acceptably tolerated prior PD-1/L1 treatment. In Part 2, up to approximately 200 additional patients may be enrolled depending on observed efficacy at interim analysis. If both monotherapy and combination therapy are further pursued post interim analysis, patients that have acceptably tolerated prior PD-1/L1 treatment will be randomized 1:1 to receive either BA3011 alone or BA3011 in combination with an anti-PD-1 agent. Randomization will be stratified according to histology (squamous vs. non-squamous) and the number of prior systemic regimens (&lt; 2 vs. &lt; 3). Patients that have not acceptably tolerated prior PD-1/L1 treatment will be assigned to the BA3011 monotherapy arm of the study. Based on data from the Phase 1 study, the dose of BA3011 for Phase 2 is 1.8 mg/kg Q2W. A dose reduction to 1.5 mg/kg Q2W may be implemented if deemed warranted by the IDMC.</w:t>
      </w:r>
    </w:p>
    <w:p>
      <w:pPr>
        <w:spacing w:after="0" w:line="192"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Tumor assessment will occur approximately every 6 weeks from C1D1 until 12 weeks, and every 8 weeks thereafter. Pharmacokinetic, pharmacodynamic, immunogenicity and biomarker assessments will be performed at various time points.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An interim analysis will be conducted after at least 20 patients (10 patients on BA3011 monotherapy arm and 10 patients in the BA3011 an anti-PD-1 agent combination arm) have the potential to be followed for at least 12 weeks after the initiation of investigational product. Following interim analysis, accrual to a treatment (i.e., BA3011 alone or in combination with an anti-PD-1 agent) may be put on hold if the number of patients with a response (i.e., confirmed or unconfirmed complete response or partial response) are below a pre-defined threshold. Depending on observed efficacy at the interim analysis, additional NSCLC patients may be enrolled for a total of up to approximately 200 patients (100 patients in each of the 2 treatment groups) with AXL-expressing, metastatic NSCLC. The accrual of patients to one or both treatment regimen(s) (i.e., BA3011 alone and/or BA3011 in combination with an anti-PD-1 agent) can be put on hold at any time based on evaluation of available data. Treatment for all enrolled patients will continue until disease progression, unacceptable toxicity, or other reason for treatment discontinuation.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BA3021</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BA3021 Phase 1 clinical trial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completed the dose escalation part of a Phase 1 clinical trial of BA3021 in patients with locally-advanced unresectable or metastatic solid tumors including NSCLC and melanoma, who were refractory or resistant to standard therapies. As shown below, cohorts were treated with doses of BA3021 ranging from 0.3 mg/kg to 3.3 mg/kg once every three weeks (Q3W) or doses ranging from 1.5 mg/kg to 1.8 mg/kg twice every three weeks on days 1 and 8 (2Q3W). As of the data cut-off date, 59 subjects were enrolled into 9 dose cohorts: 0.3 mg/kg Q3W (1 subject), 0.6 mg/kg Q3W (1 subject), 1.2 mg/kg Q3W (1 subject), 1.8 mg/kg Q3W (3 subjects), 2.4 mg/kg Q3W (16 subjects), 3.0 mg/kg Q3W (19 subject), 3.3 mg/kg Q3W (5 subjects), 1.2 mg/kg 2Q3W (3 subjects), 1.5 mg/kg 2Q3W (3 subjects), and 1.8 mg/kg 2Q3W (7 subjects). The solid tumor types enrolled in this study were: soft tissue sarcoma (40 subjects), NSCLC (6 subjects), melanoma (2 subjects), pancreatic (2 subjects), non-TNBC (2 subjects), colorectal, TNBC, GIST, urachus, ampulla of vatter, rectal carcinoid and head and neck (1 subject each).</w:t>
      </w:r>
    </w:p>
    <w:p>
      <w:pPr>
        <w:spacing w:after="0" w:line="178"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main goals of this trial were to evaluate the safety, tolerability, antitumor activity, pharmacokinetic and immunogenicity of BA3021 in solid tumor patients. Based upon the overall safety and response rates, the recommended Phase 2 dose is 1.8 mg/kg delivered every two weeks (Q2W). The trial’s objectives were the following:</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Primary</w:t>
      </w:r>
    </w:p>
    <w:p>
      <w:pPr>
        <w:spacing w:after="0" w:line="131" w:lineRule="exact"/>
        <w:rPr>
          <w:sz w:val="20"/>
          <w:szCs w:val="20"/>
          <w:color w:val="auto"/>
        </w:rPr>
      </w:pPr>
    </w:p>
    <w:p>
      <w:pPr>
        <w:ind w:left="1080" w:right="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define the safety profile, including DLT, and determine the MTD and/or RP2D and other safety parameters for BA3021 in patients with advanced solid tumors.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Secondary</w:t>
      </w:r>
    </w:p>
    <w:p>
      <w:pPr>
        <w:spacing w:after="0" w:line="131" w:lineRule="exact"/>
        <w:rPr>
          <w:sz w:val="20"/>
          <w:szCs w:val="20"/>
          <w:color w:val="auto"/>
        </w:rPr>
      </w:pPr>
    </w:p>
    <w:p>
      <w:pPr>
        <w:ind w:left="1080" w:right="1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assess antitumor activity of BA3021 including endpoints such as OR, DoR, disease control, time-to-response, and ORR, according to RECIST Version 1.1.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assess the pharmacokinetics of BA3021.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evaluate the immunogenicity of BA3021.</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As shown below, cohorts were treated with doses of BA3021 ranging from 0.3 mg/kg to 3.3 mg/kg once every three weeks (Q3W) or doses ranging from 1.5 mg/kg to 1.8 mg/kg twice every three weeks on days 1 and 8 (2Q3W).</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Design of the BA3021 Phase 1 trial in solid tumor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171450</wp:posOffset>
            </wp:positionV>
            <wp:extent cx="4791710" cy="237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9171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Based on the Phase 1 trial of BA3021, the recommended Phase 2 dose is 1.8 mg/kg Q2W. To date, 59 patients have been dosed with BA3021.</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Antitumor activity</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evaluated OR, one of our secondary endpoints, as shown in the figure below. At various dose levels, treatment with BA3021 has resulted in a total of four partial responses: 2 among patients with NSCLC (~31% and ~49% tumor reduction), 1 in a patient with metastatic melanoma (~80% tumor reduction) and 1 in a patient with advanced head and neck cancer (~54% tumor reduction).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Of the six NSCLC patients enrolled in the dose escalation phase, two patients achieved a durable partial response (duration of response is one of our secondary endpoints) and a third experienced tumor reduction to a lesser degree (change from baseline in tumor size is one of our secondary endpoints, as shown below). Similar to the observed correlation of antitumor activity with higher levels of tumoral membrane AXL expression, as shown below, the two NSCLC patients with partial responses to BA3021 had ROR2 TmPS of at least 70%. We were not able to characterize ROR2 TmPS for the third patient who also experienced tumor shrinkage. Another patient with late stage NSCLC and bone metastases and a ROR2 TmPS of 100%, treated with a suboptimal dose of BA3021 (1.2mg/kg 2Q3W), experienced tumor shrinkage prior to progression of their metastatic bone lesions. All NSCLC patients who enrolled in this trial had previously been treated with PD-1 therapy.</w:t>
      </w:r>
    </w:p>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All evaluable NSCLC patients enrolled in BA3021 Phase 1 trial by ROR2 TmPS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171450</wp:posOffset>
            </wp:positionV>
            <wp:extent cx="3943350" cy="3686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43350"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Tumor membrane expression of ROR2 was associated with antitumor response in two of the five NSCLC patients with evaluable ROR2 TmPS</w:t>
      </w:r>
    </w:p>
    <w:p>
      <w:pPr>
        <w:spacing w:after="0" w:line="25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Two metastatic melanoma patients were enrolled in the initial part of the trial, as shown below. The patient in whom we were not able to characterize ROR2 surface expression achieved a durable partial response (duration of response is one of our secondary endpoints). This patient, who had previously experienced failure of both nivolumab and nivolumab plus ipilimumab, achieved an approximate 80% reduction in tumor volume and presently continues on BA3021 therapy for now more than a year.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All evaluable metastatic melanoma patients enrolled in BA3021 Phase 1 trial by ROR2 TmPS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171450</wp:posOffset>
            </wp:positionV>
            <wp:extent cx="4714875" cy="31457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14875"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One of two melanoma patients enrolled in the BA3021 Phase 1 dose escalation trial achieved a partial response.</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metastatic melanoma patient who achieved a partial response experienced clearance of metastatic lung lesions. Illustrated below is one of the two lung lesions that cleared. Moreover, a pretreatment biopsy of an involved, abnormally enlarged cervical lymph node showed active melanoma. Subsequently, an on-treatment biopsy of the same node demonstrated no evidence of melanoma.</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Clearance of lung lesions in metastatic melanoma patient who received BA3021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171450</wp:posOffset>
            </wp:positionV>
            <wp:extent cx="5134610" cy="19970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3461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520" w:right="60"/>
        <w:spacing w:after="0" w:line="282" w:lineRule="auto"/>
        <w:rPr>
          <w:sz w:val="20"/>
          <w:szCs w:val="20"/>
          <w:color w:val="auto"/>
        </w:rPr>
      </w:pPr>
      <w:r>
        <w:rPr>
          <w:rFonts w:ascii="Arial" w:cs="Arial" w:eastAsia="Arial" w:hAnsi="Arial"/>
          <w:sz w:val="18"/>
          <w:szCs w:val="18"/>
          <w:b w:val="1"/>
          <w:bCs w:val="1"/>
          <w:color w:val="auto"/>
        </w:rPr>
        <w:t>Pre-treatment and post-treatment CT scans of one of two lung lesions that were both cleared in a metastatic melanoma patient who received BA3021.</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320" w:top="459"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one head and neck cancer patient achieved a durable partial response with a 54% reduction in tumor size.</w:t>
      </w:r>
    </w:p>
    <w:p>
      <w:pPr>
        <w:spacing w:after="0" w:line="225"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We have not yet evaluated certain of our secondary endpoints such as ORR, disease control or time-to-response. Because this clinical trial is a single arm clinical trial, none of the endpoints, including those related to antitumor activity, can be tested for statistical significance.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Similar to BA3011, BA3021 was generally well-tolerated. We have not observed adverse events that appear to be related to on-target injury of normal, ROR2-expressing tissues. We believe that reported toxicities were consistent with off-target effects of free MMAE consistent with those described with other marketed MMAE-based ADCs.</w:t>
      </w:r>
    </w:p>
    <w:p>
      <w:pPr>
        <w:spacing w:after="0" w:line="18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the Phase 1 trial, the Grade 3 or greater AEs or SAEs deemed related to BA3021 were consistent with MMAE-based toxicity and could generally be classified as either reversible myelosuppression (AEs: neutropenia, anemia), transient liver enzyme elevations (AEs: AST/ALT increased) or metabolic disturbances (AEs: hyponatremia, hypokalemia). There was a total of 23 (39%) patients who experienced an SAE, 11 (18.6%) of which were serious TEAEs that were considered related to treatment. At the anticipated Phase 2 exposure levels (1.8mg/kg Q2W), BA3021 was well tolerated with few patients having treatment-related Grade 3-4 AEs (for 1.8 mg 1Q3W: 33.3% (1/3) anemia; for 1.8 mg 2Q3W: 42.9% (3/7) fatigue, hyponatremia and hyperglycemia) and few patients having SAEs (1.8mg/kg Q3W: 0 SAE (0%); 1.8mg/kg 2Q3W: 3 SAEs (43%; infected biloma, pyrexia and hyperglycemia). Out of these SAEs, 2 (28.6%) were deemed related to treatment by the investigator (1.8mg/kg Q3W: 0 SAEs (0%); 1.8mg/kg 2Q3W: 2 SAEs (28.6%; pyrexia and hyperglycemia). None of the related AEs or SAEs led to treatment discontinuation.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Overview of adverse events in BA3021 Phase 1 trial for patients administered 1.8mg/kg Q3W (d1) or 2Q3W (d1,8) (safety population)</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7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3"/>
              </w:rPr>
              <w:t>BA3021</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BA3021</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760" w:type="dxa"/>
            <w:vAlign w:val="bottom"/>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w w:val="89"/>
              </w:rPr>
              <w:t>1.8 mg/kg</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1.8 mg/kg</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Characteristic</w:t>
            </w:r>
          </w:p>
        </w:tc>
        <w:tc>
          <w:tcPr>
            <w:tcW w:w="7500" w:type="dxa"/>
            <w:vAlign w:val="bottom"/>
            <w:vMerge w:val="restart"/>
          </w:tcPr>
          <w:p>
            <w:pPr>
              <w:spacing w:after="0"/>
              <w:rPr>
                <w:sz w:val="12"/>
                <w:szCs w:val="12"/>
                <w:color w:val="auto"/>
              </w:rPr>
            </w:pPr>
          </w:p>
        </w:tc>
        <w:tc>
          <w:tcPr>
            <w:tcW w:w="176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rPr>
              <w:t>(Q3W)</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(2Q3W)</w:t>
            </w:r>
          </w:p>
        </w:tc>
        <w:tc>
          <w:tcPr>
            <w:tcW w:w="0" w:type="dxa"/>
            <w:vAlign w:val="bottom"/>
          </w:tcPr>
          <w:p>
            <w:pPr>
              <w:spacing w:after="0"/>
              <w:rPr>
                <w:sz w:val="1"/>
                <w:szCs w:val="1"/>
                <w:color w:val="auto"/>
              </w:rPr>
            </w:pPr>
          </w:p>
        </w:tc>
      </w:tr>
      <w:tr>
        <w:trPr>
          <w:trHeight w:val="163"/>
        </w:trPr>
        <w:tc>
          <w:tcPr>
            <w:tcW w:w="880" w:type="dxa"/>
            <w:vAlign w:val="bottom"/>
            <w:tcBorders>
              <w:bottom w:val="single" w:sz="8" w:color="auto"/>
            </w:tcBorders>
            <w:vMerge w:val="continue"/>
          </w:tcPr>
          <w:p>
            <w:pPr>
              <w:spacing w:after="0"/>
              <w:rPr>
                <w:sz w:val="13"/>
                <w:szCs w:val="13"/>
                <w:color w:val="auto"/>
              </w:rPr>
            </w:pPr>
          </w:p>
        </w:tc>
        <w:tc>
          <w:tcPr>
            <w:tcW w:w="7500" w:type="dxa"/>
            <w:vAlign w:val="bottom"/>
            <w:vMerge w:val="continue"/>
          </w:tcPr>
          <w:p>
            <w:pPr>
              <w:spacing w:after="0"/>
              <w:rPr>
                <w:sz w:val="13"/>
                <w:szCs w:val="13"/>
                <w:color w:val="auto"/>
              </w:rPr>
            </w:pPr>
          </w:p>
        </w:tc>
        <w:tc>
          <w:tcPr>
            <w:tcW w:w="1760" w:type="dxa"/>
            <w:vAlign w:val="bottom"/>
            <w:gridSpan w:val="2"/>
          </w:tcPr>
          <w:p>
            <w:pPr>
              <w:jc w:val="center"/>
              <w:ind w:right="1160"/>
              <w:spacing w:after="0" w:line="158" w:lineRule="exact"/>
              <w:rPr>
                <w:sz w:val="20"/>
                <w:szCs w:val="20"/>
                <w:color w:val="auto"/>
              </w:rPr>
            </w:pPr>
            <w:r>
              <w:rPr>
                <w:rFonts w:ascii="Arial" w:cs="Arial" w:eastAsia="Arial" w:hAnsi="Arial"/>
                <w:sz w:val="14"/>
                <w:szCs w:val="14"/>
                <w:b w:val="1"/>
                <w:bCs w:val="1"/>
                <w:color w:val="auto"/>
              </w:rPr>
              <w:t>(N=3)</w:t>
            </w: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(N=7)</w:t>
            </w:r>
          </w:p>
        </w:tc>
        <w:tc>
          <w:tcPr>
            <w:tcW w:w="0" w:type="dxa"/>
            <w:vAlign w:val="bottom"/>
          </w:tcPr>
          <w:p>
            <w:pPr>
              <w:spacing w:after="0"/>
              <w:rPr>
                <w:sz w:val="1"/>
                <w:szCs w:val="1"/>
                <w:color w:val="auto"/>
              </w:rPr>
            </w:pPr>
          </w:p>
        </w:tc>
      </w:tr>
      <w:tr>
        <w:trPr>
          <w:trHeight w:val="20"/>
        </w:trPr>
        <w:tc>
          <w:tcPr>
            <w:tcW w:w="8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Any AEs</w:t>
            </w:r>
          </w:p>
        </w:tc>
        <w:tc>
          <w:tcPr>
            <w:tcW w:w="60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80" w:type="dxa"/>
            <w:vAlign w:val="bottom"/>
            <w:gridSpan w:val="2"/>
            <w:vMerge w:val="continue"/>
            <w:shd w:val="clear" w:color="auto" w:fill="CCEEFF"/>
          </w:tcPr>
          <w:p>
            <w:pPr>
              <w:spacing w:after="0"/>
              <w:rPr>
                <w:sz w:val="17"/>
                <w:szCs w:val="17"/>
                <w:color w:val="auto"/>
              </w:rPr>
            </w:pPr>
          </w:p>
        </w:tc>
        <w:tc>
          <w:tcPr>
            <w:tcW w:w="1760" w:type="dxa"/>
            <w:vAlign w:val="bottom"/>
            <w:gridSpan w:val="2"/>
            <w:shd w:val="clear" w:color="auto" w:fill="CCEEFF"/>
          </w:tcPr>
          <w:p>
            <w:pPr>
              <w:jc w:val="right"/>
              <w:ind w:right="940"/>
              <w:spacing w:after="0" w:line="203" w:lineRule="exact"/>
              <w:rPr>
                <w:sz w:val="20"/>
                <w:szCs w:val="20"/>
                <w:color w:val="auto"/>
              </w:rPr>
            </w:pPr>
            <w:r>
              <w:rPr>
                <w:rFonts w:ascii="Arial" w:cs="Arial" w:eastAsia="Arial" w:hAnsi="Arial"/>
                <w:sz w:val="18"/>
                <w:szCs w:val="18"/>
                <w:color w:val="auto"/>
              </w:rPr>
              <w:t>3 (100%)</w:t>
            </w: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 (100%)</w:t>
            </w: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Related AEs with CTCAE Grade 3 or 4</w:t>
            </w:r>
            <w:r>
              <w:rPr>
                <w:rFonts w:ascii="Arial" w:cs="Arial" w:eastAsia="Arial" w:hAnsi="Arial"/>
                <w:sz w:val="15"/>
                <w:szCs w:val="15"/>
                <w:color w:val="auto"/>
              </w:rPr>
              <w:t>1</w:t>
            </w:r>
          </w:p>
        </w:tc>
        <w:tc>
          <w:tcPr>
            <w:tcW w:w="1760" w:type="dxa"/>
            <w:vAlign w:val="bottom"/>
            <w:gridSpan w:val="2"/>
          </w:tcPr>
          <w:p>
            <w:pPr>
              <w:jc w:val="right"/>
              <w:ind w:right="940"/>
              <w:spacing w:after="0"/>
              <w:rPr>
                <w:sz w:val="20"/>
                <w:szCs w:val="20"/>
                <w:color w:val="auto"/>
              </w:rPr>
            </w:pPr>
            <w:r>
              <w:rPr>
                <w:rFonts w:ascii="Arial" w:cs="Arial" w:eastAsia="Arial" w:hAnsi="Arial"/>
                <w:sz w:val="18"/>
                <w:szCs w:val="18"/>
                <w:color w:val="auto"/>
              </w:rPr>
              <w:t>1 (33%)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 (43%)</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Any related serious AEs</w:t>
            </w:r>
            <w:r>
              <w:rPr>
                <w:rFonts w:ascii="Arial" w:cs="Arial" w:eastAsia="Arial" w:hAnsi="Arial"/>
                <w:sz w:val="15"/>
                <w:szCs w:val="15"/>
                <w:color w:val="auto"/>
              </w:rPr>
              <w:t>1</w:t>
            </w:r>
          </w:p>
        </w:tc>
        <w:tc>
          <w:tcPr>
            <w:tcW w:w="17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 (29%)</w:t>
            </w: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Related AEs leading to death</w:t>
            </w:r>
            <w:r>
              <w:rPr>
                <w:rFonts w:ascii="Arial" w:cs="Arial" w:eastAsia="Arial" w:hAnsi="Arial"/>
                <w:sz w:val="15"/>
                <w:szCs w:val="15"/>
                <w:color w:val="auto"/>
              </w:rPr>
              <w:t>1</w:t>
            </w:r>
          </w:p>
        </w:tc>
        <w:tc>
          <w:tcPr>
            <w:tcW w:w="1760" w:type="dxa"/>
            <w:vAlign w:val="bottom"/>
            <w:gridSpan w:val="2"/>
          </w:tcPr>
          <w:p>
            <w:pPr>
              <w:jc w:val="right"/>
              <w:ind w:right="116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AEs leading to treatment discontinuation</w:t>
            </w:r>
            <w:r>
              <w:rPr>
                <w:rFonts w:ascii="Arial" w:cs="Arial" w:eastAsia="Arial" w:hAnsi="Arial"/>
                <w:sz w:val="15"/>
                <w:szCs w:val="15"/>
                <w:color w:val="auto"/>
              </w:rPr>
              <w:t>1</w:t>
            </w:r>
          </w:p>
        </w:tc>
        <w:tc>
          <w:tcPr>
            <w:tcW w:w="17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As assessed by the investigator. Missing responses are counted as related.</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At a dose of 3mg/kg Q3W, two patients experienced dose-limiting toxicities: one with Grade 3 dyspnea (self-resolved without intervention) and the other with Grade 4 febrile neutropenia (in a subject that did not receive prophylactic pegfilgrastim as directed) which resolved on day 2 of hospitalization.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have initiated a potentially registration-enabling Phase 2 trial for BA3021 monotherapy or in combination with a PD-1 inhibitor in melanoma and NSCLC patients that have experienced prior disease progression on a PD1/L1 inhibitor and have a ROR2 TmPS of 50% or more. However, we have not discussed with the FDA whether the Phase 2 clinical trials will in fact be sufficient to support regulatory approval and we cannot assure you that the FDA will agree that such data will be sufficient to support approval. We intend to perform an interim analysis when 20 evaluable patients in each indication have the potential to be followed for at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least 12 weeks, which we expect to occur in the second half of 2021. Results from these analyses will drive the decision to expand enrollment in each indication to up to 200 patients, and we expect final registration data in 2022.</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Additionally, we expect a multi-center investigator-initiated trial of BA3021 led by CCTG in platinum-resistant ovarian cancer patients that will likely commence in the first half of 2021.</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Clinical development plan for BA3021, which includes two Phase 2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171450</wp:posOffset>
            </wp:positionV>
            <wp:extent cx="2991485" cy="1551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9148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Clinical development plan for BA3021 includes two Phase 2 indications.</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BA3021 Phase 2 trial design in NSCLC and Melanoma</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Phase 2 trial is an open-label trial to evaluate the efficacy and safety of BA3021 alone and in combination with an anti-PD-1 agent in patients with ROR2-expressing TmPS ³ 50% and metastatic NSCLC or melanoma who have measurable disease by RECIST Version 1.1 criteria and have documented progression according to RECIST v1.1 criteria within the 6 months prior to enrollment.</w:t>
      </w:r>
    </w:p>
    <w:p>
      <w:pPr>
        <w:spacing w:after="0" w:line="18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Patients who meet enrollment criteria will be assigned to receive either BA3021 alone or in combination with an anti-PD-1 agent (240 mg every 2 weeks (Q2W)). For the first 20 patients (10 patients in each of the 2 indications) (Part 1), treatment assignment will be determined by the sponsor and the medical monitor based on the patient’s prior experience with PD-1/L1 treatment. To be eligible for the PD-1 combination arm, patients must have acceptably tolerated prior PD-1/L1 treatment. In Part 2, up to approximately 200 additional patients per indication may be enrolled depending on observed efficacy at interim analysis. For each indication, if both monotherapy and combination therapy are further pursued post interim analysis, patients that have acceptably tolerated prior PD-1/L1 treatment will be randomized 1:1 to receive either BA3021 alone or BA3021 in combination with an anti-PD-1 agent. For the NSCLC indication, randomization will be stratified according to histology (squamous vs. non-squamous) and the number of prior systemic regimens (&lt; 2 vs. &lt; 3). For the melanoma indication, randomization will be stratified according to Eastern Cooperative Oncology Group performance status 0 vs. 1 and the number of prior systemic regimens (&lt; 2 vs. &lt; 3). For both indications, patients that have not acceptably tolerated prior PD-1/L1 treatment will be assigned to the BA3021 monotherapy arm of the study. Based on data from the Phase 1 part of the study, the dose of BA3021 for Phase 2 is 1.8 mg/kg Q2W. A dose reduction to 1.5 mg/kg Q2W may be implemented if deemed warranted by the IDMC.</w:t>
      </w:r>
    </w:p>
    <w:p>
      <w:pPr>
        <w:spacing w:after="0" w:line="172"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Tumor assessment will occur approximately every 6 weeks from C1D1 until 12 weeks, and every 8 weeks thereafter. Pharmacokinetic, pharmacodynamic, immunogenicity and biomarker assessments will be performed at various time points.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For each indication, an interim analysis will be conducted after at least 20 patients (10 patients in each treatment group) have the potential to be followed for at least 12 weeks after the initiation of investigational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product. Following interim analysis, accrual to a treatment (i.e., BA3021 alone or in combination with an anti-PD-1 agent) may be put on hold if the number of patients with a response (i.e., confirmed or unconfirmed complete response or partial response) are below a pre-defined threshold. Depending on observed efficacy at the interim analysis, additional NSCLC and/or melanoma patients may be enrolled for a total of up to approximately 200 patients (100 patients in each of the 2 treatment groups) with ROR2-expressing, metastatic NSCLC and a total of up to approximately 200 patients with ROR2-expressing, metastatic melanoma. The accrual of patients to a treatment regimen(s) (i.e., BA3021 alone and/or BA3021 in combination with</w:t>
      </w:r>
    </w:p>
    <w:p>
      <w:pPr>
        <w:spacing w:after="0" w:line="2" w:lineRule="exact"/>
        <w:rPr>
          <w:sz w:val="20"/>
          <w:szCs w:val="20"/>
          <w:color w:val="auto"/>
        </w:rPr>
      </w:pPr>
    </w:p>
    <w:p>
      <w:pPr>
        <w:ind w:left="120" w:right="380"/>
        <w:spacing w:after="0" w:line="255" w:lineRule="auto"/>
        <w:rPr>
          <w:sz w:val="20"/>
          <w:szCs w:val="20"/>
          <w:color w:val="auto"/>
        </w:rPr>
      </w:pPr>
      <w:r>
        <w:rPr>
          <w:rFonts w:ascii="Arial" w:cs="Arial" w:eastAsia="Arial" w:hAnsi="Arial"/>
          <w:sz w:val="18"/>
          <w:szCs w:val="18"/>
          <w:color w:val="auto"/>
        </w:rPr>
        <w:t>an anti-PD-1 agent) can be put on hold by the sponsor at any time based on evaluation of available data or by the IDMC at any time upon review of safety data. Treatment for all enrolled patients will continue until disease progression, unacceptable toxicity or other reason for treatment discontinuation.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BA3071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BA3071 preclinical studies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a mouse colon adenocarcinoma, or MC38, xenograft model in which the human CTLA-4 gene had been introduced, we found that BA3071 had similar antitumor efficacy as a traditional anti-CTLA-4 antibody that is an analog of ipilimumab, or an Ipi-analog. As shown below, BA3071 led to equivalent tumor regression to ipilimumab out of eight treated mice and in two instances we saw a complete response, or no detectable tumor remaining.</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Efficacy in human CTLA-4 engineered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171450</wp:posOffset>
            </wp:positionV>
            <wp:extent cx="2554605" cy="1800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5460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440" w:right="540"/>
        <w:spacing w:after="0" w:line="282" w:lineRule="auto"/>
        <w:rPr>
          <w:sz w:val="20"/>
          <w:szCs w:val="20"/>
          <w:color w:val="auto"/>
        </w:rPr>
      </w:pPr>
      <w:r>
        <w:rPr>
          <w:rFonts w:ascii="Arial" w:cs="Arial" w:eastAsia="Arial" w:hAnsi="Arial"/>
          <w:sz w:val="18"/>
          <w:szCs w:val="18"/>
          <w:b w:val="1"/>
          <w:bCs w:val="1"/>
          <w:color w:val="auto"/>
        </w:rPr>
        <w:t>BA3071 had potent antitumor activity and led to two complete responses in an MC38 tumor cell line model in mice containing the human CTLA-4 gene.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shown below, examination of the immune cell composition of treated tumors found that those treated with either of two</w:t>
      </w:r>
    </w:p>
    <w:p>
      <w:pPr>
        <w:spacing w:after="0" w:line="23" w:lineRule="exact"/>
        <w:rPr>
          <w:sz w:val="20"/>
          <w:szCs w:val="20"/>
          <w:color w:val="auto"/>
        </w:rPr>
      </w:pPr>
    </w:p>
    <w:p>
      <w:pPr>
        <w:ind w:left="120" w:right="520"/>
        <w:spacing w:after="0" w:line="260" w:lineRule="auto"/>
        <w:rPr>
          <w:sz w:val="20"/>
          <w:szCs w:val="20"/>
          <w:color w:val="auto"/>
        </w:rPr>
      </w:pPr>
      <w:r>
        <w:rPr>
          <w:rFonts w:ascii="Arial" w:cs="Arial" w:eastAsia="Arial" w:hAnsi="Arial"/>
          <w:sz w:val="18"/>
          <w:szCs w:val="18"/>
          <w:color w:val="auto"/>
        </w:rPr>
        <w:t>CAB anti-CTLA-4 antibodies had increased numbers of CD8 T cells than IgG control mice. CD8 T cells are effector cells that mediate tumor cell killing. These levels were similar to those observed in tumors treated with the ipilimumab analog.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Tumor infiltrating lymphocytes of human CTLA-4 engineered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171450</wp:posOffset>
            </wp:positionV>
            <wp:extent cx="1911350" cy="1859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1135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CAB anti-CTLA-4 antibodies functioned similar to ipilimumab in stimulating CD8 T cells in tumors</w:t>
      </w:r>
    </w:p>
    <w:p>
      <w:pPr>
        <w:spacing w:after="0" w:line="22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contrast, the CAB anti-CTLA-4 antibodies did not lead to changes in the T cell subsets in peripheral blood, as set forth in the figure below. The percentage of CD4 effector cells in CAB-treated mice were similar to those observed with the controls. The percentage of CD4 effector cells in ipilimumab analog-treated mice more than doubled, consistent with systemic inhibition of the CTLA-4 checkpoint. We believe that the observed tumor-restricted activity of CAB anti-CTLA4 antibodies will be associated with fewer systemic target-based toxicities.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Normal peripheral blood lymphocytes of human CTLA-4 engineered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171450</wp:posOffset>
            </wp:positionV>
            <wp:extent cx="2134235" cy="17576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3423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Unlike the ipilimumab analog, CAB anti-CTLA-4 antibodies did not lead to stimulation of T cells in peripheral blood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preclinical toxicity study of BA3071 in non-human primates compares its safety profile to that of ipilimumab. Specifically, as shown in the figure below, we examined the gastrointestinal toxicities associated with combination therapy with nivolumab. To examine toxicities, these animals were dosed with high levels of both agents. Dosing of non-human primates with BA3071 in combination with nivolumab was associated with fewer occurrences of events associated with gastrointestinal toxicity than the combination of ipilimumab and nivolumab. These animals received 20 mg/kg nivolumab, which represents 12 times the human dose, and either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15 mg/kg of ipilimumab or 15 mg/kg of BA3071, which we estimate is 45 to 60 times the current human dose. There were 33 gastrointestinal events such as liquid feces, non-formed feces and other gastrointestinal symptoms in the ipilimumab plus nivolumab combination across 29 days and five animals. There was only a single case of liquid feces in one animal on one day in the BA3071 plus nivolumab treatment group.</w:t>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Toxicity study of BA3071 comparing its safety profile to ipilimumab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743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8604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580" w:right="200"/>
        <w:spacing w:after="0" w:line="282" w:lineRule="auto"/>
        <w:rPr>
          <w:sz w:val="20"/>
          <w:szCs w:val="20"/>
          <w:color w:val="auto"/>
        </w:rPr>
      </w:pPr>
      <w:r>
        <w:rPr>
          <w:rFonts w:ascii="Arial" w:cs="Arial" w:eastAsia="Arial" w:hAnsi="Arial"/>
          <w:sz w:val="18"/>
          <w:szCs w:val="18"/>
          <w:b w:val="1"/>
          <w:bCs w:val="1"/>
          <w:color w:val="auto"/>
        </w:rPr>
        <w:t>Treatment of non-human primates with a combination of BA3071 and nivolumab resulted in fewer gastrointestinal adverse events than treatment with ipilimumab and nivolumab.</w:t>
      </w:r>
    </w:p>
    <w:p>
      <w:pPr>
        <w:spacing w:after="0" w:line="16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These results were consistent with the preclinical results shown two and three figures above that demonstrated that CAB anti-CTLA-4 antibodies had insignificant target-based activity outside of tumors. We believe that this non-human primate study provides support for assessing the safety and tolerability of BA3071 in clinical trials. We anticipate that BA3071 will have a wider therapeutic window than ipilimumab, which may enable it to be better tolerated when used in combination with nivolumab, with the potential to further increase efficacy by allowing administration of higher doses.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obtained U.S. IND in November 2019, and we plan to work with our partner BeiGene to initiate a Phase 1 dose-escalation trial of BA3071 in advanced solid tumor patients in 2021. We expect this trial will examine the safety and tolerability of BA3071 at doses ranging from 7mg Q3W to 700mg Q3W (equivalent to 10mg/kg of ipilimumab) as monotherapy and in combination with tislelizumab, an anti-PD-1 antibody in late-stage development by BeiGene.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Bispecific candidates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Bispecific candidates preclinical studies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BA3182 – EpCAM x CD3</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examined the antitumor potential of multiple EpCAM x CD3 bispecific candidates, including some with a conventional EpCAM binding domain, a CAB CD3 binding domain and others with both binding domains with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320" w:top="459" w:right="5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CAB activity. Dosage was 2.5mg per kilogram twice per week in mice, which is roughly equivalent to 0.625 mg per kilogram in non-human primates. As shown below, we found that all of these constructs had potent antitumor activity in a HCT116, a human colorectal carcinoma cell line, xenograft model in mice with a humanized immune system. All of the EpCAM x CD3 bispecifics, including those with CAB antigen binding domains, resulted in tumor shrinkage.</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Xenograft model for multiple EpCAM x CD3 bispecific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171450</wp:posOffset>
            </wp:positionV>
            <wp:extent cx="4637405" cy="2520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3740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480"/>
        <w:spacing w:after="0" w:line="282" w:lineRule="auto"/>
        <w:rPr>
          <w:sz w:val="20"/>
          <w:szCs w:val="20"/>
          <w:color w:val="auto"/>
        </w:rPr>
      </w:pPr>
      <w:r>
        <w:rPr>
          <w:rFonts w:ascii="Arial" w:cs="Arial" w:eastAsia="Arial" w:hAnsi="Arial"/>
          <w:sz w:val="18"/>
          <w:szCs w:val="18"/>
          <w:b w:val="1"/>
          <w:bCs w:val="1"/>
          <w:color w:val="auto"/>
        </w:rPr>
        <w:t>EpCAM x CD3 bispecific antibodies all had potent antitumor activity in a xenograft model, regardless of whether the antigen-binding domains were from CAB or conventional antibodies.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While there was no observable difference in antitumor efficacy between antibodies with CAB domains and those with conventional antigen-binding domains, a conventional EpCAM x CD3 bispecific antibody led to a much higher level of systemic immune activation than an EpCAM x CAB CD3 bispecific antibody in non-human primates. As shown below, at a dose of 0.025 mg/kg, the plasma level of interleukin 6, or IL-6, an inflammatory cytokine associated with cytokine release syndrome, was elevated above baseline in primates treated with a conventional bispecific with no detectable increase in the CAB bispecific-antibody-treated primates. Doubling the dose to 0.05 mg/kg led to a further increase in IL-6 production in conventional bispecific treated primates with significant gastrointestinal and renal toxicities and the death of one of two treated primates. Only a minor increase</w:t>
      </w:r>
    </w:p>
    <w:p>
      <w:pPr>
        <w:spacing w:after="0" w:line="4"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 IL-6 was observed with the CAB bispecific antibody and both treated primates were healthy. An increase in dose to 0.25 mg/kg resulted in a large increase in IL-6 levels in primates treated with the conventional bispecific and the death of both animals. In contrast, 0.25 mg/kg of the CAB bispecific antibody led to a much lower level of IL-6 and no deaths.</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Systemic immune activation of EpCAM x CAB CD3 bispecific antibody vs. conventional EpCAM x CD3 bispecific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179070</wp:posOffset>
            </wp:positionV>
            <wp:extent cx="4406265" cy="2100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0626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60" w:right="220"/>
        <w:spacing w:after="0" w:line="282" w:lineRule="auto"/>
        <w:rPr>
          <w:sz w:val="20"/>
          <w:szCs w:val="20"/>
          <w:color w:val="auto"/>
        </w:rPr>
      </w:pPr>
      <w:r>
        <w:rPr>
          <w:rFonts w:ascii="Arial" w:cs="Arial" w:eastAsia="Arial" w:hAnsi="Arial"/>
          <w:sz w:val="18"/>
          <w:szCs w:val="18"/>
          <w:b w:val="1"/>
          <w:bCs w:val="1"/>
          <w:color w:val="auto"/>
        </w:rPr>
        <w:t>EpCAM x CAB CD3 bispecific antibodies led to much lower expression of IL-6 in non-human primates than conventional EpCAM x BF3 bispecific antibodies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BA3142 – B7-H3 x CD3</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second bispecific product candidate, BA3142, is a dual-CAB T-cell engager targeting B7-H3, a protein expressed on many solid tumors. The lead molecule was characterized by multiple assays including functional assays, as well as a pharyngeal cancer model. The lead molecule showed antitumor activity comparable to a non-CAB antibody, while demonstrating lower binding activity under normal physiological conditions, as expected for a CAB bispecific antibody. Cell line development was initiated in Q4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EGFR x CD3</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Targeting EGFR with a CAB bispecific antibody is expected to provide benefit since the target is widely expressed in healthy tissue, such as skin, which would otherwise result in on-target, off-tumor toxicity if targeted by a non-CAB antibody. A set of lead molecules were characterized by multiple assays including functional assays and all demonstrated high binding activity at acidic pH with little to no binding under normal physiological conditions. </w:t>
      </w:r>
      <w:r>
        <w:rPr>
          <w:rFonts w:ascii="Arial" w:cs="Arial" w:eastAsia="Arial" w:hAnsi="Arial"/>
          <w:sz w:val="16"/>
          <w:szCs w:val="16"/>
          <w:i w:val="1"/>
          <w:iCs w:val="1"/>
          <w:color w:val="auto"/>
        </w:rPr>
        <w:t>S</w:t>
      </w:r>
      <w:r>
        <w:rPr>
          <w:rFonts w:ascii="Arial" w:cs="Arial" w:eastAsia="Arial" w:hAnsi="Arial"/>
          <w:sz w:val="16"/>
          <w:szCs w:val="16"/>
          <w:color w:val="auto"/>
        </w:rPr>
        <w:t>tudies, using a colorectal cancer model, to select the clinical lead are in progress and are expected to be completed in 2021.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Nectin-4 x CD3</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Nectin-4 is widely expressed and has adhesive roles in normal tissues. A set of lead molecules were characterized by multiple assays including functional assays. Lead candidates were selected based on the overall performance in these assays and based on their pH profile (</w:t>
      </w:r>
      <w:r>
        <w:rPr>
          <w:rFonts w:ascii="Arial" w:cs="Arial" w:eastAsia="Arial" w:hAnsi="Arial"/>
          <w:sz w:val="18"/>
          <w:szCs w:val="18"/>
          <w:i w:val="1"/>
          <w:iCs w:val="1"/>
          <w:color w:val="auto"/>
        </w:rPr>
        <w:t>i.e.</w:t>
      </w:r>
      <w:r>
        <w:rPr>
          <w:rFonts w:ascii="Arial" w:cs="Arial" w:eastAsia="Arial" w:hAnsi="Arial"/>
          <w:sz w:val="18"/>
          <w:szCs w:val="18"/>
          <w:color w:val="auto"/>
        </w:rPr>
        <w:t>, high binding under tumor conditions and little or no binding under normal physiological conditions). Studies, using a lung cancer model, to select the clinical lead are in progress and are expected to be completed in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Plans</w:t>
      </w:r>
    </w:p>
    <w:p>
      <w:pPr>
        <w:spacing w:after="0" w:line="11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We have advanced two CAB bispecific antibody product candidates, BA3182 and BA3142, into IND-enabling studies in the second half of 2020 chosen from a number of preclinical candidates. This includes an EpCAM x CD3 as well as a B7-H3 x CD3 bispecific antibody.</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Additionally, two bispecific antibody product candidates (EGFR x CD3 and Nectin-4 x CD3) have reached the late discovery stage of development and we anticipate they have the potential to reach the IND enabling studies stage by 2021. We expect to submit multiple U.S. INDs in the second half of 2021 or sometime in 2022. We believe that our CAB technology opens up the opportunity for the creation of a broad set of bispecific product candidates with antitumor potential. Through these CAB bispecific antibodies, we believe we can activate T cells directly in tumors using CAB domains targeting tumor-specific antigens. Our CAB bispecific antibodies are not expected to lead to systemic immune activation, which we believe may allow for increased efficacy through more potent T cell activation, higher doses or administration in combination with other immuno-oncology therapies, such as checkpoint inhibitors.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The biotechnology and biopharmaceutical industries, including the oncology subsector, are characterized by rapid evolution of technologies, competition and strong defense of intellectual property. Any product candidates that we successfully develop and commercialize may have to compete with existing therapies and new therapies that may become available in the future. While we believe that our patented technology platform, intellectual property, know-how and scientific expertise in the field of biologics and immuno-oncology provide us with certain competitive advantages, including the ability of our product candidates to be active under conditions representative of the tumor microenvironment and not in normal cell conditions, we face potential competition from a wide variety of institutions, including large biopharmaceutical companies, specialty biotechnology companies, academic research departments and public and private research institutions. In immuno-oncology, we face substantial competition in the form of competing approaches to targeted antibody therapy in general, as well as competing treatments for the same types of cancer that we would plan to address with our pipeline of product candidates.</w:t>
      </w:r>
    </w:p>
    <w:p>
      <w:pPr>
        <w:spacing w:after="0" w:line="18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There are numerous companies in various stages of clinical development of ADCs, a key feature of our product candidates BA3011, BA3021 and BA3071. Currently, there are 10 approved ADCs and as of February 2020, there were approximately 60 ADCs in clinical development, the vast majority of which were being developed for the treatment of cancer. Certain other companies are also pursuing antibody therapies in immuno-oncology, such as Seattle Genetics. Although we do not believe competing companies have selective CAB technology, there is a wide array of activity in multiple areas of immune-based cellular therapies for oncology. We also face competition on specific targets, including on antibody-based therapies for ROR2, the target of our second product candidate, BA3021, from NBE-Therapeutics AG.</w:t>
      </w:r>
    </w:p>
    <w:p>
      <w:pPr>
        <w:spacing w:after="0" w:line="17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addition, if any of our product candidates are approved in oncology indications such as pancreatic, breast and other cancers, they may compete with existing biologics and small molecule therapies, or may be used in combination with existing therapies. There are also many other therapies under development that are intended to treat the same cancers that we are targeting or may target with our CAB technology platform, including through approaches that could prove to be more effective, have fewer side effects, be cheaper to manufacture, be more convenient to administer or have other advantages over any products resulting from our technology.</w:t>
      </w:r>
    </w:p>
    <w:p>
      <w:pPr>
        <w:spacing w:after="0" w:line="18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Many of our competitors, either alone or with strategic partners, have substantially greater financial resources and expertise in research and development, manufacturing, preclinical testing, conducting clinical trials, obtaining regulatory approvals and marketing approved products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4"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Our CAB antibodies are designed and produced using our patented Comprehensive Integrated Antibody Optimization, or CIAO!, technology. The successful evolution, design and development of a CAB antibody with specific characteristics and qualities require that the development and manufacturing processes result in the CAB antibody with the desired properties. We have developed our patented process of CIAO! that integrates into the design process the critical features for subsequent development steps and manufacturing. A key element of the CIAO! process is that all design and development of the antibody is conducted in a mammalian cell line such as Chinese hamster ovary. This host cell is essentially identical to that used for manufacturing the majority of antibodies. This integrated and efficient approach is designed to provide consistency of the folding, glycosylation and other critical features throughout the development and commercialization process for improved activity, selectivity and yields in manufacturing.</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currently do not own or operate any manufacturing facilities. We rely, and expect to continue to rely for the foreseeable future, on third-party contract manufacturing organizations to produce our product candidates for preclinical and clinical testing, as well as for commercial manufacture if our product candidates receive marketing approval. We also expect to rely on third parties for the design, development and manufacture of companion diagnostic tests for our product candidates that require such tests. Furthermore, the raw materials for our product candidates may be sourced, in some cases, from a single-source supplier. As part of the manufacture and design process for our product candidates, we rely on internal, scientific and manufacturing know-how and trade secrets and the know-how and trade secrets of third-party manufacturers. We also contract with additional third parties for the filling, labeling, packaging, storage and distribution of investigational drug products.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 We maintain agreements with our manufacturers that include confidentiality and intellectual property provisions to protect our proprietary rights related to our product candidates. We have personnel with significant technical, manufacturing, analytical, quality, including cGMP, and project management experience to oversee our third-party manufacturers and to manage manufacturing and quality data and information for regulatory compliance purposes.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We intend to selectively enter into collaborations to maximize the value of our platform and pipeline, including our existing collaboration involving BA3071.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Co-Development and Collaboration Agreement with BeiGene, Ltd.</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 April 2019, we entered into a Global Co-Development and Collaboration Agreement with BeiGene, Ltd. which, as amended in December 2019 and October 2020, provides for the development, manufacturing and commercialization of BioAtla’s investigational CAB CTLA-4 antibody, BA3071. Under the terms of our BeiGene collaboration, BeiGene is generally responsible for developing the CAB-CTLA-4 antibody and is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responsible for global regulatory filings and commercialization. Subject to the terms of the agreement, BeiGene holds an exclusive license with BioAtla to develop and manufacture the product candidate globally. BeiGene is responsible for all costs of development, manufacturing and commercialization globally. At the time of execution of the BeiGene collaboration, we received a $20 million upfront payment and in December 2019, we received an additional $5 million for the reimbursement of manufacturing costs. We are eligible to receive up to $225.5 million in subsequent development and regulatory milestones globally and commercial milestones in the BeiGene territory, together with tiered royalties in seven royalty tiers, ranging from the high-single digits to low twenties, on sales worldwide. The royalty term, for each product on a country-by-country basis, is the period of time commencing on the date of first commercial sale of such product in a country with respect to which royalty payments are due, until the latest of (i) the last to expire valid claim of any patents held by us or BeiGene that contain one or more claims that cover BA3071 and/or any pharmaceutical or formulation that contains BA3071, or that contains one or more claims that cover any know-how (other than with respect to CABs) discovered, developed, generated or invested during the term by us or BeiGene, or patents that contain one or more claims that cover joint inventions discovered, developed, generated or invented by BeiGene and us, in each case covering such product in such country, (ii) 10 years following the first commercial sale of such product in such country and (iii) the last to expire of any regulatory exclusivity applicable to such product in such country.</w:t>
      </w:r>
    </w:p>
    <w:p>
      <w:pPr>
        <w:spacing w:after="0" w:line="16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Subject to earlier termination, the agreement shall remain in effect, on a country-by-country basis until the earlier of 10 years following commercial sale.. Unless terminated early, at the expiration date BeiGene retains all licensing rights in the applicable territories. BeiGene may terminate the agreement at any time after the one-year anniversary of the agreement subject to 90 days written notice, or any time subject to 45 days notice if it is determined that the proof of concept milestone or technological or scientific feasibility will not be achieved. The agreement also contains customary provisions for termination by either party, including in the event of breach, subject to cure.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Agreement with Inversagen, LLC</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March 2019, we entered into an Exclusive License Agreement with Inversagen, LLC, as amended in July 2020. Under the terms of the agreement, we granted Inversagen an exclusive, worldwide, royalty-bearing license under certain patents and know-how controlled by us to develop, make, have made, sell, have sold, offer for sale and import CAB-antibodies for the field of diseases associated with aging, outside of cancer, and an immuno-oncology antibody. We may perform development services under the agreement and will be reimbursed by Inversagen for our costs. Commencing on the first commercial sale of the CAB-antibodies and immuno-oncology antibody subject to the agreement, Inversagen will pay us royalties in the mid-single digits, which represents a variable interest held by us. We have an option for a period of 10 years to acquire the sole and exclusive rights solely to develop, make, have made, use, sell, have sold, offer for sale and import the immuno-oncology antibody in the field worldwide (except for the People’s Republic of China, Hong Kong, Taiwan and Macau) in return for royalty payments in the low-single digits during the applicable royalty term. For both royalties paid to us by Inversagen and, upon exercise of our option, royalties paid to Inversagen by us, the royalty term, on a product-by-product basis, is the period of time commencing on the first commercial sale of such product in a country and ending upon the later to occur of (i) expiration of the last-to-expire valid claim of the patent rights controlled by us or by Inversagen covering the manufacture, use, sale, offer for sale or import of such product, (ii) 10 years following the first commercial sale of such product in such country and (iii) the expiration of regulatory exclusivity for such product in such country. Unless earlier terminated, the agreement continues in effect so long as Inversagen or any of its affiliates, licensees or sublicensees are developing or commercializing the CAB-antibodies or immuno-oncology antibody in the field or we or any of our affiliates, licensees or sublicensees are developing or commercializing the CAB-antibodies or immuno-oncology antibody outside the field. We can also terminate the agreement with 30 days prior written notice for Inversagen’s failure to pay. No payments have been made to date.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Exclusive Rights Agreement with Himalaya Therapeutics SEZC</w:t>
      </w:r>
    </w:p>
    <w:p>
      <w:pPr>
        <w:spacing w:after="0" w:line="11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In January 2020, we entered into an Amended and Restated Exclusive Rights Agreement with Himalaya Therapeutics SEZC. Under the terms of the agreement, we granted Himalaya Therapeutics SEZC an exclusive, sublicensable license under certain patents and know-how controlled by us to develop, manufacture, conduct clinical trials, obtain regulatory approval of and commercialize 10 CAB-antibodies for the territory of China, Macao, Hong Kong and Taiwan and a CAB-HER2-bispecific-antibody worldwide, in each case in the field of the treatment of cancer in humans. We also granted Himalaya Therapeutics SEZC an exclusive, sublicensable license under certain patents and know-how controlled by us to develop, manufacture, conduct clinical trials, obtain regulatory approval of and commercialize an IL-22 non-CAB-antibody worldwide, which rights are subject to certain co-development plans in the agreement for the joint development and commercialization of the IL-22 non-CAB-antibody by Himalaya Therapeutics SEZC and us. The term of the agreement continues unless terminated by mutual written consent of the parties and also contains customary provisions for termination by either party. Payments to us may include upfront payments, milestone payments and royalties equal to the lower of (i) the low teens of annual net sales and (ii) the mid-twenties of the royalties and other comparable payments received by Himalaya Therapeutics SEZC from third parties, which represent a variable interest held by us, but no payments have been made to date. The royalty term, on a product-by-product and country-by-country basis, is the period of time commencing on the first commercial sale of such product in such country and expiring upon the latest of</w:t>
      </w:r>
    </w:p>
    <w:p>
      <w:pPr>
        <w:spacing w:after="0" w:line="3" w:lineRule="exact"/>
        <w:rPr>
          <w:sz w:val="20"/>
          <w:szCs w:val="20"/>
          <w:color w:val="auto"/>
        </w:rPr>
      </w:pPr>
    </w:p>
    <w:p>
      <w:pPr>
        <w:ind w:left="120" w:right="20" w:hanging="4"/>
        <w:spacing w:after="0" w:line="302"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expiration of the last valid claim in a patent covering the composition of matter or method of use for such product licensed under the agreement in such country, (ii) the expiration of any other exclusivity protection of such licensed product in such country, and (iii) the 15th anniversary of the date of first commercial sale of such product in such country. We are eligible to receive up to $77.5 million in upfront payments and potential milestones.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Agreement with BioAtla Holdings, LLC</w:t>
      </w:r>
    </w:p>
    <w:p>
      <w:pPr>
        <w:spacing w:after="0" w:line="117" w:lineRule="exact"/>
        <w:rPr>
          <w:sz w:val="20"/>
          <w:szCs w:val="20"/>
          <w:color w:val="auto"/>
        </w:rPr>
      </w:pPr>
    </w:p>
    <w:p>
      <w:pPr>
        <w:jc w:val="both"/>
        <w:ind w:left="120" w:right="120" w:firstLine="440"/>
        <w:spacing w:after="0" w:line="287" w:lineRule="auto"/>
        <w:rPr>
          <w:sz w:val="20"/>
          <w:szCs w:val="20"/>
          <w:color w:val="auto"/>
        </w:rPr>
      </w:pPr>
      <w:r>
        <w:rPr>
          <w:rFonts w:ascii="Arial" w:cs="Arial" w:eastAsia="Arial" w:hAnsi="Arial"/>
          <w:sz w:val="16"/>
          <w:szCs w:val="16"/>
          <w:color w:val="auto"/>
        </w:rPr>
        <w:t>In January 2020, we entered into an Exclusive License Agreement with BioAtla Holdings, LLC, as amended in July 2020. Under the terms of the agreement, we granted BioAtla Holdings an exclusive, worldwide license under certain patents and know-how controlled by us to develop, make, have made, use, sell, have sold, offer for sale and import CAB antibodies for certain targets in the field of Adoptive Cell Therapy, or ACT (CAR-T).</w:t>
      </w:r>
    </w:p>
    <w:p>
      <w:pPr>
        <w:spacing w:after="0" w:line="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Commencing on the first commercial sale of the CAB antibodies subject to the agreement, BioAtla Holdings will pay us royalties in the mid-single digits, which represents a variable interest held by us. We have an option for a period of 10 years to acquire the sole and exclusive rights solely to develop, make, have made, use, sell, have sold, offer for sale and import the ACT preparations and ACT treatments in the ACT field worldwide (except for the People’s Republic of China, Hong Kong, Taiwan and Macau) in return for royalty payments in the low-single digits during the applicable royalty term. For both royalties paid to us by BioAtla Holdings and, upon exercise of our option, royalties paid to BioAtla Holdings by us, the royalty term, on a product-by-product basis, is the period of time commencing on the first commercial sale of such product in a country and ending upon the expiration of the last-to-expire valid claim of the patent rights controlled by us or by BioAtla Holdings covering the manufacture, use, sale, offer for sale or import of such product. We will not owe BioAtla Holdings any milestone or royalty payments unless we exercise our option to acquire the rights to the ACT preparations and ACT treatments. During the term of the agreement, we agreed not to develop, make, have made, use, sell, have sold, offer for sale or import any CAB ACT treatment in the field of ACT. Unless earlier terminated, the agreement continues in effect so long as BioAtla Holdings or any of its affiliates, licensees or sublicensees are developing or commercializing the ACT preparations and treatments in the ACT field or we or any of our affiliates, licensees or sublicensees are developing or commercializing any CAB non-ACT product for any indication outside the ACT field. The agreement may be terminated only by the mutual written agreement of the parties. No payments have been made to date.</w:t>
      </w:r>
    </w:p>
    <w:p>
      <w:pPr>
        <w:spacing w:after="0" w:line="169"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In addition, effective January 2020, we entered into a Royalty Sharing Agreement whereby we agreed to share with BioAtla Holdings 50% of the royalties we receive under the license agreement with EXUMA Biotech Corp. (formerly F1 Oncology, Inc.) described below.</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Exclusive License Agreement with EXUMA Biotech Corp</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May 2016, we entered into an Exclusive License Agreement with EXUMA Biotech Corp. (“EXUMA”, formerly F1 Oncology, Inc.) and its affiliates, which, as amended in July 2016 and November 2017 and as amended and restated in November 2019, granted an exclusive, worldwide, sublicensable license under certain patents and know-how controlled by us to develop, manufacture and commercialize four CAB ACT (CAR-T) preparations and treatments for cancer. F1 Oncology granted us an exclusive, worldwide, royalty free, fully paid-up, sublicensable license under certain patents and know-how controlled by EXUMA and EXUMA’s interest in technology jointly developed under the agreement to develop, manufacture and commercialize non-ACT CAB products for any indication.</w:t>
      </w:r>
    </w:p>
    <w:p>
      <w:pPr>
        <w:spacing w:after="0" w:line="192"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EXUMA is obligated to pay us during the royalty term, on a product-by-product basis and country-by-country basis, mid-single-digit royalties based on annual net sales of certain EXUMA ACT products, subject to certain adjustments. The term during which EXUMA is obligated to pay royalties under the agreement with respect to any particular product in any particular country, will begin on the first commercial sale of such product in such country and will end on the date of expiration of the last-to-expire of certain product-related patent rights in such country.</w:t>
      </w:r>
    </w:p>
    <w:p>
      <w:pPr>
        <w:spacing w:after="0" w:line="171"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Unless earlier terminated, the agreement continues in effect so long as EXUMA or any of its affiliates, licensees or sublicensees are developing or commercializing any EXUMA products in the ACT field or we or any of our affiliates, licensees or sublicensees are developing or commercializing any CAB products for any indication outside the ACT field. The agreement may be terminated only by the mutual written agreement of the parties.</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connection with the agreement, we received common and preferred stock of EXUMA. These holdings of EXUMA common and preferred stock were retained by BioAtla Holdings in connection with the LLC Division.</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November 22, 2019, we entered into an Amended and Restated Exclusive License Agreement with EXUMA, which curtailed the rights to certain CAB intellectual property previously licensed to EXUMA in exchange for a one-time, non-refundable, non-creditable license fee of $10,000, but does not change EXUMA’s obligation to pay us royalties on licensed products. In connection with the Amended and Restated Exclusive License Agreement, BioAtla Holdings sold its EXUMA common and preferred holdings back to EXUMA for consideration of $25,000.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CHO-S Cell Line License Agreement with Life Technologies Corporation</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On June 28, 2018, we entered into the CHO-S Cell Line License Agreement with Life Technologies Corporation. Under the terms of the agreement, Life Technologies Corporation provides and grants to us a worldwide, non-exclusive, royalty-free, non-sublicensable license to use certain CHO-S cells to make, or have made, recombinant proteins for clinical or commercial purposes and to seek regulatory approval for the sale of such recombinant proteins in exchange for a one-time, non-refundable, non-creditable license fee of $400,000. No royalties are due by us to Life Technologies Corporation under the agreement. Additional specific lots of Life Technologies Corporation’s recombinant proteins may be ordered by us for an additional fee of $50,000 per lot. The term of the agreement continues in perpetuity unless terminated by either party.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Since inception, we have recognized the value of strong, defensible and relevant intellectual property protection. We seek to protect our technologies and products and the potential market for such technologies and products. To accomplish this goal, we apply for patents covering our processes and compositions. We also apply for patents covering developments and technologies for purpose of preventing third parties from developing competing products. Inventions related to various aspects of our core technologies have already been protected by issued and pending patent applications. As of December 31, 2020, we have 492 patents and patent applications with 257 issued, 9 allowed applications and 226 pending applications.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objectives of our IP strategy are to increase shareholder value by adequately protecting our platform technologies and compositions of matter, discerning and maximizing the value of our patent portfolio, providing a flexible portfolio that is aligned with our business model and maintaining a cost-effective strategy. We achieve these goals by creating a defensible patent shield, employing most-likely-to-succeed strategies, patenting strategically to reinforce the value of our IP and to minimize costs related to patenting while maximizing value, and by understanding the technology landscape to ensure patentability and freedom to operate. For our CAB products, we act strategically to maximize patent term by timely filing our patent applications.</w:t>
      </w:r>
    </w:p>
    <w:p>
      <w:pPr>
        <w:spacing w:after="0" w:line="19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We recognize that the ability to obtain patent protection and the degree of such protection depends on a number of factors, including the extent of the prior art, the novelty of the invention, the obviousness of the invention and the ability to satisfy the enablement and written description requirements of the patent laws. We file all relevant types of patent applications to protect our intellectual property, including patent applications with claims directed to our processes and products, and applications and uses thereof.</w:t>
      </w:r>
    </w:p>
    <w:p>
      <w:pPr>
        <w:spacing w:after="0" w:line="187" w:lineRule="exact"/>
        <w:rPr>
          <w:sz w:val="20"/>
          <w:szCs w:val="20"/>
          <w:color w:val="auto"/>
        </w:rPr>
      </w:pPr>
    </w:p>
    <w:p>
      <w:pPr>
        <w:ind w:left="120" w:right="540" w:firstLine="440"/>
        <w:spacing w:after="0" w:line="274" w:lineRule="auto"/>
        <w:rPr>
          <w:sz w:val="20"/>
          <w:szCs w:val="20"/>
          <w:color w:val="auto"/>
        </w:rPr>
      </w:pPr>
      <w:r>
        <w:rPr>
          <w:rFonts w:ascii="Arial" w:cs="Arial" w:eastAsia="Arial" w:hAnsi="Arial"/>
          <w:sz w:val="17"/>
          <w:szCs w:val="17"/>
          <w:color w:val="auto"/>
        </w:rPr>
        <w:t>We file our applications with the U.S. Patent and Trademark Office to establish a priority filing date. Generally, we initially file provisional applications. Provisional applications are designed to provide a lower-cost first patent application filing in the United States.</w:t>
      </w:r>
    </w:p>
    <w:p>
      <w:pPr>
        <w:ind w:left="120" w:right="40"/>
        <w:spacing w:after="0" w:line="288" w:lineRule="auto"/>
        <w:rPr>
          <w:sz w:val="20"/>
          <w:szCs w:val="20"/>
          <w:color w:val="auto"/>
        </w:rPr>
      </w:pPr>
      <w:r>
        <w:rPr>
          <w:rFonts w:ascii="Arial" w:cs="Arial" w:eastAsia="Arial" w:hAnsi="Arial"/>
          <w:sz w:val="16"/>
          <w:szCs w:val="16"/>
          <w:color w:val="auto"/>
        </w:rPr>
        <w:t>Corresponding non-provisional patent applications must be filed not later than 12 months after the filing date of the first provisional application filed for an invention. In some cases, multiple provisional applications have been filed within a 12-month period to capture incremental developments within the 12-month priority period while obtaining an early filing date for each development. The corresponding non-provisional patent applications benefit from the provisional applications(s) since the priority date(s) of the these non-provisional patent applications is/are the earlier provisional application filing date(s), and because the patent term of the finally issued patents are calculated from the later, non-provisional patent application filing dates. This system allows us to obtain an early priority date, add material to the patent application(s) during the priority year, obtain a later start to the patent term and delay prosecution costs, which may save costs in the event that we decide not to pursue examination in an application.</w:t>
      </w:r>
    </w:p>
    <w:p>
      <w:pPr>
        <w:spacing w:after="0" w:line="16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Subsequently, when appropriate, we pursue patent applications in foreign countries. The PCT system for filing international patent applications is used. This system allows a single application to be filed within 12 months of the original priority date of the patent application designating all 153 PCT member states (including countries in South, Central and North America, Africa, Europe, Asia and Australia) in which national/regional patent applications can later be pursued based on the international patent application filed under the PCT. The PCT searching authority performs a patentability search and issues a non-binding patentability opinion which can be used to evaluate the chances of success for future the national/regional patent applications in foreign countries prior to having to incur the filing and translation costs for such applications. At the end of a period of 2 1/2 years from the first priority date of the PCT patent application, separate patent applications can be pursued in any of the 153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cost savings where applications are abandoned within the first 2 1/2 years of filing.</w:t>
      </w:r>
    </w:p>
    <w:p>
      <w:pPr>
        <w:spacing w:after="0" w:line="18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For all patent applications, we determine the claiming strategy on a case-by-case basis. Advice of counsel and our business model and needs are always considered. We file patents containing claims for protection of all useful applications of our proprietary technologies and any products, as well as all new applications or uses we discover for existing technologies and products, assuming these are strategically valuable. We continuously reassess the number and type of patent applications, as well as the pending and issued patent claims to ensure that maximum patent coverage and value are obtained for our processes, and compositions, given existing patent office rules and regulations. Further, pending patent claims may be modified during patent prosecution to meet our intellectual property and business needs.</w:t>
      </w:r>
    </w:p>
    <w:p>
      <w:pPr>
        <w:spacing w:after="0" w:line="178" w:lineRule="exact"/>
        <w:rPr>
          <w:sz w:val="20"/>
          <w:szCs w:val="20"/>
          <w:color w:val="auto"/>
        </w:rPr>
      </w:pPr>
    </w:p>
    <w:p>
      <w:pPr>
        <w:ind w:left="120" w:right="2520" w:firstLine="440"/>
        <w:spacing w:after="0" w:line="342" w:lineRule="auto"/>
        <w:rPr>
          <w:sz w:val="20"/>
          <w:szCs w:val="20"/>
          <w:color w:val="auto"/>
        </w:rPr>
      </w:pPr>
      <w:r>
        <w:rPr>
          <w:rFonts w:ascii="Arial" w:cs="Arial" w:eastAsia="Arial" w:hAnsi="Arial"/>
          <w:sz w:val="16"/>
          <w:szCs w:val="16"/>
          <w:color w:val="auto"/>
        </w:rPr>
        <w:t>We are attentive to the need to avoid the unauthorized use of patented technology belonging to third parties. We perform non-infringement searches and analyses for our existing technologies and will continue to do so for</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future commercial processes and products. For our new developments, we regularly perform expert searches and reviews, and monitor patents and patent applications by third-party competitors. Our policy of avoiding patent infringement is diligently executed. To the best of our knowledge as of the date of this prospectus, we have freedom to operate on all of our technologies and product candidates.</w:t>
      </w:r>
    </w:p>
    <w:p>
      <w:pPr>
        <w:spacing w:after="0" w:line="18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patent positions of biotechnology and biopharmaceutical companies like ours are generally uncertain and involve complex legal, scientific and factual issues. In addition, the coverage claimed in a patent application can be significantly reduced before the patent is issued, and the scope of an issued patent can be reinterpreted or further altered even after patent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patents, please see “Risk factors—Risks related to our intellectual property.”</w:t>
      </w:r>
    </w:p>
    <w:p>
      <w:pPr>
        <w:spacing w:after="0" w:line="177"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may be accorded a patent term adjustment, or PTA, under certain circumstances to compensate for delays in granting the patent caused by the United States Patent and Trademark Office. In some instances, such a PTA may result in a U.S. patent term extending beyond 20 years from the earliest date of filing a non-provisional patent application related to the U.S. patent. In addition, in the United States, the term of a U.S. patent that covers</w:t>
      </w:r>
    </w:p>
    <w:p>
      <w:pPr>
        <w:spacing w:after="0" w:line="2"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an FDA-approved drug may be eligible for a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regulatory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further own trade secrets relating to our technology platform and product candidates, and we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are to be kept confidential and not disclosed to third parties except in specific circumstances. Our agreements with employees and consultants also provide that all inventions conceived by the employee in the course of employment or work with us or from the employee’s or consultant’s use of our confidential information are our exclusive property. For a more comprehensive discussion of the risks related to our trade secrets, please see “Risk factors—Risks related to our intellectual property.”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Company-owned patents</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BA3011 is covered by a number of filings, including a published PCT application filed in 2017 that entered the national phase in 2018. National phase applications have been granted in Australia and Japan and are pending in 13 jurisdictions in addition to the United States, including most major market countries. Composition of matter claims issuing from this application would not expire before 2037.</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BA3021 is covered by a number of filings, including a published PCT application filed in 2017 that entered the national phase in 2018. National phase applications are pending in 13 jurisdictions in addition to the United States, including most major market countries. Composition of matter claims issuing from this application would not expire before 2037.</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BA3071 is covered by a number of filings, including a published PCT application filed in 2019 that will enter the national phase in 2021. Additional filings were made in the non-PCT countries of Argentina and Taiwan. Composition of matter claims issuing from this application would not expire before 2039.</w:t>
      </w:r>
    </w:p>
    <w:p>
      <w:pPr>
        <w:spacing w:after="0" w:line="18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Our pre-clinical stage CAB antibody programs, including CAB-anti-EpCAM antibodies and CAB-anti-Nectin-4 antibodies, are covered by a number of filings, including, as of December 31, 2020, pending provisional applications that are due for conversion to a non-provisional applications in 2021. Composition of matter claims issuing from these applications would not expire before either 2040 or 2041.</w:t>
      </w:r>
    </w:p>
    <w:p>
      <w:pPr>
        <w:spacing w:after="0" w:line="16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Core components of our product candidates are protected by company-owned platform applications directed to novel methods of protein evolution, methods of making conditionally active biologics, integrated selection and evolution of antibodies and proteins in expression production hosts, multi-specific antibodies and methods of making, modified antibody regions, conditionally active biological proteins, proteins targeting orthologs, discovery of and production of conditionally active biologic proteins in eukaryotic cell production hosts, conditionally active chimeric antigen receptors for modified T-cells, diagnostics using conditionally active antibodies, conditionally active polypeptides, antibodies targeted to senescent cells, conditionally active proteins for neurodegenerative diseases, and conditionally active proteins with pH selectivity. We also have 14 issued U.S. patents covering various aspects of the manufacturing methods used to generate CAB antibodies that have patent terms expiring from 2030 to 2036. We also have an issued patent in the U.S. protecting our method of manufacturing conditionally active multi-specific antibodies that has a patent term expiring in 2033.</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Out-licensed patents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Himalaya Therapeutics SEZC has exclusive rights to patents/patent applications in China, Macao, Hong Kong and Taiwan relating to ROR2 (Patent applications 2017800294276 (China), and patent application 106115891 (Taiwan), both titled Anti-ROR2 antibodies and their immunoconjugates and uses thereof) and relating to AXL (Patent applications 201780023876X (China), and patent application 106112687 (Taiwan), both titled Anti-AXL antibodies and their immunoconjugates and uses thereof). Additionally, Himalaya Therapeutics SEZC has exclusive worldwide rights to patents/patent applications relating to IL-22 (Patent applications 108119613 and PCT/US19/35395, both titled Anti-IL-22 antibodies, antibody fragments and their immunoconjugates and uses thereof) and relating to HER2 (Patent application USP 62/964,747 titled Conditionally active anti-HER2 antibodies).</w:t>
      </w:r>
    </w:p>
    <w:p>
      <w:pPr>
        <w:spacing w:after="0" w:line="19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BioAtla Holdings, LLC has exclusive worldwide rights to all patents for the field of ACT (CAR-T), excluding the targets licensed to EXUMA Biotech Corp (“EXUMA”).</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Inversagen, LLC has exclusive worldwide rights to all patents solely in the field of diseases associated with aging (outside of cancer), diagnostics related thereto and an immuno-oncology antibody.</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EXUMA has an exclusive worldwide license to all patents solely to develop, make, have made, use, sell, have sold, offer for sale and import adoptive cell therapy (CAR-T) products to four named targets for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treatment of cancer. EXUMA’s rights under the agreement exclude the right to grant sublicenses to third parties to discover, develop or manufacture any CAB ACT or any component of our CAB ACT technology, except as used in or incorporated into EXUMA’s ACTs for cancer.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Licensure and regulation of biologics in the United States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the United States, the FDA regulates biologic products under the Federal Food, Drug, and Cosmetic Act, or the FDCA, the Public Health Service Act, or the PHSA, and regulations and guidance implementing these laws. The FDCA, PHSA and their corresponding regulations govern, among other things, the testing, manufacturing, safety, purity, potency, labeling, packaging, storage, record keeping, distribution, reporting, advertising and other promotional practices involving biologic products. Biological products used for the prevention, treatment or cure of a disease or condition of a human being are subject to regulation under the FDCA, except the section of the FDCA that governs the approval of new drug applications, or NDAs. Biological products are approved for marketing under provisions of the PHSA, via a Biologic License Application, or BLA. However, the application process and requirements for approval of BLAs are very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biologic products development process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Biological product candidates must be approved by the FDA pursuant to a BLA before they may be legally marketed in the United States. The process generally involves the following:</w:t>
      </w:r>
    </w:p>
    <w:p>
      <w:pPr>
        <w:spacing w:after="0" w:line="76" w:lineRule="exact"/>
        <w:rPr>
          <w:sz w:val="20"/>
          <w:szCs w:val="20"/>
          <w:color w:val="auto"/>
        </w:rPr>
      </w:pPr>
    </w:p>
    <w:p>
      <w:pPr>
        <w:ind w:left="1080" w:right="6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Completion of extensive preclinical laboratory tests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in accordance with the FDA’s current GLP regulations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reviewing each clinical site before each clinical trial may be initiated;</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accordance with the FDA’s GCP regulations, and any additional requirements for the protection of human research subjects and their health information, to establish the safety and efficacy of the proposed biologic product candidate for its intended use;</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Preparation and submission to the FDA of a BLA for marketing approval that includes substantial evidence of safety, purity and potency from results of nonclinical testing and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if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an application;</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 product candidate is produced to assess compliance with current cGMPs and to assure that the facilities, methods and controls are adequate to preserve the biologic product candidate’s identity, safety, strength, quality, potency and purity;</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BLA to assure compliance with GCPs and integrity of the clinical data;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of user fees and FDA review and approval, or licensure, of the BLA;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a Risk Evaluation and Mitigation Strategy, or REMS, where applicable, and post-approval studies required by the FDA as a condition of approval.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 xml:space="preserve">Before testing any biologic product candidate in humans, the product candidate must undergo rigorous preclinical testing. Preclinical tests, also referred to as nonclinical studies, include laboratory evaluations of product chemistry, toxicity and formulation, as well as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to assess the potential safety and activity of the product candidate and to establish a rationale for therapeutic use. The conduct of the preclinical tests must comply with federal regulations and requirements including GLPs.</w:t>
      </w:r>
    </w:p>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clinical trial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preclinical testing may continue even after the IND is submitted. An IND automatically becomes effective 30 days after receipt by the FDA, unless before that time the FDA raises concerns or questions related to a proposed clinical trial and places the trial on clinical hold, including concerns that human research subjects will be exposed to unreasonable health risks. In such a case, the IND sponsor and the FDA must resolve any outstanding concerns before the clinical trial can begin. Accordingly, submission of an IND may or may not result in the FDA allowing clinical trials to commence.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 under an IND</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Clinical trials involve the administration of the biologic product candidate to healthy volunteers or patients under the supervision of qualified investigators, which generally are physicians not employed by, or under, the control of the trial sponsor. Clinical trials must be conducted: (i) in compliance with federal regulations; (ii) in compliance with GCPs, an international standard meant to protect the rights and health of patients and to define the roles of clinical trial sponsors, administrators and monitors and (iii) under protocols detailing, among other things, the objectives of the trial, the parameters to be used in monitoring safety and the effectiveness criteria to be evaluated in the trial. Further, each clinical trial must be reviewed and approved by an IRB at or servicing each institution at which the clinical trial will be conducted. An IRB is charged with protecting the welfare and rights of trial participants and considers items such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Clinical trials typically are conducted in three sequential phases that may overlap or be combined:</w:t>
      </w:r>
    </w:p>
    <w:p>
      <w:pPr>
        <w:spacing w:after="0" w:line="127" w:lineRule="exact"/>
        <w:rPr>
          <w:sz w:val="20"/>
          <w:szCs w:val="20"/>
          <w:color w:val="auto"/>
        </w:rPr>
      </w:pPr>
    </w:p>
    <w:p>
      <w:pPr>
        <w:ind w:left="1080" w:right="60" w:hanging="424"/>
        <w:spacing w:after="0" w:line="26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Phase 1. </w:t>
      </w:r>
      <w:r>
        <w:rPr>
          <w:rFonts w:ascii="Arial" w:cs="Arial" w:eastAsia="Arial" w:hAnsi="Arial"/>
          <w:sz w:val="18"/>
          <w:szCs w:val="18"/>
          <w:color w:val="auto"/>
        </w:rPr>
        <w:t>The biologic product candidate initially is introduced into a small number of healthy human subjects and tested for safety, dosage</w:t>
      </w:r>
      <w:r>
        <w:rPr>
          <w:rFonts w:ascii="Arial" w:cs="Arial" w:eastAsia="Arial" w:hAnsi="Arial"/>
          <w:sz w:val="18"/>
          <w:szCs w:val="18"/>
          <w:b w:val="1"/>
          <w:bCs w:val="1"/>
          <w:color w:val="auto"/>
        </w:rPr>
        <w:t xml:space="preserve"> </w:t>
      </w:r>
      <w:r>
        <w:rPr>
          <w:rFonts w:ascii="Arial" w:cs="Arial" w:eastAsia="Arial" w:hAnsi="Arial"/>
          <w:sz w:val="18"/>
          <w:szCs w:val="18"/>
          <w:color w:val="auto"/>
        </w:rPr>
        <w:t>tolerance, absorption, metabolism, distribution or excretion. If possible, a Phase 1 clinical trial may also seek to gain an early understanding of the product candidate’s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308" w:lineRule="auto"/>
        <w:rPr>
          <w:sz w:val="20"/>
          <w:szCs w:val="20"/>
          <w:color w:val="auto"/>
        </w:rPr>
      </w:pPr>
      <w:r>
        <w:rPr>
          <w:rFonts w:ascii="Arial" w:cs="Arial" w:eastAsia="Arial" w:hAnsi="Arial"/>
          <w:sz w:val="17"/>
          <w:szCs w:val="17"/>
          <w:color w:val="auto"/>
        </w:rPr>
        <w:t>effectiveness. In the case of some product candidates for severe or life-threatening diseases, especially when the product candidate may be too inherently toxic to ethically administer to healthy volunteers, the initial human testing is often conducted in patients.</w:t>
      </w:r>
    </w:p>
    <w:p>
      <w:pPr>
        <w:spacing w:after="0" w:line="48" w:lineRule="exact"/>
        <w:rPr>
          <w:sz w:val="20"/>
          <w:szCs w:val="20"/>
          <w:color w:val="auto"/>
        </w:rPr>
      </w:pPr>
    </w:p>
    <w:p>
      <w:pPr>
        <w:ind w:left="1080" w:right="40" w:hanging="424"/>
        <w:spacing w:after="0" w:line="26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Phase 2. </w:t>
      </w:r>
      <w:r>
        <w:rPr>
          <w:rFonts w:ascii="Arial" w:cs="Arial" w:eastAsia="Arial" w:hAnsi="Arial"/>
          <w:sz w:val="18"/>
          <w:szCs w:val="18"/>
          <w:color w:val="auto"/>
        </w:rPr>
        <w:t>The biologic product candidate is evaluated in a limited patient population to identify possible adverse effects and safety risks, to</w:t>
      </w:r>
      <w:r>
        <w:rPr>
          <w:rFonts w:ascii="Arial" w:cs="Arial" w:eastAsia="Arial" w:hAnsi="Arial"/>
          <w:sz w:val="18"/>
          <w:szCs w:val="18"/>
          <w:b w:val="1"/>
          <w:bCs w:val="1"/>
          <w:color w:val="auto"/>
        </w:rPr>
        <w:t xml:space="preserve"> </w:t>
      </w:r>
      <w:r>
        <w:rPr>
          <w:rFonts w:ascii="Arial" w:cs="Arial" w:eastAsia="Arial" w:hAnsi="Arial"/>
          <w:sz w:val="18"/>
          <w:szCs w:val="18"/>
          <w:color w:val="auto"/>
        </w:rPr>
        <w:t>preliminarily evaluate the efficacy of the product candidate for specific targeted diseases and to determine dosage tolerance, optimal dosage and dosing schedule. Multiple Phase 2 clinical trials may be conducted to obtain information prior to beginning larger and more expensive Phase 3 clinical trials.</w:t>
      </w:r>
    </w:p>
    <w:p>
      <w:pPr>
        <w:spacing w:after="0" w:line="85" w:lineRule="exact"/>
        <w:rPr>
          <w:rFonts w:ascii="Arial" w:cs="Arial" w:eastAsia="Arial" w:hAnsi="Arial"/>
          <w:sz w:val="18"/>
          <w:szCs w:val="18"/>
          <w:color w:val="auto"/>
        </w:rPr>
      </w:pPr>
    </w:p>
    <w:p>
      <w:pPr>
        <w:ind w:left="1080" w:right="280" w:hanging="424"/>
        <w:spacing w:after="0" w:line="26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Phase 3. </w:t>
      </w:r>
      <w:r>
        <w:rPr>
          <w:rFonts w:ascii="Arial" w:cs="Arial" w:eastAsia="Arial" w:hAnsi="Arial"/>
          <w:sz w:val="18"/>
          <w:szCs w:val="18"/>
          <w:color w:val="auto"/>
        </w:rPr>
        <w:t>The biologic product candidate is administered to an expanded patient population to further evaluate dosage,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4"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Post-approval clinical trials, sometimes referred to as Phase 4 clinical trials, may be conducted after initial approval. These clinical trials are used to gain additional experience from the treatment of patients in the intended therapeutic indication, particularly for long-term safety follow-up.</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184" w:lineRule="exact"/>
        <w:rPr>
          <w:sz w:val="20"/>
          <w:szCs w:val="20"/>
          <w:color w:val="auto"/>
        </w:rPr>
      </w:pPr>
    </w:p>
    <w:p>
      <w:pPr>
        <w:ind w:left="120" w:right="440" w:firstLine="440"/>
        <w:spacing w:after="0" w:line="274" w:lineRule="auto"/>
        <w:rPr>
          <w:sz w:val="20"/>
          <w:szCs w:val="20"/>
          <w:color w:val="auto"/>
        </w:rPr>
      </w:pPr>
      <w:r>
        <w:rPr>
          <w:rFonts w:ascii="Arial" w:cs="Arial" w:eastAsia="Arial" w:hAnsi="Arial"/>
          <w:sz w:val="17"/>
          <w:szCs w:val="17"/>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w:t>
      </w:r>
    </w:p>
    <w:p>
      <w:pPr>
        <w:ind w:left="120" w:right="40"/>
        <w:spacing w:after="0" w:line="281" w:lineRule="auto"/>
        <w:rPr>
          <w:sz w:val="20"/>
          <w:szCs w:val="20"/>
          <w:color w:val="auto"/>
        </w:rPr>
      </w:pPr>
      <w:r>
        <w:rPr>
          <w:rFonts w:ascii="Arial" w:cs="Arial" w:eastAsia="Arial" w:hAnsi="Arial"/>
          <w:sz w:val="16"/>
          <w:szCs w:val="16"/>
          <w:color w:val="auto"/>
        </w:rPr>
        <w:t>for non-oncology therapies. A single Phase 3 or Phase 2 trial may be sufficient in rare instances, including (i) where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w:t>
      </w:r>
    </w:p>
    <w:p>
      <w:pPr>
        <w:spacing w:after="0" w:line="2" w:lineRule="exact"/>
        <w:rPr>
          <w:sz w:val="20"/>
          <w:szCs w:val="20"/>
          <w:color w:val="auto"/>
        </w:rPr>
      </w:pPr>
    </w:p>
    <w:p>
      <w:pPr>
        <w:ind w:left="120" w:right="160" w:hanging="4"/>
        <w:spacing w:after="0" w:line="260" w:lineRule="auto"/>
        <w:tabs>
          <w:tab w:leader="none" w:pos="3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when in conjunction with other confirmatory evidence. Approval on the basis of a single trial may be subject to the requirement of additional post-approval studies.</w:t>
      </w:r>
    </w:p>
    <w:p>
      <w:pPr>
        <w:spacing w:after="0" w:line="18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7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Concurrent with clinical trials, companies usually must complete some long-term preclinical testing, such as animal tests of reproductive adverse events and carcinogenicity, and must also develop additional information about the chemistry and physical characteristics of the drug and finalize a process for manufacturing the drug in commercial quantities in accordance with cGMP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review and approval processes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FDA approval of a BLA must be obtained before commercial marketing of the biologic product. The results of the preclinical tests and clinical trials, together with detailed information relating to the product’s CMC and proposed labeling, among other things, are submitted to the FDA as part of the BLA requesting approval to market the product for one or more indications.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cost of preparing and submitting a BLA is substantial. Under the Prescription Drug User Fee Act, or PDUFA, each BLA must be accompanied by a significant user fee. The FDA adjusts the PDUFA user fees on an annual basis. The PDUFA also imposes an annual prescription drug program.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FDA reviews a BLA within 60 days of submission to determine if it is substantially complete before the agency files. The FDA may refuse to file any BLA that it deems incomplete or not properly reviewable at the time of submission and may request additional information. In that event, the BLA must be resubmitted with the additional information. The resubmitted application also is subject to review before the FDA files it. Once the submission is filed by the FDA, the FDA begins an in-depth, substantive review of the BLA.</w:t>
      </w:r>
    </w:p>
    <w:p>
      <w:pPr>
        <w:spacing w:after="0" w:line="18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FDA reviews the BLA to determine, among other things, whether the proposed product candidate is safe and effective, for its intended use, has an acceptable purity profile and whether the product candidate is being manufactured in accordance with cGMPs to assure and preserve the product candidate’s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product approval process, the FDA also will determine whether a REMS is necessary to assure the safe use of the product candidate. REMS involve additional risk minimization strategies to ensure that the benefits of the product outweigh the potential risks. A REMS can include medication guides, communication plans for healthcare professionals, and elements to assure safe use, or ETASU. ETASU can include, but are not limited to, special training or certification for prescribing or dispensing the product, dispensing the product only under certain circumstances, special monitoring, and the use of patient-specific registries. If the FDA concludes a REMS is needed, the sponsor of the BLA must submit a proposed REMS; the FDA will not approve the BLA without a REMS, if required.</w:t>
      </w:r>
    </w:p>
    <w:p>
      <w:pPr>
        <w:spacing w:after="0" w:line="17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Before approving a BLA, the FDA will inspect the facilities at which the product candidate is manufactured. The FDA will not approve the product candidate unless it determines that the manufacturing processes and facilities are in compliance with cGMP requirements and adequate to assure consistent production of the product candidate within required specifications. Additionally, before approving a BLA, the FDA typically will inspect one or more clinical sites to assure that the clinical trials were conducted in compliance with IND trial requirements and GCP requirements.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the basis of the BLA and accompanying information, including the results of the inspection of the manufacturing facilities, the FDA may issue an approval letter or a complete response letter. An approval letter authorizes commercial marketing of the biologic product with specific prescribing information for specific indications. A complete response letter generally outlines the deficiencies in the submission and may require substantial additional testing or information in order for the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spacing w:after="0" w:line="17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If a product candidate receives regulatory approval, the FDA may require post-marketing clinical trials, sometimes referred to as Phase 4 clinical trials, designed to further assess a biologic product’s safety and effectiveness, and testing and surveillance programs to monitor the safety of approved products that have been commercialized.</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FDA has agreed to specified performance goals in the review of BLAs under the PDUFA. One such goal is to review standard BLAs in 10 months after the FDA files the BLA, and priority BLAs in six months, whereupon a review decision is to be made.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Compliance with cGMP requirements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 requiring withdrawal of the product from the market. The FDA will not approve a BLA unless it determines that the manufacturing processes and facilities are in compliance with cGMP requirements and adequate to assure consistent production of the product within required specification.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user fees. Any product submitted to the FDA for marketing, including under a fast track program, may be eligible for other types of FDA programs intended to expedite development and review, such as priority review and accelerated approval.</w:t>
      </w:r>
    </w:p>
    <w:p>
      <w:pPr>
        <w:spacing w:after="0" w:line="170"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96"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80"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Rigorous and extensive FDA regulation of biologic products continues after approval, particularly with respect to cGMP requirements. Manufacturers are required to comply with applicable requirements in the cGMP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regulations, including quality control and quality assurance and maintenance of records and documentation, and are subject to periodic inspections by the FDA.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Other post-approval requirements applicable to biologic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 sponsor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spacing w:after="0" w:line="16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Failure to comply with the applicable U.S. requirements at any time during the product development process, approval process or after approval, may subject an applicant or manufacturer to administrative or judicial civil or criminal sanctions and adverse publicity. These actions could include refusal to approve pending applications or supplemental applications, withdrawal of an approval, clinical hold, suspension or termination of clinical trials by an IRB, warning or untitled letters, product recalls, product seizures, total or partial suspension of production or distribution, injunctions, fines or other monetary penalties, refusals of government contracts, mandated corrective advertising or communications with healthcare providers, debarment, restitution, disgorgement of profits or other civil or criminal penalties.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Orphan drug designation in the United States is designed to encourage sponsors to develop products intended for treatment of rare diseases or conditions. In the United States, pursuant to the Orphan Drug Act, the FDA may grant orphan designation to a biological product intended to treat a rare disease or condition, which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 product becomes an orphan when it receives orphan drug designation from the Office of Orphan Products Development at the FDA based on acceptable confidential requests made under the regulatory provisions. The product must then go through the review and approval process like any other product. Orphan drug designation on its own does not convey any advantage in or shorten the duration of the regulatory review and approval process.</w:t>
      </w:r>
    </w:p>
    <w:p>
      <w:pPr>
        <w:spacing w:after="0" w:line="19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a product with orphan designation receives the first FDA approval for the disease or condition for which it has such designation or for a select indication or use within the rare disease or condition for which it was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designated, the product generally will receive orphan drug exclusivity. Orphan drug exclusivity means that the FDA may not approve 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Because healthcare professionals are free to prescribe products for off-label uses, the competitor’s product could be used for the orphan indication despite another product’s orphan exclusivity. The FDA cannot, however, approve the same product made by another manufacturer for the same indication during the market exclusivity period unless it has the consent of the sponsor or the sponsor is unable to provide sufficient quantities.</w:t>
      </w:r>
    </w:p>
    <w:p>
      <w:pPr>
        <w:spacing w:after="0" w:line="19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FDA’s determination of whether two ADCs are the same product for purposes of orphan drug exclusivity is based on a determination of sameness of the monoclonal antibody element and the functional element of the conjugated molecule. Two ADCs are deemed to be the same product if the complementarity determining region sequences of the antibody and the functional element of the conjugated molecule are the same. A difference in either of those two elements can result in a determination that the molecules are different.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FDA approval and regulation of companion diagnostics</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 xml:space="preserve">If safe and effective use of our products depends 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then the FDA generally will require approval or clearance of that diagnostic, known as a companion diagnostic, at the same time that the FDA approves our product. In August 2014, the FDA issued final guidance clarifying the requirements that will apply to approval of therapeutic products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According to the guidance, if the FDA determines that a companion diagnostic device is essential to the safe and effective use of a biologic product or indication, the FDA generally will not approve the biologic product or new biologic product indication if the companion diagnostic device is not approved or cleared for that indication.</w:t>
      </w:r>
    </w:p>
    <w:p>
      <w:pPr>
        <w:spacing w:after="0" w:line="161"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 xml:space="preserve">Approval or clearance of the companion diagnostic device will ensure that the device has been adequately evaluated and has adequate performance characteristics in the intended population. The review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in conjunction with the review of our products will, therefore, likely involve coordination of review by CDER and the FDA’s Office of In Vitro Diagnostics and Radiological Health.</w:t>
      </w:r>
    </w:p>
    <w:p>
      <w:pPr>
        <w:spacing w:after="0" w:line="16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 xml:space="preserve">Under the FDCA,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8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and list their devices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and foreign facility records and manufacturing processes are subject to periodic unscheduled inspections by the FDA.</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information</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Under the Pediatric Research Equity Act, or PREA, a BLA or supplement to a BLA must contain data to assess the safety and effectiveness of the biologic product candidate for the claimed indications in all relevant pediatric subpopulations and to support dosing and administration for each pediatric subpopulation for which the product candidate is safe and effective. The FDA may grant deferrals for submission of data or full or partial waivers. Unless otherwise required by regulation, the PREA generally does not apply to any biologic product candidate for an indication for which orphan designation has been granted. However, beginning in 2020, PREA applies to BLAs for orphan-designated biologics if the biologic is a molecularly targeted cancer product intended for the treatment of an adult cancer and is directed at a molecular target that FDA has determined is substantially relevant to the growth or progression of a pediatric cancer.</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Best Pharmaceuticals for Children Act, or BPCA, provides a six-month extension of any exclusivity-patent or non-patent-for a biologic if certain conditions are met. Conditions for exclusivity include the FDA’s determination that information relating to the use of a new biologic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Biosimilars and exclusivity</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The ACA includes a subtitle called the Biologics Price Competition and Innovation Act of 2009, or BPCIA, which created an abbreviated approval pathway for biological products that are biosimilar to or interchangeable with an FDA-licensed reference biological product. The FDA has licensed numerous biosimilars under the BPCIA, and has issued several guidance documents outlining an approach to review and approval of biosimilars.</w:t>
      </w:r>
    </w:p>
    <w:p>
      <w:pPr>
        <w:spacing w:after="0" w:line="18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Biosimilarity, which requires that there be no clinically meaningful differences between the proposed biosimilar biological product and the reference product in terms of safety, purity and potency, can be shown through analytical studies, animal studies and a clinical trial or studies though the FDA has broad discretion to set biosimilar licensure data requirements.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developed by the FDA.</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the safety, purity and potency of its product. The BPCIA also created an exclusivity period for biosimilars approved as interchangeable products. At this juncture, it is unclear whether products deemed “interchangeable” by the FDA will, in fact, be readily substituted by pharmacies, which are governed by state pharmacy law.</w:t>
      </w:r>
    </w:p>
    <w:p>
      <w:pPr>
        <w:spacing w:after="0" w:line="17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involving human beings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European Union</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and governing, among other things, clinical trials, marketing authorization, commercial sales, post-market surveillance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Except in limited cases of compassionate use, it also requires the submission to the relevant competent authorities of a marketing authorization application, or MAA, and granting of a marketing authorization by these authorities before the product can be marketed and sold in the European Union.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Pursuant to the currently applicable Clinical Trials Directive 2001/20/EC and the Directive 2005/28/EC on GCP, a system for the approval of clinical trials (excluding non-interventional trials) conducted in the European Union has been implemented through national legislation of the member states. Under this system, the sponsor of a clinical trial must submit a request for authorization to the competent national authority of the European Union member state in which the clinical trial is to be conducted, or in multiple member states if the clinical trial is to be conducted in a number of member states. Furthermore, the applicant must obtain a favorable opinion from the competent ethics committee before starting a clinical trial.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16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April 2014, the European Union adopted a new Clinical Trials Regulation (EU) No 536/2014, but it has not yet become effective. Its application is subject to the full functionality of the European Union clinical trials portal and database. According to the most recent official communications, the audit aiming to confirm the full functionality of the portal and database will be conducted in December 2020. The new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single-entry point and shorter deadlines for the assessment of clinical trial applications. The scientific assessment of a clinical trial to be conducted in more than one Member State would be carried out once for all the concerned Member States while other aspects (e.g., informed consent requirements) are assessed by each Member State for its territory. In addition, sponsors must post clinical trial information (e.g., a summary of trial results) at the EudraCT website.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PRIME designation in the European Union</w:t>
      </w:r>
    </w:p>
    <w:p>
      <w:pPr>
        <w:spacing w:after="0" w:line="11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In March 2016, the EMA launched an initiative to facilitate development of product candidates of major interest from the point of view of public health and in particular from the point of view of therapeutic innovation. The PRIority MEdicines, or PRIME, scheme is intended to encourage drug development in areas of unmet medical need and provides accelerated assessment of products representing substantial innovation reviewed under the centralized procedure. Eligibility for the PRIME scheme depends on the availability of adequate preclinical and clinical data to justify a potential major public health interest prior to the initiation of confirmatory clinical trials at the proof of concept stage. Products from micro, small and medium-sized enterprises may qualify for earlier entry into the PRIME scheme than larger companies and benefit from fee reductions with the EMA. Many benefits accrue to sponsors of product candidates with PRIME designation, including early and proactive regulatory dialogue with the EMA, frequent discussions on clinical trial designs and other development program elements, scientific advice on key decision points for the preparation of the MAA and accelerated MAA assessment once a dossier has been submitted. More specifically, a kick-off meeting initiates these relationships and includes a team of multidisciplinary experts at the EMA to provide guidance 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the overall development and regulatory strategies. Importantly, a dedicated EMA contact (rapporteur) from the Committee for Human Medicinal Products, or CHMP, or Committee for Advanced Therapies in the case of an advanced therapy, are appointed early in the PRIME scheme to provide continuous support and help to build knowledge ahead of a MAA.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In order to support the authorization of medicinal products for children, Regulation (EC) No 1901/2006 provides that prior to obtaining a marketing authorization in the European Union, an applicant must demonstrate compliance with all measures included in an EMA-approved Pediatric Investigation Plan, or PIP, covering all subsets of the pediatric population, unless the EMA has granted a product-</w:t>
      </w:r>
    </w:p>
    <w:p>
      <w:pPr>
        <w:spacing w:after="0" w:line="4"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specific waiver, class waiver or a deferral for one or more of the measures included in the PIP. The requirement for a PIP also applies to applications for new indications, pharmaceutical forms or routes of administration for medicinal products that are already authorized.</w:t>
      </w:r>
    </w:p>
    <w:p>
      <w:pPr>
        <w:spacing w:after="0" w:line="18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is optional. Manufacturers must demonstrate the quality, safety and efficacy of their products to the EMA, which provides an opinion regarding the MAA through the CHMP responsible for conducting an initial assessment of the product.</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maximum timeframe for the evaluation of an MAA by the CHMP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 The final decision on the MAA is issued by the European Commission, in light of the opinion delivered by the EMA, and after the Member States have had an opportunity to comment on it.</w:t>
      </w:r>
    </w:p>
    <w:p>
      <w:pPr>
        <w:spacing w:after="0" w:line="19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With respect to medicinal products for which a centralized authorization is not mandatory, the applicant may choose between: (i) the national procedure provided for by a specific Member State, for the marketing of the product in its territory, (ii) the decentralized procedure, for drug candidates that are not marketed in any of the Member States but the applicant wishes to market them on more than one EU national territories or (iii) the mutual recognition procedure, which applies to products already authorized in a Member State and whose marketing in other Member States’ territories is sought.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Regulatory data protection in the European Union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These exclusivity periods apply only once from the first authorization granted to an applicant for a given active substance and they cannot be renewed when the same marketing authorization holder is granted new authorizations for new indications, strengths, pharmaceutical forms, administration routes or presentations of the same active substance. Data exclusivity prevents regulatory authorities in the European Union from referencing the innovator’s data to assess another product (either generic, hybrid or biosimilar) application for a period of eight years. During the additional two-year period of market exclusivity, a generic, hybrid or biosimilar marketing authorization application can be submitted, and the innovator’s data may be referenced, but no generic, hybrid or biosimilar medicinal product can be marketed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Patent term extensions in the European Union and other jurisdictions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European Union also provides for patent term extension through Supplementary Protection Certificates, or SPCs. The rules and requirements for obtaining a SPC are similar to those in the United States. An SPC may extend the term of a patent for up to five years after its originally scheduled expiration date. In certain circumstances, these periods may be extended for six additional months if pediatric exclusivity is obtained. Although SPCs are available throughout the European Union, sponsors must apply on a country-by-country basis. Similar patent term extension rights exist in certain other foreign jurisdictions outside the European Union.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risk-benefit balance by the EMA or by the competent authority of the authorizing member state, depending on the procedure through which the marketing authorization has been granted.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European Union market (in the case of the centralized procedure) or on the market of the authorizing member state within three years after authorization is granted ceases to be valid.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the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ten thousand persons in the European Union when the application is made, or (ii)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for which the orphan designation is requested will be of significant benefit to those affected by that condition.</w:t>
      </w:r>
    </w:p>
    <w:p>
      <w:pPr>
        <w:spacing w:after="0" w:line="192"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An orphan drug designation provides a number of benefits, including fee reductions, regulatory and scientific assistance and the possibility to apply for a centralized European Union marketing authorization. In particular, an orphan drug designation leads to a 10-year period of market exclusivity from the granting of the concerned medicinal product marketing authorization for the particular indication. During this market exclusivity period, neither the EMA nor the member states can accept an application or grant a marketing authorization for a “similar medicinal product.” A “similar medicinal product” is defined as a medicinal product containing a similar or identical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so as to not to justify market exclusivity.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Data Protection Regulation</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European Union, including personal health data, is subject to the Regulation (EU) No. 2016/679,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turnover of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June 23, 2016, the electorate in the United Kingdom voted in favor of leaving the European Union, commonly referred to as Brexit. Following protracted negotiations, the United Kingdom left the European Union on January 31, 2020. Under the withdrawal agreement, there is a transitional period until December 31, 2020, which is extendable up to two years. Discussions between the United Kingdom and the European Union have so far mainly focused on finalizing withdrawal issues and transition agreements but have been extremely difficult to date. To date, only an outline of a trade agreement has been reached. Much remains open but the Prime Minister has indicated that the United Kingdom will not seek to extend the transitional period beyond the end of 2020. If</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no trade agreement has been reached before the end of the transitional period, there may be significant market and economic disruption. The Prime Minister has also indicated that the United Kingdom will not accept high regulatory alignment with the European Union.</w:t>
      </w:r>
    </w:p>
    <w:p>
      <w:pPr>
        <w:spacing w:after="0" w:line="146"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although the United Kingdom has committed for recognition of EU laws. Any delay in obtaining, or an inability to obtain, any marketing approvals, as a result of Brexit or otherwise, may force us to restrict or delay efforts to seek regulatory approval in the United Kingdom for any product candidates we may develop, which could significantly and materially harm our business.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Furthermore, while the Data Protection Act of 2018 in the United Kingdom that “implements” and complements the GDPR achieved Royal Assent on May 23, 2018 and is now effective in the United Kingdom, it is still unclear whether transfer of data from the European Economic Area, or EEA, to the United Kingdom will remain lawful under GDPR. During the period of “transition” (i.e., until December 31, 2020), European Union law will continue to apply in the United Kingdom, including the GDPR, after which the GDPR will be converted into United Kingdom law. Beginning in 2021, the United Kingdom will be a “third country” under the GDPR. We may, however, incur liabilities, expenses, costs and other operational losses under GDPR and applicable European Union Member States and the United Kingdom privacy laws in connection with any measures we take to comply with them.</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Sales of our product candidates, if approved, will depend, in part, on the extent to which such products will be covered by third-party payors, such as government healthcare programs, commercial insurance and managed healthcare organizations. These third-party payors are increasingly limiting coverage or reducing reimbursements for medical products and services. In the United States, no uniform policy of coverage and reimbursement for products exists among third-party payors. Therefore, coverage and reimbursement for products can differ significantly from payor to payor.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usage of our product candidates, once approved, and have a material adverse effect on our sales, results of operations and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and state data privacy and security laws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HIPAA, the U.S. Department of Health and Human Services, or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damages resulting from alleged violations of HIPAA’s privacy and security rules. New laws and regulations governing privacy and security may be adopted in the future as well.</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Additionally, California recently enacted legislation that has been dubbed the first “GDPR-like”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19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imprisonment, contractual damages, reputational harm, diminished profits and future earnings, additional reporting requirements and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the CMS to test innovative payment and service delivery models to lower Medicare and Medicaid spending, potentially including prescription drug spending.</w:t>
      </w:r>
    </w:p>
    <w:p>
      <w:pPr>
        <w:spacing w:after="0" w:line="18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passed. For example, in 2017, Congress enacted the TCJA,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which eliminated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TCJA, the remaining provisions of the ACA are invalid as well. On December 18, 2019, the U.S. Court of Appeals for the Fifth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and oral arguments were held on November 10, 2020,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68"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through 2030 absent additional congressional action. In addition, the CARES Act suspended the 2% Medicare sequester from May 1, 2020 to December 31, 2020.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other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w:t>
      </w:r>
    </w:p>
    <w:p>
      <w:pPr>
        <w:spacing w:after="0" w:line="4"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monthly out-of-pocket expenses and place limits on pharmaceutical price increases. Additionally, the Trump administration’s budget proposal for the fiscal year 2020 contains further drug price control measures that could be enacted during the budget process or in future legislation, including, for example, measures to permit Medicare Part D plans to negotiate the price of certain drugs under Medicare Part B, to allow some states to negotiate prices under Medicaid, and to eliminate cost sharing for generic drugs for low-income patients. Although a number of these and other measures may require additional authorization to become effective, Congress and the Trump administration have each indicated that it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third-party payors and governmental authorities in reference pricing systems and publication of discounts and list prices.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As of December 31, 2020, we employed 36 employees. We also engaged 18 independent contractors located in China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pursuant to our relationship with BioDuro, a U.S.-based provider of preclinical development services. None of our employees are subject to a collective bargaining agreement. We consider our relationship with our employees to be good.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Compensation and Benefits Program</w:t>
      </w:r>
      <w:r>
        <w:rPr>
          <w:rFonts w:ascii="Arial" w:cs="Arial" w:eastAsia="Arial" w:hAnsi="Arial"/>
          <w:sz w:val="18"/>
          <w:szCs w:val="18"/>
          <w:color w:val="auto"/>
        </w:rPr>
        <w:t>. Our compensation program is designed to attract and reward talented individuals who possess the skills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support our business objectives, assist in the achievement of our strategic goals and create long-term value for our stockholders. We provide employees with compensation packages that include base salary, annual incentive bonuses, and long-term equity awards tied to the value of our stock price. We believe that a compensation program with both short-term and long-term awards provides fair and competitive compensation and aligns employee and stockholder interests, including by incentivizing business and individual performance (pay for performance), motivating based on long-term company performance and integrating compensation with our business plans. In addition to cash and equity compensation, we also offer employees benefits such as life and health (medical, dental &amp; vision) insurance, paid time off, paid parental leave, participation in our Employee Stock Purchase Plan and a 401(k) plan.</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Diversity and Inclusion</w:t>
      </w:r>
      <w:r>
        <w:rPr>
          <w:rFonts w:ascii="Arial" w:cs="Arial" w:eastAsia="Arial" w:hAnsi="Arial"/>
          <w:sz w:val="18"/>
          <w:szCs w:val="18"/>
          <w:color w:val="auto"/>
        </w:rPr>
        <w:t>. We believe that an equitable and inclusive environment with diverse teams produces more creative solutions, results in</w:t>
      </w:r>
      <w:r>
        <w:rPr>
          <w:rFonts w:ascii="Arial" w:cs="Arial" w:eastAsia="Arial" w:hAnsi="Arial"/>
          <w:sz w:val="18"/>
          <w:szCs w:val="18"/>
          <w:i w:val="1"/>
          <w:iCs w:val="1"/>
          <w:color w:val="auto"/>
        </w:rPr>
        <w:t xml:space="preserve"> </w:t>
      </w:r>
      <w:r>
        <w:rPr>
          <w:rFonts w:ascii="Arial" w:cs="Arial" w:eastAsia="Arial" w:hAnsi="Arial"/>
          <w:sz w:val="18"/>
          <w:szCs w:val="18"/>
          <w:color w:val="auto"/>
        </w:rPr>
        <w:t>better, more innovative products and services and is crucial to our efforts to attract and retain key talent. Our current efforts are focused on three primary areas:</w:t>
      </w:r>
    </w:p>
    <w:p>
      <w:pPr>
        <w:spacing w:after="0" w:line="89" w:lineRule="exact"/>
        <w:rPr>
          <w:sz w:val="20"/>
          <w:szCs w:val="20"/>
          <w:color w:val="auto"/>
        </w:rPr>
      </w:pPr>
    </w:p>
    <w:p>
      <w:pPr>
        <w:ind w:left="1080" w:right="62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Safe work environment. We provide training to all employees to improve their understanding of behaviors that can be perceived as discriminatory, exclusionary, and/or harassing, and provide safe avenues for employees to report such behaviors.</w:t>
      </w:r>
    </w:p>
    <w:p>
      <w:pPr>
        <w:spacing w:after="0" w:line="29"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Equal employment opportunity. We ensure that our practices and processes attract a diverse range of candidate, and that candidates are recruited, hired, assigned, developed, and promoted based on merit and their alignment to our values.</w:t>
      </w:r>
    </w:p>
    <w:p>
      <w:pPr>
        <w:spacing w:after="0" w:line="75" w:lineRule="exact"/>
        <w:rPr>
          <w:rFonts w:ascii="Arial" w:cs="Arial" w:eastAsia="Arial" w:hAnsi="Arial"/>
          <w:sz w:val="18"/>
          <w:szCs w:val="18"/>
          <w:color w:val="auto"/>
        </w:rPr>
      </w:pPr>
    </w:p>
    <w:p>
      <w:pPr>
        <w:ind w:left="1540" w:right="60" w:hanging="331"/>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Learning and development opportunities. To support our employees in reaching their full potential, we offer a wide range of internal and external learning and development opportunities.</w:t>
      </w:r>
    </w:p>
    <w:p>
      <w:pPr>
        <w:spacing w:after="0" w:line="75" w:lineRule="exact"/>
        <w:rPr>
          <w:rFonts w:ascii="Arial" w:cs="Arial" w:eastAsia="Arial" w:hAnsi="Arial"/>
          <w:sz w:val="18"/>
          <w:szCs w:val="18"/>
          <w:color w:val="auto"/>
        </w:rPr>
      </w:pPr>
    </w:p>
    <w:p>
      <w:pPr>
        <w:ind w:left="1540" w:right="100" w:hanging="331"/>
        <w:spacing w:after="0" w:line="263"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Community Involvement. We aim to give back to the communities where we live and work, and believe that this commitment helps in our efforts to attract and retain employees. We work with local universities to introduce and promote careers in science and biotechnology through internship opportunities.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Our business was founded in March 2007 and originally operated as a Delaware limited liability company, BioAtla, LLC. In July 2020, we converted from a limited liability company into a Delaware corporation pursuant to a statutory conversion and changed our name from BioAtla, LLC to BioAtla, Inc. Our principal executive offices are located at 11085 Torreyana Road, San Diego, California 92121, and our telephone number is (858)</w:t>
      </w:r>
    </w:p>
    <w:p>
      <w:pPr>
        <w:spacing w:after="0" w:line="2" w:lineRule="exact"/>
        <w:rPr>
          <w:sz w:val="20"/>
          <w:szCs w:val="20"/>
          <w:color w:val="auto"/>
        </w:rPr>
      </w:pPr>
    </w:p>
    <w:p>
      <w:pPr>
        <w:ind w:left="120" w:right="880"/>
        <w:spacing w:after="0" w:line="323" w:lineRule="auto"/>
        <w:rPr>
          <w:sz w:val="20"/>
          <w:szCs w:val="20"/>
          <w:color w:val="auto"/>
        </w:rPr>
      </w:pPr>
      <w:r>
        <w:rPr>
          <w:rFonts w:ascii="Arial" w:cs="Arial" w:eastAsia="Arial" w:hAnsi="Arial"/>
          <w:sz w:val="16"/>
          <w:szCs w:val="16"/>
          <w:color w:val="auto"/>
        </w:rPr>
        <w:t>558-0708. Our corporate website address is www.bioatla.com. Information contained on, or that may be accessed through, our website is not incorporated by reference into this Annual Report on Form 10-K and should not be considered a part of this Annual Report on Form 10-K.</w:t>
      </w:r>
    </w:p>
    <w:p>
      <w:pPr>
        <w:spacing w:after="0" w:line="13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obtained a registered trademark for BioAtla</w:t>
      </w:r>
      <w:r>
        <w:rPr>
          <w:rFonts w:ascii="Arial" w:cs="Arial" w:eastAsia="Arial" w:hAnsi="Arial"/>
          <w:sz w:val="15"/>
          <w:szCs w:val="15"/>
          <w:color w:val="auto"/>
        </w:rPr>
        <w:t>®</w:t>
      </w:r>
      <w:r>
        <w:rPr>
          <w:rFonts w:ascii="Arial" w:cs="Arial" w:eastAsia="Arial" w:hAnsi="Arial"/>
          <w:sz w:val="18"/>
          <w:szCs w:val="18"/>
          <w:color w:val="auto"/>
        </w:rPr>
        <w:t xml:space="preserve"> in the United States. This Annual Report on Form 10-K contains references to our trademarks and to trademarks belonging to other entities. Solely for convenience, trademarks and trade names referred to in this Annual Report on Form 10-K,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We make available, free of charge through our website,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Investing in our common stock involves a high degree of risk. You should carefully consider all information in this Annual Report on Form 10-K, including our consolidated financial statements and related notes appearing elsewhere in this prospectus and “Management’s discussion and analysis of financial condition and results of operations,” before purchasing our common stock. These risks are discussed more fully in the section titled “Risk Factors.” These risks and uncertainties include, but are not limited to, the following:</w:t>
      </w:r>
    </w:p>
    <w:p>
      <w:pPr>
        <w:spacing w:after="0" w:line="92" w:lineRule="exact"/>
        <w:rPr>
          <w:sz w:val="20"/>
          <w:szCs w:val="20"/>
          <w:color w:val="auto"/>
        </w:rPr>
      </w:pPr>
    </w:p>
    <w:p>
      <w:pPr>
        <w:ind w:left="10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product candidates may fail in development or suffer delays that adversely affect their commercial viability.</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patented CAB technology platform, and our future success depends heavily on the successful development of this platform.</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75"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9" w:lineRule="exact"/>
        <w:rPr>
          <w:rFonts w:ascii="Arial" w:cs="Arial" w:eastAsia="Arial" w:hAnsi="Arial"/>
          <w:sz w:val="16"/>
          <w:szCs w:val="16"/>
          <w:color w:val="auto"/>
        </w:rPr>
      </w:pPr>
    </w:p>
    <w:p>
      <w:pPr>
        <w:ind w:left="1080" w:right="7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the commencement and completion of clinical trials could increase costs and delay or prevent regulatory approval and commercialization of our product candidates.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face competition from entities that have developed or may develop product candidates for cancer, including companies developing novel treatments and technology platforms.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unable to obtain U.S. or foreign regulatory approval and, as a result, unable to commercialize our product candidates.</w:t>
      </w:r>
    </w:p>
    <w:p>
      <w:pPr>
        <w:spacing w:after="0" w:line="142" w:lineRule="exact"/>
        <w:rPr>
          <w:rFonts w:ascii="Arial" w:cs="Arial" w:eastAsia="Arial" w:hAnsi="Arial"/>
          <w:sz w:val="17"/>
          <w:szCs w:val="17"/>
          <w:color w:val="auto"/>
        </w:rPr>
      </w:pPr>
    </w:p>
    <w:p>
      <w:pPr>
        <w:ind w:left="1080" w:right="20" w:hanging="424"/>
        <w:spacing w:after="0" w:line="31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54" w:lineRule="exact"/>
        <w:rPr>
          <w:rFonts w:ascii="Arial" w:cs="Arial" w:eastAsia="Arial" w:hAnsi="Arial"/>
          <w:sz w:val="16"/>
          <w:szCs w:val="16"/>
          <w:color w:val="auto"/>
        </w:rPr>
      </w:pPr>
    </w:p>
    <w:p>
      <w:pPr>
        <w:ind w:left="1080" w:right="6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fail to attract and retain qualified senior management and key scientific personnel, our business may be materially and adversely affected.</w:t>
      </w:r>
    </w:p>
    <w:p>
      <w:pPr>
        <w:spacing w:after="0" w:line="75"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29"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portion of our research and development activities take place in China, and uncertainties regarding the interpretation and enforcement of Chinese laws, rules and regulations, a trade war or political unrest in China could materially adversely affect our business, financial condition and results of operations.</w:t>
      </w:r>
    </w:p>
    <w:p>
      <w:pPr>
        <w:spacing w:after="0" w:line="89" w:lineRule="exact"/>
        <w:rPr>
          <w:rFonts w:ascii="Arial" w:cs="Arial" w:eastAsia="Arial" w:hAnsi="Arial"/>
          <w:sz w:val="18"/>
          <w:szCs w:val="18"/>
          <w:color w:val="auto"/>
        </w:rPr>
      </w:pPr>
    </w:p>
    <w:p>
      <w:pPr>
        <w:ind w:left="1080" w:right="62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face risks related to health epidemics and outbreaks, including the COVID-19 pandemic, which could significantly disrupt our preclinical studies and clinical trials, and therefore our receipt of necessary regulatory approvals could be delayed or prevented.</w:t>
      </w:r>
    </w:p>
    <w:p>
      <w:pPr>
        <w:spacing w:after="0" w:line="29"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89" w:lineRule="exact"/>
        <w:rPr>
          <w:rFonts w:ascii="Arial" w:cs="Arial" w:eastAsia="Arial" w:hAnsi="Arial"/>
          <w:sz w:val="18"/>
          <w:szCs w:val="18"/>
          <w:color w:val="auto"/>
        </w:rPr>
      </w:pPr>
    </w:p>
    <w:p>
      <w:pPr>
        <w:ind w:left="1080" w:right="100" w:hanging="424"/>
        <w:spacing w:after="0" w:line="286"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0" w:lineRule="exact"/>
        <w:rPr>
          <w:rFonts w:ascii="Arial" w:cs="Arial" w:eastAsia="Arial" w:hAnsi="Arial"/>
          <w:sz w:val="17"/>
          <w:szCs w:val="17"/>
          <w:color w:val="auto"/>
        </w:rPr>
      </w:pPr>
    </w:p>
    <w:p>
      <w:pPr>
        <w:jc w:val="both"/>
        <w:ind w:left="1080" w:right="18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future issuance of equity or of debt securities that are convertible into equity will dilute our share capital.</w:t>
      </w:r>
    </w:p>
    <w:p>
      <w:pPr>
        <w:spacing w:after="0" w:line="130"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7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BA3011 and BA3021,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activities necessary for successful product commercialization. As a result, it may be more difficult for you to assess our future viability than it could be if we had a longer operating history.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incurred significant losses to date. Our ability to generate product revenue sufficient to achieve profitability will depend on the successful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development and eventual commercialization of one or more of our current and future product candidates. Our net losses were $35.9 million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$29.8 million for the years ended December 31, 2020 and 2019, respectively. As of December 31, 2020, we had an accumulated deficit of $90.9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losses have resulted primarily from costs incurred in connection with research and development activities and general and administrative costs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associated with our operations. We do not expect to generate meaningful revenue from product sales for the foreseeable future, and we expect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continue to incur significant operating expenses for the foreseeable future due to the cost of research and development, including identifying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designing product candidates and conducting preclinical studies and clinical trials, and the regulatory approval process for our product candidates.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expect our expenses, and the potential for losses, to increase substantially as we conduct clinical trials of our lead product candidates and seek to expand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pipeline.</w:t>
      </w:r>
    </w:p>
    <w:p>
      <w:pPr>
        <w:spacing w:after="0" w:line="21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72"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1"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BA3011 and BA3021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In addition, we expect to incur additional costs associated with operating as a public company. Accordingly, we will need to obtain substantial additional funding in order to continue our operations.</w:t>
      </w:r>
    </w:p>
    <w:p>
      <w:pPr>
        <w:spacing w:after="0" w:line="16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As of December 31, 2020, we had approximately $238.6 million in cash and cash equivalents. Based on our current operating plan, our current cash and cash equivalents are expected to be sufficient to fund our ongoing operations at least through the end of 2022.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6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plan to use our existing cash and cash equivalents to fund the research and development of our product candidates and development programs, and to fund working capital and other general corporate purposes.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Advancing the development of our product candidates will require a significant amount of capital. Our existing cash and cash equivalents will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63"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progress of our ongoing clinical trials for BA3011 and BA3021;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progress of the development efforts of our current collaborator, BeiGene, for BA3071 or collaborators with whom we may in the future enter into collaborations and research and development agreements;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and amount of target specific indication and milestone payments we may receive under our collaboration agreements;</w:t>
      </w:r>
    </w:p>
    <w:p>
      <w:pPr>
        <w:spacing w:after="0" w:line="142"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our current licenses, collaboration and research and development programs or possibly establish new collaboration arrangements;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the COVID-19 pandemic could adversely impact our ability to access capital as and when needed.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4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have no products on the market and our product candidates are in various stages of development. We are currently conducting Phase 2 clinical trials of BA3011 and BA3021, and we plan to work with our partner BeiGene to initiate Phase 1 trials of BA3071 in 2021 with various other product candidates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In addition, the FDA may not agree with our clinical trial plans. For example, we have initiated potentially registration-enabling Phase 2 trials for BA3011 in treatment-refractory sarcoma patients and and PD-1 refractory NSCLC patients. The FDA has reviewed the trial designs, but has not opined on whether the Phase 2 clinical trials will in fact be sufficient to support regulatory approval. However, the FDA is expected to consider this further at the interim data review point. We cannot assure you that the FDA will agree that such data will be sufficient to support approval.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w:t>
      </w:r>
    </w:p>
    <w:p>
      <w:pPr>
        <w:spacing w:after="0" w:line="7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our clinical trials resulting from factors related to the COVID-19 pandemic;</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75" w:lineRule="exact"/>
        <w:rPr>
          <w:rFonts w:ascii="Arial" w:cs="Arial" w:eastAsia="Arial" w:hAnsi="Arial"/>
          <w:sz w:val="18"/>
          <w:szCs w:val="18"/>
          <w:color w:val="auto"/>
        </w:rPr>
      </w:pPr>
    </w:p>
    <w:p>
      <w:pPr>
        <w:ind w:left="1080" w:right="9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clinical trials or by individuals using therapeutic biologics that share characteristics with our product candidates;</w:t>
      </w:r>
    </w:p>
    <w:p>
      <w:pPr>
        <w:spacing w:after="0" w:line="75"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including the EMA, regarding the scope or design of clinical trials;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enrolling patients in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 drop-out rates of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inadequate drug materials or other supplies necessary for the conduct of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poor effectiveness of our product candidates during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deficiencies in our third-party manufacturers’ manufacturing processes or facilities;</w:t>
      </w:r>
    </w:p>
    <w:p>
      <w:pPr>
        <w:spacing w:after="0" w:line="130"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any third-party contractors, investigators or contract research organizations, or CROs, to comply with regulatory requirements or otherwise meet their contractual obligations in a timely manner, or at all;</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 including the EMA.</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2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6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would be required to abandon or redesign all of our current product candidates, which could have a material adverse effect on our business, financial condition, results of operations and prospects.</w:t>
      </w:r>
    </w:p>
    <w:p>
      <w:pPr>
        <w:spacing w:after="0" w:line="286"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using our patented technology platform to develop CABs in oncology indications with our lead product candidates BA3011 and BA3021,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8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6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focus our product candidate development on therapeutic CAB antibodies for the treatment of various oncology indications, such as soft tissue and bone sarcoma, NSCLC, melanoma and ovarian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In addition, the subset of patients that are likely to respond to our product candidates, as identified by our quantitative biomarker assay/TmPS, may not correspond with and may be smaller than what market data may indicate.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9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82"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 including the EMA;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any physician education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adequate government and third-party payor reimbursement;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alternative effective treatments for the disease indications our product candidates are intended to treat and the relative risks, benefits and costs of those treatments.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including in our Phase 2 clinical trials of BA3011 for the treatment of soft tissue and bone sarcoma and PD-1 refractory NSCLC, our Phase 2 clinical trial of BA3021 for the treatment of PD-1 refractory melanoma and NSCLC and any subsequent or post-marketing confirmatory clinical trials.</w:t>
      </w:r>
    </w:p>
    <w:p>
      <w:pPr>
        <w:spacing w:after="0" w:line="18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For example, we have initiated potentially registration-enabling Phase 2 trials for BA3011 in treatment-refractory sarcoma patients and PD-1 refractory NSCLC. The FDA has reviewed the trial designs, but has not opined on whether the Phase 2 clinical trials will in fact be sufficient to support regulatory approval. However, the FDA is expected to consider this further at the interim data review point. We cannot assure you that the FDA will agree that such data will be sufficient to support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276"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interim data from our ongoing Phase 2 clinical trials of BA3011 and BA3021.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9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7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6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7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preclinical data;</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reaching, or a failure to reach, a consensus with regulatory authorities on study design;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obtaining IRB approval at each site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challenges in recruiting suitable patients to participate in a trial;</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clinical trials to ensure adequate statistical power to detect statistically significant treatment effects;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having patients complete a trial or return for post-treatment follow-up;</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safety issues, including occurrence of treatment emergent adverse events, or TEAEs, associated with the product candidate that are viewed to outweigh the product candidate’s potential benefits;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adding new clinical trial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ambiguous or negative interim results;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difficulties in manufacturing sufficient quantities of acceptable product candidate for use in clinical trials in a timely manner, or at all; or</w:t>
      </w:r>
    </w:p>
    <w:p>
      <w:pPr>
        <w:spacing w:after="0" w:line="153"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COVID-19 pandemic, which may result in clinical site closures, delays to patient enrollment, patients discontinuing their treatment or follow up visits or changes to trial protocols.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7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29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For example, we may face difficulty enrolling a sufficient number of patients in a timely manner in our clinical trials for BA3011 and BA3021 due to the limited number of suitable patients meeting the required AXL or ROR2 tumor membrane expression levels.</w:t>
      </w:r>
    </w:p>
    <w:p>
      <w:pPr>
        <w:spacing w:after="0" w:line="18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the COVID-19 pandemic or other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95"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In our clinical trials for BA3011 and BA3021, we have observed adverse events such as reversible myelosuppression, transient liver enzyme elevations, pyrexia, or fever, metabolic disturbances and peripheral neuropathy.</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8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BA3011 and BA3021 have demonstrated manageable tolerability profiles thus far, we cannot assure you that these and our other product candidates will not cause more severe side effects in a greater proportion of patients.</w:t>
      </w:r>
    </w:p>
    <w:p>
      <w:pPr>
        <w:spacing w:after="0" w:line="188"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In addition, BA3011 and BA3021 are being studied in combination with other therapies, which may exacerbate adverse events associated with the therapy. Patients treated with BA3011, BA3021 or our other product candidates may also be undergoing surgical, radiation or chemotherapy treatments, which can cause side effects or adverse events that are unrelated to our product candidate but may still impact the success of our clinical trials.</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BA3011 and BA3021 clinical trials may die or experience major clinical events either during the course of our clinical trials or after participating in such trials due mainly to the gravity of their illness, which has occurred in the past.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the event that any of our product candidates receive regulatory approval, and we or others later identify undesirable and unforeseen side effects caused by such product, any of the following negative consequences could occur, including:</w:t>
      </w:r>
    </w:p>
    <w:p>
      <w:pPr>
        <w:spacing w:after="0" w:line="76" w:lineRule="exact"/>
        <w:rPr>
          <w:sz w:val="20"/>
          <w:szCs w:val="20"/>
          <w:color w:val="auto"/>
        </w:rPr>
      </w:pPr>
    </w:p>
    <w:p>
      <w:pPr>
        <w:ind w:left="1080" w:right="4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their approval of such product, or seek an injunction against its manufacture or distribution;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conduct additional clinical trials or post-approval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89" w:lineRule="exact"/>
        <w:rPr>
          <w:rFonts w:ascii="Arial" w:cs="Arial" w:eastAsia="Arial" w:hAnsi="Arial"/>
          <w:sz w:val="18"/>
          <w:szCs w:val="18"/>
          <w:color w:val="auto"/>
        </w:rPr>
      </w:pPr>
    </w:p>
    <w:p>
      <w:pPr>
        <w:jc w:val="both"/>
        <w:ind w:left="1080" w:right="30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and/or create a Medication Guide outlining the risks of such side effects for distribution to patients, a communication plan for healthcare providers and/or other elements to assure safe use;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95"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b w:val="1"/>
          <w:bCs w:val="1"/>
          <w:i w:val="1"/>
          <w:iCs w:val="1"/>
          <w:color w:val="auto"/>
        </w:rPr>
        <w:t>We or our collaborator BeiGene are developing certain of our product candidates in combination with other therapies, and regulatory approval, safety or supply issues with these other therapies may delay or prevent the development and approval of our product candidates.</w:t>
      </w:r>
    </w:p>
    <w:p>
      <w:pPr>
        <w:spacing w:after="0" w:line="16"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Currently, we are evaluating the use of each of BA3011 and BA3021 in combination with an anti-PD-1 inhibitor and plan to evaluate the use of BA3071, which is being developed by our collaborator BeiGene,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Currently, our collaborator BeiGene is evaluating the use of BA3071 in combination with tislelizumab, an anti-PD-1 antibody in late stage development for solid tumor patients.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However, tislelizumab has not been approved by the FDA for the treatment of solid tumors.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88"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57" w:lineRule="exact"/>
        <w:rPr>
          <w:sz w:val="20"/>
          <w:szCs w:val="20"/>
          <w:color w:val="auto"/>
        </w:rPr>
      </w:pPr>
    </w:p>
    <w:p>
      <w:pPr>
        <w:ind w:left="120" w:right="120"/>
        <w:spacing w:after="0" w:line="320" w:lineRule="auto"/>
        <w:rPr>
          <w:sz w:val="20"/>
          <w:szCs w:val="20"/>
          <w:color w:val="auto"/>
        </w:rPr>
      </w:pPr>
      <w:r>
        <w:rPr>
          <w:rFonts w:ascii="Arial" w:cs="Arial" w:eastAsia="Arial" w:hAnsi="Arial"/>
          <w:sz w:val="15"/>
          <w:szCs w:val="15"/>
          <w:b w:val="1"/>
          <w:bCs w:val="1"/>
          <w:i w:val="1"/>
          <w:iCs w:val="1"/>
          <w:color w:val="auto"/>
        </w:rPr>
        <w:t>If safe and effective use of any of our product candidates, such as BA3011 and BA3021, depends on a companion diagnostic test, then the FDA generally will require approval or clearance of that companion diagnostic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3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are exploring predictive biomarkers to determine patient selection for our clinical trials. Specifically, to help inform which patients may be most suitable for treatment with BA3011 and BA3021, we have developed a Clinical Laboratory Improvement Amendments, or CLIA, validated quantitative biomarker assay, the Tumor membrane Percent Score, or TmPS, which measures AXL and ROR2 expression levels on the tumor membrane and cytoplasm. We are using both AXL and ROR2 TmPS scores in our ongoing clinical trials and they may be used for patient selection in future clinical trials. If the AXL and ROR2 TmPS scores prove to be a useful method for patient selection, we will incorporate the specific diagnostic test into our registrational studies and partner with the appropriate diagnostic provider to codevelop a companion diagnostic.</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safe and effective use of any of our product candidates, such as BA3011 and BA3021, depends on a companion diagnostic test then the FDA generally will require approval or clearance of that companion diagnostic, at the same time that the FDA approves our product candidates, if at all. The process of obtaining or creating such diagnostic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financial condition, results of operations and prospects.</w:t>
      </w:r>
    </w:p>
    <w:p>
      <w:pPr>
        <w:spacing w:after="0" w:line="17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expect to rely on third parties for the design, development and manufacture of companion diagnostic tests for our product candidates that require such tests. If the FDA, EMA or a comparable foreign regulatory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BA3011 and BA3021.</w:t>
      </w:r>
    </w:p>
    <w:p>
      <w:pPr>
        <w:spacing w:after="0" w:line="284"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96"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also companies developing technologies designed to deliver biologics and chemotherapeutic agents with some targeting capabilities. In addition, if any of our product candidates are approved in oncology indications such as pancreatic, breast, and other cancers,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9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There are numerous companies in various stages of clinical development of ADCs, a key feature of our product candidates BA3011, BA3021 and BA3071. Currently, there are 10 approved ADCs and as of February 2020, there were approximately 60 ADCs in clinical development, the vast majority of which were being developed for the treatment of cancer. Certain other companies are also pursuing antibody therapies in immuno-oncology, such as Seattle Genetics. Although we do not believe competing companies have selective CAB technology, there is a wide array of activity in multiple areas of immune-based cellular therapies for oncology. We also face competition on specific targets, including on antibody-based therapies for ROR2, the target of our second product candidate, BA3021, from NBE-Therapeutics AG.</w:t>
      </w:r>
    </w:p>
    <w:p>
      <w:pPr>
        <w:spacing w:after="0" w:line="17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64"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biologic product candidates for which we intend to seek approval may face competition sooner than anticipated.</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is a risk that any product candidates we may develop that are approved as a biological product under a BLA would not qualify for</w:t>
      </w:r>
    </w:p>
    <w:p>
      <w:pPr>
        <w:spacing w:after="0" w:line="3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 Other aspects of the BPCIA, some of which may impact the BPCIA exclusivity provisions, have also been the subject of recent litigation, including litigation challenging the constitutionality of the ACA.</w:t>
      </w:r>
    </w:p>
    <w:p>
      <w:pPr>
        <w:spacing w:after="0" w:line="193"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For example, on December 14, 2018, a Texas U.S. District Court Judge ruled that the ACA is unconstitutional in its entirety because the “individual mandate” was repealed by Congress as part of the Tax</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Cuts and Jobs Act, or the TCJA.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oral arguments were held on November 10, 2020, although it is unclear when a decision will be made or how the Supreme Court will rule. There may also be other efforts to challenge, repeal or replace the ACA. We continue to evaluate the effect that the ACA and its possible repeal and replacement has on our business and exclusivity under the BPCIA. It is uncertain the extent to which any such changes may impact our business or financial condition.</w:t>
      </w:r>
    </w:p>
    <w:p>
      <w:pPr>
        <w:spacing w:after="0" w:line="27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unable to obtain U.S. or foreign regulatory approval and, as a result, unable to commercialize our product candidates.</w:t>
      </w:r>
    </w:p>
    <w:p>
      <w:pPr>
        <w:spacing w:after="0" w:line="1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78"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2" w:lineRule="auto"/>
        <w:rPr>
          <w:sz w:val="20"/>
          <w:szCs w:val="20"/>
          <w:color w:val="auto"/>
        </w:rPr>
      </w:pPr>
      <w:r>
        <w:rPr>
          <w:rFonts w:ascii="Arial" w:cs="Arial" w:eastAsia="Arial" w:hAnsi="Arial"/>
          <w:sz w:val="17"/>
          <w:szCs w:val="17"/>
          <w:color w:val="auto"/>
        </w:rPr>
        <w:t>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our product candidates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a sufficient response rate or duration of response for a product candidate;</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51" w:lineRule="exact"/>
        <w:rPr>
          <w:rFonts w:ascii="Arial" w:cs="Arial" w:eastAsia="Arial" w:hAnsi="Arial"/>
          <w:sz w:val="17"/>
          <w:szCs w:val="17"/>
          <w:color w:val="auto"/>
        </w:rPr>
      </w:pPr>
    </w:p>
    <w:p>
      <w:pPr>
        <w:ind w:left="1080" w:right="24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spacing w:after="0" w:line="18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66"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Moreover, the time required to obtain approval may differ from that required to obtain FDA approval. Approval by the FDA does not ensure approval by regulatory authorities outside the United States and vice versa.</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8"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We intend to seek an accelerated approval for BA3011 and BA3021 and we may seek accelerated approval for one or more of our other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However, full approval of another product for the same indication as any of our product candidates for which we are seeking accelerated approval may make accelerated approval of our product candidates more difficult. If granted, accelerated approval is contingent on the sponsor’s agreement to conduct, in a diligent manner, additional post-approval confirmatory studies to verify and describe the drug’s clinical benefit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9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received funding under the CARES Act.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April 22, 2020, we executed a promissory note in favor of City National Bank evidencing an unsecured loan, or the PPP loan, in the aggregate principal amount of approximately $0.7 million, which was made pursuant to the Paycheck Protection Program, or the PPP. The PPP was established under the CARES Act, which was enacted on March 27, 2020, and is administered by the U.S. Small Business Administration, or the SBA. The promissory note provides for a fixed interest rate of one percent per year with a maturity date of April 22, 2022. Monthly principal and interest payments due on the loan are deferred until August 2021. We may prepay the loan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0" w:lineRule="auto"/>
        <w:rPr>
          <w:sz w:val="20"/>
          <w:szCs w:val="20"/>
          <w:color w:val="auto"/>
        </w:rPr>
      </w:pPr>
      <w:r>
        <w:rPr>
          <w:rFonts w:ascii="Arial" w:cs="Arial" w:eastAsia="Arial" w:hAnsi="Arial"/>
          <w:sz w:val="16"/>
          <w:szCs w:val="16"/>
          <w:color w:val="auto"/>
        </w:rPr>
        <w:t>at any time prior to April 30, 2022 with no prepayment penalties or premiums. We have used all proceeds from the loan to retain employees, maintain payroll and make lease and utility payments. Under the terms of the CARES Act, loan recipients can apply for and be granted forgiveness for all or a portion of the loans granted under the PPP beginning 60 days after loan approval. Such forgiveness will be subject to approval by the SBA and the lender and determined, subject to limitations, based on factors set forth in the CARES Act, including verification of the use of loan proceeds for payment of payroll costs and payments of mortgage interest, rent and utilities. The terms of any forgiveness may also be subject to further regulations and guidelines that the SBA may adopt. If the loan is not forgiven, we will be required to repay the outstanding principal, along with accrued interest. We will carefully monitor all qualifying expenses and other requirements necessary to attain loan forgiveness. While we intend to ask for forgiveness, we cannot assure you that we will obtain forgiveness of the PPP Loan in whole or in part.</w:t>
      </w:r>
    </w:p>
    <w:p>
      <w:pPr>
        <w:spacing w:after="0" w:line="273"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the FDA’s Good Clinical Practices, or GCP,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or mandatory 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30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7"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8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HHS has solicited feedback on some of these measures and has implemented others under its existing authority. For example, in May 2019, CMS issued a final rule to allow Medicare Advantage Plans the option of using step therapy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w:t>
      </w:r>
    </w:p>
    <w:p>
      <w:pPr>
        <w:spacing w:after="0" w:line="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93"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BA3011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w:t>
      </w:r>
    </w:p>
    <w:p>
      <w:pPr>
        <w:spacing w:after="0" w:line="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30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and provided guidance regarding the conduct of clinical trials, which guidance continues to evolve. In April 2020, the FDA stated that its New Drug Program was continuing to meet program user fee performance goals, but due to many agency staff working on COVID-19 activities, it was possible that the FDA would not be able to sustain that level of performance indefinitely. As of June 23, 2020, the FDA noted it was conducting mission critical domestic and foreign inspections to ensure compliance of manufacturing facilities with FDA quality standards. Starting the week of July 20, 2020, the FDA began to work toward resuming domestic on-site inspections, but such activities depend on data about the virus’ trajectory in a given state and locality and the rules and guidelines that are put in place by state and local governments. The FDA has developed a rating system to assist in determining when and where it is safest to conduct prioritized domestic inspections. Pre-approval and for-cause inspections outside the United States that are not deemed mission-critical remain temporarily postponed, while those deemed mission-critical are considered for inspection on a case-by-case basis. Regulatory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authorities outside the United States may adopt similar restrictions or other policy measures in response to the COVID-19 pandemic.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Additionally, as of June 23, 2020, the FDA noted it was continuing to ensure timely reviews of applications for medical products during</w:t>
      </w:r>
    </w:p>
    <w:p>
      <w:pPr>
        <w:spacing w:after="0" w:line="35"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the COVID-19 pandemic in line with its user fee performance goals. On July 16, 2020, the FDA noted that it is continuing to expedite oncology product development with its staff teleworking full-time.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302"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8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suppliers and vendors may engage in misconduct or other improper activities, including noncompliance with regulatory standards and requirements.</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For example, in March 2010, the ACA was enacted, which substantially changed the way healthcare is financed by both the government and private insurers, and significantly impacted the U.S. pharmaceutical industry. 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passed. On December 22, 2017, President Trump signed into law federal tax legislation commonly referred to as the TCJA, which includes a provision repealing, effective January 1, 2019,</w:t>
      </w:r>
    </w:p>
    <w:p>
      <w:pPr>
        <w:spacing w:after="0" w:line="1"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ACA-mandated “Cadillac” tax on high-cost employer-sponsored health coverage and medical device tax and, effective January 1, 2021, also eliminates the health insurer tax. The Bipartisan Budget Act of 2018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On December 14, 2018, a Texas U.S. District Court Judge ruled that the ACA is unconstitutional in its entirety because the “individual mandate” was repealed by Congress as part of the TCJA.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and oral arguments were held on November 10, 2020,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6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unless additional congressional action is taken. In addition, the CARES Act suspended the 2% Medicare sequester from May 1, 2020 through December 31, 2020.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2020 contains further drug price control measures that could be enacted during the budget process or in future legislation, including, for example, measures to permit</w:t>
      </w:r>
    </w:p>
    <w:p>
      <w:pPr>
        <w:spacing w:after="0" w:line="18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Medicare Part D plans to negotiate the price of certain drugs under Medicare Part B, to allow some states to negotiate prices under Medicaid, and to eliminate cost sharing for generic drugs for low-income patients. Although a number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4"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6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78"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additional pricing pressures. It is possible that additional governmental action is taken to address the COVID-19 pandemic.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49"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8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82" w:lineRule="exact"/>
        <w:rPr>
          <w:sz w:val="20"/>
          <w:szCs w:val="20"/>
          <w:color w:val="auto"/>
        </w:rPr>
      </w:pPr>
    </w:p>
    <w:p>
      <w:pPr>
        <w:ind w:left="1080" w:right="80" w:hanging="424"/>
        <w:spacing w:after="0" w:line="25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93" w:lineRule="exact"/>
        <w:rPr>
          <w:rFonts w:ascii="Arial" w:cs="Arial" w:eastAsia="Arial" w:hAnsi="Arial"/>
          <w:sz w:val="18"/>
          <w:szCs w:val="18"/>
          <w:color w:val="auto"/>
        </w:rPr>
      </w:pPr>
    </w:p>
    <w:p>
      <w:pPr>
        <w:ind w:left="1080" w:right="20" w:hanging="424"/>
        <w:spacing w:after="0" w:line="255"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97" w:lineRule="exact"/>
        <w:rPr>
          <w:rFonts w:ascii="Arial" w:cs="Arial" w:eastAsia="Arial" w:hAnsi="Arial"/>
          <w:sz w:val="18"/>
          <w:szCs w:val="18"/>
          <w:color w:val="auto"/>
        </w:rPr>
      </w:pPr>
    </w:p>
    <w:p>
      <w:pPr>
        <w:ind w:left="1080" w:right="140" w:hanging="424"/>
        <w:spacing w:after="0" w:line="29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6" w:lineRule="exact"/>
        <w:rPr>
          <w:rFonts w:ascii="Arial" w:cs="Arial" w:eastAsia="Arial" w:hAnsi="Arial"/>
          <w:sz w:val="16"/>
          <w:szCs w:val="16"/>
          <w:color w:val="auto"/>
        </w:rPr>
      </w:pPr>
    </w:p>
    <w:p>
      <w:pPr>
        <w:ind w:left="1080" w:right="8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or HITECH, which imposes obligations on certain covered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40"/>
        <w:spacing w:after="0" w:line="301" w:lineRule="auto"/>
        <w:rPr>
          <w:sz w:val="20"/>
          <w:szCs w:val="20"/>
          <w:color w:val="auto"/>
        </w:rPr>
      </w:pPr>
      <w:r>
        <w:rPr>
          <w:rFonts w:ascii="Arial" w:cs="Arial" w:eastAsia="Arial" w:hAnsi="Arial"/>
          <w:sz w:val="16"/>
          <w:szCs w:val="16"/>
          <w:color w:val="auto"/>
        </w:rPr>
        <w:t>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63" w:lineRule="exact"/>
        <w:rPr>
          <w:sz w:val="20"/>
          <w:szCs w:val="20"/>
          <w:color w:val="auto"/>
        </w:rPr>
      </w:pPr>
    </w:p>
    <w:p>
      <w:pPr>
        <w:ind w:left="1080" w:right="5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customers;</w:t>
      </w:r>
    </w:p>
    <w:p>
      <w:pPr>
        <w:spacing w:after="0" w:line="75" w:lineRule="exact"/>
        <w:rPr>
          <w:rFonts w:ascii="Arial" w:cs="Arial" w:eastAsia="Arial" w:hAnsi="Arial"/>
          <w:sz w:val="18"/>
          <w:szCs w:val="18"/>
          <w:color w:val="auto"/>
        </w:rPr>
      </w:pPr>
    </w:p>
    <w:p>
      <w:pPr>
        <w:ind w:left="1080" w:right="180" w:hanging="424"/>
        <w:spacing w:after="0" w:line="272"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and teaching hospitals, as well as ownership and investment interests held by the physicians described above and their immediate family members. Effective January 1, 2022, the U.S. federal physician transparency reporting requirements will extend to include transfers of value made during the previous year to certain non-physician providers such as physician assistants and nurse practitioners; and</w:t>
      </w:r>
    </w:p>
    <w:p>
      <w:pPr>
        <w:spacing w:after="0" w:line="82" w:lineRule="exact"/>
        <w:rPr>
          <w:rFonts w:ascii="Arial" w:cs="Arial" w:eastAsia="Arial" w:hAnsi="Arial"/>
          <w:sz w:val="17"/>
          <w:szCs w:val="17"/>
          <w:color w:val="auto"/>
        </w:rPr>
      </w:pPr>
    </w:p>
    <w:p>
      <w:pPr>
        <w:ind w:left="1080" w:hanging="424"/>
        <w:spacing w:after="0" w:line="272"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7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ensuring compliance with the GDPR. Moreover, the United Kingdom leaving the European Union could also lead to further legislative and regulatory changes. It remains unclear how the United Kingdom data protection laws or regulations will develop in the medium to longer term and how data transfer to the United Kingdom from the European Union will be regulated, especially following the United Kingdom’s departure from the European Union on January 31, 2020 without a deal. However, the United Kingdom has transposed the GDPR into domestic law with the Data Protection Act 2018, which remains in force following the United Kingdom’s departure from the European Union. In addition,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similar laws have been proposed at the federal level and in other states.</w:t>
      </w:r>
    </w:p>
    <w:p>
      <w:pPr>
        <w:spacing w:after="0" w:line="16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If our operations are found to be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violation of any of the laws described above or any other governmental laws and regulations that may apply to us, we may be subject to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69" w:lineRule="exact"/>
        <w:rPr>
          <w:sz w:val="20"/>
          <w:szCs w:val="20"/>
          <w:color w:val="auto"/>
        </w:rPr>
      </w:pPr>
    </w:p>
    <w:p>
      <w:pPr>
        <w:ind w:left="120" w:right="1260"/>
        <w:spacing w:after="0" w:line="342" w:lineRule="auto"/>
        <w:rPr>
          <w:sz w:val="20"/>
          <w:szCs w:val="20"/>
          <w:color w:val="auto"/>
        </w:rPr>
      </w:pPr>
      <w:r>
        <w:rPr>
          <w:rFonts w:ascii="Arial" w:cs="Arial" w:eastAsia="Arial" w:hAnsi="Arial"/>
          <w:sz w:val="16"/>
          <w:szCs w:val="16"/>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1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96"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7"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6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fail to attract and retain qualified senior management and key scientific personnel, our business may be materially and adversely affected.</w:t>
      </w:r>
    </w:p>
    <w:p>
      <w:pPr>
        <w:spacing w:after="0" w:line="14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Scott Smith, our President, and Carolyn Anderson Short, our Chief of Intellectual Property and Strategy and Assistant Secretary, as well as our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8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As of December 1, 2020, we had 36 employees, and 18 dedicated independent contractors based in China and engaged through our agreement with BioDuro, a provider of preclinical development services. In order to successfully implement our development and commercialization plans and strategies,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63"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regulatory review process for BA3011 and BA3021 and any other product candidates, while complying with our contractual obligations to contractors and other third parties;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left="120" w:right="500" w:firstLine="440"/>
        <w:spacing w:after="0" w:line="259"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BA3011, BA3021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To date, we have used the services of outside vendors to perform tasks, including preclinical and clinical trial management, manufacturing, statistics and analysis and research and development functions. Our growth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BA3011, BA3021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BA3011, BA3021 and any future product candidates and, accordingly, may not achieve our research, development and commercialization goals.</w:t>
      </w:r>
    </w:p>
    <w:p>
      <w:pPr>
        <w:spacing w:after="0" w:line="27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existing or future collaborators, may fail or suffer security or data privacy breaches or other unauthorized or improper access to, use of or destruction of our proprietary and confidential data, employee data or personal data, which could result in additional costs, significant liabilities, harm to our reputation and material disruption of our operations.</w:t>
      </w:r>
    </w:p>
    <w:p>
      <w:pPr>
        <w:spacing w:after="0" w:line="79"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6"/>
          <w:szCs w:val="16"/>
          <w:color w:val="auto"/>
        </w:rPr>
        <w:t>Despite the implementation of security measures, our internal computer systems and those of our current and any future CROs, manufacturers, other contractors, consultants, existing or future collaborators and other third-party service providers are vulnerable to damage from various methods, including cybersecurity attacks, breaches, intentional or accidental mistakes or errors, or other technological failures, which can include, among other things, computer viruses, unauthorized access attempts, including third parties gaining access to systems using stolen or inferred</w:t>
      </w:r>
    </w:p>
    <w:p>
      <w:pPr>
        <w:spacing w:after="0" w:line="1"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credentials, denial-of-service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If such an event were to occur and cause interruptions in our operations or result in the unauthorized acquisition of or access to personally identifiable information or individually identifiable health information (violating certain privacy laws such as HIPAA, HITECH, the CCPA and GDPR), it could result in a material disruption of our product candidate development programs and our business operations and we could incur significant liabilities.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172" w:lineRule="exact"/>
        <w:rPr>
          <w:sz w:val="20"/>
          <w:szCs w:val="20"/>
          <w:color w:val="auto"/>
        </w:rPr>
      </w:pPr>
    </w:p>
    <w:p>
      <w:pPr>
        <w:ind w:left="120" w:right="520" w:firstLine="440"/>
        <w:spacing w:after="0" w:line="275" w:lineRule="auto"/>
        <w:rPr>
          <w:sz w:val="20"/>
          <w:szCs w:val="20"/>
          <w:color w:val="auto"/>
        </w:rPr>
      </w:pPr>
      <w:r>
        <w:rPr>
          <w:rFonts w:ascii="Arial" w:cs="Arial" w:eastAsia="Arial" w:hAnsi="Arial"/>
          <w:sz w:val="17"/>
          <w:szCs w:val="17"/>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A portion of our research and development activities take place in China. Uncertainties regarding the interpretation and enforcement of Chinese laws, rules and regulations, a trade war or political unrest in China could materially adversely affect our business, financial condition and results of operations.</w:t>
      </w:r>
    </w:p>
    <w:p>
      <w:pPr>
        <w:spacing w:after="0" w:line="76"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conduct preclinical research and development activities in China through BioDuro, which is U.S. owned, but governed by Chinese laws, rules and regulations and have a collaboration with BeiGene, a company headquartered in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w:t>
      </w:r>
    </w:p>
    <w:p>
      <w:pPr>
        <w:spacing w:after="0" w:line="18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Furthermore, we are exposed to the possibility of disruption of our research and development activities in the event of changes in the policies of the United States or Chinese governments, political unrest or unstable economic conditions in China. For example, a trade war could lead to increased costs for clinical materials that are manufactured in China.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303"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A portion of our current operations are located in our facilities in San Diego, California, and we conduct a portion of our research and development activities in China through our arrangement with BioDuro.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which are stored in a one master cell bank for each antibody manufactured stored in multiple locations.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conducting business internationally.</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We may seek regulatory approval of our product candidates outside of the United States including the European Union, Australia, New Zealand, and Japan. We conduct preclinical research and development activities in China through BioDuro, which is U.S. owned, but governed by Chinese laws, and have a collaboration with BeiGene, a company headquartered in China. Accordingly, we expect that we will be subject to additional risks related to operating in foreign countries if we obtain the necessary approvals, including:</w:t>
      </w:r>
    </w:p>
    <w:p>
      <w:pPr>
        <w:spacing w:after="0" w:line="92"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b w:val="1"/>
          <w:bCs w:val="1"/>
          <w:i w:val="1"/>
          <w:iCs w:val="1"/>
          <w:color w:val="auto"/>
        </w:rPr>
        <w:t>We face risks related to health epidemics and outbreaks, including the COVID-19 pandemic, which could significantly disrupt our preclinical studies and clinical trials, and therefore our receipt of necessary regulatory approvals could be delayed or prevented.</w:t>
      </w:r>
    </w:p>
    <w:p>
      <w:pPr>
        <w:spacing w:after="0" w:line="3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face risks related to health epidemics or outbreaks of communicable diseases. For example, in December 2019, a novel strain of coronavirus, SARS-CoV-2, causing a disease referred to as COVID-19, emerged in China. Since then, COVID-19 has spread to multiple countries worldwide, including the United States and member states of the European Union. On March 11, 2020, the World Health Organization declared the outbreak of COVID-19 as a pandemic. The outbreak of such communicable diseases could result in a widespread health crisis that could adversely affect general commercial activity and the economies and financial markets of many countries, which in the case of COVID-19 has occurred.</w:t>
      </w:r>
    </w:p>
    <w:p>
      <w:pPr>
        <w:spacing w:after="0" w:line="2" w:lineRule="exact"/>
        <w:rPr>
          <w:sz w:val="20"/>
          <w:szCs w:val="20"/>
          <w:color w:val="auto"/>
        </w:rPr>
      </w:pPr>
    </w:p>
    <w:p>
      <w:pPr>
        <w:ind w:left="120" w:right="100"/>
        <w:spacing w:after="0" w:line="295" w:lineRule="auto"/>
        <w:rPr>
          <w:sz w:val="20"/>
          <w:szCs w:val="20"/>
          <w:color w:val="auto"/>
        </w:rPr>
      </w:pPr>
      <w:r>
        <w:rPr>
          <w:rFonts w:ascii="Arial" w:cs="Arial" w:eastAsia="Arial" w:hAnsi="Arial"/>
          <w:sz w:val="16"/>
          <w:szCs w:val="16"/>
          <w:color w:val="auto"/>
        </w:rPr>
        <w:t>The COVID-19 pandemic has resulted in governments implementing numerous containment measures, such as travel bans and restrictions, particularly quarantines, shelter-in-place or total lock-down orders and business limitations and shutdowns. For example, our primary operations are located in San Diego, California, and San Diego County and the State of California issued shelter-in-place orders in response to the COVID-19 pandemic. These containment measures are subject to change and the respective government authorities may tighten the restrictions at any time.</w:t>
      </w:r>
    </w:p>
    <w:p>
      <w:pPr>
        <w:spacing w:after="0" w:line="16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are following, and plan to continue to follow, recommendations from federal, state and local governments regarding workplace policies, practices and procedures. In March 2020, we implemented a remote working policy for many of our employees, began restricting non-essential travel and temporarily reduced salaries of our employees. We are complying with all applicable guidelines for our clinical trials, including remote clinical monitoring. In April 2020, we borrowed $0.7 million under the Paycheck Protection Program under the Coronavirus Aid, Relief and Economic Security, or CARES Act, as discussed further under “—Liquidity and capital resources.” We are continuing to monitor the potential impact of the pandemic, but we cannot be certain what the overall impact will be on our business, financial condition, results of operations and prospects.</w:t>
      </w:r>
    </w:p>
    <w:p>
      <w:pPr>
        <w:spacing w:after="0" w:line="16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addition, the COVID-19 pandemic is having a severe effect on the clinical trials of many drug candidates. Some trials have been merely delayed, while others have been cancelled. The extent to which the COVID-19 pandemic may impact our preclinical and clinical trial operations will depend on future developments, which are highly uncertain and cannot be predicted with confidence, such as the duration and geographic reach of the outbreak, the severity of COVID-19, and the effectiveness of actions to contain and treat COVID-19. To date, we have not experienced material business disruptions, including with respect to any of the clinical trials we are conducting, or impairments of any of our assets as a result of the pandemic, the continued spread of COVID-19 globally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the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5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We have entered into a Global Co-Development and Collaboration Agreement with BeiGene for the development, manufacturing and commercialization of BA3071. Under the terms of our BeiGene collaboration, BeiGene is generally responsible for developing BA3071 and is responsible for global regulatory filings and commercialization. Subject to the terms of the agreement, BeiGene holds an exclusive license with us to develop and manufacture the product candidate globally. BeiGene is responsible for all costs of development, manufacturing and commercialization globally. In addition, we may in the future seek third-party collaborators or joint venture partners for development and commercialization of additional CAB product candidates. With respect to our BeiGene collaboration,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8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existing collaboration arrangement with BeiGene currently poses, and future collaborations involving our product candidates will pose, the following risks to us:</w:t>
      </w:r>
    </w:p>
    <w:p>
      <w:pPr>
        <w:spacing w:after="0" w:line="76"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30" w:lineRule="exact"/>
        <w:rPr>
          <w:rFonts w:ascii="Arial" w:cs="Arial" w:eastAsia="Arial" w:hAnsi="Arial"/>
          <w:sz w:val="18"/>
          <w:szCs w:val="18"/>
          <w:color w:val="auto"/>
        </w:rPr>
      </w:pPr>
    </w:p>
    <w:p>
      <w:pPr>
        <w:ind w:left="1080" w:right="120" w:hanging="424"/>
        <w:spacing w:after="0" w:line="279"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76" w:lineRule="exact"/>
        <w:rPr>
          <w:rFonts w:ascii="Arial" w:cs="Arial" w:eastAsia="Arial" w:hAnsi="Arial"/>
          <w:sz w:val="17"/>
          <w:szCs w:val="17"/>
          <w:color w:val="auto"/>
        </w:rPr>
      </w:pPr>
    </w:p>
    <w:p>
      <w:pPr>
        <w:ind w:left="1080" w:right="260" w:hanging="424"/>
        <w:spacing w:after="0" w:line="308"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30"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34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w:t>
      </w:r>
    </w:p>
    <w:p>
      <w:pPr>
        <w:spacing w:after="0" w:line="130" w:lineRule="exact"/>
        <w:rPr>
          <w:rFonts w:ascii="Arial" w:cs="Arial" w:eastAsia="Arial" w:hAnsi="Arial"/>
          <w:sz w:val="18"/>
          <w:szCs w:val="18"/>
          <w:color w:val="auto"/>
        </w:rPr>
      </w:pPr>
    </w:p>
    <w:p>
      <w:pPr>
        <w:jc w:val="both"/>
        <w:ind w:left="1080" w:right="180" w:hanging="424"/>
        <w:spacing w:after="0" w:line="286"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70" w:lineRule="exact"/>
        <w:rPr>
          <w:rFonts w:ascii="Arial" w:cs="Arial" w:eastAsia="Arial" w:hAnsi="Arial"/>
          <w:sz w:val="17"/>
          <w:szCs w:val="17"/>
          <w:color w:val="auto"/>
        </w:rPr>
      </w:pPr>
    </w:p>
    <w:p>
      <w:pPr>
        <w:ind w:left="1080" w:right="50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92" w:lineRule="exact"/>
        <w:rPr>
          <w:sz w:val="20"/>
          <w:szCs w:val="20"/>
          <w:color w:val="auto"/>
        </w:rPr>
      </w:pPr>
    </w:p>
    <w:p>
      <w:pPr>
        <w:ind w:left="120" w:right="640"/>
        <w:spacing w:after="0" w:line="286" w:lineRule="auto"/>
        <w:rPr>
          <w:sz w:val="20"/>
          <w:szCs w:val="20"/>
          <w:color w:val="auto"/>
        </w:rPr>
      </w:pPr>
      <w:r>
        <w:rPr>
          <w:rFonts w:ascii="Arial" w:cs="Arial" w:eastAsia="Arial" w:hAnsi="Arial"/>
          <w:sz w:val="17"/>
          <w:szCs w:val="17"/>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5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17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BeiGene or one of our future collaborators terminates its agreement with us, we may find it more difficult to attract new collaborators and our perception in the business and financial communities and our stock price could be adversely affected.</w:t>
      </w:r>
    </w:p>
    <w:p>
      <w:pPr>
        <w:spacing w:after="0" w:line="30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time-consuming to negotiate, document and implement and they may require substantial resources to maintain.</w:t>
      </w:r>
    </w:p>
    <w:p>
      <w:pPr>
        <w:spacing w:after="0" w:line="22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6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rely, and expect we will continue to rely, on third-party investigators, CROs, data management organizations and consultants to conduct, supervise and monitor our ongoing clinical trials and preclinical studies. We currently rely on third parties to manage and conduct our clinical trials of BA3011 and BA3021. Because we rely on these third parties and do not have the ability to conduct preclinical studies or clinical trials independently, we will have less control over the timing, quality and other aspects of preclinical studies and clinical trials than we would have had we conducted them on our own. These investigators, CROs and consultants will not be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or clinical trials being delayed or unsuccessful.</w:t>
      </w:r>
    </w:p>
    <w:p>
      <w:pPr>
        <w:spacing w:after="0" w:line="16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In all events, we will be responsible for ensuring that each of our preclinical studies and clinical trials are conducted in accordance with the general investigational plan, protocols for the trial and regulatory requirements. The FDA requires preclinical studies to be conducted in accordance with Good Laboratory Practices, or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7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7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8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92" w:lineRule="exact"/>
        <w:rPr>
          <w:sz w:val="20"/>
          <w:szCs w:val="20"/>
          <w:color w:val="auto"/>
        </w:rPr>
      </w:pPr>
    </w:p>
    <w:p>
      <w:pPr>
        <w:ind w:left="1080" w:right="42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we have no material long-term contracts with our suppliers, and we compete with other companies for raw materials and production. We may experience a significant disruption in the supply of raw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w:t>
      </w:r>
    </w:p>
    <w:p>
      <w:pPr>
        <w:ind w:left="120"/>
        <w:spacing w:after="0" w:line="253" w:lineRule="auto"/>
        <w:rPr>
          <w:sz w:val="20"/>
          <w:szCs w:val="20"/>
          <w:color w:val="auto"/>
        </w:rPr>
      </w:pPr>
      <w:r>
        <w:rPr>
          <w:rFonts w:ascii="Arial" w:cs="Arial" w:eastAsia="Arial" w:hAnsi="Arial"/>
          <w:sz w:val="18"/>
          <w:szCs w:val="18"/>
          <w:color w:val="auto"/>
        </w:rPr>
        <w:t>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301"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and the development or commercialization of our product candidates could be delayed or stopped.</w:t>
      </w:r>
    </w:p>
    <w:p>
      <w:pPr>
        <w:spacing w:after="0" w:line="49"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6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All of our therapeutic antibodies are manufactured by starting with cells which are stored in a cell bank. We have one master cell bank for each antibody manufactured in accordance with cGMPs, which is stored in multiple locations. We are currently creating multiple working cell banks.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5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the severity and duration of the spread of the virus, and the actions undertaken to</w:t>
      </w:r>
    </w:p>
    <w:p>
      <w:pPr>
        <w:spacing w:after="0" w:line="1"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color w:val="auto"/>
        </w:rPr>
        <w:t>contain COVID-19 or treat its effects.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5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December 31, 2021, we own or have rights to 266 issued or allowed patents and 226 pending patent applications worldwide.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6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Once granted, patents may remain open to opposition, interference,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As of March 24, 2021, there is an ongoing patent opposition proceeding regarding our patent EP2 406 399 at the European Patent Office which is related to a version of methods used for evolving and screening potential product candidates. The Opposition Division revoked EP2 406 399 in its decision dated March 10, 2020 and we filed an appeal on July 20, 2020. In addition, we cannot assure you that:</w:t>
      </w:r>
    </w:p>
    <w:p>
      <w:pPr>
        <w:spacing w:after="0" w:line="83"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obtain, maintain, protect and enforce intellectual property protection for our technologies and product candidates.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licensors, or our existing or future collaborators are the first to make the inventions covered by each of our issued patents and pending patent applications that we own or license.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or our licensors, or our existing or future collaborators are the first to file patent applications covering certain aspects of our inventions.</w:t>
      </w:r>
    </w:p>
    <w:p>
      <w:pPr>
        <w:spacing w:after="0" w:line="153" w:lineRule="exact"/>
        <w:rPr>
          <w:rFonts w:ascii="Arial" w:cs="Arial" w:eastAsia="Arial" w:hAnsi="Arial"/>
          <w:sz w:val="16"/>
          <w:szCs w:val="16"/>
          <w:color w:val="auto"/>
        </w:rPr>
      </w:pPr>
    </w:p>
    <w:p>
      <w:pPr>
        <w:ind w:left="1080" w:right="50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that a court would hold that our patents are valid, enforceable and infringed.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 or will not be challenged by third parties.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Pending patent applications that we own or may license will lead to issued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w:t>
      </w:r>
    </w:p>
    <w:p>
      <w:pPr>
        <w:spacing w:after="0" w:line="153" w:lineRule="exact"/>
        <w:rPr>
          <w:rFonts w:ascii="Arial" w:cs="Arial" w:eastAsia="Arial" w:hAnsi="Arial"/>
          <w:sz w:val="16"/>
          <w:szCs w:val="16"/>
          <w:color w:val="auto"/>
        </w:rPr>
      </w:pPr>
    </w:p>
    <w:p>
      <w:pPr>
        <w:ind w:left="1080" w:right="120" w:hanging="424"/>
        <w:spacing w:after="0" w:line="308"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4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w:t>
      </w:r>
    </w:p>
    <w:p>
      <w:pPr>
        <w:ind w:left="120" w:right="20"/>
        <w:spacing w:after="0" w:line="252" w:lineRule="auto"/>
        <w:rPr>
          <w:sz w:val="20"/>
          <w:szCs w:val="20"/>
          <w:color w:val="auto"/>
        </w:rPr>
      </w:pPr>
      <w:r>
        <w:rPr>
          <w:rFonts w:ascii="Arial" w:cs="Arial" w:eastAsia="Arial" w:hAnsi="Arial"/>
          <w:sz w:val="18"/>
          <w:szCs w:val="18"/>
          <w:color w:val="auto"/>
        </w:rPr>
        <w:t>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7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terms of our patents may not protect our competitive position on our product candidates for an adequate amount of time.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2037, subject to any patent extensions that may be available for such patents. If patents are issued on our pending patent applications, the resulting patents are projected to expire on dates ranging from 2030 to 2041.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8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8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8"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9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For example, the U.S. Supreme Court has ruled on several patent cases in recent years, sometimes narrowing the scope of patent protection available in certain circumstances, weakening the rights of patent owners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8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41"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173"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7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8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successful in defending against such claims, litigation could result in substantial costs and be a distraction to management and other employees.</w:t>
      </w:r>
    </w:p>
    <w:p>
      <w:pPr>
        <w:spacing w:after="0" w:line="345"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and abroad.</w:t>
      </w:r>
    </w:p>
    <w:p>
      <w:pPr>
        <w:spacing w:after="0" w:line="76"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6"/>
          <w:szCs w:val="16"/>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7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6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3" w:lineRule="auto"/>
        <w:rPr>
          <w:sz w:val="20"/>
          <w:szCs w:val="20"/>
          <w:color w:val="auto"/>
        </w:rPr>
      </w:pPr>
      <w:r>
        <w:rPr>
          <w:rFonts w:ascii="Arial" w:cs="Arial" w:eastAsia="Arial" w:hAnsi="Arial"/>
          <w:sz w:val="17"/>
          <w:szCs w:val="17"/>
          <w:color w:val="auto"/>
        </w:rPr>
        <w:t>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7"/>
          <w:szCs w:val="17"/>
          <w:i w:val="1"/>
          <w:iCs w:val="1"/>
          <w:color w:val="auto"/>
        </w:rPr>
        <w:t>inter alia</w:t>
      </w:r>
      <w:r>
        <w:rPr>
          <w:rFonts w:ascii="Arial" w:cs="Arial" w:eastAsia="Arial" w:hAnsi="Arial"/>
          <w:sz w:val="17"/>
          <w:szCs w:val="17"/>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7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14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proceedings could substantially increase our operating losses and reduce the resources available for development activities or any future sales, marketing or distribution activities.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current Global Co-Development and Collaboration Agreement with BeiGene imposes,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27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8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expect our operating results to be subject to annual and quarterly fluctuations. Our net loss and other operating results will be affected by numerous factors, including:</w:t>
      </w:r>
    </w:p>
    <w:p>
      <w:pPr>
        <w:spacing w:after="0" w:line="76"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variations in the level of expense related to the ongoing development of our product candidates or future development programs;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or the addition or termination of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success of our existing collaboration with BeiGene and any potential additional collaboration, licensing or similar arrangements;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intellectual property infringement lawsuit or opposition, interference or cancellation proceeding in which we may become involved;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our operating results fall below the expectations of investors or securities analysts, the price of our common stock could decline substantially.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Furthermore, any fluctuations in our operating results may, in turn, cause the price of our stock to fluctuate substantially.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76"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and results of our clinical trials or those of our competitors;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current collaborator, our future collaborators or our competitors, and the timing of these introductions or announcements;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products, preclinical studies, clinical trials, manufacturing process or sales and marketing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concerning any future collaborations, including those regarding manufacturing, supply and commercialization of our products;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59"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and the option of the holder of shares of our Class B common stock to convert into shares of our common stock may limit your ability to influence corporate matters.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common stock has one vote per share, while our Class B common stock is non-voting. Nonetheless, each share of our Class B common stock may be converted at any time into one share of common stock at the option of its holder, subject to the limitations provided for in our amended and restated certificate of incorporation. Consequently, if holders of Class B common stock exercise their option to make this conversion, this will have the effect of increasing the relative voting power of those prior holders of our Class B common stock, and correspondingly decrease the voting power of the current holders of our common stock, which may limit your ability to influence corporate matters. Because our Class B common stock is generally non-voting, stockholders who own more than 10% of our Class B common stock and common stock overall but 10% or less of our common stock will not be required to report changes in their ownership from transactions in our Class B common stock pursuant to Section 16(a) of the Securities Exchange Act of 1934, as amended, or the Exchange Act, and would not be subject to the short-swing profit provisions of Section 16(b) of the Exchange Act. In addition, acquisitions of Class B common stock would not be subject to notification pursuant to the Hart-Scott-Rodino Antitrust Improvements Act of 1976, as amended.</w:t>
      </w:r>
    </w:p>
    <w:p>
      <w:pPr>
        <w:spacing w:after="0" w:line="29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62" w:lineRule="exact"/>
        <w:rPr>
          <w:sz w:val="20"/>
          <w:szCs w:val="20"/>
          <w:color w:val="auto"/>
        </w:rPr>
      </w:pPr>
    </w:p>
    <w:p>
      <w:pPr>
        <w:ind w:left="120" w:right="380" w:firstLine="440"/>
        <w:spacing w:after="0" w:line="273"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6"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1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of December 31, 2020, executive officers and directors, together with holders of 5% or more of our outstanding common stock before this offering and their respective affiliates, will beneficially own approximately 62.4% of our outstanding common stock. More specifically, Himalaya Parent LLC owns 25.8% of our outstanding common stock, as of December 31, 2020. Dr. Jay M. Short, Ph.D, our Chairman and Chief Executive Officer, and Ms. Carolyn Anderson Short, our Chief of Intellectual Property and Strategy and Assistant Secretary, are managers of Himalaya Parent LLC and collectively make investment decisions on behalf of Himalaya Parent LLC. The owners of Himalaya Parent LLC include Dr. Jay Short, Ms. Anderson Short, Scott Smith, members of our board of directors, other employees of us and other equity holders of BioAtla, LLC prior to the LLC Conversion.</w:t>
      </w:r>
    </w:p>
    <w:p>
      <w:pPr>
        <w:spacing w:after="0" w:line="16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As a result, Himalaya Parent LLC, Dr. Short, Ms.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adversely affect the trading price of our common stock due to investors’ perception that conflicts of interest may exist or arise.</w:t>
      </w:r>
    </w:p>
    <w:p>
      <w:pPr>
        <w:spacing w:after="0" w:line="225"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Ms. Anderson Short are each managers of Inversagen, LLC and BioAtla Holdings, LLC and directors of Himalaya Therapeutics SEZC. In addition, Ms. Anderson Short is also an officer of Himalaya Therapeutics SEZC. These related party transactions, and any future related party transactions, create the possibility of actual conflicts of interest with regard to Dr. Short and Ms. Anderson Short.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84"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All 12,075,000 shares of common stock sold in our initial public offering and are freely tradable without restriction or further registration under the Securities Act unless held by our “affiliates” as defined in Rule 144 under the Securities Act, or Rule 144. The resale of the remaining 21,588,619 shares, or approximately 64.1% of our outstanding shares of common stock, is currently prohibited or otherwise restricted as a result of securities law provisions, market standoff agreements entered into by certain of our stockholders with us or lock-up agreements entered into by our stockholders with the underwriters in connection with the initial public offering. However, subject to applicable securities law restrictions, these shares will be able to be sold in the public market beginning 181 days after the date of our initial public offering. The representatives of the underwriters may release some or all of the shares of common stock subject to lock-up agreements at any time in their sole discretion and without notice, which would allow for earlier sales of shares in the public market.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holders of approximately 21,588,619 shares of common stock, or 64.1% of our outstanding shares have rights, subject to certain conditions, to require us to file registration statements covering the sale of their shares or to include their shares in registration statements that we may file for ourselves or our other stockholders. We also registered the offer and sale of all shares of common stock that we may issue under our equity compensation plans, which shares will be able to be sold in the public market upon issuance, subject to applicable securities laws and the lock-up agreements.</w:t>
      </w:r>
    </w:p>
    <w:p>
      <w:pPr>
        <w:spacing w:after="0" w:line="296"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3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are an “emerging growth company,” as defined in the JOBS Act. We will remain an emerging growth company until the earlier of (i)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common stock that is held by non-affiliates exceeded $700.0 million as of the prior June 30th and (ii) the date on which we have issued more than $1.0 billion in non-convertible debt during the prior three-year period.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An emerging growth company may take advantage of specified reduced reporting requirements and other burdens that are otherwise applicable generally to public companies. These provisions include:</w:t>
      </w:r>
    </w:p>
    <w:p>
      <w:pPr>
        <w:spacing w:after="0" w:line="76" w:lineRule="exact"/>
        <w:rPr>
          <w:sz w:val="20"/>
          <w:szCs w:val="20"/>
          <w:color w:val="auto"/>
        </w:rPr>
      </w:pPr>
    </w:p>
    <w:p>
      <w:pPr>
        <w:ind w:left="1080" w:right="44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regarding mandatory audit firm rotations;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exemptions from the requirement to hold a nonbinding advisory vote on executive compensation and to obtain stockholder approval of any golden parachute payments not previously approved.</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elected to take advantage of certain of the reduced disclosure obligations and may elect to take advantage of other reduced reporting requirements in future filings. As a result, the information that we provide to our investors may be different from the information you might receive from other public reporting companies that are not emerging growth companies in which you hold equity interests. The JOBS Act provides that an emerging growth company can take advantage of an extended transition period for complying with new or revised accounting standards applicable to public companies until those standards would otherwise apply to private companies. We have elected to take advantage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irrevocably elect to “opt out” of such extended transition period or no longer qualify as an emerging growth company. As a result of this election, our financial statements may not be comparable to companies that comply with public company effective dates. We may choose to early adopt any new or revised accounting standards whenever such early adoption is permitted for private companies.</w:t>
      </w:r>
    </w:p>
    <w:p>
      <w:pPr>
        <w:spacing w:after="0" w:line="18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ind w:left="120" w:right="60" w:hanging="4"/>
        <w:spacing w:after="0" w:line="288" w:lineRule="auto"/>
        <w:tabs>
          <w:tab w:leader="none" w:pos="3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276"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responsible for appointing the members of our management team, these provisions could in turn affect any attempt by our stockholders to replace current members of our management team. These provisions include:</w:t>
      </w:r>
    </w:p>
    <w:p>
      <w:pPr>
        <w:spacing w:after="0" w:line="76"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30"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51" w:lineRule="exact"/>
        <w:rPr>
          <w:rFonts w:ascii="Arial" w:cs="Arial" w:eastAsia="Arial" w:hAnsi="Arial"/>
          <w:sz w:val="17"/>
          <w:szCs w:val="17"/>
          <w:color w:val="auto"/>
        </w:rPr>
      </w:pPr>
    </w:p>
    <w:p>
      <w:pPr>
        <w:ind w:left="1080" w:right="70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advance notice requirements for election to our board of directors and for proposing matters that can be acted upon at stockholder meetings;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requirement that directors may only be removed “for cause” and only with 66 2/3% voting stock of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requirement that only the board of directors may change the number of directors and fill vacancies on the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9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As a California-domiciled public company, we will be required to have at least two or three women on our board of directors by the end of 2021, depending on the size of our board at the time.</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individuals to our board of directors. As a public company headquartered in California, we will be required to have two or three women on our board of directors by the end of 2021, depending on the size of our board of directors at the time. We have seven seats on our board of directors which will require us to have at least three women on our board of directors by the end of 2021. While we currently have three women on the board of directors, recruiting and retaining board members carries uncertainty, and failure to comply with this California requirement will result in financial penalties.</w:t>
      </w:r>
    </w:p>
    <w:p>
      <w:pPr>
        <w:spacing w:after="0" w:line="284"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As a public company, and particularly after we are no longer an emerging growth company or a smaller reporting company, we will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will need to devote a substantial amount of time to these compliance initiatives. Moreover, these rules and regulations will increase our legal and financial compliance costs and will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make some activities more time-consuming and costly. For example, we expect that these rules and regulations may make it more difficult and more expensive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or a smaller reporting company with less than $100 million in annual revenue,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w:t>
      </w:r>
    </w:p>
    <w:p>
      <w:pPr>
        <w:spacing w:after="0" w:line="17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6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1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73"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w:t>
      </w:r>
    </w:p>
    <w:p>
      <w:pPr>
        <w:spacing w:after="0" w:line="4" w:lineRule="exact"/>
        <w:rPr>
          <w:sz w:val="20"/>
          <w:szCs w:val="20"/>
          <w:color w:val="auto"/>
        </w:rPr>
      </w:pPr>
    </w:p>
    <w:p>
      <w:pPr>
        <w:ind w:left="120" w:right="20" w:hanging="4"/>
        <w:spacing w:after="0" w:line="285" w:lineRule="auto"/>
        <w:tabs>
          <w:tab w:leader="none" w:pos="42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31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Our headquarters are located at 11085 Torreyana Road, San Diego, California 92121, where we lease approximately 43,377 square feet of office and laboratory space under a lease that terminates on February 28, 2025. We believe that our existing facilities are adequate to meet our current needs, and that suitable additional alternative spaces will be available in the future on commercially reasonable terms.</w:t>
      </w:r>
    </w:p>
    <w:p>
      <w:pPr>
        <w:spacing w:after="0" w:line="31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20"/>
          </w:cols>
          <w:pgMar w:left="320" w:top="459" w:right="5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Shares of our common stock began trading on the Nasdaq Global Market on December 16, 2020 under the symbol “BCAB.” Prior to that time, there was no public market for shares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of March 22, 2021, there were 15 stockholders of record of our common stock and 2 stockholders of record of our Class B common stock. These numbers were derived from our stockholder records and do not include beneficial owners of our common stock whose shares are held in “street” name with various dealers, clearing agencies, banks, brokers and other fiduciaries.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Information about securities authorized for issuance under our equity compensation plans is incorporated herein by reference to Item 12 of Part III of this Annual Report on Form 10-K.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 to a smaller reporting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list sets forth information regarding all unregistered securities issued and sold by us from January 1, 2020 through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116" w:lineRule="exact"/>
        <w:rPr>
          <w:sz w:val="20"/>
          <w:szCs w:val="20"/>
          <w:color w:val="auto"/>
        </w:rPr>
      </w:pPr>
    </w:p>
    <w:p>
      <w:pPr>
        <w:ind w:left="1080" w:right="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July 13, 2020, we sold an aggregate of 140,626,711 shares of our Series D preferred stock at a purchase price of $0.51554931 per share for an aggregate amount of $72,500,0043.82 to a group of venture capital funds.</w:t>
      </w:r>
    </w:p>
    <w:p>
      <w:pPr>
        <w:spacing w:after="0" w:line="75" w:lineRule="exact"/>
        <w:rPr>
          <w:rFonts w:ascii="Arial" w:cs="Arial" w:eastAsia="Arial" w:hAnsi="Arial"/>
          <w:sz w:val="18"/>
          <w:szCs w:val="18"/>
          <w:color w:val="auto"/>
        </w:rPr>
      </w:pPr>
    </w:p>
    <w:p>
      <w:pPr>
        <w:ind w:left="1080" w:right="480" w:hanging="532"/>
        <w:spacing w:after="0" w:line="308"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Between October 2020 and December 2020, we granted an aggregate of 1,920,037 restricted stock units pursuant to our 2020 Equity Incentive Plan to employees and consultants in connection with the provision of services to the Company.</w:t>
      </w:r>
    </w:p>
    <w:p>
      <w:pPr>
        <w:spacing w:after="0" w:line="14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offers, sales and issuances of the securities described in paragraph (1) above were deemed to be exempt from registration under the Securities Act in reliance on Section 4(a)(2) of the Securities Act and Rule 506 promulgated under Regulation D promulgated thereunder as transactions by an issuer not involving a public offering. The recipients of securities in this acquired the securities for investment only and not with a view to or for sale in connection with any distribution thereof and appropriate legends were affixed to the securities issued in these transactions. Each of the recipients of securities in this transaction was an accredited investor within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meaning of Rule 501 of Regulation D under the Securities Act and had adequate access, through employment, business or other relationships, to information about the Company. No underwriters were involved in this transactions.</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offers, sales and issuances of the securities described in paragraph (2) above were deemed to be exempt from registration under the Securities Act in reliance on Rule 701 in that the transactions were under compensatory benefit plans and contracts relating to compensation as provided under Rule 701. The recipients of such securities were the Registrant’s employees, directors or consultants. The recipients received the securities under our 2020 Equity Incentive Plan. Appropriate legends were affixed to the securities issued in these transactions. Each of the recipients of securities in these transactions had adequate access, through employment, business or other relationships, to information about us.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December 15, 2020, the SEC declared effective our registration statement on Form S-1 (File No. 333-250093), as amended, filed in connection with our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 J.P. Morgan, Jefferies and Credit Suisse acted as joint book-running managers for the offering. BTIG acted as co-manager for the offering. No offering expenses were paid or are payable, directly or indirectly, to our directors or officers, to persons owning 10% or more of any class of our equity securities or to any of our affiliates.</w:t>
      </w:r>
    </w:p>
    <w:p>
      <w:pPr>
        <w:spacing w:after="0" w:line="17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of December 31, 2020, we have not used any of the proceeds from our IPO and there has been no material change in the planned use of such proceeds from that described in the final prospectus filed by us with the SEC on December 17, 2020.</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 to a smaller reporting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together with our consolidated financial statements and related notes included in “Item 8. Financial Statements and Supplementary Data” in this Annual Report on Form 10-K. The following discussion contains forward-looking statements that involve risks and uncertainties. For a complete discussion of forward-looking statements, see the section above entitled “Forward Looking Statements.” Our actual results could differ materially from those expressed or implied in any forward-looking statements as a result of various factors, including those set forth under the caption “Item 1A. Risk Factors.”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17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are a United States-based company with research facilities in San Diego, California and, through our contractual relationship with BioDuro,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BA3011 and BA3021,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 We do not have any products approved for sale, and we have not generated any revenue from product sales.</w:t>
      </w:r>
    </w:p>
    <w:p>
      <w:pPr>
        <w:spacing w:after="0" w:line="18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July 2020, BioAtla, LLC completed a series of transactions, or the Corporate Reorganization, in connection with which it converted from a limited liability company into a Delaware corporation, spun-off Himalaya Therapeutics SEZC, and completed a Series D convertible preferred stock financing. Following the Corporate Reorganization, BioAtla, Inc. continued to hold all operations, employees, property and assets of BioAtla, LLC (excluding Himalaya Therapeutics SEZC) and assumed all of the obligations of BioAtla, LLC (exclusive of the profits interest liability related to awards granted under BioAtla, LLC’s profits interest plan). In addition, following the Corporate Reorganization, BioAtla, Inc. is a single legal entity with no consolidated variable interest entities, or VIEs, or subsidiaries. Except as otherwise noted, the consolidated financial statements discussed in this section and included in Item 8 of this Annual Report on Form 10-K are those of BioAtla, LLC and its consolidated subsidiaries prior to the Corporate Reorganization and those of BioAtla, Inc. subsequent to the Corporate Reorganization.</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July 2020, we entered into a Series D Preferred Stock Purchase Agreement pursuant to which we issued and sold 140,626,711 shares of Series D convertible preferred stock at $0.51554931 per share, for aggregate cash proceeds of $72.5 million. We incurred $4.3 million of issuance costs in connection with our Series D financing.</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have incurred significant losses to date. Our ability to generate product revenue sufficient to achieve profitability will depend on the successful development and eventual commercialization of one or more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current and future product candidates. Our net losses were $35.9 million and $29.8 million for the years ended December 31, 2020 and 2019, respectively. As of December 31, 2020, we had an accumulated deficit of $90.9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31"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advance the clinical development of BA3011;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advance the clinical development of BA3021;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expand our pipeline of bispecific and other CAB antibody-based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 to invest in our CAB technology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know-how;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additional product collaborations and commercial manufacturing relationships with third parties;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build sales, marketing and distribution infrastructure and relationships with third parties to commercialize product candidates for which we may obtain marketing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 to expand our operational, financial and management information systems;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attract, hire and retain additional clinical, scientific, management, administrative and commercial personnel.</w:t>
      </w:r>
    </w:p>
    <w:p>
      <w:pPr>
        <w:spacing w:after="0" w:line="22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Furthermore, we expect to incur additional costs associated with operating as a public company, including significant legal, accounting, insurance, investor relations and other administrative and professional services expenses that we did not incur as a private company.</w:t>
      </w:r>
    </w:p>
    <w:p>
      <w:pPr>
        <w:spacing w:after="0" w:line="14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76"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Through the date of our initial public offering, or IPO, in December 2020, we had funded our operations primarily through the receipt of $71.0 million from our collaboration agreements, $27.6 million from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issuance of convertible debt and $138.3 million from the issuance of equity securities. In December 2020, we completed our initial public offering in which we sold 12,075,000 shares of our common stock at the initial public offering price to the public of $18.00 per share, which included the exercise in full of the underwriters’ option to purchase additional shares, for aggregate cash proceeds of $217.4 million. We incurred $19.0 million of issuance costs in connection with our initial public offering. Upon the closing of our initial public offering, all outstanding shares of our convertible preferred stock converted into 13,876,510 shares of our common stock and 1,492,059 shares of our Class B common stock. As of December 31, 2020, our cash and cash equivalents totaled approximately $238.6 million. Based on our current operating plan, our current cash and cash equivalents are expected to be sufficient to fund our ongoing operations at least through the end of 2022. However, we have based this estimate on assumptions that may prove to be wrong, and we could utilize our available capital resources sooner than we currently expect.</w:t>
      </w:r>
    </w:p>
    <w:p>
      <w:pPr>
        <w:spacing w:after="0" w:line="178"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BioAtla was formed in April 2007 as a Delaware limited liability corporation. We initially operated as a service provider and service-related partnered drug developer for primarily human therapeutic proteins and simultaneously refined our proprietary CAB technology platform and related technologies. Since 2013, we transitioned away from our services business to focus on internal development of our own proprietary products.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On March 11, 2020, the World Health Organization declared the outbreak of COVID-19 caused by a novel strain of coronavirus as a pandemic, which continues to spread throughout the United States and around the world. The worldwide COVID-19 pandemic may affect our ability to complete our current preclinical studies and clinical trials, initiate and complete our planned preclinical studies and clinical trials, disrupt regulatory activities or have other adverse effects on our business, results of operations, financial condition and prospects. In addition, the pandemic has caused substantial disruption in the financial markets and may adversely impact economies worldwide, both of which could adversely affect our business, operations and ability to raise funds to support our operations. To date, we have not experienced material business disruptions, including with respect to any of the clinical trials we are conducting, or impairments of any of our assets as a result of the pandemic. We are following, and plan to continue to follow, recommendations from federal, state and local governments regarding workplace policies, practices and procedures. In March 2020, we implemented a remote working policy for many of our employees, began restricting non-essential travel and temporarily reduced salaries of our employees from March 2020 to July 2020. We are complying with all applicable guidelines for our clinical trials, including remote clinical monitoring. In April 2020, we borrowed $0.7 million under the Paycheck Protection Program under the CARES Act, as discussed further under “—Liquidity and capital resources.” We are continuing to monitor the potential impact of the pandemic, but we cannot be certain what the overall impact will be on our business, financial condition, results of operations and prospects.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To date, we have not generated any revenue from the sale of products and do not expect to generate meaningful revenue in the near future. In December 2015, we entered into a four-year preclinical research agreement with Pfizer, which expired according to its terms in December 2019.</w:t>
      </w:r>
    </w:p>
    <w:p>
      <w:pPr>
        <w:spacing w:after="0" w:line="12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April 2019, we entered into a Global Co-Development and Collaboration Agreement with BeiGene, Ltd. which, as amended in December 2019 and October 2020, provides for the development, manufacturing and commercialization of BA3071. Under the terms of our BeiGene collaboration, BeiGene is generally responsible for developing BA3071 and is responsible for global regulatory filings and commercialization. Subject to the terms of the agreement, BeiGene holds an exclusive license with us to develop and manufacture the product candidate globally. BeiGene is responsible for all costs of development, manufacturing and commercialization globally. In addition, we may in the future seek third-party collaborators or joint venture partners for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development and commercialization of additional CAB product candidates. At the time of execution of the BeiGene collaboration, we received a</w:t>
      </w:r>
    </w:p>
    <w:p>
      <w:pPr>
        <w:spacing w:after="0" w:line="3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$20.0 million upfront payment and in December 2019, we received an additional $5.0 million for the reimbursement of manufacturing costs. We are eligible to receive up to $225.5 million in subsequent development and regulatory milestones globally and commercial milestones in the BeiGene territory, together with tiered royalties, ranging from the high-single digits to the low twenties, on sales worldwide. Pursuant to the terms of the October 2020 amendment, we agreed to transfer certain know-how and materials to BeiGene related to the manufacture of BA3071.</w:t>
      </w:r>
    </w:p>
    <w:p>
      <w:pPr>
        <w:spacing w:after="0" w:line="1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2020, we recognized revenue only from our collaboration with BeiGene. During 2019, we recognized revenue from our collaboration with BeiGene and, to a much lesser degree, from our collaboration with Pfizer.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expenses consist primarily of costs incurred in the discovery and development of our product candidates.</w:t>
      </w:r>
    </w:p>
    <w:p>
      <w:pPr>
        <w:spacing w:after="0" w:line="142"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External expenses consist of:</w:t>
      </w:r>
    </w:p>
    <w:p>
      <w:pPr>
        <w:spacing w:after="0" w:line="130" w:lineRule="exact"/>
        <w:rPr>
          <w:rFonts w:ascii="Arial" w:cs="Arial" w:eastAsia="Arial" w:hAnsi="Arial"/>
          <w:sz w:val="18"/>
          <w:szCs w:val="18"/>
          <w:color w:val="auto"/>
        </w:rPr>
      </w:pPr>
    </w:p>
    <w:p>
      <w:pPr>
        <w:ind w:left="1540" w:right="660" w:hanging="331"/>
        <w:spacing w:after="0" w:line="277"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Fees paid to third parties such as contractors, clinical research organizations (CROs) and consultants, including through our relationship with BioDuro, and other costs related to preclinical and clinical trials;</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Fees paid to third parties such as contract manufacturing organizations (CMOs) and other vendors for manufacturing research and clinical trial materials;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Expenses related to laboratory supplies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Unallocated expenses consist of:</w:t>
      </w:r>
    </w:p>
    <w:p>
      <w:pPr>
        <w:spacing w:after="0" w:line="130" w:lineRule="exact"/>
        <w:rPr>
          <w:rFonts w:ascii="Arial" w:cs="Arial" w:eastAsia="Arial" w:hAnsi="Arial"/>
          <w:sz w:val="18"/>
          <w:szCs w:val="18"/>
          <w:color w:val="auto"/>
        </w:rPr>
      </w:pPr>
    </w:p>
    <w:p>
      <w:pPr>
        <w:ind w:left="1540" w:right="100" w:hanging="331"/>
        <w:spacing w:after="0" w:line="277"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equity-based compensation expenses, for personnel in our research and development functions;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Related equipment and facilities depreciation expenses.</w:t>
      </w:r>
    </w:p>
    <w:p>
      <w:pPr>
        <w:spacing w:after="0" w:line="225"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 are performed.</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We expect our research and development expenses to increase substantially for the foreseeable future as we continue to invest in research and development activities to advance our product candidates and our clinical programs and expand our product candidate pipeline. The process of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right="180" w:firstLine="440"/>
        <w:spacing w:after="0" w:line="285" w:lineRule="auto"/>
        <w:rPr>
          <w:sz w:val="20"/>
          <w:szCs w:val="20"/>
          <w:color w:val="auto"/>
        </w:rPr>
      </w:pPr>
      <w:r>
        <w:rPr>
          <w:rFonts w:ascii="Arial" w:cs="Arial" w:eastAsia="Arial" w:hAnsi="Arial"/>
          <w:sz w:val="16"/>
          <w:szCs w:val="16"/>
          <w:color w:val="auto"/>
        </w:rPr>
        <w:t>Our general and administrative expenses consist primarily of personnel-related expenses for personnel in our executive, finance, corporate and other administrative functions, intellectual property and patent costs, facilities and other allocated expenses, other expenses for outside professional services, including legal, human resources, audit and accounting services and insurance costs. Personnel-related expenses consist of salaries, benefits and equity-based compensation. We expect our general and administrative expenses to increase as a result of operating as a public company, including additional costs (i) to comply with the rules and regulations of the SEC and those of The Nasdaq Global Market, (ii) for legal and auditing services,</w:t>
      </w:r>
    </w:p>
    <w:p>
      <w:pPr>
        <w:spacing w:after="0" w:line="2" w:lineRule="exact"/>
        <w:rPr>
          <w:sz w:val="20"/>
          <w:szCs w:val="20"/>
          <w:color w:val="auto"/>
        </w:rPr>
      </w:pPr>
    </w:p>
    <w:p>
      <w:pPr>
        <w:ind w:left="120" w:right="780" w:hanging="4"/>
        <w:spacing w:after="0" w:line="260" w:lineRule="auto"/>
        <w:tabs>
          <w:tab w:leader="none" w:pos="4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additional insurance, (iv) for investor relations activities and (v) for other administrative and professional services. We also expect our intellectual property expenses to increase as we expand our intellectual property portfolio.</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Interest income consists primarily of interest earned on our cash and cash equivalent balances. Our interest income has not been significant to date, but we expect interest income to increase as we invest the net proceeds from our initial public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Interest expense consists primarily of interest incurred on our outstanding convertible debt, including coupon interest and the amortization of debt discounts, including those related to beneficial conversion features and embedded derivatives. We expect our interest expense to decline subsequent to the settlement of our outstanding convertible debt in July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convertible promissory notes we issued during 2019 and 2020 contained redemption features which we determined were embedded derivatives to be recognized as liabilities and measured at fair value. At the end of each reporting period, changes in the estimated fair value during the period were recorded as a change in the fair value of derivative liability. The embedded derivative liability was recorded at fair value utilizing an income approach that identified the cash flows using a “with-and-without” valuation methodology. The inputs used to determine the estimated fair value of the derivative instrument were based primarily on the probability of an underlying event triggering the embedded derivative occurring and the timing of such event. We will no longer record changes in the fair value of the derivative liability subsequent to the settlement of the derivative liability in connection with the conversion of our outstanding convertible debt in July 2020.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Extinguishment of convertible debt</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April 2020, we amended the terms of certain outstanding convertible promissory notes that we concluded were extinguishments. In July 2020, in connection with our Corporate Reorganization, we settled all of our outstanding convertible promissory notes and recognized extinguishment losses for the difference between the fair value of the consideration given to the noteholders and the carrying value of the related convertible promissory notes.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Other income (expense) primarily includes miscellaneous items of income and expense that were not significant for the periods presented.</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right"/>
              <w:ind w:right="401"/>
              <w:spacing w:after="0"/>
              <w:rPr>
                <w:sz w:val="20"/>
                <w:szCs w:val="20"/>
                <w:color w:val="auto"/>
              </w:rPr>
            </w:pPr>
            <w:r>
              <w:rPr>
                <w:rFonts w:ascii="Arial" w:cs="Arial" w:eastAsia="Arial" w:hAnsi="Arial"/>
                <w:sz w:val="14"/>
                <w:szCs w:val="14"/>
                <w:b w:val="1"/>
                <w:bCs w:val="1"/>
                <w:color w:val="auto"/>
                <w:w w:val="93"/>
              </w:rPr>
              <w:t>Years Ended December 31,</w:t>
            </w:r>
          </w:p>
        </w:tc>
        <w:tc>
          <w:tcPr>
            <w:tcW w:w="260" w:type="dxa"/>
            <w:vAlign w:val="bottom"/>
          </w:tcPr>
          <w:p>
            <w:pPr>
              <w:spacing w:after="0"/>
              <w:rPr>
                <w:sz w:val="14"/>
                <w:szCs w:val="14"/>
                <w:color w:val="auto"/>
              </w:rPr>
            </w:pPr>
          </w:p>
        </w:tc>
        <w:tc>
          <w:tcPr>
            <w:tcW w:w="680" w:type="dxa"/>
            <w:vAlign w:val="bottom"/>
            <w:gridSpan w:val="2"/>
            <w:vMerge w:val="restart"/>
          </w:tcPr>
          <w:p>
            <w:pPr>
              <w:jc w:val="right"/>
              <w:ind w:right="8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221"/>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25,919</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33,468</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(30,099)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(28,268)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(1,389)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(1,630)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(1,581)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(63)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Extinguishment of convertible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(2,883)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(22)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(5,754)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(1,587)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Consolidated net loss and comprehensive loss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(35,853)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(29,855)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Net loss attributable to BioAtla, Inc./BioAtla LLC.</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(35,853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(29,794</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(6,059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Collaboration revenue of $0.4 million for the year ended December 31, 2020 consisted of $0.4 million of revenue recognized under our collaboration with BeiGene. BeiGene collaboration revenue decreased to $0.4 million for the year ended December 31, 2020 from $4.7 million for the year ended December 31, 2019 primarily due to the amendment of the collaboration and transfer of development obligations to BeiGene. Under the amended collaboration agreement with BeiGene, the remaining $19.8 million of deferred revenue is expected to be earned upon transfer of the know-how and materials to BeiGene related to the manufacture of BA3071.</w:t>
      </w:r>
    </w:p>
    <w:p>
      <w:pPr>
        <w:spacing w:after="0" w:line="188"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Collaboration revenue of $5.2 million for the year ended December 31, 2019 consisted of $4.7 million of revenue recognized under our collaboration with BeiGene and $0.5 million of revenue recognized under our collaboration with Pfizer, which expired according to its terms in December 2019.</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40"/>
          </w:cols>
          <w:pgMar w:left="320" w:top="459" w:right="6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External expenses: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BA3011 (AXL-ADC)</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7,845</w:t>
            </w:r>
          </w:p>
        </w:tc>
        <w:tc>
          <w:tcPr>
            <w:tcW w:w="2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4,409</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$ 3,436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BA3021 (ROR2-ADC)</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Other CAB Programs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10,643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external expenses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Personnel and related</w:t>
            </w:r>
          </w:p>
        </w:tc>
        <w:tc>
          <w:tcPr>
            <w:tcW w:w="1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Facilities and other</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25,919</w:t>
            </w: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Research and development expenses were $19.9 million and $25.9 million for the years ended December 31, 2020 and 2019, respectively. The decrease of $6.0 million was primarily driven by a $6.8 million decrease in external costs as we were nearing completion of manufacturing activities for our clinical candidates and nearing completion of Phase 1 clinical trials for both BA3011 and BA 3021 in late 2019, and a $0.1 million decrease in personnel-related expenses. These decreases were offset by an increase of $0.7 million in equity-based compensation due to awards issued in connection with the IPO, and $0.2 million in facility and related expenses.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General and administrative expenses were $10.6 million and $7.5 million for the years ended December 31, 2020 and 2019, respectively. The increase of $3.1 million was primarily driven by a $2.3 million increase in stock-based compensation due to awards issued in connection with the December 2020 IPO , a $0.8 million increase in personnel related expenses as we expanded our administrative functions in support of our development activities, a $0.5 million increase in professional fees related to accounting and audit services, a $0.3 million increase in facility and related expenses, a $0.2 million increase in depreciation expense and a $0.1 million increase in insurance expense. These increases were offset by a $0.6 million decrease in travel related expense and a $0.5 million decrease in equity-based compensation related to a decrease in the fair value of awards under our profits interest plan.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was $0.1 million for both the year ended December 31, 2020 and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Interest expense was $1.4 million and $1.6 million for the years ended December 31, 2020 and 2019, respectively. The decrease of $0.2 million was primarily due to reduced interest expense as a result of the settlement of all of our convertible debt in July 2020, offset by the impact of the timing of new convertible debt issuances in 2019 and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Change in fair value of derivative liability was $1.6 million and $0.1 million for the years ended December 31, 2020 and 2019, respectively. The increase of $1.5 million was primarily due to changes in the fair value of embedded derivatives issued in connection with our outstanding convertible promissory notes.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Extinguishment of convertible debt</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Extinguishment of convertible debt was $2.9 million and $0 for the years ended December 31, 2020 and 2019, respectively. The increase of $2.9 million was primarily due to $2.7 million of losses on extinguishment we recognized in July 2020, in connection with our Corporate Reorganization, when we settled all of our outstanding convertible promissory notes and recognized extinguishment losses for the difference between the fair value of the consideration given to the noteholders and the carrying value of the related convertible promissory notes. In addition, in April 2020, we recognized $0.2 million of losses on extinguishment related to the amendment of the terms of certain outstanding convertible promissory notes that we concluded were extinguishments.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had minimal other expense with $1,000 and $22,000 for the years ended December 31, 2020 and 2019,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120" w:right="260" w:firstLine="440"/>
        <w:spacing w:after="0" w:line="277" w:lineRule="auto"/>
        <w:rPr>
          <w:sz w:val="20"/>
          <w:szCs w:val="20"/>
          <w:color w:val="auto"/>
        </w:rPr>
      </w:pPr>
      <w:r>
        <w:rPr>
          <w:rFonts w:ascii="Arial" w:cs="Arial" w:eastAsia="Arial" w:hAnsi="Arial"/>
          <w:sz w:val="18"/>
          <w:szCs w:val="18"/>
          <w:color w:val="auto"/>
        </w:rPr>
        <w:t>We have incurred aggregate net losses and negative cash flows from operations since our inception and anticipate we will continue to incur net losses for the foreseeable future. As of December 31, 2020, we had cash and cash equivalents of $238.6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and promissory notes</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As of December 31, 2019, we had outstanding convertible notes with an aggregate principal balance of $19.0 million and issued an additional $2.8 million of convertible notes between March and April of 2020. All principal and accrued interest under the convertible notes was converted into our Series D preferred stock in July 2020.</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April 22, 2020, we received proceeds from a loan, or PPP Loan, in the amount of $0.7 million from City National Bank, as lender, pursuant to the Paycheck Protection Program, or PPP, of the CARES Act. The PPP Loan is evidenced by a promissory note, or Note, which contains customary events of default relating to, among other things, payment defaults and breaches of representations, warranties or terms of the PPP Loan documents. The</w:t>
      </w:r>
    </w:p>
    <w:p>
      <w:pPr>
        <w:spacing w:after="0" w:line="2" w:lineRule="exact"/>
        <w:rPr>
          <w:sz w:val="20"/>
          <w:szCs w:val="20"/>
          <w:color w:val="auto"/>
        </w:rPr>
      </w:pPr>
    </w:p>
    <w:p>
      <w:pPr>
        <w:ind w:left="120" w:right="400" w:hanging="4"/>
        <w:spacing w:after="0" w:line="323" w:lineRule="auto"/>
        <w:tabs>
          <w:tab w:leader="none" w:pos="465" w:val="left"/>
        </w:tabs>
        <w:numPr>
          <w:ilvl w:val="0"/>
          <w:numId w:val="59"/>
        </w:numPr>
        <w:rPr>
          <w:rFonts w:ascii="Arial" w:cs="Arial" w:eastAsia="Arial" w:hAnsi="Arial"/>
          <w:sz w:val="16"/>
          <w:szCs w:val="16"/>
          <w:color w:val="auto"/>
        </w:rPr>
      </w:pPr>
      <w:r>
        <w:rPr>
          <w:rFonts w:ascii="Arial" w:cs="Arial" w:eastAsia="Arial" w:hAnsi="Arial"/>
          <w:sz w:val="16"/>
          <w:szCs w:val="16"/>
          <w:color w:val="auto"/>
        </w:rPr>
        <w:t>Loan matures on April 22, 2022 and bears interest at an annual rate of approximately 1%. Beginning in August 2021, we are required to begin making monthly payments of principal and interest. We may prepay the PPP Loan at any time prior to maturity with no prepayment penalties.</w:t>
      </w:r>
    </w:p>
    <w:p>
      <w:pPr>
        <w:spacing w:after="0" w:line="13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proceeds from the PPP Loan may only be used for payroll costs (including benefits), rent and utility obligations, and interest on certain of our other debt obligations.</w:t>
      </w:r>
    </w:p>
    <w:p>
      <w:pPr>
        <w:spacing w:after="0" w:line="170"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All or a portion of the PPP Loan may be forgiven by the U.S. Small Business Administration, or SBA, upon application by us beginning 60 days after loan approval and upon documentation of expenditures in accordance with the SBA requirements. In the event the PPP Loan, or any portion thereof, is forgiven pursuant to the PPP, the amount forgiven is applied to outstanding principal. If it is determined that we were not eligible to receive the PPP Loan, we may be subject to penalties and could be required to repay the PPP Loan in its entirety.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52" w:lineRule="exact"/>
        <w:rPr>
          <w:sz w:val="20"/>
          <w:szCs w:val="20"/>
          <w:color w:val="auto"/>
        </w:rPr>
      </w:pPr>
    </w:p>
    <w:p>
      <w:pPr>
        <w:ind w:left="1080" w:right="1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initiation, scope, rate of progress, results and costs of our preclinical studies, clinical trials and other related activities for our product candidates;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and establishing commercial supplies and sales, marketing and distribution capabilities;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and costs of capital expenditures to support our research and development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compliance and administrative costs associated with being a public company;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although we have no commitments or agreements relating to any of these types of transactions.</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Based on our current operating plan, our current cash and cash equivalents are expected to be sufficient to fund our ongoing operations at least through the end of 2022. However, we have based this estimate on assumptions that may prove to be wrong, and we could utilize our available capital resources sooner than we currently expect.</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addition, 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the COVID-19 pandemic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summarizes our cash flows for the periods indicated:</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Years Ended December 31,</w:t>
            </w:r>
          </w:p>
        </w:tc>
      </w:tr>
      <w:tr>
        <w:trPr>
          <w:trHeight w:val="142"/>
        </w:trPr>
        <w:tc>
          <w:tcPr>
            <w:tcW w:w="4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(36,334)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(9,645)</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w:t>
            </w: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271,825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3,995</w:t>
            </w:r>
          </w:p>
        </w:tc>
      </w:tr>
      <w:tr>
        <w:trPr>
          <w:trHeight w:val="27"/>
        </w:trPr>
        <w:tc>
          <w:tcPr>
            <w:tcW w:w="4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234,901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(7,159)</w:t>
            </w:r>
          </w:p>
        </w:tc>
      </w:tr>
      <w:tr>
        <w:trPr>
          <w:trHeight w:val="20"/>
        </w:trPr>
        <w:tc>
          <w:tcPr>
            <w:tcW w:w="4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in operating activities for the year ended December 31, 2020 was $36.3 million, which consisted of a consolidated net loss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$35.9 million, a net change of $2.5 million in our net operating assets and liabilities and $2.0 million of non-cash transactions. The net change in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operating assets and liabilities was primarily due to a decrease in accounts payable and accrued expenses of $1.7 million, an increase in prepaid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expenses and other assets of $1.3 million, an increase in accrued interest of $0.9 million on our outstanding convertible debt prior to its settlement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July 2020, and a decrease in deferred revenue of $0.4 million as we recognized deferred revenue related to our collaboration with BeiGene.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non-cash transactions primarily consisted of $3.0 million of stock-based compensation related to the issuance of RSUs and stock options in the fourth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quarter of 2020, a $2.9 million loss on extinguishment of convertible debt, a $1.6 million change in the fair value of our derivative liability, non-cash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charges of $1.0 million related to depreciation and amortization and $0.5 million of non-cash interest, offset by a decrease in the fair value of our profits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liability and pushdown from our affiliate of $6.9 million and $0.2 million of deferred rent.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in operating activities for the year ended December 31, 2019 was $9.6 million, which consisted of a consolidated net loss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$29.9 million and a net change of $25.1 million in our net operating assets and liabilities, and $4.9 million in non-cash transactions. The net change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operating assets and liabilities was primarily due to an increase in deferred revenue of $19.8 million as we recognized as revenue only a small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portion of the $25.0 million of upfront payment and cost reimbursements we received from BeiGene, a decrease in prepaid expenses of $0.9 million,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decrease in accounts payable and accrued expenses of $3.1 million and an increase in accrued interest of $1.3 million on our outstanding convertible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debt. The $4.9 million change in non-cash transactions primarily consisted of a decrease in the profits interest liability of $6.4 million primarily due to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decrease in the fair value of the underlying awards, offset by non-cash charges of $0.9 million related to depreciation and amortization, $0.1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to the change in fair value of derivative liability, $0.4 million of non-cash interest and $0.2 million of deferred rent.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Cash used in investing activities was $0.6 million and $1.5 million for the years ended December 31, 2020 and 2019, respectively, related to the purchase of property and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Net cash provided by financing activities was $271.8 million for the year ended December 31, 2020, which consisted primarily of $200.2 million of net proceeds from our initial public offering, $68.2 million of net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proceeds from our issuance of Series D convertible preferred stock, $2.8 million of proceeds from the issuance of convertible promissory notes and $0.7 million of proceeds from a PPP loan.</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Net cash provided by financing activities was $4.0 million for the year ended December 31, 2019, which consisted primarily of proceeds from the issuance of convertible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9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While our significant accounting policies are described in the Note 1 to our consolidated financial statements included elsewhere in this Annual Report on Form 10-K, we believe that the following critical accounting policies are most important to understanding and evaluating our reported financial results.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part of the process of preparing our consolidated financial statements, we accrue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The estimates in our accrued research and development expenses include the costs incurred for services performed by our vendors in connection with research and development activities for which we have not yet been invoiced. We periodically confirm the accuracy of our estimates with the service providers and make adjustments if necessary.</w:t>
      </w:r>
    </w:p>
    <w:p>
      <w:pPr>
        <w:spacing w:after="0" w:line="19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7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Effective January 1, 2019, we adopted Accounting Standards Update, or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or Topic 606, using the modified retrospective method. Topic 606 supersedes the revenue recognition requirements in ASC Topic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or Topic 605. There was no material cumulative effect of adopting Topic 606. All periods prior to the adoption date of Topic 606 have not</w:t>
      </w:r>
      <w:r>
        <w:rPr>
          <w:rFonts w:ascii="Arial" w:cs="Arial" w:eastAsia="Arial" w:hAnsi="Arial"/>
          <w:sz w:val="17"/>
          <w:szCs w:val="17"/>
          <w:i w:val="1"/>
          <w:iCs w:val="1"/>
          <w:color w:val="auto"/>
        </w:rPr>
        <w:t xml:space="preserve"> </w:t>
      </w:r>
      <w:r>
        <w:rPr>
          <w:rFonts w:ascii="Arial" w:cs="Arial" w:eastAsia="Arial" w:hAnsi="Arial"/>
          <w:sz w:val="17"/>
          <w:szCs w:val="17"/>
          <w:color w:val="auto"/>
        </w:rPr>
        <w:t>been restated to reflect the impact of the adoption of Topic 606, but are accounted for and presented under Topic 605.</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recognition under Topic 606</w:t>
      </w:r>
    </w:p>
    <w:p>
      <w:pPr>
        <w:spacing w:after="0" w:line="117"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We recognize revenue in a manner that depicts the transfer of control of a product or a service to a customer and reflects the amount of the consideration we are entitled to receive in exchange for such product or service. In doing so, we follow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We consider the terms of a contract and all relevant facts and circumstances when applying the revenue recognition standard.</w:t>
      </w:r>
    </w:p>
    <w:p>
      <w:pPr>
        <w:spacing w:after="0" w:line="176"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A customer is a party that has entered into a contract with us, where the purpose of the contract is to obtain a product or a service that is an output of our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w:t>
      </w:r>
    </w:p>
    <w:p>
      <w:pPr>
        <w:spacing w:after="0" w:line="2" w:lineRule="exact"/>
        <w:rPr>
          <w:sz w:val="20"/>
          <w:szCs w:val="20"/>
          <w:color w:val="auto"/>
        </w:rPr>
      </w:pPr>
    </w:p>
    <w:p>
      <w:pPr>
        <w:ind w:left="120" w:right="40" w:hanging="4"/>
        <w:spacing w:after="0" w:line="255" w:lineRule="auto"/>
        <w:tabs>
          <w:tab w:leader="none" w:pos="4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payment terms for the product or the service to be transferred can be identified, (iv) the contract must have commercial substance (that is, the risk, timing or amount of future cash flows is expected to change as a result of the contract), and (v) it is probable that we will collect substantially all of the consideration to which we are entitled to receive in exchange for the transfer of the product or the service.</w:t>
      </w:r>
    </w:p>
    <w:p>
      <w:pPr>
        <w:spacing w:after="0" w:line="19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performance obligation is defined as a promise to transfer a product or a service to a customer. We identify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our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spacing w:after="0" w:line="19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transaction price is the amount of consideration we are entitled to receive in exchange for the transfer of control of a product or a service to a customer. To determine the transaction price, we consider the existence of any significant financing component, the effects of any variable elements, noncash considerations and consideration payable to the customer. If a significant financing component exists, the transaction price is adjusted for the time value of money. If an element of variability exists, we must estimate the consideration it expects to receive and uses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spacing w:after="0" w:line="166"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If a contract has multiple performance obligations, we allocate the transaction price to each distinct performance obligation in an amount that reflects the consideration we are entitled to receive in exchange for satisfying each distinct performance obligation. For each distinct performance obligation, revenue is recognized when (or as) we transfer control of the product or the service applicable to such performance obligation.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those instances where we first receive consideration in advance of satisfying our performance obligation, we classify such consideration as deferred revenue until (or as) we satisfy such performance obligation. In those instances where we first satisfy our performance obligation prior to receipt of consideration, the consideration is recorded as accounts receivable.</w:t>
      </w:r>
    </w:p>
    <w:p>
      <w:pPr>
        <w:spacing w:after="0" w:line="184"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We expense incremental costs of obtaining and fulfilling a contract as and when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Profits interest liability</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Before the Corporate Reorganization, we had a profits interest plan which we determined was a liability award plan in accordance with authoritative guidance. We measured the fair value of each award on the grant date and recognized such fair value over the requisite service period (usually the vesting period) on a straight-line basis, net of estimated forfeitures. The fair value of the award was remeasured at each reporting date until the award was settled, with a true-up of compensation cost for changes in fair value prorated for the portion of the requisite service period rendered. Once vested, any subsequent change in fair value was recognized immediately. The fair value of any awards that expired or were forfeited or cancelled for no value was adjusted to zero, such that any previously recorded compensation cost was fully reversed.</w:t>
      </w:r>
    </w:p>
    <w:p>
      <w:pPr>
        <w:spacing w:after="0" w:line="16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 xml:space="preserve">We were required to estimate the fair value of the Class B units issued in connection with our profits interest plan. The fair value of our Class B units was determined on each reporting date by our management, taking into account input from independent third-party valuation analysis. In the absence of a public trading market for our Class B units, on each reporting date we developed an estimate of the fair value of our Class B units in order to calculate the profit interest liability. Our determinations of the fair value of our Class B units were made using methodologies, approaches and assumptions consistent with the American Institute of Certified Public Accountants </w:t>
      </w:r>
      <w:r>
        <w:rPr>
          <w:rFonts w:ascii="Arial" w:cs="Arial" w:eastAsia="Arial" w:hAnsi="Arial"/>
          <w:sz w:val="17"/>
          <w:szCs w:val="17"/>
          <w:i w:val="1"/>
          <w:iCs w:val="1"/>
          <w:color w:val="auto"/>
        </w:rPr>
        <w:t>Audit and Accounting Practice Aid Series: Valuation of Privately</w:t>
      </w:r>
      <w:r>
        <w:rPr>
          <w:rFonts w:ascii="Arial" w:cs="Arial" w:eastAsia="Arial" w:hAnsi="Arial"/>
          <w:sz w:val="17"/>
          <w:szCs w:val="17"/>
          <w:color w:val="auto"/>
        </w:rPr>
        <w:t xml:space="preserve"> </w:t>
      </w:r>
      <w:r>
        <w:rPr>
          <w:rFonts w:ascii="Arial" w:cs="Arial" w:eastAsia="Arial" w:hAnsi="Arial"/>
          <w:sz w:val="17"/>
          <w:szCs w:val="17"/>
          <w:i w:val="1"/>
          <w:iCs w:val="1"/>
          <w:color w:val="auto"/>
        </w:rPr>
        <w:t>Held Company Equity Securities Issued as Compensation</w:t>
      </w:r>
      <w:r>
        <w:rPr>
          <w:rFonts w:ascii="Arial" w:cs="Arial" w:eastAsia="Arial" w:hAnsi="Arial"/>
          <w:sz w:val="17"/>
          <w:szCs w:val="17"/>
          <w:color w:val="auto"/>
        </w:rPr>
        <w:t>, or the Practice Aid.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considered various objective and subjective factors to determine the fair value of our Class B units, including:</w:t>
      </w:r>
    </w:p>
    <w:p>
      <w:pPr>
        <w:spacing w:after="0" w:line="131"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contemporaneous valuations of our Class B units performed by independent third-party valuation specialists;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stage of development and business strategy, including the status of research and development efforts of our product candidates, and the material risks related to our business and industry;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biopharmaceutical sectors, as well as recently completed mergers and acquisitions of peer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lack of liquidity of our Class B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rights, preferences and privileges of our Class C Preferred units and Class A units relative to those of our Class B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for the holders of our Class B units, given prevailing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biopharmaceutical industry sectors.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connection with the Corporate Reorganization, Himalaya Parent LLC assumed $1.0 million of profits interest liability of BioAtla, LLC. Subsequent to the Corporate Reorganization, we will reflect compensation cost and a corresponding capital contribution associated with equity-based compensation provided to our employees by Himalaya Parent LLC.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Valuation methodologies and methods used to allocate our enterprise value to classes of securities</w:t>
      </w:r>
    </w:p>
    <w:p>
      <w:pPr>
        <w:spacing w:after="0" w:line="11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Our valuations were prepared in accordance with the guidelines in the Practice Aid, which prescribes several valuation approaches for setting the value of an enterprise, such as the cost, income and market approaches, and various methodologies for allocating the value of an enterprise to its common stock. The cost approach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our company’s future operations, discounting to the present value with an appropriate risk adjusted discount rate or capitalization rate. The market approach is based on the assumption that the value of an asset is equal to the value of a substitute asset with the same characteristics. Each valuation methodology was considered in our valuations. We utilized a market approach in 2018, 2019 and 2020. In 2020, in connection with our Corporate Reorganization and Series D preferred stock financing, our market approach included the back-solve method that assigns an implied enterprise value based on the most recent round of funding or investment and allows for the incorporation of the implied future benefits and risks of the investment decision assigned by an outside investor. In accordance with the Practice Aid, we considered the various methods for allocating the enterprise value across our classes and series of equity to determine the fair value of our equity instruments at each valuation date. We applied a hybrid method of the probability weighted expected return method, or PWERM, where the non-IPO scenario is modeled using an option pricing model to reflect the full distribution of possible non-IPO outcomes. Under the option pricing model, units are valued by creating a series of call options with exercise prices based on the liquidation preferences and conversion terms of each equity class. The values of each class of units are inferred by analyzing these options. In the IPO scenario, we used the fully-diluted shares outstanding to allocate value to each class of units. The hybrid method is useful when certain discrete future outcomes can be predicted, but also accounts for uncertainty regarding the timing or likelihood of specific alternative exit events.</w:t>
      </w: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October 2020 we adopted our 2020 Equity Incentive Plan and began to grant stock options and RSUs. We began to recognize stock-based compensation expense in the fourth quarter of 2020.</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Stock-based compensation expense represents the grant date fair value of equity awards over the requisite service period of the awards (usually the vesting period) on a straight-line basis. We estimate the fair value of stock option grants using the Black-Scholes option pricing model and the fair value of RSUs is the fair value of our common stock on the date of grant. See Note 6 to our consolidated financial statements included elsewhere in this Annual Report for information concerning certain of the specific assumptions we used in applying the Black-Scholes option pricing model to determine the estimated fair value of our stock option grants. Given the proximity of the 2020 awards to our initial public offering, the fair value of our common stock for all 2020 stock-based compensation awards was based on our initial public offering price of $18.00 per share. Following the completion of our initial public offering, our board of directors will determine the fair value of our common stock based on its closing price as reported on the date of grant on the primary stock exchange on which our common stock is traded. Equity award forfeitures are recognized as they occur.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company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JOBS Act until such time as those standards apply to private companies.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(i) irrevocably elect to “opt out” of such extended transition period or (ii) no longer qualify as an emerging growth company. We also intend to rely on other exemptions provided by the JOBS Act, including without limitation, providing an auditor’s attestation report on our system of internal controls over financial reporting pursuant to Section 404(b) of the Sarbanes-Oxley Act. We will remain an emerging growth company until the earlier of (i) the last day of the fiscal year</w:t>
      </w:r>
    </w:p>
    <w:p>
      <w:pPr>
        <w:spacing w:after="0" w:line="4" w:lineRule="exact"/>
        <w:rPr>
          <w:sz w:val="20"/>
          <w:szCs w:val="20"/>
          <w:color w:val="auto"/>
        </w:rPr>
      </w:pPr>
    </w:p>
    <w:p>
      <w:pPr>
        <w:ind w:left="120" w:right="820" w:hanging="4"/>
        <w:spacing w:after="0" w:line="281" w:lineRule="auto"/>
        <w:tabs>
          <w:tab w:leader="none" w:pos="365"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following the fifth anniversary of the completion of our initial public offering,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w:t>
      </w:r>
    </w:p>
    <w:p>
      <w:pPr>
        <w:spacing w:after="0" w:line="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in non-convertible debt during the prior three-year period.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 to the audited financial statements included in Item 8 of this Annual Report on Form 10-K.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not entered into any off-balance sheet arrangements, as defined in the rules and regulations of the SEC.</w:t>
      </w:r>
    </w:p>
    <w:p>
      <w:pPr>
        <w:spacing w:after="0" w:line="370"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 to a smaller reporting company.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40"/>
          </w:cols>
          <w:pgMar w:left="320" w:top="459" w:right="5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880" w:type="dxa"/>
            <w:vAlign w:val="bottom"/>
            <w:gridSpan w:val="7"/>
          </w:tcPr>
          <w:p>
            <w:pPr>
              <w:ind w:left="40"/>
              <w:spacing w:after="0"/>
              <w:rPr>
                <w:sz w:val="20"/>
                <w:szCs w:val="20"/>
                <w:color w:val="auto"/>
              </w:rPr>
            </w:pPr>
            <w:r>
              <w:rPr>
                <w:rFonts w:ascii="Arial" w:cs="Arial" w:eastAsia="Arial" w:hAnsi="Arial"/>
                <w:sz w:val="18"/>
                <w:szCs w:val="18"/>
                <w:b w:val="1"/>
                <w:bCs w:val="1"/>
                <w:color w:val="auto"/>
              </w:rPr>
              <w:t>Financial Statements and Supplementary Data</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b w:val="1"/>
                <w:bCs w:val="1"/>
                <w:color w:val="auto"/>
                <w:w w:val="98"/>
              </w:rPr>
              <w:t>BioAtla, Inc.</w:t>
            </w: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9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8920" w:type="dxa"/>
            <w:vAlign w:val="bottom"/>
            <w:gridSpan w:val="8"/>
            <w:vMerge w:val="continue"/>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920" w:type="dxa"/>
            <w:vAlign w:val="bottom"/>
            <w:gridSpan w:val="8"/>
          </w:tcPr>
          <w:p>
            <w:pPr>
              <w:spacing w:after="0" w:line="190" w:lineRule="exact"/>
              <w:rPr>
                <w:rFonts w:ascii="Arial" w:cs="Arial" w:eastAsia="Arial" w:hAnsi="Arial"/>
                <w:sz w:val="18"/>
                <w:szCs w:val="18"/>
                <w:color w:val="0000EE"/>
              </w:rPr>
            </w:pPr>
            <w:hyperlink w:anchor="page139">
              <w:r>
                <w:rPr>
                  <w:rFonts w:ascii="Arial" w:cs="Arial" w:eastAsia="Arial" w:hAnsi="Arial"/>
                  <w:sz w:val="18"/>
                  <w:szCs w:val="18"/>
                  <w:color w:val="0000EE"/>
                </w:rPr>
                <w:t>Report of independent registered public accounting firm</w:t>
              </w:r>
            </w:hyperlink>
          </w:p>
        </w:tc>
        <w:tc>
          <w:tcPr>
            <w:tcW w:w="2040" w:type="dxa"/>
            <w:vAlign w:val="bottom"/>
          </w:tcPr>
          <w:p>
            <w:pPr>
              <w:jc w:val="right"/>
              <w:spacing w:after="0" w:line="190"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96"/>
        </w:trPr>
        <w:tc>
          <w:tcPr>
            <w:tcW w:w="40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Consolidated balance sheets</w:t>
              </w:r>
            </w:hyperlink>
          </w:p>
        </w:tc>
        <w:tc>
          <w:tcPr>
            <w:tcW w:w="4880" w:type="dxa"/>
            <w:vAlign w:val="bottom"/>
            <w:gridSpan w:val="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gridSpan w:val="8"/>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Consolidated statements of operations and comprehensive loss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7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gridSpan w:val="8"/>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Consolidated statements of convertible preferred stock and stockholders’/members’ equity (deficit)</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Consolidated statements of cash flows</w:t>
              </w:r>
            </w:hyperlink>
          </w:p>
        </w:tc>
        <w:tc>
          <w:tcPr>
            <w:tcW w:w="4420" w:type="dxa"/>
            <w:vAlign w:val="bottom"/>
            <w:tcBorders>
              <w:top w:val="single" w:sz="8" w:color="0000EE"/>
            </w:tcBorders>
            <w:gridSpan w:val="4"/>
          </w:tcPr>
          <w:p>
            <w:pPr>
              <w:spacing w:after="0"/>
              <w:rPr>
                <w:sz w:val="17"/>
                <w:szCs w:val="17"/>
                <w:color w:val="auto"/>
              </w:rPr>
            </w:pPr>
          </w:p>
        </w:tc>
        <w:tc>
          <w:tcPr>
            <w:tcW w:w="174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Notes to consolidated financial statements</w:t>
              </w:r>
            </w:hyperlink>
          </w:p>
        </w:tc>
        <w:tc>
          <w:tcPr>
            <w:tcW w:w="5880" w:type="dxa"/>
            <w:vAlign w:val="bottom"/>
            <w:gridSpan w:val="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4"/>
                <w:szCs w:val="24"/>
                <w:color w:val="auto"/>
              </w:rPr>
            </w:pPr>
          </w:p>
        </w:tc>
        <w:tc>
          <w:tcPr>
            <w:tcW w:w="6140" w:type="dxa"/>
            <w:vAlign w:val="bottom"/>
            <w:gridSpan w:val="6"/>
          </w:tcPr>
          <w:p>
            <w:pPr>
              <w:jc w:val="right"/>
              <w:ind w:right="1540"/>
              <w:spacing w:after="0"/>
              <w:rPr>
                <w:sz w:val="20"/>
                <w:szCs w:val="20"/>
                <w:color w:val="auto"/>
              </w:rPr>
            </w:pPr>
            <w:r>
              <w:rPr>
                <w:rFonts w:ascii="Arial" w:cs="Arial" w:eastAsia="Arial" w:hAnsi="Arial"/>
                <w:sz w:val="18"/>
                <w:szCs w:val="18"/>
                <w:color w:val="auto"/>
              </w:rPr>
              <w:t>136</w:t>
            </w:r>
          </w:p>
        </w:tc>
        <w:tc>
          <w:tcPr>
            <w:tcW w:w="1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220" w:firstLine="3256"/>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BioAtla, Inc.</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Opinion on the Financial Statements</w:t>
      </w:r>
    </w:p>
    <w:p>
      <w:pPr>
        <w:spacing w:after="0" w:line="117"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We have audited the accompanying consolidated balance sheets of BioAtla, Inc. (the Company) as of December 31, 2020 and 2019, the related consolidated statements of operations and comprehensive loss, convertible preferred stock and stockholders’/members’ equity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Basis for Opinion</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2016.</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Diego, California</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24, 2021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83"/>
        </w:trPr>
        <w:tc>
          <w:tcPr>
            <w:tcW w:w="93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934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238,605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3,704</w:t>
            </w:r>
          </w:p>
        </w:tc>
        <w:tc>
          <w:tcPr>
            <w:tcW w:w="100" w:type="dxa"/>
            <w:vAlign w:val="bottom"/>
            <w:shd w:val="clear" w:color="auto" w:fill="CCEEFF"/>
          </w:tcPr>
          <w:p>
            <w:pPr>
              <w:spacing w:after="0"/>
              <w:rPr>
                <w:sz w:val="17"/>
                <w:szCs w:val="17"/>
                <w:color w:val="auto"/>
              </w:rPr>
            </w:pPr>
          </w:p>
        </w:tc>
      </w:tr>
      <w:tr>
        <w:trPr>
          <w:trHeight w:val="209"/>
        </w:trPr>
        <w:tc>
          <w:tcPr>
            <w:tcW w:w="934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2,076</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r>
      <w:tr>
        <w:trPr>
          <w:trHeight w:val="203"/>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240,681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4,507</w:t>
            </w:r>
          </w:p>
        </w:tc>
        <w:tc>
          <w:tcPr>
            <w:tcW w:w="100" w:type="dxa"/>
            <w:vAlign w:val="bottom"/>
            <w:shd w:val="clear" w:color="auto" w:fill="CCEEFF"/>
          </w:tcPr>
          <w:p>
            <w:pPr>
              <w:spacing w:after="0"/>
              <w:rPr>
                <w:sz w:val="17"/>
                <w:szCs w:val="17"/>
                <w:color w:val="auto"/>
              </w:rPr>
            </w:pPr>
          </w:p>
        </w:tc>
      </w:tr>
      <w:tr>
        <w:trPr>
          <w:trHeight w:val="203"/>
        </w:trPr>
        <w:tc>
          <w:tcPr>
            <w:tcW w:w="93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4,102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4,675</w:t>
            </w:r>
          </w:p>
        </w:tc>
        <w:tc>
          <w:tcPr>
            <w:tcW w:w="100" w:type="dxa"/>
            <w:vAlign w:val="bottom"/>
          </w:tcPr>
          <w:p>
            <w:pPr>
              <w:spacing w:after="0"/>
              <w:rPr>
                <w:sz w:val="17"/>
                <w:szCs w:val="17"/>
                <w:color w:val="auto"/>
              </w:rPr>
            </w:pPr>
          </w:p>
        </w:tc>
      </w:tr>
      <w:tr>
        <w:trPr>
          <w:trHeight w:val="203"/>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7"/>
                <w:szCs w:val="17"/>
                <w:color w:val="auto"/>
              </w:rPr>
            </w:pPr>
          </w:p>
        </w:tc>
      </w:tr>
      <w:tr>
        <w:trPr>
          <w:trHeight w:val="207"/>
        </w:trPr>
        <w:tc>
          <w:tcPr>
            <w:tcW w:w="9340" w:type="dxa"/>
            <w:vAlign w:val="bottom"/>
          </w:tcPr>
          <w:p>
            <w:pPr>
              <w:spacing w:after="0"/>
              <w:rPr>
                <w:sz w:val="20"/>
                <w:szCs w:val="20"/>
                <w:color w:val="auto"/>
              </w:rPr>
            </w:pPr>
            <w:r>
              <w:rPr>
                <w:rFonts w:ascii="Arial" w:cs="Arial" w:eastAsia="Arial" w:hAnsi="Arial"/>
                <w:sz w:val="16"/>
                <w:szCs w:val="16"/>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244,937</w:t>
            </w:r>
          </w:p>
        </w:tc>
        <w:tc>
          <w:tcPr>
            <w:tcW w:w="3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9,336</w:t>
            </w:r>
          </w:p>
        </w:tc>
        <w:tc>
          <w:tcPr>
            <w:tcW w:w="100" w:type="dxa"/>
            <w:vAlign w:val="bottom"/>
          </w:tcPr>
          <w:p>
            <w:pPr>
              <w:spacing w:after="0"/>
              <w:rPr>
                <w:sz w:val="17"/>
                <w:szCs w:val="17"/>
                <w:color w:val="auto"/>
              </w:rPr>
            </w:pPr>
          </w:p>
        </w:tc>
      </w:tr>
      <w:tr>
        <w:trPr>
          <w:trHeight w:val="20"/>
        </w:trPr>
        <w:tc>
          <w:tcPr>
            <w:tcW w:w="9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9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Members’ Equity (Deficit)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340" w:type="dxa"/>
            <w:vAlign w:val="bottom"/>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and accrued expenses (includes related party amounts of $0 and $421,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11,972</w:t>
            </w:r>
          </w:p>
        </w:tc>
      </w:tr>
      <w:tr>
        <w:trPr>
          <w:trHeight w:val="203"/>
        </w:trPr>
        <w:tc>
          <w:tcPr>
            <w:tcW w:w="9340" w:type="dxa"/>
            <w:vAlign w:val="bottom"/>
          </w:tcPr>
          <w:p>
            <w:pPr>
              <w:ind w:left="320"/>
              <w:spacing w:after="0"/>
              <w:rPr>
                <w:sz w:val="20"/>
                <w:szCs w:val="20"/>
                <w:color w:val="auto"/>
              </w:rPr>
            </w:pPr>
            <w:r>
              <w:rPr>
                <w:rFonts w:ascii="Arial" w:cs="Arial" w:eastAsia="Arial" w:hAnsi="Arial"/>
                <w:sz w:val="16"/>
                <w:szCs w:val="16"/>
                <w:color w:val="auto"/>
              </w:rPr>
              <w:t>Accrued interest</w:t>
            </w:r>
          </w:p>
        </w:tc>
        <w:tc>
          <w:tcPr>
            <w:tcW w:w="8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3,253</w:t>
            </w:r>
          </w:p>
        </w:tc>
        <w:tc>
          <w:tcPr>
            <w:tcW w:w="100" w:type="dxa"/>
            <w:vAlign w:val="bottom"/>
          </w:tcPr>
          <w:p>
            <w:pPr>
              <w:spacing w:after="0"/>
              <w:rPr>
                <w:sz w:val="17"/>
                <w:szCs w:val="17"/>
                <w:color w:val="auto"/>
              </w:rPr>
            </w:pPr>
          </w:p>
        </w:tc>
      </w:tr>
      <w:tr>
        <w:trPr>
          <w:trHeight w:val="203"/>
        </w:trPr>
        <w:tc>
          <w:tcPr>
            <w:tcW w:w="9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deferred rent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7"/>
                <w:szCs w:val="17"/>
                <w:color w:val="auto"/>
              </w:rPr>
            </w:pPr>
          </w:p>
        </w:tc>
      </w:tr>
      <w:tr>
        <w:trPr>
          <w:trHeight w:val="203"/>
        </w:trPr>
        <w:tc>
          <w:tcPr>
            <w:tcW w:w="9340" w:type="dxa"/>
            <w:vAlign w:val="bottom"/>
          </w:tcPr>
          <w:p>
            <w:pPr>
              <w:ind w:left="320"/>
              <w:spacing w:after="0"/>
              <w:rPr>
                <w:sz w:val="20"/>
                <w:szCs w:val="20"/>
                <w:color w:val="auto"/>
              </w:rPr>
            </w:pPr>
            <w:r>
              <w:rPr>
                <w:rFonts w:ascii="Arial" w:cs="Arial" w:eastAsia="Arial" w:hAnsi="Arial"/>
                <w:sz w:val="16"/>
                <w:szCs w:val="16"/>
                <w:color w:val="auto"/>
              </w:rPr>
              <w:t>Current portion of deferred revenue</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19,806</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7"/>
                <w:szCs w:val="17"/>
                <w:color w:val="auto"/>
              </w:rPr>
            </w:pPr>
          </w:p>
        </w:tc>
      </w:tr>
      <w:tr>
        <w:trPr>
          <w:trHeight w:val="203"/>
        </w:trPr>
        <w:tc>
          <w:tcPr>
            <w:tcW w:w="9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convertible debt, less debt discount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9,706</w:t>
            </w:r>
          </w:p>
        </w:tc>
        <w:tc>
          <w:tcPr>
            <w:tcW w:w="100" w:type="dxa"/>
            <w:vAlign w:val="bottom"/>
            <w:shd w:val="clear" w:color="auto" w:fill="CCEEFF"/>
          </w:tcPr>
          <w:p>
            <w:pPr>
              <w:spacing w:after="0"/>
              <w:rPr>
                <w:sz w:val="17"/>
                <w:szCs w:val="17"/>
                <w:color w:val="auto"/>
              </w:rPr>
            </w:pPr>
          </w:p>
        </w:tc>
      </w:tr>
      <w:tr>
        <w:trPr>
          <w:trHeight w:val="207"/>
        </w:trPr>
        <w:tc>
          <w:tcPr>
            <w:tcW w:w="93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32,261</w:t>
            </w: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26,718</w:t>
            </w:r>
          </w:p>
        </w:tc>
        <w:tc>
          <w:tcPr>
            <w:tcW w:w="100" w:type="dxa"/>
            <w:vAlign w:val="bottom"/>
          </w:tcPr>
          <w:p>
            <w:pPr>
              <w:spacing w:after="0"/>
              <w:rPr>
                <w:sz w:val="17"/>
                <w:szCs w:val="17"/>
                <w:color w:val="auto"/>
              </w:rPr>
            </w:pPr>
          </w:p>
        </w:tc>
      </w:tr>
      <w:tr>
        <w:trPr>
          <w:trHeight w:val="205"/>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Profits interest liability</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8,592</w:t>
            </w:r>
          </w:p>
        </w:tc>
        <w:tc>
          <w:tcPr>
            <w:tcW w:w="100" w:type="dxa"/>
            <w:vAlign w:val="bottom"/>
            <w:shd w:val="clear" w:color="auto" w:fill="CCEEFF"/>
          </w:tcPr>
          <w:p>
            <w:pPr>
              <w:spacing w:after="0"/>
              <w:rPr>
                <w:sz w:val="17"/>
                <w:szCs w:val="17"/>
                <w:color w:val="auto"/>
              </w:rPr>
            </w:pPr>
          </w:p>
        </w:tc>
      </w:tr>
      <w:tr>
        <w:trPr>
          <w:trHeight w:val="203"/>
        </w:trPr>
        <w:tc>
          <w:tcPr>
            <w:tcW w:w="9340" w:type="dxa"/>
            <w:vAlign w:val="bottom"/>
          </w:tcPr>
          <w:p>
            <w:pPr>
              <w:spacing w:after="0"/>
              <w:rPr>
                <w:sz w:val="20"/>
                <w:szCs w:val="20"/>
                <w:color w:val="auto"/>
              </w:rPr>
            </w:pPr>
            <w:r>
              <w:rPr>
                <w:rFonts w:ascii="Arial" w:cs="Arial" w:eastAsia="Arial" w:hAnsi="Arial"/>
                <w:sz w:val="16"/>
                <w:szCs w:val="16"/>
                <w:color w:val="auto"/>
              </w:rPr>
              <w:t>Long-term accrued interest (includes related party amounts of $0 and $27, respectively)</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7"/>
                <w:szCs w:val="17"/>
                <w:color w:val="auto"/>
              </w:rPr>
            </w:pPr>
          </w:p>
        </w:tc>
      </w:tr>
      <w:tr>
        <w:trPr>
          <w:trHeight w:val="203"/>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Deferred rent, less current portion</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w:t>
            </w:r>
          </w:p>
        </w:tc>
        <w:tc>
          <w:tcPr>
            <w:tcW w:w="100" w:type="dxa"/>
            <w:vAlign w:val="bottom"/>
            <w:shd w:val="clear" w:color="auto" w:fill="CCEEFF"/>
          </w:tcPr>
          <w:p>
            <w:pPr>
              <w:spacing w:after="0"/>
              <w:rPr>
                <w:sz w:val="17"/>
                <w:szCs w:val="17"/>
                <w:color w:val="auto"/>
              </w:rPr>
            </w:pPr>
          </w:p>
        </w:tc>
      </w:tr>
      <w:tr>
        <w:trPr>
          <w:trHeight w:val="203"/>
        </w:trPr>
        <w:tc>
          <w:tcPr>
            <w:tcW w:w="9340" w:type="dxa"/>
            <w:vAlign w:val="bottom"/>
          </w:tcPr>
          <w:p>
            <w:pPr>
              <w:spacing w:after="0"/>
              <w:rPr>
                <w:sz w:val="20"/>
                <w:szCs w:val="20"/>
                <w:color w:val="auto"/>
              </w:rPr>
            </w:pPr>
            <w:r>
              <w:rPr>
                <w:rFonts w:ascii="Arial" w:cs="Arial" w:eastAsia="Arial" w:hAnsi="Arial"/>
                <w:sz w:val="16"/>
                <w:szCs w:val="16"/>
                <w:color w:val="auto"/>
              </w:rPr>
              <w:t>Deferred revenue, less current portion</w:t>
            </w:r>
          </w:p>
        </w:tc>
        <w:tc>
          <w:tcPr>
            <w:tcW w:w="8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18,815</w:t>
            </w:r>
          </w:p>
        </w:tc>
        <w:tc>
          <w:tcPr>
            <w:tcW w:w="100" w:type="dxa"/>
            <w:vAlign w:val="bottom"/>
          </w:tcPr>
          <w:p>
            <w:pPr>
              <w:spacing w:after="0"/>
              <w:rPr>
                <w:sz w:val="17"/>
                <w:szCs w:val="17"/>
                <w:color w:val="auto"/>
              </w:rPr>
            </w:pPr>
          </w:p>
        </w:tc>
      </w:tr>
      <w:tr>
        <w:trPr>
          <w:trHeight w:val="203"/>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Convertible debt, less current portion and debt discount (includes related party amounts of $0 and $1,396, respectively)</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8,414</w:t>
            </w:r>
          </w:p>
        </w:tc>
        <w:tc>
          <w:tcPr>
            <w:tcW w:w="100" w:type="dxa"/>
            <w:vAlign w:val="bottom"/>
            <w:shd w:val="clear" w:color="auto" w:fill="CCEEFF"/>
          </w:tcPr>
          <w:p>
            <w:pPr>
              <w:spacing w:after="0"/>
              <w:rPr>
                <w:sz w:val="17"/>
                <w:szCs w:val="17"/>
                <w:color w:val="auto"/>
              </w:rPr>
            </w:pPr>
          </w:p>
        </w:tc>
      </w:tr>
      <w:tr>
        <w:trPr>
          <w:trHeight w:val="210"/>
        </w:trPr>
        <w:tc>
          <w:tcPr>
            <w:tcW w:w="9340" w:type="dxa"/>
            <w:vAlign w:val="bottom"/>
          </w:tcPr>
          <w:p>
            <w:pPr>
              <w:spacing w:after="0"/>
              <w:rPr>
                <w:sz w:val="20"/>
                <w:szCs w:val="20"/>
                <w:color w:val="auto"/>
              </w:rPr>
            </w:pPr>
            <w:r>
              <w:rPr>
                <w:rFonts w:ascii="Arial" w:cs="Arial" w:eastAsia="Arial" w:hAnsi="Arial"/>
                <w:sz w:val="16"/>
                <w:szCs w:val="16"/>
                <w:color w:val="auto"/>
              </w:rPr>
              <w:t>Other debt</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682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34,963</w:t>
            </w: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65,347</w:t>
            </w:r>
          </w:p>
        </w:tc>
        <w:tc>
          <w:tcPr>
            <w:tcW w:w="100" w:type="dxa"/>
            <w:vAlign w:val="bottom"/>
            <w:shd w:val="clear" w:color="auto" w:fill="CCEEFF"/>
          </w:tcPr>
          <w:p>
            <w:pPr>
              <w:spacing w:after="0"/>
              <w:rPr>
                <w:sz w:val="17"/>
                <w:szCs w:val="17"/>
                <w:color w:val="auto"/>
              </w:rPr>
            </w:pPr>
          </w:p>
        </w:tc>
      </w:tr>
      <w:tr>
        <w:trPr>
          <w:trHeight w:val="203"/>
        </w:trPr>
        <w:tc>
          <w:tcPr>
            <w:tcW w:w="9340" w:type="dxa"/>
            <w:vAlign w:val="bottom"/>
          </w:tcPr>
          <w:p>
            <w:pPr>
              <w:spacing w:after="0"/>
              <w:rPr>
                <w:sz w:val="20"/>
                <w:szCs w:val="20"/>
                <w:color w:val="auto"/>
              </w:rPr>
            </w:pPr>
            <w:r>
              <w:rPr>
                <w:rFonts w:ascii="Arial" w:cs="Arial" w:eastAsia="Arial" w:hAnsi="Arial"/>
                <w:sz w:val="16"/>
                <w:szCs w:val="16"/>
                <w:color w:val="auto"/>
              </w:rPr>
              <w:t>Commitments and contingencies (Note 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Stockholders’/Members’ equity (deficit):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340" w:type="dxa"/>
            <w:vAlign w:val="bottom"/>
          </w:tcPr>
          <w:p>
            <w:pPr>
              <w:ind w:left="320"/>
              <w:spacing w:after="0"/>
              <w:rPr>
                <w:sz w:val="20"/>
                <w:szCs w:val="20"/>
                <w:color w:val="auto"/>
              </w:rPr>
            </w:pPr>
            <w:r>
              <w:rPr>
                <w:rFonts w:ascii="Arial" w:cs="Arial" w:eastAsia="Arial" w:hAnsi="Arial"/>
                <w:sz w:val="16"/>
                <w:szCs w:val="16"/>
                <w:color w:val="auto"/>
              </w:rPr>
              <w:t>Class C preferred units — 0 units and 23,968,178 units issued and outstanding at December 31, 2020 and 2019, respectively</w:t>
            </w:r>
          </w:p>
        </w:tc>
        <w:tc>
          <w:tcPr>
            <w:tcW w:w="8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89,345</w:t>
            </w:r>
          </w:p>
        </w:tc>
        <w:tc>
          <w:tcPr>
            <w:tcW w:w="100" w:type="dxa"/>
            <w:vAlign w:val="bottom"/>
          </w:tcPr>
          <w:p>
            <w:pPr>
              <w:spacing w:after="0"/>
              <w:rPr>
                <w:sz w:val="17"/>
                <w:szCs w:val="17"/>
                <w:color w:val="auto"/>
              </w:rPr>
            </w:pPr>
          </w:p>
        </w:tc>
      </w:tr>
      <w:tr>
        <w:trPr>
          <w:trHeight w:val="203"/>
        </w:trPr>
        <w:tc>
          <w:tcPr>
            <w:tcW w:w="9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Class A units — 0 units and 54,600,000 units issued and outstanding at December 31, 2020 and 2019, respectively</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7"/>
                <w:szCs w:val="17"/>
                <w:color w:val="auto"/>
              </w:rPr>
            </w:pPr>
          </w:p>
        </w:tc>
      </w:tr>
      <w:tr>
        <w:trPr>
          <w:trHeight w:val="193"/>
        </w:trPr>
        <w:tc>
          <w:tcPr>
            <w:tcW w:w="9340" w:type="dxa"/>
            <w:vAlign w:val="bottom"/>
          </w:tcPr>
          <w:p>
            <w:pPr>
              <w:ind w:left="320"/>
              <w:spacing w:after="0"/>
              <w:rPr>
                <w:sz w:val="20"/>
                <w:szCs w:val="20"/>
                <w:color w:val="auto"/>
              </w:rPr>
            </w:pPr>
            <w:r>
              <w:rPr>
                <w:rFonts w:ascii="Arial" w:cs="Arial" w:eastAsia="Arial" w:hAnsi="Arial"/>
                <w:sz w:val="16"/>
                <w:szCs w:val="16"/>
                <w:color w:val="auto"/>
                <w:w w:val="92"/>
              </w:rPr>
              <w:t>Preferred stock, $0.0001 par value; 200,000,000 shares and 0 shares authorized at December 31, 2020 and 2019, respectively; 0 shares</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9340" w:type="dxa"/>
            <w:vAlign w:val="bottom"/>
          </w:tcPr>
          <w:p>
            <w:pPr>
              <w:ind w:left="480"/>
              <w:spacing w:after="0"/>
              <w:rPr>
                <w:sz w:val="20"/>
                <w:szCs w:val="20"/>
                <w:color w:val="auto"/>
              </w:rPr>
            </w:pPr>
            <w:r>
              <w:rPr>
                <w:rFonts w:ascii="Arial" w:cs="Arial" w:eastAsia="Arial" w:hAnsi="Arial"/>
                <w:sz w:val="16"/>
                <w:szCs w:val="16"/>
                <w:color w:val="auto"/>
              </w:rPr>
              <w:t>issued and outstanding at December 31, 2020 and 2019</w:t>
            </w:r>
          </w:p>
        </w:tc>
        <w:tc>
          <w:tcPr>
            <w:tcW w:w="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96"/>
        </w:trPr>
        <w:tc>
          <w:tcPr>
            <w:tcW w:w="93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Common stock, $0.0001 par value; 350,000,000 shares and 0 shares authorized at December 31, 2020 and 2019, respectively;</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9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32,171,560 shares and 0 shares issued and outstanding at December 31, 2020 and 2019, respectively</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93"/>
        </w:trPr>
        <w:tc>
          <w:tcPr>
            <w:tcW w:w="9340" w:type="dxa"/>
            <w:vAlign w:val="bottom"/>
          </w:tcPr>
          <w:p>
            <w:pPr>
              <w:ind w:left="320"/>
              <w:spacing w:after="0"/>
              <w:rPr>
                <w:sz w:val="20"/>
                <w:szCs w:val="20"/>
                <w:color w:val="auto"/>
              </w:rPr>
            </w:pPr>
            <w:r>
              <w:rPr>
                <w:rFonts w:ascii="Arial" w:cs="Arial" w:eastAsia="Arial" w:hAnsi="Arial"/>
                <w:sz w:val="16"/>
                <w:szCs w:val="16"/>
                <w:color w:val="auto"/>
                <w:w w:val="94"/>
              </w:rPr>
              <w:t>Class B common stock, $0.0001 par value; 15,368,569 shares and 0 shares authorized at December 31, 2020 and 2019, respectively;</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9340" w:type="dxa"/>
            <w:vAlign w:val="bottom"/>
          </w:tcPr>
          <w:p>
            <w:pPr>
              <w:ind w:left="480"/>
              <w:spacing w:after="0"/>
              <w:rPr>
                <w:sz w:val="20"/>
                <w:szCs w:val="20"/>
                <w:color w:val="auto"/>
              </w:rPr>
            </w:pPr>
            <w:r>
              <w:rPr>
                <w:rFonts w:ascii="Arial" w:cs="Arial" w:eastAsia="Arial" w:hAnsi="Arial"/>
                <w:sz w:val="16"/>
                <w:szCs w:val="16"/>
                <w:color w:val="auto"/>
              </w:rPr>
              <w:t>1,492,059 shares and 0 shares issued and outstanding at December 31, 2020 and 2019, respectively</w:t>
            </w:r>
          </w:p>
        </w:tc>
        <w:tc>
          <w:tcPr>
            <w:tcW w:w="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5"/>
        </w:trPr>
        <w:tc>
          <w:tcPr>
            <w:tcW w:w="9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300,888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100" w:type="dxa"/>
            <w:vAlign w:val="bottom"/>
            <w:shd w:val="clear" w:color="auto" w:fill="CCEEFF"/>
          </w:tcPr>
          <w:p>
            <w:pPr>
              <w:spacing w:after="0"/>
              <w:rPr>
                <w:sz w:val="17"/>
                <w:szCs w:val="17"/>
                <w:color w:val="auto"/>
              </w:rPr>
            </w:pPr>
          </w:p>
        </w:tc>
      </w:tr>
      <w:tr>
        <w:trPr>
          <w:trHeight w:val="203"/>
        </w:trPr>
        <w:tc>
          <w:tcPr>
            <w:tcW w:w="934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w w:val="93"/>
              </w:rPr>
              <w:t>(90,917)</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(148,354)</w:t>
            </w:r>
          </w:p>
        </w:tc>
      </w:tr>
      <w:tr>
        <w:trPr>
          <w:trHeight w:val="27"/>
        </w:trPr>
        <w:tc>
          <w:tcPr>
            <w:tcW w:w="9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stockholders’/members’ equity (deficit)—BioAtla, Inc. /BioAtla LLC</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209,974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(55,964)</w:t>
            </w:r>
          </w:p>
        </w:tc>
      </w:tr>
      <w:tr>
        <w:trPr>
          <w:trHeight w:val="203"/>
        </w:trPr>
        <w:tc>
          <w:tcPr>
            <w:tcW w:w="934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(47)</w:t>
            </w:r>
          </w:p>
        </w:tc>
      </w:tr>
      <w:tr>
        <w:trPr>
          <w:trHeight w:val="27"/>
        </w:trPr>
        <w:tc>
          <w:tcPr>
            <w:tcW w:w="9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2"/>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stockholders’/members’ equity (deficit)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209,974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(56,011)</w:t>
            </w:r>
          </w:p>
        </w:tc>
      </w:tr>
      <w:tr>
        <w:trPr>
          <w:trHeight w:val="207"/>
        </w:trPr>
        <w:tc>
          <w:tcPr>
            <w:tcW w:w="9340" w:type="dxa"/>
            <w:vAlign w:val="bottom"/>
          </w:tcPr>
          <w:p>
            <w:pPr>
              <w:spacing w:after="0"/>
              <w:rPr>
                <w:sz w:val="20"/>
                <w:szCs w:val="20"/>
                <w:color w:val="auto"/>
              </w:rPr>
            </w:pPr>
            <w:r>
              <w:rPr>
                <w:rFonts w:ascii="Arial" w:cs="Arial" w:eastAsia="Arial" w:hAnsi="Arial"/>
                <w:sz w:val="16"/>
                <w:szCs w:val="16"/>
                <w:color w:val="auto"/>
              </w:rPr>
              <w:t>Total liabilities and stockholders’/members’ equity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244,937</w:t>
            </w:r>
          </w:p>
        </w:tc>
        <w:tc>
          <w:tcPr>
            <w:tcW w:w="3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9,336</w:t>
            </w:r>
          </w:p>
        </w:tc>
        <w:tc>
          <w:tcPr>
            <w:tcW w:w="100" w:type="dxa"/>
            <w:vAlign w:val="bottom"/>
          </w:tcPr>
          <w:p>
            <w:pPr>
              <w:spacing w:after="0"/>
              <w:rPr>
                <w:sz w:val="17"/>
                <w:szCs w:val="17"/>
                <w:color w:val="auto"/>
              </w:rPr>
            </w:pPr>
          </w:p>
        </w:tc>
      </w:tr>
      <w:tr>
        <w:trPr>
          <w:trHeight w:val="20"/>
        </w:trPr>
        <w:tc>
          <w:tcPr>
            <w:tcW w:w="9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share/unit and per share/unit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0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Research and development expense (includes related party amounts of $0 and $1,885, respectively)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19,933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25,919</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w w:val="99"/>
              </w:rPr>
              <w:t>General and administrative expense (includes related party amounts of $0 and $15, respectively)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7,549</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33,468</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1"/>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(includes related party amounts of $147 and $52, respectively)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Change in fair value of derivative liability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(1,581)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Extinguishment of convertible debt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Consolidated net loss and comprehensive loss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Net loss attributable to BioAtla, Inc./BioAtla LLC</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(35,853</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 allocable to Class C preferred unit holders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9,089</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Class C preferred return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Class A unit holders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(28,731)</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Net loss per unit attributable to Class A unit holders, basic and diluted</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Class A units outstanding, basic and diluted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54,600,000</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 xml:space="preserve">Net loss per common share, basic and diluted </w:t>
            </w:r>
            <w:r>
              <w:rPr>
                <w:rFonts w:ascii="Arial" w:cs="Arial" w:eastAsia="Arial" w:hAnsi="Arial"/>
                <w:sz w:val="15"/>
                <w:szCs w:val="15"/>
                <w:color w:val="auto"/>
              </w:rPr>
              <w:t>(1)</w:t>
            </w: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Weighted-average shares of common stock outstanding, basic and diluted </w:t>
            </w:r>
            <w:r>
              <w:rPr>
                <w:rFonts w:ascii="Arial" w:cs="Arial" w:eastAsia="Arial" w:hAnsi="Arial"/>
                <w:sz w:val="15"/>
                <w:szCs w:val="15"/>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9"/>
              </w:rPr>
              <w:t>8,428,153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0" w:hanging="424"/>
        <w:spacing w:after="0" w:line="277" w:lineRule="auto"/>
        <w:tabs>
          <w:tab w:leader="none" w:pos="540" w:val="left"/>
        </w:tabs>
        <w:numPr>
          <w:ilvl w:val="0"/>
          <w:numId w:val="65"/>
        </w:numPr>
        <w:rPr>
          <w:rFonts w:ascii="Arial" w:cs="Arial" w:eastAsia="Arial" w:hAnsi="Arial"/>
          <w:sz w:val="15"/>
          <w:szCs w:val="15"/>
          <w:color w:val="auto"/>
        </w:rPr>
      </w:pPr>
      <w:r>
        <w:rPr>
          <w:rFonts w:ascii="Arial" w:cs="Arial" w:eastAsia="Arial" w:hAnsi="Arial"/>
          <w:sz w:val="18"/>
          <w:szCs w:val="18"/>
          <w:color w:val="auto"/>
        </w:rPr>
        <w:t>The net loss attributable to common stockholders and related per share amounts are based on the period from July 10, 2020 to December 31, 2020, the period where the Company had outstanding common stock (see Note 1).</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stockholders’/members’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share/unit amounts)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1420" w:type="dxa"/>
            <w:vAlign w:val="bottom"/>
            <w:gridSpan w:val="6"/>
            <w:vMerge w:val="restart"/>
          </w:tcPr>
          <w:p>
            <w:pPr>
              <w:jc w:val="right"/>
              <w:ind w:right="220"/>
              <w:spacing w:after="0"/>
              <w:rPr>
                <w:sz w:val="20"/>
                <w:szCs w:val="20"/>
                <w:color w:val="auto"/>
              </w:rPr>
            </w:pPr>
            <w:r>
              <w:rPr>
                <w:rFonts w:ascii="Arial" w:cs="Arial" w:eastAsia="Arial" w:hAnsi="Arial"/>
                <w:sz w:val="13"/>
                <w:szCs w:val="13"/>
                <w:b w:val="1"/>
                <w:bCs w:val="1"/>
                <w:color w:val="auto"/>
                <w:w w:val="94"/>
              </w:rPr>
              <w:t>Series D convertible</w:t>
            </w:r>
          </w:p>
        </w:tc>
        <w:tc>
          <w:tcPr>
            <w:tcW w:w="1400" w:type="dxa"/>
            <w:vAlign w:val="bottom"/>
            <w:gridSpan w:val="6"/>
            <w:vMerge w:val="restart"/>
          </w:tcPr>
          <w:p>
            <w:pPr>
              <w:jc w:val="right"/>
              <w:ind w:right="300"/>
              <w:spacing w:after="0"/>
              <w:rPr>
                <w:sz w:val="20"/>
                <w:szCs w:val="20"/>
                <w:color w:val="auto"/>
              </w:rPr>
            </w:pPr>
            <w:r>
              <w:rPr>
                <w:rFonts w:ascii="Arial" w:cs="Arial" w:eastAsia="Arial" w:hAnsi="Arial"/>
                <w:sz w:val="13"/>
                <w:szCs w:val="13"/>
                <w:b w:val="1"/>
                <w:bCs w:val="1"/>
                <w:color w:val="auto"/>
                <w:w w:val="99"/>
              </w:rPr>
              <w:t>Class C preferred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vMerge w:val="restart"/>
          </w:tcPr>
          <w:p>
            <w:pPr>
              <w:ind w:left="340"/>
              <w:spacing w:after="0"/>
              <w:rPr>
                <w:sz w:val="20"/>
                <w:szCs w:val="20"/>
                <w:color w:val="auto"/>
              </w:rPr>
            </w:pPr>
            <w:r>
              <w:rPr>
                <w:rFonts w:ascii="Arial" w:cs="Arial" w:eastAsia="Arial" w:hAnsi="Arial"/>
                <w:sz w:val="13"/>
                <w:szCs w:val="13"/>
                <w:b w:val="1"/>
                <w:bCs w:val="1"/>
                <w:color w:val="auto"/>
                <w:w w:val="96"/>
              </w:rPr>
              <w:t>Class B</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420" w:type="dxa"/>
            <w:vAlign w:val="bottom"/>
            <w:gridSpan w:val="6"/>
            <w:vMerge w:val="continue"/>
          </w:tcPr>
          <w:p>
            <w:pPr>
              <w:spacing w:after="0"/>
              <w:rPr>
                <w:sz w:val="5"/>
                <w:szCs w:val="5"/>
                <w:color w:val="auto"/>
              </w:rPr>
            </w:pPr>
          </w:p>
        </w:tc>
        <w:tc>
          <w:tcPr>
            <w:tcW w:w="1400" w:type="dxa"/>
            <w:vAlign w:val="bottom"/>
            <w:gridSpan w:val="6"/>
            <w:vMerge w:val="continue"/>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restart"/>
          </w:tcPr>
          <w:p>
            <w:pPr>
              <w:jc w:val="right"/>
              <w:ind w:right="240"/>
              <w:spacing w:after="0" w:line="135" w:lineRule="exact"/>
              <w:rPr>
                <w:sz w:val="20"/>
                <w:szCs w:val="20"/>
                <w:color w:val="auto"/>
              </w:rPr>
            </w:pPr>
            <w:r>
              <w:rPr>
                <w:rFonts w:ascii="Arial" w:cs="Arial" w:eastAsia="Arial" w:hAnsi="Arial"/>
                <w:sz w:val="13"/>
                <w:szCs w:val="13"/>
                <w:b w:val="1"/>
                <w:bCs w:val="1"/>
                <w:color w:val="auto"/>
              </w:rPr>
              <w:t>Non-</w:t>
            </w:r>
          </w:p>
        </w:tc>
        <w:tc>
          <w:tcPr>
            <w:tcW w:w="60" w:type="dxa"/>
            <w:vAlign w:val="bottom"/>
          </w:tcPr>
          <w:p>
            <w:pPr>
              <w:spacing w:after="0"/>
              <w:rPr>
                <w:sz w:val="5"/>
                <w:szCs w:val="5"/>
                <w:color w:val="auto"/>
              </w:rPr>
            </w:pPr>
          </w:p>
        </w:tc>
        <w:tc>
          <w:tcPr>
            <w:tcW w:w="88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420" w:type="dxa"/>
            <w:vAlign w:val="bottom"/>
            <w:gridSpan w:val="6"/>
            <w:vMerge w:val="restart"/>
          </w:tcPr>
          <w:p>
            <w:pPr>
              <w:jc w:val="right"/>
              <w:ind w:right="360"/>
              <w:spacing w:after="0"/>
              <w:rPr>
                <w:sz w:val="20"/>
                <w:szCs w:val="20"/>
                <w:color w:val="auto"/>
              </w:rPr>
            </w:pPr>
            <w:r>
              <w:rPr>
                <w:rFonts w:ascii="Arial" w:cs="Arial" w:eastAsia="Arial" w:hAnsi="Arial"/>
                <w:sz w:val="13"/>
                <w:szCs w:val="13"/>
                <w:b w:val="1"/>
                <w:bCs w:val="1"/>
                <w:color w:val="auto"/>
              </w:rPr>
              <w:t>preferred stock</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units</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3"/>
            <w:vMerge w:val="restart"/>
          </w:tcPr>
          <w:p>
            <w:pPr>
              <w:ind w:left="260"/>
              <w:spacing w:after="0"/>
              <w:rPr>
                <w:sz w:val="20"/>
                <w:szCs w:val="20"/>
                <w:color w:val="auto"/>
              </w:rPr>
            </w:pPr>
            <w:r>
              <w:rPr>
                <w:rFonts w:ascii="Arial" w:cs="Arial" w:eastAsia="Arial" w:hAnsi="Arial"/>
                <w:sz w:val="13"/>
                <w:szCs w:val="13"/>
                <w:b w:val="1"/>
                <w:bCs w:val="1"/>
                <w:color w:val="auto"/>
                <w:w w:val="84"/>
              </w:rPr>
              <w:t>Class A units</w:t>
            </w: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6"/>
            <w:vMerge w:val="restart"/>
          </w:tcPr>
          <w:p>
            <w:pPr>
              <w:ind w:left="180"/>
              <w:spacing w:after="0"/>
              <w:rPr>
                <w:sz w:val="20"/>
                <w:szCs w:val="20"/>
                <w:color w:val="auto"/>
              </w:rPr>
            </w:pPr>
            <w:r>
              <w:rPr>
                <w:rFonts w:ascii="Arial" w:cs="Arial" w:eastAsia="Arial" w:hAnsi="Arial"/>
                <w:sz w:val="13"/>
                <w:szCs w:val="13"/>
                <w:b w:val="1"/>
                <w:bCs w:val="1"/>
                <w:color w:val="auto"/>
              </w:rPr>
              <w:t>Common stock</w:t>
            </w:r>
          </w:p>
        </w:tc>
        <w:tc>
          <w:tcPr>
            <w:tcW w:w="1080" w:type="dxa"/>
            <w:vAlign w:val="bottom"/>
            <w:gridSpan w:val="5"/>
            <w:vMerge w:val="restart"/>
          </w:tcPr>
          <w:p>
            <w:pPr>
              <w:ind w:left="160"/>
              <w:spacing w:after="0"/>
              <w:rPr>
                <w:sz w:val="20"/>
                <w:szCs w:val="20"/>
                <w:color w:val="auto"/>
              </w:rPr>
            </w:pPr>
            <w:r>
              <w:rPr>
                <w:rFonts w:ascii="Arial" w:cs="Arial" w:eastAsia="Arial" w:hAnsi="Arial"/>
                <w:sz w:val="13"/>
                <w:szCs w:val="13"/>
                <w:b w:val="1"/>
                <w:bCs w:val="1"/>
                <w:color w:val="auto"/>
                <w:w w:val="98"/>
              </w:rPr>
              <w:t>common stock</w:t>
            </w:r>
          </w:p>
        </w:tc>
        <w:tc>
          <w:tcPr>
            <w:tcW w:w="1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220" w:type="dxa"/>
            <w:vAlign w:val="bottom"/>
          </w:tcPr>
          <w:p>
            <w:pPr>
              <w:spacing w:after="0"/>
              <w:rPr>
                <w:sz w:val="7"/>
                <w:szCs w:val="7"/>
                <w:color w:val="auto"/>
              </w:rPr>
            </w:pPr>
          </w:p>
        </w:tc>
        <w:tc>
          <w:tcPr>
            <w:tcW w:w="1420" w:type="dxa"/>
            <w:vAlign w:val="bottom"/>
            <w:gridSpan w:val="6"/>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6"/>
            <w:vMerge w:val="continue"/>
          </w:tcPr>
          <w:p>
            <w:pPr>
              <w:spacing w:after="0"/>
              <w:rPr>
                <w:sz w:val="7"/>
                <w:szCs w:val="7"/>
                <w:color w:val="auto"/>
              </w:rPr>
            </w:pPr>
          </w:p>
        </w:tc>
        <w:tc>
          <w:tcPr>
            <w:tcW w:w="10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jc w:val="right"/>
              <w:ind w:right="240"/>
              <w:spacing w:after="0" w:line="135" w:lineRule="exact"/>
              <w:rPr>
                <w:sz w:val="20"/>
                <w:szCs w:val="20"/>
                <w:color w:val="auto"/>
              </w:rPr>
            </w:pPr>
            <w:r>
              <w:rPr>
                <w:rFonts w:ascii="Arial" w:cs="Arial" w:eastAsia="Arial" w:hAnsi="Arial"/>
                <w:sz w:val="13"/>
                <w:szCs w:val="13"/>
                <w:b w:val="1"/>
                <w:bCs w:val="1"/>
                <w:color w:val="auto"/>
                <w:w w:val="89"/>
              </w:rPr>
              <w:t>paid-in</w:t>
            </w:r>
          </w:p>
        </w:tc>
        <w:tc>
          <w:tcPr>
            <w:tcW w:w="80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w w:val="95"/>
              </w:rPr>
              <w:t>Accumulated</w:t>
            </w:r>
          </w:p>
        </w:tc>
        <w:tc>
          <w:tcPr>
            <w:tcW w:w="40" w:type="dxa"/>
            <w:vAlign w:val="bottom"/>
          </w:tcPr>
          <w:p>
            <w:pPr>
              <w:spacing w:after="0"/>
              <w:rPr>
                <w:sz w:val="7"/>
                <w:szCs w:val="7"/>
                <w:color w:val="auto"/>
              </w:rPr>
            </w:pPr>
          </w:p>
        </w:tc>
        <w:tc>
          <w:tcPr>
            <w:tcW w:w="68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w w:val="98"/>
              </w:rPr>
              <w:t>controlling</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right"/>
              <w:ind w:right="220"/>
              <w:spacing w:after="0" w:line="135" w:lineRule="exact"/>
              <w:rPr>
                <w:sz w:val="20"/>
                <w:szCs w:val="20"/>
                <w:color w:val="auto"/>
              </w:rPr>
            </w:pPr>
            <w:r>
              <w:rPr>
                <w:rFonts w:ascii="Arial" w:cs="Arial" w:eastAsia="Arial" w:hAnsi="Arial"/>
                <w:sz w:val="13"/>
                <w:szCs w:val="13"/>
                <w:b w:val="1"/>
                <w:bCs w:val="1"/>
                <w:color w:val="auto"/>
                <w:w w:val="87"/>
              </w:rPr>
              <w:t>members’</w:t>
            </w:r>
          </w:p>
        </w:tc>
        <w:tc>
          <w:tcPr>
            <w:tcW w:w="0" w:type="dxa"/>
            <w:vAlign w:val="bottom"/>
          </w:tcPr>
          <w:p>
            <w:pPr>
              <w:spacing w:after="0"/>
              <w:rPr>
                <w:sz w:val="1"/>
                <w:szCs w:val="1"/>
                <w:color w:val="auto"/>
              </w:rPr>
            </w:pPr>
          </w:p>
        </w:tc>
      </w:tr>
      <w:tr>
        <w:trPr>
          <w:trHeight w:val="29"/>
        </w:trPr>
        <w:tc>
          <w:tcPr>
            <w:tcW w:w="12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2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Units</w:t>
            </w:r>
          </w:p>
        </w:tc>
        <w:tc>
          <w:tcPr>
            <w:tcW w:w="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Units</w:t>
            </w: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6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5"/>
              </w:rPr>
              <w:t>Amount</w:t>
            </w:r>
          </w:p>
        </w:tc>
        <w:tc>
          <w:tcPr>
            <w:tcW w:w="60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9"/>
              </w:rPr>
              <w:t>deficit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5"/>
              </w:rPr>
              <w:t>interest</w:t>
            </w:r>
          </w:p>
        </w:tc>
        <w:tc>
          <w:tcPr>
            <w:tcW w:w="6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6"/>
              </w:rPr>
              <w:t>equity (deficit)</w:t>
            </w:r>
          </w:p>
        </w:tc>
        <w:tc>
          <w:tcPr>
            <w:tcW w:w="0" w:type="dxa"/>
            <w:vAlign w:val="bottom"/>
          </w:tcPr>
          <w:p>
            <w:pPr>
              <w:spacing w:after="0"/>
              <w:rPr>
                <w:sz w:val="1"/>
                <w:szCs w:val="1"/>
                <w:color w:val="auto"/>
              </w:rPr>
            </w:pPr>
          </w:p>
        </w:tc>
      </w:tr>
      <w:tr>
        <w:trPr>
          <w:trHeight w:val="101"/>
        </w:trPr>
        <w:tc>
          <w:tcPr>
            <w:tcW w:w="122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Balance at</w:t>
            </w: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4"/>
              </w:rPr>
              <w:t>December 31, 2018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23,968,178</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89,345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54,600,000</w:t>
            </w: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750</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(118,560)</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(28,446)</w:t>
            </w:r>
          </w:p>
        </w:tc>
        <w:tc>
          <w:tcPr>
            <w:tcW w:w="0" w:type="dxa"/>
            <w:vAlign w:val="bottom"/>
          </w:tcPr>
          <w:p>
            <w:pPr>
              <w:spacing w:after="0"/>
              <w:rPr>
                <w:sz w:val="1"/>
                <w:szCs w:val="1"/>
                <w:color w:val="auto"/>
              </w:rPr>
            </w:pPr>
          </w:p>
        </w:tc>
      </w:tr>
      <w:tr>
        <w:trPr>
          <w:trHeight w:val="121"/>
        </w:trPr>
        <w:tc>
          <w:tcPr>
            <w:tcW w:w="1220" w:type="dxa"/>
            <w:vAlign w:val="bottom"/>
          </w:tcPr>
          <w:p>
            <w:pPr>
              <w:ind w:left="240"/>
              <w:spacing w:after="0" w:line="121" w:lineRule="exact"/>
              <w:rPr>
                <w:sz w:val="20"/>
                <w:szCs w:val="20"/>
                <w:color w:val="auto"/>
              </w:rPr>
            </w:pPr>
            <w:r>
              <w:rPr>
                <w:rFonts w:ascii="Arial" w:cs="Arial" w:eastAsia="Arial" w:hAnsi="Arial"/>
                <w:sz w:val="13"/>
                <w:szCs w:val="13"/>
                <w:color w:val="auto"/>
              </w:rPr>
              <w:t>Noncontrolling</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380"/>
              <w:spacing w:after="0"/>
              <w:rPr>
                <w:sz w:val="20"/>
                <w:szCs w:val="20"/>
                <w:color w:val="auto"/>
              </w:rPr>
            </w:pPr>
            <w:r>
              <w:rPr>
                <w:rFonts w:ascii="Arial" w:cs="Arial" w:eastAsia="Arial" w:hAnsi="Arial"/>
                <w:sz w:val="13"/>
                <w:szCs w:val="13"/>
                <w:color w:val="auto"/>
              </w:rPr>
              <w:t>interest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21"/>
        </w:trPr>
        <w:tc>
          <w:tcPr>
            <w:tcW w:w="122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Warrants issued</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by affiliates in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w w:val="91"/>
              </w:rPr>
              <w:t>connection with</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w w:val="97"/>
              </w:rPr>
              <w:t>modification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convertible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promissory</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notes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764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764</w:t>
            </w:r>
          </w:p>
        </w:tc>
        <w:tc>
          <w:tcPr>
            <w:tcW w:w="0" w:type="dxa"/>
            <w:vAlign w:val="bottom"/>
          </w:tcPr>
          <w:p>
            <w:pPr>
              <w:spacing w:after="0"/>
              <w:rPr>
                <w:sz w:val="1"/>
                <w:szCs w:val="1"/>
                <w:color w:val="auto"/>
              </w:rPr>
            </w:pPr>
          </w:p>
        </w:tc>
      </w:tr>
      <w:tr>
        <w:trPr>
          <w:trHeight w:val="121"/>
        </w:trPr>
        <w:tc>
          <w:tcPr>
            <w:tcW w:w="1220" w:type="dxa"/>
            <w:vAlign w:val="bottom"/>
          </w:tcPr>
          <w:p>
            <w:pPr>
              <w:ind w:left="240"/>
              <w:spacing w:after="0" w:line="121" w:lineRule="exact"/>
              <w:rPr>
                <w:sz w:val="20"/>
                <w:szCs w:val="20"/>
                <w:color w:val="auto"/>
              </w:rPr>
            </w:pPr>
            <w:r>
              <w:rPr>
                <w:rFonts w:ascii="Arial" w:cs="Arial" w:eastAsia="Arial" w:hAnsi="Arial"/>
                <w:sz w:val="13"/>
                <w:szCs w:val="13"/>
                <w:color w:val="auto"/>
              </w:rPr>
              <w:t>Assumption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w w:val="89"/>
              </w:rPr>
              <w:t>unvested profits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w w:val="96"/>
              </w:rPr>
              <w:t>interest liability</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380"/>
              <w:spacing w:after="0"/>
              <w:rPr>
                <w:sz w:val="20"/>
                <w:szCs w:val="20"/>
                <w:color w:val="auto"/>
              </w:rPr>
            </w:pPr>
            <w:r>
              <w:rPr>
                <w:rFonts w:ascii="Arial" w:cs="Arial" w:eastAsia="Arial" w:hAnsi="Arial"/>
                <w:sz w:val="13"/>
                <w:szCs w:val="13"/>
                <w:color w:val="auto"/>
              </w:rPr>
              <w:t>by affiliates</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21"/>
        </w:trPr>
        <w:tc>
          <w:tcPr>
            <w:tcW w:w="122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Assumption of</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vested profits</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w w:val="96"/>
              </w:rPr>
              <w:t>interest liability</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by affiliates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800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21"/>
        </w:trPr>
        <w:tc>
          <w:tcPr>
            <w:tcW w:w="1220" w:type="dxa"/>
            <w:vAlign w:val="bottom"/>
          </w:tcPr>
          <w:p>
            <w:pPr>
              <w:ind w:left="240"/>
              <w:spacing w:after="0" w:line="121" w:lineRule="exact"/>
              <w:rPr>
                <w:sz w:val="20"/>
                <w:szCs w:val="20"/>
                <w:color w:val="auto"/>
              </w:rPr>
            </w:pPr>
            <w:r>
              <w:rPr>
                <w:rFonts w:ascii="Arial" w:cs="Arial" w:eastAsia="Arial" w:hAnsi="Arial"/>
                <w:sz w:val="13"/>
                <w:szCs w:val="13"/>
                <w:color w:val="auto"/>
              </w:rPr>
              <w:t>Beneficial</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rPr>
              <w:t>conversion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rPr>
              <w:t>feature in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rPr>
              <w:t>convertible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rPr>
              <w:t>promissory</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380"/>
              <w:spacing w:after="0"/>
              <w:rPr>
                <w:sz w:val="20"/>
                <w:szCs w:val="20"/>
                <w:color w:val="auto"/>
              </w:rPr>
            </w:pPr>
            <w:r>
              <w:rPr>
                <w:rFonts w:ascii="Arial" w:cs="Arial" w:eastAsia="Arial" w:hAnsi="Arial"/>
                <w:sz w:val="13"/>
                <w:szCs w:val="13"/>
                <w:color w:val="auto"/>
              </w:rPr>
              <w:t>notes</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534</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534</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Net loss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(29,794)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(29,855)</w:t>
            </w:r>
          </w:p>
        </w:tc>
        <w:tc>
          <w:tcPr>
            <w:tcW w:w="0" w:type="dxa"/>
            <w:vAlign w:val="bottom"/>
          </w:tcPr>
          <w:p>
            <w:pPr>
              <w:spacing w:after="0"/>
              <w:rPr>
                <w:sz w:val="1"/>
                <w:szCs w:val="1"/>
                <w:color w:val="auto"/>
              </w:rPr>
            </w:pPr>
          </w:p>
        </w:tc>
      </w:tr>
      <w:tr>
        <w:trPr>
          <w:trHeight w:val="128"/>
        </w:trPr>
        <w:tc>
          <w:tcPr>
            <w:tcW w:w="1220" w:type="dxa"/>
            <w:vAlign w:val="bottom"/>
          </w:tcPr>
          <w:p>
            <w:pPr>
              <w:spacing w:after="0" w:line="128" w:lineRule="exact"/>
              <w:rPr>
                <w:sz w:val="20"/>
                <w:szCs w:val="20"/>
                <w:color w:val="auto"/>
              </w:rPr>
            </w:pPr>
            <w:r>
              <w:rPr>
                <w:rFonts w:ascii="Arial" w:cs="Arial" w:eastAsia="Arial" w:hAnsi="Arial"/>
                <w:sz w:val="13"/>
                <w:szCs w:val="13"/>
                <w:color w:val="auto"/>
              </w:rPr>
              <w:t>Balance at</w:t>
            </w: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20"/>
              <w:spacing w:after="0"/>
              <w:rPr>
                <w:sz w:val="20"/>
                <w:szCs w:val="20"/>
                <w:color w:val="auto"/>
              </w:rPr>
            </w:pPr>
            <w:r>
              <w:rPr>
                <w:rFonts w:ascii="Arial" w:cs="Arial" w:eastAsia="Arial" w:hAnsi="Arial"/>
                <w:sz w:val="13"/>
                <w:szCs w:val="13"/>
                <w:color w:val="auto"/>
                <w:w w:val="94"/>
              </w:rPr>
              <w:t>December 31, 2019</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23,968,178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w w:val="95"/>
              </w:rPr>
              <w:t>89,345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54,600,000</w:t>
            </w:r>
          </w:p>
        </w:tc>
        <w:tc>
          <w:tcPr>
            <w:tcW w:w="200" w:type="dxa"/>
            <w:vAlign w:val="bottom"/>
          </w:tcPr>
          <w:p>
            <w:pPr>
              <w:spacing w:after="0"/>
              <w:rPr>
                <w:sz w:val="12"/>
                <w:szCs w:val="12"/>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750</w:t>
            </w:r>
          </w:p>
        </w:tc>
        <w:tc>
          <w:tcPr>
            <w:tcW w:w="66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2,295</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(148,354)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(56,011)</w:t>
            </w:r>
          </w:p>
        </w:tc>
        <w:tc>
          <w:tcPr>
            <w:tcW w:w="0" w:type="dxa"/>
            <w:vAlign w:val="bottom"/>
          </w:tcPr>
          <w:p>
            <w:pPr>
              <w:spacing w:after="0"/>
              <w:rPr>
                <w:sz w:val="1"/>
                <w:szCs w:val="1"/>
                <w:color w:val="auto"/>
              </w:rPr>
            </w:pPr>
          </w:p>
        </w:tc>
      </w:tr>
      <w:tr>
        <w:trPr>
          <w:trHeight w:val="121"/>
        </w:trPr>
        <w:tc>
          <w:tcPr>
            <w:tcW w:w="122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89"/>
              </w:rPr>
              <w:t>Issuance of Series</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D convertible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w w:val="94"/>
              </w:rPr>
              <w:t>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w w:val="95"/>
              </w:rPr>
              <w:t>for cash, net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$4,317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6"/>
              </w:rPr>
              <w:t>issuance costs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140,626,711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5"/>
              </w:rPr>
              <w:t>68,183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220" w:type="dxa"/>
            <w:vAlign w:val="bottom"/>
          </w:tcPr>
          <w:p>
            <w:pPr>
              <w:ind w:left="240"/>
              <w:spacing w:after="0" w:line="121" w:lineRule="exact"/>
              <w:rPr>
                <w:sz w:val="20"/>
                <w:szCs w:val="20"/>
                <w:color w:val="auto"/>
              </w:rPr>
            </w:pPr>
            <w:r>
              <w:rPr>
                <w:rFonts w:ascii="Arial" w:cs="Arial" w:eastAsia="Arial" w:hAnsi="Arial"/>
                <w:sz w:val="13"/>
                <w:szCs w:val="13"/>
                <w:color w:val="auto"/>
                <w:w w:val="89"/>
              </w:rPr>
              <w:t>Issuance of Series</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rPr>
              <w:t>D convertible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w w:val="94"/>
              </w:rPr>
              <w:t>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rPr>
              <w:t>in connection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w w:val="94"/>
              </w:rPr>
              <w:t>with settlement</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rPr>
              <w:t>of convertible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rPr>
              <w:t>promissory</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380"/>
              <w:spacing w:after="0"/>
              <w:rPr>
                <w:sz w:val="20"/>
                <w:szCs w:val="20"/>
                <w:color w:val="auto"/>
              </w:rPr>
            </w:pPr>
            <w:r>
              <w:rPr>
                <w:rFonts w:ascii="Arial" w:cs="Arial" w:eastAsia="Arial" w:hAnsi="Arial"/>
                <w:sz w:val="13"/>
                <w:szCs w:val="13"/>
                <w:color w:val="auto"/>
              </w:rPr>
              <w:t>notes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59,164,808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30,594</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22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Assumption of</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profits interest</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liability by</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affiliate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991</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991</w:t>
            </w:r>
          </w:p>
        </w:tc>
        <w:tc>
          <w:tcPr>
            <w:tcW w:w="0" w:type="dxa"/>
            <w:vAlign w:val="bottom"/>
          </w:tcPr>
          <w:p>
            <w:pPr>
              <w:spacing w:after="0"/>
              <w:rPr>
                <w:sz w:val="1"/>
                <w:szCs w:val="1"/>
                <w:color w:val="auto"/>
              </w:rPr>
            </w:pPr>
          </w:p>
        </w:tc>
      </w:tr>
      <w:tr>
        <w:trPr>
          <w:trHeight w:val="121"/>
        </w:trPr>
        <w:tc>
          <w:tcPr>
            <w:tcW w:w="1220" w:type="dxa"/>
            <w:vAlign w:val="bottom"/>
          </w:tcPr>
          <w:p>
            <w:pPr>
              <w:ind w:left="240"/>
              <w:spacing w:after="0" w:line="121" w:lineRule="exact"/>
              <w:rPr>
                <w:sz w:val="20"/>
                <w:szCs w:val="20"/>
                <w:color w:val="auto"/>
              </w:rPr>
            </w:pPr>
            <w:r>
              <w:rPr>
                <w:rFonts w:ascii="Arial" w:cs="Arial" w:eastAsia="Arial" w:hAnsi="Arial"/>
                <w:sz w:val="13"/>
                <w:szCs w:val="13"/>
                <w:color w:val="auto"/>
                <w:w w:val="97"/>
              </w:rPr>
              <w:t>Change in profits</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w w:val="96"/>
              </w:rPr>
              <w:t>interest liability</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380"/>
              <w:spacing w:after="0"/>
              <w:rPr>
                <w:sz w:val="20"/>
                <w:szCs w:val="20"/>
                <w:color w:val="auto"/>
              </w:rPr>
            </w:pPr>
            <w:r>
              <w:rPr>
                <w:rFonts w:ascii="Arial" w:cs="Arial" w:eastAsia="Arial" w:hAnsi="Arial"/>
                <w:sz w:val="13"/>
                <w:szCs w:val="13"/>
                <w:color w:val="auto"/>
              </w:rPr>
              <w:t>of affiliate</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749</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21"/>
        </w:trPr>
        <w:tc>
          <w:tcPr>
            <w:tcW w:w="122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Noncontrolling</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interest—</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distribution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net assets to</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affiliate and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related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0"/>
              </w:rPr>
              <w:t>deconsolidation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1220" w:type="dxa"/>
            <w:vAlign w:val="bottom"/>
          </w:tcPr>
          <w:p>
            <w:pPr>
              <w:ind w:left="240"/>
              <w:spacing w:after="0" w:line="135" w:lineRule="exact"/>
              <w:rPr>
                <w:sz w:val="20"/>
                <w:szCs w:val="20"/>
                <w:color w:val="auto"/>
              </w:rPr>
            </w:pPr>
            <w:r>
              <w:rPr>
                <w:rFonts w:ascii="Arial" w:cs="Arial" w:eastAsia="Arial" w:hAnsi="Arial"/>
                <w:sz w:val="13"/>
                <w:szCs w:val="13"/>
                <w:color w:val="auto"/>
              </w:rPr>
              <w:t>LLC Conversion</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(23,968,178)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(89,345)</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(54,600,000)</w:t>
            </w:r>
          </w:p>
        </w:tc>
        <w:tc>
          <w:tcPr>
            <w:tcW w:w="200" w:type="dxa"/>
            <w:vAlign w:val="bottom"/>
          </w:tcPr>
          <w:p>
            <w:pPr>
              <w:spacing w:after="0"/>
              <w:rPr>
                <w:sz w:val="11"/>
                <w:szCs w:val="11"/>
                <w:color w:val="auto"/>
              </w:rPr>
            </w:pPr>
          </w:p>
        </w:tc>
        <w:tc>
          <w:tcPr>
            <w:tcW w:w="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(750)</w:t>
            </w: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6,220,050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(3,196)</w:t>
            </w:r>
          </w:p>
        </w:tc>
        <w:tc>
          <w:tcPr>
            <w:tcW w:w="12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93,290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22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Conversion of</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Series 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convertible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w w:val="94"/>
              </w:rPr>
              <w:t>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into common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stock</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1"/>
              </w:rPr>
              <w:t>(199,791,519)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(98,777)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13,876,510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1,492,059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98,776</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98,777</w:t>
            </w:r>
          </w:p>
        </w:tc>
        <w:tc>
          <w:tcPr>
            <w:tcW w:w="0" w:type="dxa"/>
            <w:vAlign w:val="bottom"/>
          </w:tcPr>
          <w:p>
            <w:pPr>
              <w:spacing w:after="0"/>
              <w:rPr>
                <w:sz w:val="1"/>
                <w:szCs w:val="1"/>
                <w:color w:val="auto"/>
              </w:rPr>
            </w:pPr>
          </w:p>
        </w:tc>
      </w:tr>
      <w:tr>
        <w:trPr>
          <w:trHeight w:val="121"/>
        </w:trPr>
        <w:tc>
          <w:tcPr>
            <w:tcW w:w="1220" w:type="dxa"/>
            <w:vAlign w:val="bottom"/>
          </w:tcPr>
          <w:p>
            <w:pPr>
              <w:ind w:left="240"/>
              <w:spacing w:after="0" w:line="121" w:lineRule="exact"/>
              <w:rPr>
                <w:sz w:val="20"/>
                <w:szCs w:val="20"/>
                <w:color w:val="auto"/>
              </w:rPr>
            </w:pPr>
            <w:r>
              <w:rPr>
                <w:rFonts w:ascii="Arial" w:cs="Arial" w:eastAsia="Arial" w:hAnsi="Arial"/>
                <w:sz w:val="13"/>
                <w:szCs w:val="13"/>
                <w:color w:val="auto"/>
              </w:rPr>
              <w:t>Initial public</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w w:val="98"/>
              </w:rPr>
              <w:t>offering, net of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380"/>
              <w:spacing w:after="0" w:line="135" w:lineRule="exact"/>
              <w:rPr>
                <w:sz w:val="20"/>
                <w:szCs w:val="20"/>
                <w:color w:val="auto"/>
              </w:rPr>
            </w:pPr>
            <w:r>
              <w:rPr>
                <w:rFonts w:ascii="Arial" w:cs="Arial" w:eastAsia="Arial" w:hAnsi="Arial"/>
                <w:sz w:val="13"/>
                <w:szCs w:val="13"/>
                <w:color w:val="auto"/>
              </w:rPr>
              <w:t>$19,032 of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380"/>
              <w:spacing w:after="0"/>
              <w:rPr>
                <w:sz w:val="20"/>
                <w:szCs w:val="20"/>
                <w:color w:val="auto"/>
              </w:rPr>
            </w:pPr>
            <w:r>
              <w:rPr>
                <w:rFonts w:ascii="Arial" w:cs="Arial" w:eastAsia="Arial" w:hAnsi="Arial"/>
                <w:sz w:val="13"/>
                <w:szCs w:val="13"/>
                <w:color w:val="auto"/>
                <w:w w:val="96"/>
              </w:rPr>
              <w:t>issuance costs</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12,075,000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60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198,317</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198,318</w:t>
            </w:r>
          </w:p>
        </w:tc>
        <w:tc>
          <w:tcPr>
            <w:tcW w:w="0" w:type="dxa"/>
            <w:vAlign w:val="bottom"/>
          </w:tcPr>
          <w:p>
            <w:pPr>
              <w:spacing w:after="0"/>
              <w:rPr>
                <w:sz w:val="1"/>
                <w:szCs w:val="1"/>
                <w:color w:val="auto"/>
              </w:rPr>
            </w:pPr>
          </w:p>
        </w:tc>
      </w:tr>
      <w:tr>
        <w:trPr>
          <w:trHeight w:val="121"/>
        </w:trPr>
        <w:tc>
          <w:tcPr>
            <w:tcW w:w="122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Stock-based</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compensation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3,022</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3,022</w:t>
            </w:r>
          </w:p>
        </w:tc>
        <w:tc>
          <w:tcPr>
            <w:tcW w:w="0" w:type="dxa"/>
            <w:vAlign w:val="bottom"/>
          </w:tcPr>
          <w:p>
            <w:pPr>
              <w:spacing w:after="0"/>
              <w:rPr>
                <w:sz w:val="1"/>
                <w:szCs w:val="1"/>
                <w:color w:val="auto"/>
              </w:rPr>
            </w:pPr>
          </w:p>
        </w:tc>
      </w:tr>
      <w:tr>
        <w:trPr>
          <w:trHeight w:val="142"/>
        </w:trPr>
        <w:tc>
          <w:tcPr>
            <w:tcW w:w="1220" w:type="dxa"/>
            <w:vAlign w:val="bottom"/>
          </w:tcPr>
          <w:p>
            <w:pPr>
              <w:ind w:left="240"/>
              <w:spacing w:after="0" w:line="135" w:lineRule="exact"/>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(35,853)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(35,853)</w:t>
            </w:r>
          </w:p>
        </w:tc>
        <w:tc>
          <w:tcPr>
            <w:tcW w:w="0" w:type="dxa"/>
            <w:vAlign w:val="bottom"/>
          </w:tcPr>
          <w:p>
            <w:pPr>
              <w:spacing w:after="0"/>
              <w:rPr>
                <w:sz w:val="1"/>
                <w:szCs w:val="1"/>
                <w:color w:val="auto"/>
              </w:rPr>
            </w:pPr>
          </w:p>
        </w:tc>
      </w:tr>
      <w:tr>
        <w:trPr>
          <w:trHeight w:val="121"/>
        </w:trPr>
        <w:tc>
          <w:tcPr>
            <w:tcW w:w="12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Balance at</w:t>
            </w: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4"/>
              </w:rPr>
              <w:t>December 31, 2020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32,171,560</w:t>
            </w:r>
          </w:p>
        </w:tc>
        <w:tc>
          <w:tcPr>
            <w:tcW w:w="22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1,492,059</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300,888</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(90,917)</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209,974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See accompanying notes.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Years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(35,853)</w:t>
            </w:r>
          </w:p>
        </w:tc>
        <w:tc>
          <w:tcPr>
            <w:tcW w:w="4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(29,855)</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Change in fair value of derivative liability</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1,581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of profits interest liability</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(6,852)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(6,403)</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2,883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Non-cash interest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rent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(1,273)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64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(1,660)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payable and accrued expenses—related parties</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3"/>
        </w:trPr>
        <w:tc>
          <w:tcPr>
            <w:tcW w:w="8580" w:type="dxa"/>
            <w:vAlign w:val="bottom"/>
          </w:tcPr>
          <w:p>
            <w:pPr>
              <w:ind w:left="64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(429)</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color w:val="auto"/>
              </w:rPr>
              <w:t>Net cash used in operating activities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(36,334)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(9,645)</w:t>
            </w: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(590)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(590)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03"/>
        </w:trPr>
        <w:tc>
          <w:tcPr>
            <w:tcW w:w="85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8580" w:type="dxa"/>
            <w:vAlign w:val="bottom"/>
          </w:tcPr>
          <w:p>
            <w:pPr>
              <w:spacing w:after="0"/>
              <w:rPr>
                <w:sz w:val="20"/>
                <w:szCs w:val="20"/>
                <w:color w:val="auto"/>
              </w:rPr>
            </w:pPr>
            <w:r>
              <w:rPr>
                <w:rFonts w:ascii="Arial" w:cs="Arial" w:eastAsia="Arial" w:hAnsi="Arial"/>
                <w:sz w:val="16"/>
                <w:szCs w:val="16"/>
                <w:color w:val="auto"/>
              </w:rPr>
              <w:t>Proceeds from issuance of convertible debt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2,750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convertible preferred stock, net of issuance costs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68,183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80" w:type="dxa"/>
            <w:vAlign w:val="bottom"/>
          </w:tcPr>
          <w:p>
            <w:pPr>
              <w:spacing w:after="0"/>
              <w:rPr>
                <w:sz w:val="20"/>
                <w:szCs w:val="20"/>
                <w:color w:val="auto"/>
              </w:rPr>
            </w:pPr>
            <w:r>
              <w:rPr>
                <w:rFonts w:ascii="Arial" w:cs="Arial" w:eastAsia="Arial" w:hAnsi="Arial"/>
                <w:sz w:val="16"/>
                <w:szCs w:val="16"/>
                <w:color w:val="auto"/>
              </w:rPr>
              <w:t>Proceeds from PPP loan</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initial public offering, net of issuance costs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200,229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58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271,825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234,901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(7,159)</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238,605</w:t>
            </w:r>
          </w:p>
        </w:tc>
        <w:tc>
          <w:tcPr>
            <w:tcW w:w="3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additions included in accounts payable and accrued expenses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color w:val="auto"/>
              </w:rPr>
              <w:t>Fair value of warrants issued by affiliates in connection with modification of convertible promissory notes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80" w:type="dxa"/>
            <w:vAlign w:val="bottom"/>
            <w:vMerge w:val="continue"/>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Assumption of profits interest liability by affiliates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3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color w:val="auto"/>
              </w:rPr>
              <w:t>Equity issuance costs included in accounts payable and accrued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580" w:type="dxa"/>
            <w:vAlign w:val="bottom"/>
            <w:vMerge w:val="continue"/>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1,911</w:t>
            </w:r>
          </w:p>
        </w:tc>
        <w:tc>
          <w:tcPr>
            <w:tcW w:w="4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Carrying value of convertible promissory notes settled in connection with Corporate Reorganization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color w:val="auto"/>
              </w:rPr>
              <w:t>Fair value of consideration issued in connection with settlement of convertible promissory notes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80" w:type="dxa"/>
            <w:vAlign w:val="bottom"/>
            <w:vMerge w:val="continue"/>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30,594</w:t>
            </w:r>
          </w:p>
        </w:tc>
        <w:tc>
          <w:tcPr>
            <w:tcW w:w="340" w:type="dxa"/>
            <w:vAlign w:val="bottom"/>
          </w:tcPr>
          <w:p>
            <w:pPr>
              <w:spacing w:after="0"/>
              <w:rPr>
                <w:sz w:val="16"/>
                <w:szCs w:val="16"/>
                <w:color w:val="auto"/>
              </w:rPr>
            </w:pPr>
          </w:p>
        </w:tc>
        <w:tc>
          <w:tcPr>
            <w:tcW w:w="4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BioAtla, LLC (the “Pre-Division Predecessor”) was formed in Delaware in March 2007. In March 2019, the Pre-Division Predecessor was divided into three separate and distinct Delaware limited liability companies (the “Division”) as follows: 1) BioAtla, LLC renamed to BioAtla Holdings, LLC (“BioAtla Holdings”), 2) a new legal entity named Inversagen, LLC (“Inversagen”), and 3) a new legal entity named BioAtla, LLC (the “Post-Division Successor” and together with BioAtla Holdings and Inversagen, the “Post-Division LLCs”). Upon the Division, each Post-Division LLC had substantially the same form of operating agreement and capital structure as the Pre-Division Predecessor, with the following exceptions: i) 1,750,000 Class B units issued by the Post-Division Successor but not by BioAtla Holdings or Inversagen, ii) the outstanding warrants of the Pre-Division Predecessor at the Division date were transferred to the Post-Division Successor (see Note 6), and iii) the Class C units of the Post-Division Successor had liquidation preferences and a preferred return not included in the operating agreements of BioAtla Holdings and Inversagen.</w:t>
      </w:r>
    </w:p>
    <w:p>
      <w:pPr>
        <w:spacing w:after="0" w:line="165"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connection with the Division, the Pre-Division Predecessor’s holdings of EXUMA Biotech Corp. (“EXUMA”, formerly F1 Oncology, Inc.) common and preferred stock (see Note 11) remained in BioAtla Holdings and certain rights related to the application of CAB technology in senescent cell therapy were transferred to the Post-Division Successor and simultaneously licensed to Inversagen (see Note 9). The remaining assets and liabilities (including ownership of Himalaya Therapeutics SEZC and its wholly-owned subsidiary, Himalaya Therapeutics HK Limited as described below in “Principles of consolidation and deconsolidation”), and substantially all of the operations of the Pre-Division Predecessor, including all existing employees, were transferred to the Post-Division Successor. Each of the Pre-Division Predecessor’s members at the time of the Division continued as a member in the Post-Division Successor, BioAtla Holdings and Inversagen, and each entity has Dr. Jay Short and Carolyn Anderson Short as its LLC managers. There are no shared services agreements between the Company and BioAtla Holdings or Inversagen. The Company has determined that Inversagen is a variable interest entity (“VIE”), the Company is not the primary beneficiary of Inversagen, and that the Post-Division LLCs are under the common control of Jay and Carolyn Short. The Company does not consolidate either BioAtla Holdings or Inversagen (see Note 9). In addition, the Company has no direct equity investment in either BioAtla Holdings or Inversagen that require either equity method or cost method accounting.</w:t>
      </w:r>
    </w:p>
    <w:p>
      <w:pPr>
        <w:spacing w:after="0" w:line="17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assets, liabilities, and employees transferred to the Post-Division Successor in the Division met the definition of a business and the transfer qualifies as a change in reporting entity under Accounting Standards Codification (“ASC”) 250-10-45-21. As such, the historical financial statements of the Pre-Division Predecessor are deemed to be those of the Post-Division Successor, even for periods prior to its formation. As a transfer of a business to an entity under common control, the assets and liabilities of the Pre-Division Predecessor were transferred to the Post-Division Successor at historical carrying values. At the Division date, the Pre-Division Predecessor’s investment in EXUMA and the assets licensed to Inversagen had a zero carrying value and neither EXUMA nor Inversagen had material operations. As such, the Pre-Division historical financial statements presented herein are the historical financial statements of the Pre-Division Predecessor without adjustment.</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connection with the Division, certain modifications were made to then outstanding debt agreements and units, including: i) the participation threshold of each Class B unit in each Post-Division LLC was adjusted for the impact of the Division (see Note 7), ii) the amendment of the Pfizer Note and 2018 Notes (as defined and described in Note 4), and iii) the issuance, to both Pfizer and the holders of the 2018 Notes, of conditional warrants by BioAtla Holdings and Inversagen which become exercisable upon the conversion of the Pfizer Note and 2018 Notes into capital stock of the Post-Division Successor (see Note 4).</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Post-Division Successor converted to a Delaware corporation in July 2020 as part of the Corporate Reorganization defined and described below, and was renamed BioAtla, Inc. BioAtla, Inc. is the final successor to the Pre-Division Predecessor and the Post-Division Successor, and collectively these entities are referred to as “the Company.” The historical financial statements of the Company prior to the Corporate Reorganization are those of the Pre-Division Predecessor and the Post-Division Successor without adjustment.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(“CAB ADC”) targeting AXL and ROR2 receptors.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reorganization and Series D financing</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July 2020, BioAtla, LLC (the Post-Division Successor) completed a series of transactions (the “Corporate Reorganization”) in connection with the conversion from a limited liability company into a Delaware corporation, the spin-off of Himalaya Therapeutics SEZC, and the completion of a Series D convertible preferred stock financing. The Corporate Reorganization involved the formation of Himalaya Parent LLC as a wholly owned subsidiary of BioAtla, LLC and the formation of BioAtla MergerSub LLC, as a wholly owned subsidiary of Himalaya Parent LLC. Under the Agreement and Plan of Merger (the “Merger Agreement”), BioAtla, LLC was merged into and with BioAtla MergerSub LLC, with BioAtla, LLC surviving, and the members of BioAtla, LLC immediately prior to the effective time of the Merger Agreement received membership interests, on a one-for-one basis, of Himalaya Parent LLC as consideration, and the then-outstanding warrants to purchase equity of BioAtla, LLC were converted into warrants to purchase common shares of common stock of BioAtla, Inc. (see Note 6). The Himalaya Parent LLC operating agreement provided identical equity rights for the then outstanding units of BioAtla, LLC. In addition: (i) the membership interests of BioAtla, LLC held by Himalaya Parent LLC were exchanged for 6,220,050 shares of BioAtla, Inc. common stock, (ii) BioAtla, Inc. issued an aggregate of 59,164,808 shares of Series D convertible preferred stock to Himalaya Parent LLC and Himalaya Parent LLC issued an aggregate of 59,164,808 Class D units to the holders of convertible notes of BioAtla, LLC in connection with the conversion of their convertible notes into Class D units of Himalaya Parent LLC (see Note 4), (iii) BioAtla, LLC distributed to Himalaya Parent LLC its equity interests in Himalaya Therapeutics SEZC, a majority-owned subsidiary which is engaged in the development of a set of antibodies in the field of oncology primarily in Greater China, (iv) Himalaya Parent LLC assumed the profits interest liability of BioAtla, LLC (see Note 7) and (v) BioAtla, LLC converted into a Delaware corporation pursuant to a statutory conversion and changed its name to BioAtla, Inc. Following the Corporate Reorganization, Himalaya Parent LLC owned 59,164,808 shares of BioAtla, Inc. Series D convertible preferred stock and 6,220,050 shares of BioAtla, Inc. common stock. As a result of the subsequent sale of 140,626,711 shares of Series D convertible preferred stock to new investors in July 2020 (see Note 6), BioAtla, Inc. is not controlled by Himalaya Parent LLC (see further discussion in “Principles of consolidation” below). All pre-Corporate Reorganization operations, employees, property, assets and obligations of BioAtla, LLC (exclusive of the profits interest liability and Himalaya Therapeutics SEZC now held by Himalaya Parent LLC) are held by BioAtla, Inc.</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December 2, 2020, the Company effected a 1-for-13 reverse stock split of its common stock. The par value and the authorized shares of the common stock were not adjusted as a result of the reverse stock split. The reverse stock split resulted in an adjustment to the convertible preferred stock conversion price to reflect a proportional decrease in the number of shares of common stock to be issued upon conversion. The accompanying financial statements and notes to the financial statements give retroactive effect to the reverse stock split for all periods presented. No adjustments have been made to any period for the units outstanding prior to the LLC Conversion.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 and deconsolidation</w:t>
      </w:r>
    </w:p>
    <w:p>
      <w:pPr>
        <w:spacing w:after="0" w:line="11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Prior to the Corporate Reorganization in July 2020, the consolidated financial statements included the accounts of BioAtla, LLC and those of its majority owned subsidiary Himalaya Therapeutics SEZC that had no material operations. Himalaya Therapeutics SEZC also had a wholly owned subsidiary, Himalaya Therapeutics HK Limited that had no material operations. All intercompany balances were eliminated in consolidation. In connection with the Corporate Reorganization, Himalaya Therapeutics SEZC and Himalaya Therapeutics HK Limited were deconsolidated without material impact to the consolidated financial statements. Subsequent to the Corporate Reorganization, Himalaya Parent LLC does not control, is not under common control with, and is not consolidated by BioAtla, Inc. (see Note 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Company has incurred cumulative operating losses and negative cash flows from operations since its inception and expects to continue to incur significant expenses and operating losses for the foreseeable future as it continues the development of its product candidates. As of December 31, 2020, the Company had an accumulated deficit of $90.9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for 12 months after the date the consolidated financial statements for the year ended December 31, 2020 were issued.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Company consolidates entities in which it has a controlling financial interest. The Company determines whether it has a controlling financial interest in an entity by first evaluating whether the entity is a voting interest entity (“VIE”). Voting interest entities are entities in which (i) the total equity investment at risk is sufficient to enable the entity to finance its activities independently, (ii) the equity holders have the power to direct the activities of the entity that most significantly impact its economic performance, the obligation to absorb the losses of the entity and the right to receive the residual returns of the entity and (iii) the legal entity is structured with substantive voting rights. A VIE is an entity that lacks one or more of the characteristics of a voting interest entity. The Company has a controlling financial interest in a VIE when the Company has a variable interest or interests that provide it with (i) the power to direct the activities of the VIE that most significantly impact the VIE’s economic performance and (ii) the obligation to absorb losses of the VIE or the right to receive benefits from the VIE that could potentially be significant to the VIE. The Company evaluates its relationships with its VIEs on an ongoing basis to determine whether or not it has a controlling financial interest (see Notes 9 and 11).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Company’s consolidated financial statements are prepared in accordance with U.S. generally accepted accounting principles (“GAAP”). The preparation of the Company’s consolidated financial statements requires it to make estimates and assumptions that impact the reported amounts of assets, liabilities, revenues and expenses and the disclosure of contingent assets and liabilities in the Company’s consolidated financial statements and accompanying notes. The most significant estimates in the Company’s consolidated financial statements relate to</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revenue recognition, accruals for research and development costs, equity-based compensation and fair value measurements.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in one operating segment.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considers all highly liquid investments with original maturities of three months or less when purchased to be cash equivalents.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the years ended December 31, 2020 and 2019, BeiGene, as defined and described in Note 8, represented 100% and 91%, respectively, of total revenues.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Property and equipment are stated at cost and depreciated on a straight-line basis over the estimated useful life of the related assets. Leasehold improvements are stated at cost and amortized on a straight-line basis over the lesser of the remaining term of the related lease or the estimated useful life of the leasehold improvements. Repairs and maintenance costs are charged to expense as incurred and expenditures that materially extend the useful lives of assets are capitalized.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reviews long-lived assets, such as property and equipment, for impairment whenever events or changes in circumstances indicate the carrying amount of an asset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as the amount by which the carrying amount of the assets exceeds the fair value of the assets. Fair value would be assessed using discounted cash flows or other appropriate measures of fair value. The Company has not recognized any impairment losses for the years ended December 31, 2020 and 2019.</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rent</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Rent expense is recognized using the straight-line method over the lease term, which includes the period of time from when the Company takes possession of the leased space until leasehold improvements are completed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and the space is occupied. The difference between rent expense and amounts paid under the lease agreement is deferred in the accompanying consolidated balance sheets. Tenant improvement allowances and other lease incentives are recorded as liabilities and are amortized on the straight-line basis over the lease term as reductions to rent expense.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Beneficial conversion features</w:t>
      </w:r>
    </w:p>
    <w:p>
      <w:pPr>
        <w:spacing w:after="0" w:line="117"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A beneficial conversion feature is a non-detachable conversion feature that is “in the money” at the commitment date, which requires recognition of interest expense for underlying debt instruments and a deemed dividend for underlying equity instruments. A conversion option is “in the money” if the effective conversion price is lower than the commitment date fair value of the share into which it is convertible.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The Company evaluates its convertible instruments and other contracts to determine if those contracts or embedded components of those contracts are required to be recognized under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result of this accounting treatment is that the derivative is carried at fair value as an asset or liability with changes in fair value recognized in earnings as they occur. Although separately measured at fair value, the fair value of bifurcated embedded derivatives is presented with the host contract in the consolidated balance sheets. Changes in the fair value of derivatives are recorded in the accompanying consolidated statements of operations and comprehensive loss as a component of other income (expense).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Effective January 1, 2019, the Company adopted Accounting Standards Update (“ASU”)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120" w:right="260" w:hanging="4"/>
        <w:spacing w:after="0" w:line="260" w:lineRule="auto"/>
        <w:tabs>
          <w:tab w:leader="none" w:pos="495" w:val="left"/>
        </w:tabs>
        <w:numPr>
          <w:ilvl w:val="0"/>
          <w:numId w:val="66"/>
        </w:numPr>
        <w:rPr>
          <w:rFonts w:ascii="Arial" w:cs="Arial" w:eastAsia="Arial" w:hAnsi="Arial"/>
          <w:sz w:val="18"/>
          <w:szCs w:val="18"/>
          <w:i w:val="1"/>
          <w:iCs w:val="1"/>
          <w:color w:val="auto"/>
        </w:rPr>
      </w:pPr>
      <w:r>
        <w:rPr>
          <w:rFonts w:ascii="Arial" w:cs="Arial" w:eastAsia="Arial" w:hAnsi="Arial"/>
          <w:sz w:val="18"/>
          <w:szCs w:val="18"/>
          <w:color w:val="auto"/>
        </w:rPr>
        <w:t xml:space="preserve">(“Topic 606”) using the modified retrospective method. Topic 606 supersedes the revenue recognition requirements in ASC Topic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(“Topic 605”). There was no material cumulative effect of adopting Topic 606.</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recognition under Topic 606</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Company recognizes revenue in a manner that depicts the transfer of control of a product or a service to a customer and reflects the amount of the consideration the Company is entitled to receive in exchange for such product or service. In doing so, the Company follows a five-step approach:</w:t>
      </w:r>
    </w:p>
    <w:p>
      <w:pPr>
        <w:ind w:left="120" w:right="260" w:hanging="4"/>
        <w:spacing w:after="0" w:line="302" w:lineRule="auto"/>
        <w:tabs>
          <w:tab w:leader="none" w:pos="3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w:t>
      </w:r>
    </w:p>
    <w:p>
      <w:pPr>
        <w:spacing w:after="0" w:line="15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spacing w:after="0" w:line="16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performance obligation is defined as a promise to transfer a product or a service to a customer. The Company identifies each promise to transfer a product or a service (or a bundle of products or services, or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spacing w:after="0" w:line="16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considerations and consideration payable to the customer. If a significant financing component exists, the transaction price is adjusted for the time value of money. If an element of variability exists, the Company must estimate the consideration it expects to receive and uses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spacing w:after="0" w:line="192" w:lineRule="exact"/>
        <w:rPr>
          <w:sz w:val="20"/>
          <w:szCs w:val="20"/>
          <w:color w:val="auto"/>
        </w:rPr>
      </w:pPr>
    </w:p>
    <w:p>
      <w:pPr>
        <w:jc w:val="both"/>
        <w:ind w:left="120" w:right="480" w:firstLine="440"/>
        <w:spacing w:after="0" w:line="259" w:lineRule="auto"/>
        <w:rPr>
          <w:sz w:val="20"/>
          <w:szCs w:val="20"/>
          <w:color w:val="auto"/>
        </w:rPr>
      </w:pPr>
      <w:r>
        <w:rPr>
          <w:rFonts w:ascii="Arial" w:cs="Arial" w:eastAsia="Arial" w:hAnsi="Arial"/>
          <w:sz w:val="18"/>
          <w:szCs w:val="18"/>
          <w:color w:val="auto"/>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(or as) the Company transfers control of the product or the service applicable to such performance obligation.</w:t>
      </w:r>
    </w:p>
    <w:p>
      <w:pPr>
        <w:spacing w:after="0" w:line="187"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spacing w:after="0" w:line="14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Company expenses incremental costs of obtaining and fulfilling a contract as and when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Company’s research and development expenses consist primarily of salaries, payroll taxes, employee benefits, and equity-based compensation charges for those individuals involved in ongoing research and development efforts; as well as consulting expenses, laboratory supplies, third party research and development expenses, animal studies and overhead, including facilities and depreciation costs. Research and development expenses are charged to expense as incurred. The Company has entered into various research and development contracts with research institutions, clinical research organizations, clinical manufacturing organizations and other companies. Payments for these activities are based on the terms of the individual agreements, which may differ from the pattern of costs incurred, and are reflected in the accompanying consolidated balance sheets as prepaid or accrued expenses. The Company records accruals for estimated ongoing research and development costs. When evaluating the adequacy of the accrued liabilities, the Company analyzes progress of the services, including the phase or completion of events, invoices received and contracted costs. Significant judgments and estimates may be made in determining the accrued balances at the end of any reporting period. Actual results could differ from the Company’s estimates.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expenses and expensed as incurred since recoverability of such expenditures is uncertain.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 related to profits interest plan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Prior to the Corporate Reorganization in July 2020, the Company had a profits interest plan that was a liability award plan in accordance with ASC Topic 718,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The Company measured the fair value of each award on the grant date and recognized such fair value over the requisite service period (usually the vesting period) on a straight-line basis. The fair value of the award was remeasured at each reporting date until the award was settled, with a true-up of compensation cost for changes in fair value prorated for the portion of the requisite service period rendered. Once vested, any subsequent change in fair value was recognized immediately. The fair value of any awards that expired or were forfeited or canceled for no value were adjusted to zero, as they occurred, such that any previously recorded compensation cost would be fully reversed. Subsequent to the Corporate Reorganization and amendment of the profits interest plan by Himalaya Parent in October 2020, the Company will no longer reflect compensation cost and a corresponding capital contribution associated with the ongoing mark-to-market of the Class B profits interests held by Himalaya Parent LLC, but any new profits interest awards granted by Himalaya Parent LLC to BioAtla, Inc.’s employees, or modifications to the existing awards made by Himalaya Parent LLC, will result in additional compensation cost and a corresponding capital contribution in accordance with ASC Topic 718.</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Stock-based compensation expense represents the grant date fair value of equity awards over the requisite service period of the awards (usually the vesting period) on a straight-line basis. The Company estimates the fair value of stock option grants using the Black-Scholes option pricing model. Prior to the Company’s initial public offering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as income in the period that includes the enactment date.</w:t>
      </w:r>
    </w:p>
    <w:p>
      <w:pPr>
        <w:spacing w:after="0" w:line="176" w:lineRule="exact"/>
        <w:rPr>
          <w:sz w:val="20"/>
          <w:szCs w:val="20"/>
          <w:color w:val="auto"/>
        </w:rPr>
      </w:pPr>
    </w:p>
    <w:p>
      <w:pPr>
        <w:ind w:left="120" w:right="320" w:firstLine="440"/>
        <w:spacing w:after="0" w:line="296" w:lineRule="auto"/>
        <w:rPr>
          <w:sz w:val="20"/>
          <w:szCs w:val="20"/>
          <w:color w:val="auto"/>
        </w:rPr>
      </w:pPr>
      <w:r>
        <w:rPr>
          <w:rFonts w:ascii="Arial" w:cs="Arial" w:eastAsia="Arial" w:hAnsi="Arial"/>
          <w:sz w:val="16"/>
          <w:szCs w:val="16"/>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exclusive of reversing temporary difference, tax-planning strategies and the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61"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w:t>
      </w:r>
    </w:p>
    <w:p>
      <w:pPr>
        <w:ind w:left="120" w:right="380"/>
        <w:spacing w:after="0" w:line="260" w:lineRule="auto"/>
        <w:rPr>
          <w:sz w:val="20"/>
          <w:szCs w:val="20"/>
          <w:color w:val="auto"/>
        </w:rPr>
      </w:pPr>
      <w:r>
        <w:rPr>
          <w:rFonts w:ascii="Arial" w:cs="Arial" w:eastAsia="Arial" w:hAnsi="Arial"/>
          <w:sz w:val="18"/>
          <w:szCs w:val="18"/>
          <w:color w:val="auto"/>
        </w:rPr>
        <w:t>the more-likely-than-not recognition threshold, management recognizes the largest amount of tax benefit that is more than 50% likely to be realized upon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ultimate settlement with the related tax authority. The Company recognizes interest and penalties related to unrecognized tax benefits within income tax expense. Any accrued interest and penalties are included within the related tax liability.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w:t>
      </w:r>
    </w:p>
    <w:p>
      <w:pPr>
        <w:spacing w:after="0" w:line="23"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from non-owner sources. There have been no items qualifying as other comprehensive loss and, therefore, for all periods presented, the Company’s comprehensive loss was the same as its reported net loss.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unit/share</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Prior to the Corporate Reorganization, the Company applied the two-class method for calculating and presenting net loss per unit. In applying the two-class method, earnings are hypothetically allocated between the common, preferred, and other participating securities based on their respective rights to receive non-forfeitable distributions, whether or not declared. The Company considered its Class A units to be its “common units” since Class A units were the most subordinate class of equity with respect to preference in liquidation. In addition, the Class C units were entitled to a preferred return equal to 10% per annum, simple interest, on the Class C issuance price. The Company’s Class B units were excluded from the net loss per unit calculations based on the presumption that the units would be settled in cash pursuant to the terms of the Company’s operating agreement. Basic net loss per Class A unit was calculated by dividing net loss allocable to Class A unit holders (after adjustment for Class C preferred return and allocation of net losses to Class C units) by the weighted-average number of Class A units outstanding during the period. The Company calculated diluted net loss per unit using the more dilutive of 1) the treasury stock method, if-converted method, or contingently issuable share method, as applicable, or 2) the two-class method. For the year ended December 31, 2019, the basic and diluted net loss per unit were the same as the inclusion of outstanding warrants, convertible debt or Class C preferred units would be antidilutive.</w:t>
      </w:r>
    </w:p>
    <w:p>
      <w:pPr>
        <w:spacing w:after="0" w:line="17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Subsequent to the Corporate Reorganization, basic net loss per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common stock warrants, RSUs, and common stock options outstanding under the Company’s stock option plan.</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year ended December 31, 2020, the Company determined that the attribution of pre-Corporate Reorganization net losses based on the post-Corporate Reorganization capital structure would not meaningfully represent the economic rights of the unit holders. As a result, the Company presents net loss per share information only for the period subsequent to the Corporate Reorganization. The basic and diluted net loss per share for the year ended December 31, 2020 represents only the period from July 10, 2020 to December 31, 2020, the period where the Company had outstanding common stock.</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table presents the calculation of basic and diluted net loss per share for the period following the Corporate Reorganization (in thousands, except share and per share data):</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10, 2020</w:t>
            </w:r>
          </w:p>
        </w:tc>
      </w:tr>
      <w:tr>
        <w:trPr>
          <w:trHeight w:val="149"/>
        </w:trPr>
        <w:tc>
          <w:tcPr>
            <w:tcW w:w="5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through</w:t>
            </w:r>
          </w:p>
        </w:tc>
      </w:tr>
      <w:tr>
        <w:trPr>
          <w:trHeight w:val="148"/>
        </w:trPr>
        <w:tc>
          <w:tcPr>
            <w:tcW w:w="5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9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(26,877)</w:t>
            </w:r>
          </w:p>
        </w:tc>
      </w:tr>
      <w:tr>
        <w:trPr>
          <w:trHeight w:val="20"/>
        </w:trPr>
        <w:tc>
          <w:tcPr>
            <w:tcW w:w="5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w w:val="99"/>
              </w:rPr>
              <w:t>Weighted-average shares of common stock outstanding, basic and diluted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8,428,153</w:t>
            </w:r>
          </w:p>
        </w:tc>
      </w:tr>
      <w:tr>
        <w:trPr>
          <w:trHeight w:val="20"/>
        </w:trPr>
        <w:tc>
          <w:tcPr>
            <w:tcW w:w="5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r>
      <w:tr>
        <w:trPr>
          <w:trHeight w:val="20"/>
        </w:trPr>
        <w:tc>
          <w:tcPr>
            <w:tcW w:w="5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6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Common stock options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615,106</w:t>
            </w:r>
          </w:p>
        </w:tc>
        <w:tc>
          <w:tcPr>
            <w:tcW w:w="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1,920,037</w:t>
            </w:r>
          </w:p>
        </w:tc>
        <w:tc>
          <w:tcPr>
            <w:tcW w:w="4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3,252,817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In February 2016, the Financial Accounting Standards Board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w:t>
      </w:r>
    </w:p>
    <w:p>
      <w:pPr>
        <w:spacing w:after="0" w:line="3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 right-of-use model and requires a lessee to recognize on the balance sheet a right-of-use asset and corresponding lease liability for all leases with terms longer than 12 months. Leases will be classified as either finance or operating, with classification affecting the pattern of expense recognition in the income statement. ASU No. 2016-02 is effective for annual periods beginning after December 15, 2021, and interim periods within fiscal years beginning after December 15, 2022 and early adoption is permitted. While management is currently assessing the impact this new standard will have, the expected primary impact to its consolidated financial position upon adoption will be the recognition, on a discounted basis, of its minimum commitments under noncancelable operating leases on its consolidated balance sheets resulting in the recording of right of use assets and lease liabilities. The Company’s current minimum commitments under its noncancelable operating leases are disclosed in Note 5.</w:t>
      </w:r>
    </w:p>
    <w:p>
      <w:pPr>
        <w:spacing w:after="0" w:line="18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which simplifies the accounting for nonemployee share-based payment transactions. The amendments in the new guidance specify that Topic 718 applies to all share-based payment transactions in which a grantor acquires goods or services to be used or consumed in a grantor’s own operations by issuing share-based payment awards. The adoption of ASU No. 2018-07 effective October 1, 2020 had no material impact on the Company’s consolidated financial statements.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In July 2017, the FASB issued ASU No. 2017-11, </w:t>
      </w:r>
      <w:r>
        <w:rPr>
          <w:rFonts w:ascii="Arial" w:cs="Arial" w:eastAsia="Arial" w:hAnsi="Arial"/>
          <w:sz w:val="18"/>
          <w:szCs w:val="18"/>
          <w:i w:val="1"/>
          <w:iCs w:val="1"/>
          <w:color w:val="auto"/>
        </w:rPr>
        <w:t>Earnings Per Share (Topic 260); Distinguishing Liabilities from Equity (Topic 480);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The ASU allows companies to exclude a down round feature when determining whether a financial instrument (or</w:t>
      </w:r>
      <w:r>
        <w:rPr>
          <w:rFonts w:ascii="Arial" w:cs="Arial" w:eastAsia="Arial" w:hAnsi="Arial"/>
          <w:sz w:val="18"/>
          <w:szCs w:val="18"/>
          <w:i w:val="1"/>
          <w:iCs w:val="1"/>
          <w:color w:val="auto"/>
        </w:rPr>
        <w:t xml:space="preserve"> </w:t>
      </w:r>
      <w:r>
        <w:rPr>
          <w:rFonts w:ascii="Arial" w:cs="Arial" w:eastAsia="Arial" w:hAnsi="Arial"/>
          <w:sz w:val="18"/>
          <w:szCs w:val="18"/>
          <w:color w:val="auto"/>
        </w:rPr>
        <w:t>embedded conversion feature) is considered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indexed to the entity’s own stock. As a result, financial instruments (or embedded conversion features) with down round features may no longer be required to be classified as liabilities. A company will recognize the value of a down round feature only when it is triggered and the strike price has been adjusted downward. For equity-classified freestanding financial instruments, such as warrants, an entity will treat the value of the effect of the down round, when triggered, as a dividend and a reduction of income available to common shareholders in computing basic earnings per share. For convertible instruments with embedded conversion features containing down round provisions, entities will recognize the value of the down round as a beneficial conversion discount to be amortized to earnings. The early adoption of this guidance, effective January 1, 2020, had no material impact on the Company’s consolidated financial statements.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Balance sheet details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9"/>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research and development</w:t>
            </w:r>
          </w:p>
        </w:tc>
        <w:tc>
          <w:tcPr>
            <w:tcW w:w="1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$2,004</w:t>
            </w: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$589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Other prepaid expenses and current assets</w:t>
            </w:r>
          </w:p>
        </w:tc>
        <w:tc>
          <w:tcPr>
            <w:tcW w:w="136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w:t>
            </w:r>
          </w:p>
        </w:tc>
        <w:tc>
          <w:tcPr>
            <w:tcW w:w="620" w:type="dxa"/>
            <w:vAlign w:val="bottom"/>
            <w:gridSpan w:val="2"/>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2,076</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6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Useful life (years)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9"/>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ind w:right="34"/>
              <w:spacing w:after="0"/>
              <w:rPr>
                <w:sz w:val="20"/>
                <w:szCs w:val="20"/>
                <w:color w:val="auto"/>
              </w:rPr>
            </w:pPr>
            <w:r>
              <w:rPr>
                <w:rFonts w:ascii="Arial" w:cs="Arial" w:eastAsia="Arial" w:hAnsi="Arial"/>
                <w:sz w:val="18"/>
                <w:szCs w:val="18"/>
                <w:color w:val="auto"/>
                <w:w w:val="88"/>
              </w:rPr>
              <w:t>3 - 7</w:t>
            </w: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$ 1,719</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$ 1,198</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1360" w:type="dxa"/>
            <w:vAlign w:val="bottom"/>
          </w:tcPr>
          <w:p>
            <w:pPr>
              <w:jc w:val="center"/>
              <w:ind w:right="34"/>
              <w:spacing w:after="0"/>
              <w:rPr>
                <w:sz w:val="20"/>
                <w:szCs w:val="20"/>
                <w:color w:val="auto"/>
              </w:rPr>
            </w:pPr>
            <w:r>
              <w:rPr>
                <w:rFonts w:ascii="Arial" w:cs="Arial" w:eastAsia="Arial" w:hAnsi="Arial"/>
                <w:sz w:val="18"/>
                <w:szCs w:val="18"/>
                <w:color w:val="auto"/>
                <w:w w:val="79"/>
              </w:rPr>
              <w:t>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1,790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1,826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136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88"/>
              </w:rPr>
              <w:t>2 - 3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Construction in process</w:t>
            </w:r>
          </w:p>
        </w:tc>
        <w:tc>
          <w:tcPr>
            <w:tcW w:w="1360" w:type="dxa"/>
            <w:vAlign w:val="bottom"/>
          </w:tcPr>
          <w:p>
            <w:pPr>
              <w:jc w:val="center"/>
              <w:ind w:right="5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(3,070)</w:t>
            </w:r>
          </w:p>
        </w:tc>
        <w:tc>
          <w:tcPr>
            <w:tcW w:w="4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$ 4,102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$ 4,675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w w:val="97"/>
              </w:rPr>
              <w:t>Accounts payable and accrued expenses consist of the following (in thousands):</w:t>
            </w: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6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9"/>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Accounts payable (includes related party amounts of $0 and $381, respectively)</w:t>
            </w:r>
          </w:p>
        </w:tc>
        <w:tc>
          <w:tcPr>
            <w:tcW w:w="1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$ 2,456</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$ 5,139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136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2,804</w:t>
            </w:r>
          </w:p>
        </w:tc>
        <w:tc>
          <w:tcPr>
            <w:tcW w:w="4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2,297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research and development</w:t>
            </w:r>
          </w:p>
        </w:tc>
        <w:tc>
          <w:tcPr>
            <w:tcW w:w="13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4,852</w:t>
            </w:r>
          </w:p>
        </w:tc>
        <w:tc>
          <w:tcPr>
            <w:tcW w:w="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Accrued equity issuance costs</w:t>
            </w:r>
          </w:p>
        </w:tc>
        <w:tc>
          <w:tcPr>
            <w:tcW w:w="136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4"/>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accrued expenses (includes related party amounts of $0 and $40, respectively)</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3"/>
          </w:tcPr>
          <w:p>
            <w:pPr>
              <w:ind w:left="44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12,068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11,972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carrying amounts of the Company’s current financial assets and current financial liabilities are considered to be representative of their respective fair values because of the short-term nature of those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 xml:space="preserve">instruments. Based on the borrowing rates available to the Company for loans with similar terms, the Company believed that the carrying value of its outstanding convertible debt as of December 31, 2019 approximated fair value. As of December 31, 2020, the Company had no convertible debt outstanding. As of December 31, 2020 and 2019, the Company had no financial assets measured at fair value on a recurring basis. As of December 31, 2020, the Company had no financial liabilities measured at fair value on a recurring basis and, as of December 31, 2019 and through the date of settlement in July 2020, the financial liabilities measured at fair value on a recurring basis include the embedded derivative liability described below. Profits interest liabilities are accounted for in accordance with the provisions of ASC 718 –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and, as such, are excluded from the fair value disclosures below.</w:t>
      </w:r>
    </w:p>
    <w:p>
      <w:pPr>
        <w:spacing w:after="0" w:line="19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23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None of the Company’s non-financial assets and liabilities are recorded at fair value on a non-recurring basis. No transfers between levels have occurred during the periods presented.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Liabilities measured at fair value on a recurring basis are as follows as of December 31, 2019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2"/>
              </w:rPr>
              <w:t>Fair value measurements at reporting date using</w:t>
            </w: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7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in active</w:t>
            </w:r>
          </w:p>
        </w:tc>
        <w:tc>
          <w:tcPr>
            <w:tcW w:w="7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markets for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1"/>
              </w:rPr>
              <w:t>other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4"/>
              </w:rPr>
              <w:t>identical</w:t>
            </w:r>
          </w:p>
        </w:tc>
        <w:tc>
          <w:tcPr>
            <w:tcW w:w="7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70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18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77"/>
              </w:rPr>
              <w:t>assets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inputs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(level 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(level 2)</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Embedded derivative liability</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1,856</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1,856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2018 Notes (as amended in 2020), the 2019 Notes and the 2020 Notes (each as defined and described in Note 4) contained a redemption feature which was determined to be an embedded derivative requiring bifurcation and separate accounting. The fair value of the derivative was determined based on an income approach that identified the cash flows using a “with-and-without” valuation methodology. The inputs used to determine the estimated fair value of the derivative instrument were based primarily on the probability of an underlying event triggering the embedded derivative occurring and the timing of such event.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provides a reconciliation of the embedded derivative liability measured at fair value using Level 3 unobservable inputs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Embedded</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derivative</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liability</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Initial fair value of embedded derivatives issued</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7360" w:type="dxa"/>
            <w:vAlign w:val="bottom"/>
            <w:gridSpan w:val="2"/>
          </w:tcPr>
          <w:p>
            <w:pPr>
              <w:ind w:left="1760"/>
              <w:spacing w:after="0"/>
              <w:rPr>
                <w:sz w:val="20"/>
                <w:szCs w:val="20"/>
                <w:color w:val="auto"/>
              </w:rPr>
            </w:pPr>
            <w:r>
              <w:rPr>
                <w:rFonts w:ascii="Arial" w:cs="Arial" w:eastAsia="Arial" w:hAnsi="Arial"/>
                <w:sz w:val="18"/>
                <w:szCs w:val="18"/>
                <w:color w:val="auto"/>
              </w:rPr>
              <w:t>Balance at December 31, 2019</w:t>
            </w:r>
          </w:p>
        </w:tc>
        <w:tc>
          <w:tcPr>
            <w:tcW w:w="1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Initial fair value of embedded derivatives issued</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Change in fair value</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(6,852)</w:t>
            </w:r>
          </w:p>
        </w:tc>
        <w:tc>
          <w:tcPr>
            <w:tcW w:w="0" w:type="dxa"/>
            <w:vAlign w:val="bottom"/>
          </w:tcPr>
          <w:p>
            <w:pPr>
              <w:spacing w:after="0"/>
              <w:rPr>
                <w:sz w:val="1"/>
                <w:szCs w:val="1"/>
                <w:color w:val="auto"/>
              </w:rPr>
            </w:pPr>
          </w:p>
        </w:tc>
      </w:tr>
      <w:tr>
        <w:trPr>
          <w:trHeight w:val="223"/>
        </w:trPr>
        <w:tc>
          <w:tcPr>
            <w:tcW w:w="7360" w:type="dxa"/>
            <w:vAlign w:val="bottom"/>
            <w:gridSpan w:val="2"/>
          </w:tcPr>
          <w:p>
            <w:pPr>
              <w:ind w:left="1760"/>
              <w:spacing w:after="0"/>
              <w:rPr>
                <w:sz w:val="20"/>
                <w:szCs w:val="20"/>
                <w:color w:val="auto"/>
              </w:rPr>
            </w:pPr>
            <w:r>
              <w:rPr>
                <w:rFonts w:ascii="Arial" w:cs="Arial" w:eastAsia="Arial" w:hAnsi="Arial"/>
                <w:sz w:val="18"/>
                <w:szCs w:val="18"/>
                <w:color w:val="auto"/>
              </w:rPr>
              <w:t>Balance at December 31, 2020</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Convertible and other debt</w:t>
            </w:r>
          </w:p>
        </w:tc>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Convertible debt consists of the following as of December 31, 2019 (in thousands):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560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1200" w:type="dxa"/>
            <w:vAlign w:val="bottom"/>
            <w:gridSpan w:val="3"/>
            <w:shd w:val="clear" w:color="auto" w:fill="CCEEFF"/>
          </w:tcPr>
          <w:p>
            <w:pPr>
              <w:ind w:left="11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embedded derivative</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23"/>
        </w:trPr>
        <w:tc>
          <w:tcPr>
            <w:tcW w:w="7360" w:type="dxa"/>
            <w:vAlign w:val="bottom"/>
            <w:gridSpan w:val="2"/>
          </w:tcPr>
          <w:p>
            <w:pPr>
              <w:ind w:left="1760"/>
              <w:spacing w:after="0"/>
              <w:rPr>
                <w:sz w:val="20"/>
                <w:szCs w:val="20"/>
                <w:color w:val="auto"/>
              </w:rPr>
            </w:pPr>
            <w:r>
              <w:rPr>
                <w:rFonts w:ascii="Arial" w:cs="Arial" w:eastAsia="Arial" w:hAnsi="Arial"/>
                <w:sz w:val="18"/>
                <w:szCs w:val="18"/>
                <w:color w:val="auto"/>
              </w:rPr>
              <w:t>Total convertible debt</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convertible debt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(10,000)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Less: current portion of unamortized debt discount</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 less current portion and debt discount</w:t>
            </w:r>
          </w:p>
        </w:tc>
        <w:tc>
          <w:tcPr>
            <w:tcW w:w="1200" w:type="dxa"/>
            <w:vAlign w:val="bottom"/>
            <w:gridSpan w:val="3"/>
            <w:shd w:val="clear" w:color="auto" w:fill="CCEEFF"/>
          </w:tcPr>
          <w:p>
            <w:pPr>
              <w:ind w:left="11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Pfizer convertible promissory note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December 2015, the Company issued a $10.0 million unsecured convertible promissory note (“Pfizer Note”) to certain affiliates of Pfizer, Inc. (“Pfizer”). The Pfizer Note accrued interest at 8.0% per annum with a maturity date in December 2020. Prior to amendment in March 2019 as described below, the Pfizer Note, including accrued interest, was convertible at the election of the holder into Class C preferred units at a price of $3.394142 per unit and was automatically convertible into i) common shares upon the completion of an IPO based on the price per share paid by investors in the IPO or</w:t>
      </w:r>
    </w:p>
    <w:p>
      <w:pPr>
        <w:spacing w:after="0" w:line="1" w:lineRule="exact"/>
        <w:rPr>
          <w:sz w:val="20"/>
          <w:szCs w:val="20"/>
          <w:color w:val="auto"/>
        </w:rPr>
      </w:pPr>
    </w:p>
    <w:p>
      <w:pPr>
        <w:ind w:left="120" w:right="20" w:hanging="4"/>
        <w:spacing w:after="0" w:line="253" w:lineRule="auto"/>
        <w:tabs>
          <w:tab w:leader="none" w:pos="3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qualified financing shares upon the completion of a qualified financing based on the price per share paid by investors in the qualified financing. The Company assessed the terms of the Pfizer Note and concluded that it was not share-settled debt, did not contain any embedded derivative features requiring bifurcation and did not contain a beneficial conversion feature. As a result, the Pfizer Note was carried at cost since the Company did not incur a material amount of issuance costs in connection with the debt.</w:t>
      </w:r>
    </w:p>
    <w:p>
      <w:pPr>
        <w:spacing w:after="0" w:line="193"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Pfizer Note was amended in March 2019 in connection with the Division to provide the lender additional accrued interest upon conversion. The amended conversion amount of the Pfizer Note was equal to the greater of a) the then outstanding principal plus accrued interest, or b) principal plus accrued interest through December 7, 2020. In connection with the March 2019 amendment, Pfizer received conditional warrants in BioAtla Holdings and Inversagen which allowed Pfizer to acquire an equity interest in each of BioAtla Holdings and Inversagen upon conversion of the Pfizer Note of the Post-Division Successor. The amendment of the Pfizer Note was accounted for as a modification, which required prospective consideration of the revised terms. The Company recognized the initial fair value of the warrants of $0.5 million as a fee paid by the Company to the lenders, which was recorded as debt discount on the modified debt and as a capital contribution, as the warrants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were written on two entities under common control that were not consolidated with the Company. The debt discount was amortized to interest expense using the effective interest method over the term of the Pfizer Note. The fair value of the conditional warrants was determined using the Option Pricing Method based on the underlying value of the assets allocated to BioAtla Holdings and Inversagen. As of December 31, 2019, outstanding accrued interest on the Pfizer Note was $3.3 million. As of December 31, 2019, unamortized debt issuance costs were $0.3 million. The Company incurred interest expense in connection with the Pfizer Note of $0.6 million and $1.0 million for the years ended December 31, 2020 and 2019. As further described below, the Pfizer Note was amended and settled in connection with the Corporate Reorganization in July 2020.</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convertible promissory notes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August 2018, the Company issued unsecured convertible promissory notes for an aggregate of $5.0 million (the “2018 Notes”). The 2018 Notes accrued interest at 8.0% per annum with a maturity date in July 2023. Prior to amendment in March 2019, as described below, the then outstanding principal plus accrued interest under the 2018 Notes was convertible at the election of the holder into Class C preferred units at a price of $3.394142 per unit and was automatically convertible into i) common shares upon the completion of an IPO based on the price per share paid by investors in the IPO or</w:t>
      </w:r>
    </w:p>
    <w:p>
      <w:pPr>
        <w:spacing w:after="0" w:line="1" w:lineRule="exact"/>
        <w:rPr>
          <w:sz w:val="20"/>
          <w:szCs w:val="20"/>
          <w:color w:val="auto"/>
        </w:rPr>
      </w:pPr>
    </w:p>
    <w:p>
      <w:pPr>
        <w:ind w:left="120" w:right="140" w:hanging="4"/>
        <w:spacing w:after="0" w:line="273" w:lineRule="auto"/>
        <w:tabs>
          <w:tab w:leader="none" w:pos="325" w:val="left"/>
        </w:tabs>
        <w:numPr>
          <w:ilvl w:val="0"/>
          <w:numId w:val="69"/>
        </w:numPr>
        <w:rPr>
          <w:rFonts w:ascii="Arial" w:cs="Arial" w:eastAsia="Arial" w:hAnsi="Arial"/>
          <w:sz w:val="17"/>
          <w:szCs w:val="17"/>
          <w:color w:val="auto"/>
        </w:rPr>
      </w:pPr>
      <w:r>
        <w:rPr>
          <w:rFonts w:ascii="Arial" w:cs="Arial" w:eastAsia="Arial" w:hAnsi="Arial"/>
          <w:sz w:val="17"/>
          <w:szCs w:val="17"/>
          <w:color w:val="auto"/>
        </w:rPr>
        <w:t>qualified financing shares upon the completion of a qualified financing based on the price per share paid by investors in the qualified financing. The Company assessed the terms of the 2018 Notes and concluded that they were not share-settled debt, did not contain any embedded derivative features requiring bifurcation and did not contain a beneficial conversion feature. As a result, the 2018 Notes were carried at cost since the Company did not incur a material amount of issuance costs in connection with the issuance of the promissory notes.</w:t>
      </w:r>
    </w:p>
    <w:p>
      <w:pPr>
        <w:spacing w:after="0" w:line="17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2018 Notes were amended in March 2019 in connection with the Division to provide the lenders additional accrued interest upon conversion. The amended conversion amount of the 2018 Notes was equal to the greater of a) the then outstanding principal plus accrued interest, or b) principal plus accrued interest through December 7, 2020. In connection with the March 2019 amendment, the lenders received conditional warrants in BioAtla Holdings and Inversagen which allowed them to acquire an equity interest in each of BioAtla Holdings and Inversagen upon conversion of the 2018 Notes of the Post-Division Successor. The amendment of the 2018 Notes was accounted for as a modification, which required prospective consideration of the revised terms. The Company recognized the initial fair value of the warrants of $0.2 million as a fee paid by the Company to the lenders, which was recorded as debt discount on the modified debt and as a capital contribution, as the warrants were written on two entities under common control that were not consolidated with the Company. The debt discount was amortized to interest expense using the effective interest method over the term of the 2018 Notes. The fair value of the conditional warrants was determined using the Option Pricing Method based on the underlying value of the assets allocated to BioAtla Holdings. The underlying value of the assets allocated to Inversagen was immaterial.</w:t>
      </w:r>
    </w:p>
    <w:p>
      <w:pPr>
        <w:spacing w:after="0" w:line="16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2018 Notes were amended in April 2020 to add a discount to the conversion prices such that they were convertible (i) automatically into preferred stock upon a qualified equity financing, with a conversion price of 80% of the lowest purchase price per share of preferred stock paid by investors in such qualified equity financing, (ii) automatically convert into common stock upon an initial public offering, with a conversion price of 80% of the price per share of common stock paid by investors in such initial public offering, and (iii) upon the election of each note holder, into Class C preferred units, with a conversion price per share of $2.7153136. The Company concluded that the amendment was an extinguishment and the fair value of the amended 2018 Notes was equal to the then outstanding principal and accrued interest of the 2018 Notes. As a result, the Company recognized a loss on extinguishment for the $0.2 million of unamortized discounts at the extinguishment date.</w:t>
      </w:r>
    </w:p>
    <w:p>
      <w:pPr>
        <w:spacing w:after="0" w:line="17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the Company assessed the terms and concluded the amended 2018 Notes: (i) were not share-settled debt, (ii) contained a redemption feature that was determined to be an embedded derivative requiring bifurcation and (iii) did not contain a beneficial conversion feature. The $2.2 million issuance date fair value of the embedded derivative liability was recorded as a debt discount and amortized to interest expense using the effective interest method over the remaining term of the 2018 Notes.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As of December 31, 2019, outstanding accrued interest on the 2018 Notes was $0.5 million. As of December 31, 2019, unamortized debt issuance costs were $0.2 million. The Company incurred interest expense, including coupon interest and amortization of debt discounts, in connection with the 2018 Notes of $0.4 million and $0.4 million for the years ended December 31, 2020 and 2019, respectively. As further described below, the 2018 Notes were amended and settled in connection with the Corporate Reorganization in July 2020.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convertible promissory notes</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Between August and December 2019, the Company issued unsecured convertible promissory notes payable to various entities in an aggregate principal amount of $4.0 million (the “2019 Notes”), of which $1.5 million was to related parties. The 2019 Notes accrued interest at 8.0% per annum with maturity dates of five years after issuance. The outstanding principal amount and any accrued and unpaid interest on the 2019 Notes was due and payable on the earlier to occur of (i) the maturity date, (ii) an event of default, or (iii) immediately prior to an acquisition event. The 2019 Notes were convertible (i) automatically into preferred stock upon a qualified equity financing, with a conversion price of 80% of the lowest purchase price per share of preferred stock paid by investors in such qualified equity financing, (ii) automatically into common stock upon an initial public offering, with a conversion price of 80% of the price per share of common stock paid by investors in such initial public offering, and (iii) upon the election of each note holder, into Class C preferred units, with a conversion price per share of $2.7153136. The number of shares or units issuable upon conversion is determined by dividing the conversion amount by the conversion price, with the conversion amount equal to the greater of a) the then outstanding principal plus accrued interest, or b) principal plus accrued interest through December 7, 2020.</w:t>
      </w:r>
    </w:p>
    <w:p>
      <w:pPr>
        <w:spacing w:after="0" w:line="16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assessed the terms and concluded the 2019 Notes: (i) were not share-settled debt, (ii) contained a redemption feature that was determined to be an embedded derivative requiring bifurcation and (iii) certain of the notes contained a beneficial conversion feature because the fair value of the securities into which the 2019 Notes were convertible at the time of issuance, the Class C preferred units, was greater than the effective conversion price of the 2019 Notes. The $0.5 million beneficial conversion feature was recorded as additional paid-in capital and a debt discount and the $1.8 million issuance date fair value of the embedded derivative liability was recorded as a debt discount, both of which discounts were amortized to interest expense using the effective interest method over the term of the 2019 Notes.</w:t>
      </w:r>
    </w:p>
    <w:p>
      <w:pPr>
        <w:spacing w:after="0" w:line="17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April and May of 2020 certain of the 2019 Notes, representing $2.5 million of the then outstanding principal balance, were amended such that the conversion shares or units issuable upon conversion is the greater of: (i) the then outstanding principal plus accrued interest divided by $0.86866 or</w:t>
      </w:r>
    </w:p>
    <w:p>
      <w:pPr>
        <w:ind w:left="120" w:right="280" w:hanging="4"/>
        <w:spacing w:after="0" w:line="255" w:lineRule="auto"/>
        <w:tabs>
          <w:tab w:leader="none" w:pos="38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 determined by dividing the conversion amount by the conversion price, with the conversion amount equal to the greater of a) the then outstanding principal plus accrued interest, or b) principal plus accrued interest through December 7, 2020. The amendment of the 2019 Notes was accounted for as a modification, which required prospective consideration of the revised terms.</w:t>
      </w:r>
    </w:p>
    <w:p>
      <w:pPr>
        <w:spacing w:after="0" w:line="190"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For the year ended December 31, 2020 and 2019, the Company recognized interest expense, including coupon interest and amortization of debt discounts, in connection with the 2019 Notes of $0.3 million and $0.1 million, respectively. As of December 31, 2019, outstanding accrued interest and unamortized debt discount on the 2019 Notes were $0.1 million and $2.3 million, respectively, and no principal or interest had been repaid. As further described below, the 2019 Notes were amended and settled in connection with the Corporate Reorganization in July 2020.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convertible promissory notes</w:t>
      </w:r>
    </w:p>
    <w:p>
      <w:pPr>
        <w:spacing w:after="0" w:line="11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During March, April and May of 2020 the Company issued unsecured convertible promissory notes (the “2020 Notes”) payable to various entities in an aggregate principal amount of $2.8 million, of which $0.5 million was to related parties. The 2020 Notes accrued interest at 8.0% per annum with maturity dates of five years after issuance. The Company assessed the terms and concluded the 2020 Notes: (i) were not share-settled debt,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hanging="4"/>
        <w:spacing w:after="0" w:line="287" w:lineRule="auto"/>
        <w:tabs>
          <w:tab w:leader="none" w:pos="385"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contained a redemption feature that was determined to be an embedded derivative requiring bifurcation and (iii) did not contain a beneficial conversion feature. The $1.2 million issuance date fair value of the embedded derivative liability was recorded as a debt discount which was amortized to interest expense using the effective interest method over the term of the 2020 Notes. In May of 2020 certain of the 2020 Notes, representing</w:t>
      </w:r>
    </w:p>
    <w:p>
      <w:pPr>
        <w:spacing w:after="0" w:line="2"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$0.1 million of the then outstanding principal balance, were amended such that the conversion shares or units issuable upon conversion is the greater of:</w:t>
      </w:r>
    </w:p>
    <w:p>
      <w:pPr>
        <w:spacing w:after="0" w:line="32" w:lineRule="exact"/>
        <w:rPr>
          <w:rFonts w:ascii="Arial" w:cs="Arial" w:eastAsia="Arial" w:hAnsi="Arial"/>
          <w:sz w:val="16"/>
          <w:szCs w:val="16"/>
          <w:color w:val="auto"/>
        </w:rPr>
      </w:pPr>
    </w:p>
    <w:p>
      <w:pPr>
        <w:ind w:left="120" w:right="20" w:hanging="4"/>
        <w:spacing w:after="0" w:line="253"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then outstanding principal plus accrued interest divided by $0.86866 or (ii) the amount determined by dividing the conversion amount by the conversion price, with the conversion amount equal to the greater of a) the then outstanding principal plus accrued interest, or b) principal plus accrued interest through December 7, 2020. The amendment of the 2020 Notes was accounted for as a modification, which required prospective consideration of the revised terms.</w:t>
      </w:r>
    </w:p>
    <w:p>
      <w:pPr>
        <w:spacing w:after="0" w:line="193"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the year ended December 31, 2020, the Company recognized interest expense, including coupon interest and amortization of debt discounts, in connection with the 2020 Notes of $0.1 million. As further described below, the 2020 Notes were amended and settled in connection with the Corporate Reorganization in July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and settlement of convertible notes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 condition of the closing of the Series D financing in July 2020, the Pfizer Note, 2018 Notes, 2019 Notes and 2020 Notes (and together, the “Convertible Notes”) were amended to settle the Convertible Notes into 59,164,808 Class D units of Himalaya Parent LLC. As of the settlement date, the aggregate outstanding principal and accrued interest of the Convertible Notes was $21.8 million and $4.7 million, respectively. The Pfizer Note converted into Class D units at a conversion price of $0.51554931 and the 2018 Notes and 2019 Notes converted into Class D units at a conversion price of $0.412439448, which is 80% of the price paid by investors in the Series D financing. As of the July 10, 2020 settlement date, the Convertible Notes had a carrying value of $27.9 million, including related accrued interest, embedded derivatives and unamortized debt discounts. The fair value of the Class D units of Himalaya Parent LLC issued to the noteholders in exchange for the Convertible Notes was $30.6 million, resulting in a loss on extinguishment of convertible debt of $2.7 million. The fair value per unit of the Class D units of Himalaya Parent LLC was based on the fair value per share paid by investors in the Company’s Series D financing.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debt</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On April 22, 2020, the Company received proceeds from a loan in the amount of $0.7 million (the “PPP Loan”) from City National Bank, as lender, pursuant to the Paycheck Protection Program (“PPP”) of the CARES Act. The PPP Loan is evidenced by a promissory note (the “Note”), which contains customary events of default relating to, among other things, payment defaults and breaches of representations, warranties or terms of the PPP Loan documents. The PPP Loan matures on April 22, 2022 and bears interest at an annual rate of approximately 1%. Beginning in August 2021, the Company is required to begin making payments of principal and interest. The PPP Loan may be prepaid by the Company at any time prior to maturity with no prepayment penalties. The proceeds from the PPP Loan may only be used for payroll costs (including benefits), rent and utility obligations, and interest on certain of the Company’s other debt obligations.</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All or a portion of the PPP Loan may be forgiven by the U.S. Small Business Administration (“SBA”) upon application by the Company beginning 60 days but not later than 120 days after loan approval and upon documentation of expenditures in accordance with the SBA requirements. In the event the PPP Loan, or any portion thereof, is forgiven pursuant to the PPP, the amount forgiven is applied to outstanding principal. If it is determined that the Company was not eligible to receive the PPP Loan, the Company may be subject to penalties and could be required to repay the PPP Loan in its entirety.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June 2017, as amended in January 2019, the Company entered into a non-cancellable operating lease for its corporate headquarters and laboratory space in San Diego, California. The lease commenced in January 2018, the period the Company gained access to the leased space and began recognizing rent expense. The lease expires in July 2025 and the Company has an option to extend the term of the lease for an additional five years. The lease includes certain rent abatement, rent escalations, tenant improvement allowances and additional charges for common area maintenance and other costs. Rent expense for the years ended December 31, 2020 and 2019 was $1.7 million and $1.1 million, respectively.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Expected future minimum payments under the non-cancelable operating lease are as follows (in thousands):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10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w w:val="99"/>
              </w:rPr>
              <w:t>Operating</w:t>
            </w:r>
          </w:p>
        </w:tc>
        <w:tc>
          <w:tcPr>
            <w:tcW w:w="0" w:type="dxa"/>
            <w:vAlign w:val="bottom"/>
          </w:tcPr>
          <w:p>
            <w:pPr>
              <w:spacing w:after="0"/>
              <w:rPr>
                <w:sz w:val="1"/>
                <w:szCs w:val="1"/>
                <w:color w:val="auto"/>
              </w:rPr>
            </w:pPr>
          </w:p>
        </w:tc>
      </w:tr>
      <w:tr>
        <w:trPr>
          <w:trHeight w:val="178"/>
        </w:trPr>
        <w:tc>
          <w:tcPr>
            <w:tcW w:w="1700" w:type="dxa"/>
            <w:vAlign w:val="bottom"/>
            <w:tcBorders>
              <w:bottom w:val="single" w:sz="8" w:color="auto"/>
            </w:tcBorders>
            <w:vMerge w:val="continue"/>
          </w:tcPr>
          <w:p>
            <w:pPr>
              <w:spacing w:after="0"/>
              <w:rPr>
                <w:sz w:val="15"/>
                <w:szCs w:val="15"/>
                <w:color w:val="auto"/>
              </w:rPr>
            </w:pPr>
          </w:p>
        </w:tc>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03"/>
        </w:trPr>
        <w:tc>
          <w:tcPr>
            <w:tcW w:w="17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5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1,374</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2022</w:t>
            </w: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2024</w:t>
            </w: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Convertible preferred stock and members’/stockholders’ equity (deficit)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Company had convertible preferred stock outstanding between the date of its Series D financing in July 2020 until the closing of its IPO in December 2020. The Company’s convertible preferred stock was classified as temporary equity in the accompanying consolidated balance sheets in accordance with authoritative guidance for the classification and measurement of potentially redeemable securities whose redemption is based upon certain change in control events outside of the Company’s control, including liquidation, sale or change of control of the Company. Because these change in control events were not probable, the Company did not adjust the carrying values of the convertible preferred stock to redemption value.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 financing</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July 13, 2020, BioAtla, Inc. entered into a Series D Preferred Stock Purchase Agreement, pursuant to which it issued 140,626,711 shares of Series D convertible preferred stock at $0.51554931 per share, for aggregate cash proceeds of $72.5 million. The Company incurred $4.3 million of issuance costs.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public offering and related transactions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December 2020, the Company completed its IPO selling 12,075,000 shares its common stock at $18.00 per share. Proceeds from the Company’s IPO, net of underwriting discounts and commissions and other offering costs, were $198.3 million. In connection with the IPO, all 199,791,519 shares of convertible preferred stock outstanding at the time of the IPO converted into 13,876,510 shares of the Company’s common stock and 1,492,059 shares of the Company’s Class B common stock.</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securities of Delaware corporation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is authorized to issue 200,000,000 shares of preferred stock, par value $0.0001 per share, 350,000,000 shares of common stock, par value $0.0001 per share, and 15,368,569 shares of Class B common stock, par value $0.0001 per share.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Subject to preferences that may be applicable to any outstanding shares of preferred stock, holders of the Company’s common stock and Class B common stock are entitled to receive dividends only if declared from time to time by the Company’s board of directors out of assets which are legally available.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preferences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Upon any liquidation, dissolution or winding-up of the Company, holders of the Company’s common stock and Class B common stock are entitled to share ratably in all assets remaining after payment of all liabilities and the liquidation preferences of any of our outstanding shares of preferred stock.</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Holders of the Company’s common stock have no conversion rights, while holders of the Company’s Class B common stock shall have the right to convert each share of Class B common stock into one share of common stock at such holder’s election, provided that as a result of such conversion, such holder would not beneficially own in excess of 4.99% of any class of the Company’s securities registered under the Securities Exchange Act of 1934, as amended, unless otherwise as expressly provided for in the Company’s amended and restated certificate of incorporation. This ownership limitation may be increased or decreased to any other percentage designated by such holder of Class B common stock upon 61 days’ notice to the Company.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Except as otherwise expressly provided in the Company’s amended and restated certificate of incorporation or as required by applicable law, on any matter that is submitted to a vote by the Company’s stockholders, holders of the Company’s common stock are entitled to one vote per share of common stock, and holders of the Company’s Class B common stock are not entitled to any votes per share of Class B common stock, including for the election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agreement</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Prior to the Corporate Reorganization, the Company’s operating agreement, as amended and restated, provided for classes of units, allocation of profits and losses, distribution preferences, other member rights and management of the LLC. The operating agreement designated Class A units, Class B units and Class C preferred units. The Class B units and Class C preferred units were non-voting, except as required by law. The Class B units were liability awards pursuant to authoritative guidance and, as such, were reported at fair value outside of members’ deficit. Members were limited in their liability to their capital contributions.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Class C preferred units were convertible, at the option of the member, into Class A units on a one-for-one basis, subject to adjustment for any split, reverse split, distribution or other event affecting the Class C preferred units. The Class C preferred units would have automatically converted into Class A units upon the earlier to occur of (i) immediately prior to the closing of the Company’s first firm commitment underwritten public offering of its common equity and (ii) the vote of at least two-thirds of the Class C preferred units outstanding.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Distributions, other than tax distributions, were to be made to each unit holder based on such unit holder’s pro-rata share of total outstanding units; however, Class B units were subject to threshold limitations.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Preferred return</w:t>
      </w:r>
    </w:p>
    <w:p>
      <w:pPr>
        <w:spacing w:after="0" w:line="11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preferred return was an amount separately determined for each Class C member equal to (i) the cumulative return that would have been earned from the date(s) of such Class C members’ capital contribution in respect to their Class C preferred units at a rate of 10% per annum, simple interest, on the Class C issue price, plus (b) such Class C member’s capital contributions. As of December 31, 2019, the aggregate Class C preferred return was $114.3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proceeds from a liquidation or winding up of the Company would have been distributed in the following order and priority:</w:t>
      </w:r>
    </w:p>
    <w:p>
      <w:pPr>
        <w:spacing w:after="0" w:line="131"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First, to the payment of creditors of the Company;</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Second, to the creation of any reserves that the managers deem reasonably necessary for any contingent or unforeseen liabilities or obligations of the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Third, to the repayment of any outstanding loans made by any member of the Company;</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Fourth, to the Class C members, in proportion to their unreturned preferred return, until each Class C member has received total distributions equal to such Class C member’s preferred return; and</w:t>
      </w:r>
    </w:p>
    <w:p>
      <w:pPr>
        <w:spacing w:after="0" w:line="75" w:lineRule="exact"/>
        <w:rPr>
          <w:rFonts w:ascii="Arial" w:cs="Arial" w:eastAsia="Arial" w:hAnsi="Arial"/>
          <w:sz w:val="18"/>
          <w:szCs w:val="18"/>
          <w:color w:val="auto"/>
        </w:rPr>
      </w:pPr>
    </w:p>
    <w:p>
      <w:pPr>
        <w:ind w:left="1080" w:right="220" w:hanging="424"/>
        <w:spacing w:after="0" w:line="286"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Thereafter, to each member pro rata according to the percentage derived by dividing the number of outstanding units (excluding Class C preferred units already distributed) owned by such member by the total number of outstanding units (excluding Class C preferred units already distributed) owned by all members; however, Class B units are subject to threshold limitations.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Upon adoption of ASU No. 2018-07 on October 1, 2020, the measurement date of the warrants described below became fixed in accordance with the guidance, and such fair value was nominal since the warrants were deeply out-of-the-money. As of December 31, 2020 all the common stock warrants below are exercisable and expire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0"/>
              </w:rPr>
              <w:t>Outstanding and exercisable</w:t>
            </w:r>
          </w:p>
        </w:tc>
        <w:tc>
          <w:tcPr>
            <w:tcW w:w="1500" w:type="dxa"/>
            <w:vAlign w:val="bottom"/>
          </w:tcPr>
          <w:p>
            <w:pPr>
              <w:spacing w:after="0"/>
              <w:rPr>
                <w:sz w:val="16"/>
                <w:szCs w:val="16"/>
                <w:color w:val="auto"/>
              </w:rPr>
            </w:pPr>
          </w:p>
        </w:tc>
        <w:tc>
          <w:tcPr>
            <w:tcW w:w="34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Exercise price per share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Expiration date</w:t>
            </w:r>
          </w:p>
        </w:tc>
      </w:tr>
      <w:tr>
        <w:trPr>
          <w:trHeight w:val="210"/>
        </w:trPr>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566,586</w:t>
            </w:r>
          </w:p>
        </w:tc>
        <w:tc>
          <w:tcPr>
            <w:tcW w:w="15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$ 88.25</w:t>
            </w:r>
          </w:p>
        </w:tc>
        <w:tc>
          <w:tcPr>
            <w:tcW w:w="15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17, 2021</w:t>
            </w:r>
          </w:p>
        </w:tc>
      </w:tr>
      <w:tr>
        <w:trPr>
          <w:trHeight w:val="223"/>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151,088</w:t>
            </w:r>
          </w:p>
        </w:tc>
        <w:tc>
          <w:tcPr>
            <w:tcW w:w="3420" w:type="dxa"/>
            <w:vAlign w:val="bottom"/>
            <w:gridSpan w:val="2"/>
          </w:tcPr>
          <w:p>
            <w:pPr>
              <w:jc w:val="right"/>
              <w:ind w:right="619"/>
              <w:spacing w:after="0"/>
              <w:rPr>
                <w:sz w:val="20"/>
                <w:szCs w:val="20"/>
                <w:color w:val="auto"/>
              </w:rPr>
            </w:pPr>
            <w:r>
              <w:rPr>
                <w:rFonts w:ascii="Arial" w:cs="Arial" w:eastAsia="Arial" w:hAnsi="Arial"/>
                <w:sz w:val="18"/>
                <w:szCs w:val="18"/>
                <w:color w:val="auto"/>
              </w:rPr>
              <w:t>$132.37</w:t>
            </w:r>
          </w:p>
        </w:tc>
        <w:tc>
          <w:tcPr>
            <w:tcW w:w="15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12, 2022</w:t>
            </w:r>
          </w:p>
        </w:tc>
      </w:tr>
      <w:tr>
        <w:trPr>
          <w:trHeight w:val="216"/>
        </w:trPr>
        <w:tc>
          <w:tcPr>
            <w:tcW w:w="3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717,674</w:t>
            </w:r>
          </w:p>
        </w:tc>
        <w:tc>
          <w:tcPr>
            <w:tcW w:w="15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In December 2018, the Company issued a noncontrolling interest in HTKY in the form of ordinary shares in connection with the termination of a collaboration and license agreement. In addition to the ordinary shares issued, certain employees and shareholders of the Company purchased</w:t>
      </w:r>
    </w:p>
    <w:p>
      <w:pPr>
        <w:ind w:left="120"/>
        <w:spacing w:after="0" w:line="255" w:lineRule="auto"/>
        <w:rPr>
          <w:sz w:val="20"/>
          <w:szCs w:val="20"/>
          <w:color w:val="auto"/>
        </w:rPr>
      </w:pPr>
      <w:r>
        <w:rPr>
          <w:rFonts w:ascii="Arial" w:cs="Arial" w:eastAsia="Arial" w:hAnsi="Arial"/>
          <w:sz w:val="18"/>
          <w:szCs w:val="18"/>
          <w:color w:val="auto"/>
        </w:rPr>
        <w:t>19,000,000 ordinary shares of HTKY for an aggregate purchase price of $19,000, of which 5,000,000 were repurchased for $5,000 in March 2019. As of December 31, 2019, the Company held all of the outstanding HTKY preferred equity, consisting of 97,183,256 Series B convertible preference shares, and 1,000 ordinary shares. The Series B convertible preference shares had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liquation preference equal to the greater of $1.00 per share, plus declared and unpaid dividends, or the if-converted value, and</w:t>
      </w:r>
    </w:p>
    <w:p>
      <w:pPr>
        <w:spacing w:after="0" w:line="23"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pay non-cumulative dividends in preference to the holders of ordinary shares at an annual rate of 7% of the purchase price per share when, as and if declared by the board. The net income (loss) of HTKY was allocated to the ordinary shareholders on a pro rata basis. However, any net income was initially be allocated to the preference shares until the liquidation preference is met. Thereafter, preference shares would only be allocated dividends declared by the board of directors of HTKY. For the year ended December 31, 2019, substantially all of the $61,000 net loss of HTKY was allocated to the noncontrolling interest. HTKY had no material operations for the year ended December 31, 2020.</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On October 29, 2020, the Company’s board of directors approved the adoption of the BioAtla, Inc. 2020 Equity Incentive Plan (the “2020 Plan”) and approved certain amendments to the 2020 Plan in December 2020. The Company’s stockholders approved the 2020 Plan, as amended, in December 2020. Under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Initially, the total number of common shares reserved for issuance under the 2020 Plan was 4,939,678. On January 1st of each year, commencing with the first January 1st following the effective date of the 2020 Plan, the shares available for awards under the 2020 Plan shall be increased by a number of shares equal to the lessor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6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Stock-based compensation expense recognized for all equity awards under the 2020 Plan has been reported in the consolidated statements of operations and comprehensive loss as follows (in thousands):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December 2020, the Company granted an aggregate of 1,920,037 restricted stock units (“RSUs”) to certain of the Company’s employees and service providers, including executive officers and non-employee directors.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RSU activity under the 2020 Plan for the year ended December 31, 2020:</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7"/>
              </w:rPr>
              <w:t>Weighted -</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Shares</w:t>
            </w: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3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Granted</w:t>
            </w:r>
          </w:p>
        </w:tc>
        <w:tc>
          <w:tcPr>
            <w:tcW w:w="4360" w:type="dxa"/>
            <w:vAlign w:val="bottom"/>
            <w:gridSpan w:val="3"/>
          </w:tcPr>
          <w:p>
            <w:pPr>
              <w:ind w:left="3160"/>
              <w:spacing w:after="0"/>
              <w:rPr>
                <w:sz w:val="20"/>
                <w:szCs w:val="20"/>
                <w:color w:val="auto"/>
              </w:rPr>
            </w:pPr>
            <w:r>
              <w:rPr>
                <w:rFonts w:ascii="Arial" w:cs="Arial" w:eastAsia="Arial" w:hAnsi="Arial"/>
                <w:sz w:val="18"/>
                <w:szCs w:val="18"/>
                <w:color w:val="auto"/>
              </w:rPr>
              <w:t>1,920,037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center"/>
              <w:ind w:left="54"/>
              <w:spacing w:after="0"/>
              <w:rPr>
                <w:sz w:val="20"/>
                <w:szCs w:val="20"/>
                <w:color w:val="auto"/>
              </w:rPr>
            </w:pPr>
            <w:r>
              <w:rPr>
                <w:rFonts w:ascii="Arial" w:cs="Arial" w:eastAsia="Arial" w:hAnsi="Arial"/>
                <w:sz w:val="18"/>
                <w:szCs w:val="18"/>
                <w:color w:val="auto"/>
                <w:w w:val="88"/>
              </w:rPr>
              <w:t>18.00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3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Outstanding at December 31, 2020</w:t>
            </w:r>
          </w:p>
        </w:tc>
        <w:tc>
          <w:tcPr>
            <w:tcW w:w="31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1,920,037</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center"/>
              <w:ind w:left="54"/>
              <w:spacing w:after="0"/>
              <w:rPr>
                <w:sz w:val="20"/>
                <w:szCs w:val="20"/>
                <w:color w:val="auto"/>
              </w:rPr>
            </w:pPr>
            <w:r>
              <w:rPr>
                <w:rFonts w:ascii="Arial" w:cs="Arial" w:eastAsia="Arial" w:hAnsi="Arial"/>
                <w:sz w:val="18"/>
                <w:szCs w:val="18"/>
                <w:color w:val="auto"/>
                <w:w w:val="88"/>
              </w:rPr>
              <w:t>18.00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100" w:type="dxa"/>
            <w:vAlign w:val="bottom"/>
            <w:vMerge w:val="restart"/>
          </w:tcPr>
          <w:p>
            <w:pPr>
              <w:jc w:val="right"/>
              <w:ind w:right="1970"/>
              <w:spacing w:after="0"/>
              <w:rPr>
                <w:sz w:val="20"/>
                <w:szCs w:val="20"/>
                <w:color w:val="auto"/>
              </w:rPr>
            </w:pPr>
            <w:r>
              <w:rPr>
                <w:rFonts w:ascii="Arial" w:cs="Arial" w:eastAsia="Arial" w:hAnsi="Arial"/>
                <w:sz w:val="18"/>
                <w:szCs w:val="18"/>
                <w:color w:val="auto"/>
              </w:rPr>
              <w:t>160</w:t>
            </w: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of December 31, 2020, total unrecognized stock-based compensation expense for RSUs was $31.6 million, which is expected to be recognized over a remaining weighted-average period of approximately 3.1 years.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summarizes stock option activity under the 2020 Plan for the year ended December 31, 2020 (in thousands, except share and per share data and years):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2"/>
              </w:rPr>
              <w:t>Weighted -</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Weighted -</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remaining</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exercise</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price per</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8"/>
              </w:rPr>
              <w:t>term</w:t>
            </w:r>
          </w:p>
        </w:tc>
        <w:tc>
          <w:tcPr>
            <w:tcW w:w="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share</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157"/>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ind w:left="261"/>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center"/>
              <w:ind w:left="54"/>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615,106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18.00</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615,106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18.00</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9.95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9,848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88"/>
              </w:rPr>
              <w:t>18.00</w:t>
            </w: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9.95</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9,848</w:t>
            </w: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615,106</w:t>
            </w:r>
          </w:p>
        </w:tc>
        <w:tc>
          <w:tcPr>
            <w:tcW w:w="30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As of December 31, 2020, total unrecognized stock-based compensation cost for unvested common stock options was $7.1 million, which is expected to be recognized over a remaining weighted-average period of approximately 4.0 years. The weighted- average grant date fair value of stock options granted during the year ended December 31, 2020 was $11.66 per share. No stock options were granted during the year ended December 31, 2019.</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assumptions used in the Black-Scholes option pricing model to determine the fair value of stock option grants were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Year ended</w:t>
            </w:r>
          </w:p>
        </w:tc>
      </w:tr>
      <w:tr>
        <w:trPr>
          <w:trHeight w:val="148"/>
        </w:trPr>
        <w:tc>
          <w:tcPr>
            <w:tcW w:w="64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0.52%</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6.09 years</w:t>
            </w:r>
          </w:p>
        </w:tc>
      </w:tr>
    </w:tbl>
    <w:p>
      <w:pPr>
        <w:spacing w:after="0" w:line="18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Company’s common stock does not have a significant trading history, the expected volatility assumption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a peer group of similar companies whose share prices are publicly available. The peer group was developed based on companies in the biotechnology industry.</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assumption on the U.S.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bases the expected dividend yield assumption on the fact that it has never paid cash dividends and has no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plans to pay cash dividends.</w:t>
      </w:r>
    </w:p>
    <w:p>
      <w:pPr>
        <w:spacing w:after="0" w:line="170"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For employees, the expected term represents the period of time that options are expected to be outstanding. Because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320" w:top="459"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In December 2020, the Company’s board of directors and stockholders approved the BioAtla, Inc. Employee Stock Purchase Plan (the “ESPP”). The ESPP permits participants to purchase common stock through payroll deductions of up to 15% of their eligible compensation. A total of 464,829 shares of common stock were approved to be initially reserved for issuance under the ESPP. The number of shares of common stock reserved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w:t>
      </w:r>
    </w:p>
    <w:p>
      <w:pPr>
        <w:spacing w:after="0" w:line="2" w:lineRule="exact"/>
        <w:rPr>
          <w:sz w:val="20"/>
          <w:szCs w:val="20"/>
          <w:color w:val="auto"/>
        </w:rPr>
      </w:pPr>
    </w:p>
    <w:p>
      <w:pPr>
        <w:ind w:left="120" w:right="20" w:hanging="4"/>
        <w:spacing w:after="0" w:line="260" w:lineRule="auto"/>
        <w:tabs>
          <w:tab w:leader="none" w:pos="3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929,658 common shares or (iii) a number determined by the Company’s board of directors that is less than (i) and (ii). As of December 31, 2020, no employees had enrolled in the ESPP and no offering period had commenced.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Common stock reserved for future issuance are as follows in common equivalent shares: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Warrants for the purchase of common stock</w:t>
            </w: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717,674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Common stock options and restricted stock units issued and outstanding</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2,535,143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Awards available for future issuance under the 2020 Plan</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2,404,535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Awards available for future issuance under the ESPP</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464,829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common stock reserved for future issuance</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6,122,181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Profits interest incentive plan</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Prior to the Corporate Reorganization in July 2020, the Company maintained a Profits Interest Incentive Plan (the “Plan”) for selected employees, consultants and other service providers. In connection with the Corporate Reorganization, Himalaya Parent LLC assumed the Plan and the $1.0 million fair value of the liability was reclassified to additional paid-in capital. As of December 31, 2019, the Company had reserved a total of 16,665,977 Class B units for issuance under the Plan. The Class B units generally vested over four years, were subject to continued service requirements, and only provide the participants with benefits (in the form of distributions) if the distributions from BioAtla exceed specified threshold values. Generally, upon termination of services, all unvested Class B units were forfeited to the Company and the Company had the right, but not the obligation, to repurchase the vested Class B units within two years at the termination date fair value. The Class B unit repurchase would be settled in cash, at all times at the option of the Company, and the holder did not have the right to put the Class B units to the Company under any condition. Vested Class B units that are neither repurchased by the Company nor forfeited remained subject to the terms of the Company’s operating agreement. The Class B units were not subject to sale, assignment, transfer, pledge, or allowed to be otherwise encumbered or disposed of without prior written consent of the Company. As of December 31, 2019, no Class B units had been repurchased. As of December 31, 2019, there were 2,187,028 Class B units available for future issuance under the Plan.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60"/>
          </w:cols>
          <w:pgMar w:left="320" w:top="459" w:right="51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9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8300" w:type="dxa"/>
            <w:vAlign w:val="bottom"/>
            <w:gridSpan w:val="3"/>
          </w:tcPr>
          <w:p>
            <w:pPr>
              <w:ind w:left="560"/>
              <w:spacing w:after="0"/>
              <w:rPr>
                <w:sz w:val="20"/>
                <w:szCs w:val="20"/>
                <w:color w:val="auto"/>
              </w:rPr>
            </w:pPr>
            <w:r>
              <w:rPr>
                <w:rFonts w:ascii="Arial" w:cs="Arial" w:eastAsia="Arial" w:hAnsi="Arial"/>
                <w:sz w:val="18"/>
                <w:szCs w:val="18"/>
                <w:color w:val="auto"/>
              </w:rPr>
              <w:t>Activity under the Plan is summarized as follows: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6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12,867,269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Granted</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2,277,586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Cancelled</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(665,906)</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6940" w:type="dxa"/>
            <w:vAlign w:val="bottom"/>
            <w:gridSpan w:val="2"/>
          </w:tcPr>
          <w:p>
            <w:pPr>
              <w:ind w:left="520"/>
              <w:spacing w:after="0"/>
              <w:rPr>
                <w:sz w:val="20"/>
                <w:szCs w:val="20"/>
                <w:color w:val="auto"/>
              </w:rPr>
            </w:pPr>
            <w:r>
              <w:rPr>
                <w:rFonts w:ascii="Arial" w:cs="Arial" w:eastAsia="Arial" w:hAnsi="Arial"/>
                <w:sz w:val="18"/>
                <w:szCs w:val="18"/>
                <w:color w:val="auto"/>
              </w:rPr>
              <w:t>Outstanding at December 31, 2019</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14,478,949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Cancelled</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(170,836)</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Assumption of Plan by Himalaya Parent LLC on July 10, 2020</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(14,308,113)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3"/>
            <w:vMerge w:val="restart"/>
          </w:tcPr>
          <w:p>
            <w:pPr>
              <w:ind w:left="560"/>
              <w:spacing w:after="0"/>
              <w:rPr>
                <w:sz w:val="20"/>
                <w:szCs w:val="20"/>
                <w:color w:val="auto"/>
              </w:rPr>
            </w:pPr>
            <w:r>
              <w:rPr>
                <w:rFonts w:ascii="Arial" w:cs="Arial" w:eastAsia="Arial" w:hAnsi="Arial"/>
                <w:sz w:val="18"/>
                <w:szCs w:val="18"/>
                <w:color w:val="auto"/>
              </w:rPr>
              <w:t>Vesting of Class B units under the Plan is summarized as follows:</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6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5,992,101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2,277,586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Cancelled</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(665,906)</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Vested</w:t>
            </w: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(1,445,453)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2019</w:t>
            </w:r>
          </w:p>
        </w:tc>
        <w:tc>
          <w:tcPr>
            <w:tcW w:w="120" w:type="dxa"/>
            <w:vAlign w:val="bottom"/>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6,158,328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(170,836)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(1,310,807)</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w w:val="94"/>
              </w:rPr>
              <w:t>Assumption of unvested Class B units by Himalaya Parent LLC on July 10, 2020</w:t>
            </w: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(4,676,685)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2020</w:t>
            </w:r>
          </w:p>
        </w:tc>
        <w:tc>
          <w:tcPr>
            <w:tcW w:w="1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firstLine="440"/>
        <w:spacing w:after="0" w:line="296" w:lineRule="auto"/>
        <w:rPr>
          <w:sz w:val="20"/>
          <w:szCs w:val="20"/>
          <w:color w:val="auto"/>
        </w:rPr>
      </w:pPr>
      <w:r>
        <w:rPr>
          <w:rFonts w:ascii="Arial" w:cs="Arial" w:eastAsia="Arial" w:hAnsi="Arial"/>
          <w:sz w:val="16"/>
          <w:szCs w:val="16"/>
          <w:color w:val="auto"/>
        </w:rPr>
        <w:t>The Class B units were liability awards pursuant to authoritative guidance, which required the Company to record a liability based on the fair value of the Class B units as of each reporting period. For the year ended December 31, 2019 and through the date of the Corporate Reorganization, the fair value of the liability awards was determined based on the Company’s estimated enterprise value, which was allocated based on a hybrid model that, in addition to the option pricing model, considering the Company’s expected IPO. Under the option pricing method, units were valued by creating a series of call options with exercise prices based on the liquidation preferences and conversion terms of each unit class.</w:t>
      </w:r>
    </w:p>
    <w:p>
      <w:pPr>
        <w:spacing w:after="0" w:line="16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connection with the Division, the distribution thresholds that had to be achieved before the Class B unit holders were entitled to distributions were adjusted, resulting in a $0.9 million reduction to the aggregate profits interest liability between the Predecessor and the Post-Division LLCs at the date of the Division. The thresholds of the Post-Division Successor were changed in order to reflect the impact of the assets assigned to BioAtla Holdings and Inversagen in the Division. For the year ended December 31, 2019, the profits interest liability decreased $7.4 million, including the $0.9 million reduction described above, and $0.8 million recognized as additional paid-in capital related to the fair value of vested Class B units assumed by BioAtla Holdings and Inversagen in connection with the Division. In addition, the Company recognized stock-based compensation expense and additional paid-in capital of $0.2 million related to the fair value of the unvested Class B units assumed by BioAtla Holdings and Inversagen in connection with the Division since these Class B unit holders are employees of the Post-Division Successor, and were not expected to provide services to BioAtla Holdings or Inversagen.</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60"/>
          </w:cols>
          <w:pgMar w:left="320" w:top="446" w:right="51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9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10300" w:type="dxa"/>
            <w:vAlign w:val="bottom"/>
            <w:gridSpan w:val="2"/>
          </w:tcPr>
          <w:p>
            <w:pPr>
              <w:ind w:left="440"/>
              <w:spacing w:after="0"/>
              <w:rPr>
                <w:sz w:val="20"/>
                <w:szCs w:val="20"/>
                <w:color w:val="auto"/>
              </w:rPr>
            </w:pPr>
            <w:r>
              <w:rPr>
                <w:rFonts w:ascii="Arial" w:cs="Arial" w:eastAsia="Arial" w:hAnsi="Arial"/>
                <w:sz w:val="18"/>
                <w:szCs w:val="18"/>
                <w:color w:val="auto"/>
              </w:rPr>
              <w:t>The following table provides a reconciliation of the profits interest liability (in thousands):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15,992</w:t>
            </w:r>
          </w:p>
        </w:tc>
      </w:tr>
      <w:tr>
        <w:trPr>
          <w:trHeight w:val="216"/>
        </w:trPr>
        <w:tc>
          <w:tcPr>
            <w:tcW w:w="1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Increase in fair value of vested liability (Pre-Division) recognized as stock-based compensation expense</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15, 2019 (Pre-Division)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16,160</w:t>
            </w:r>
          </w:p>
        </w:tc>
      </w:tr>
      <w:tr>
        <w:trPr>
          <w:trHeight w:val="202"/>
        </w:trPr>
        <w:tc>
          <w:tcPr>
            <w:tcW w:w="120" w:type="dxa"/>
            <w:vAlign w:val="bottom"/>
          </w:tcPr>
          <w:p>
            <w:pPr>
              <w:spacing w:after="0"/>
              <w:rPr>
                <w:sz w:val="17"/>
                <w:szCs w:val="17"/>
                <w:color w:val="auto"/>
              </w:rPr>
            </w:pPr>
          </w:p>
        </w:tc>
        <w:tc>
          <w:tcPr>
            <w:tcW w:w="10300" w:type="dxa"/>
            <w:vAlign w:val="bottom"/>
            <w:gridSpan w:val="2"/>
          </w:tcPr>
          <w:p>
            <w:pPr>
              <w:spacing w:after="0" w:line="201" w:lineRule="exact"/>
              <w:rPr>
                <w:sz w:val="20"/>
                <w:szCs w:val="20"/>
                <w:color w:val="auto"/>
              </w:rPr>
            </w:pPr>
            <w:r>
              <w:rPr>
                <w:rFonts w:ascii="Arial" w:cs="Arial" w:eastAsia="Arial" w:hAnsi="Arial"/>
                <w:sz w:val="18"/>
                <w:szCs w:val="18"/>
                <w:color w:val="auto"/>
              </w:rPr>
              <w:t>Fair value of vested liability assumed by BioAtla Holdings and Inversagen in connection with Division recognized as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103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liability related to changes in distribution thresholds recognized as a reduction to stock-based compensation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w:t>
            </w:r>
          </w:p>
        </w:tc>
      </w:tr>
      <w:tr>
        <w:trPr>
          <w:trHeight w:val="223"/>
        </w:trPr>
        <w:tc>
          <w:tcPr>
            <w:tcW w:w="12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Balance at March 15, 2019 (Post-Division)</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14,490</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fair value of vested liability recognized as a reduction to stock-based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(5,898)</w:t>
            </w:r>
          </w:p>
        </w:tc>
      </w:tr>
      <w:tr>
        <w:trPr>
          <w:trHeight w:val="223"/>
        </w:trPr>
        <w:tc>
          <w:tcPr>
            <w:tcW w:w="12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8,592</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Decrease in fair value of vested liability (Pre-Corporate Reorganization) recognized as decrease to stock-based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(7,601)</w:t>
            </w:r>
          </w:p>
        </w:tc>
      </w:tr>
      <w:tr>
        <w:trPr>
          <w:trHeight w:val="223"/>
        </w:trPr>
        <w:tc>
          <w:tcPr>
            <w:tcW w:w="12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Fair value of vested liability assumed by Himalaya Parent LLC on July 10, 2020 recognized as additional paid-in capital</w:t>
            </w: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The outstanding Class B units as of December 31, 2019 are summarized as follows (in thousands, except threshold, unit and per unit data):</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880" w:type="dxa"/>
            <w:vAlign w:val="bottom"/>
            <w:gridSpan w:val="2"/>
            <w:vMerge w:val="restart"/>
          </w:tcPr>
          <w:p>
            <w:pPr>
              <w:jc w:val="center"/>
              <w:ind w:right="1160"/>
              <w:spacing w:after="0"/>
              <w:rPr>
                <w:sz w:val="20"/>
                <w:szCs w:val="20"/>
                <w:color w:val="auto"/>
              </w:rPr>
            </w:pPr>
            <w:r>
              <w:rPr>
                <w:rFonts w:ascii="Arial" w:cs="Arial" w:eastAsia="Arial" w:hAnsi="Arial"/>
                <w:sz w:val="14"/>
                <w:szCs w:val="14"/>
                <w:b w:val="1"/>
                <w:bCs w:val="1"/>
                <w:color w:val="auto"/>
                <w:w w:val="94"/>
              </w:rPr>
              <w:t>Threshold</w:t>
            </w:r>
          </w:p>
        </w:tc>
        <w:tc>
          <w:tcPr>
            <w:tcW w:w="214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97"/>
              </w:rPr>
              <w:t>Units</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Vested units</w:t>
            </w:r>
          </w:p>
        </w:tc>
        <w:tc>
          <w:tcPr>
            <w:tcW w:w="940" w:type="dxa"/>
            <w:vAlign w:val="bottom"/>
          </w:tcPr>
          <w:p>
            <w:pPr>
              <w:spacing w:after="0"/>
              <w:rPr>
                <w:sz w:val="14"/>
                <w:szCs w:val="14"/>
                <w:color w:val="auto"/>
              </w:rPr>
            </w:pPr>
          </w:p>
        </w:tc>
        <w:tc>
          <w:tcPr>
            <w:tcW w:w="17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Unvested units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Profits</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140" w:type="dxa"/>
            <w:vAlign w:val="bottom"/>
          </w:tcPr>
          <w:p>
            <w:pPr>
              <w:spacing w:after="0"/>
              <w:rPr>
                <w:sz w:val="15"/>
                <w:szCs w:val="15"/>
                <w:color w:val="auto"/>
              </w:rPr>
            </w:pPr>
          </w:p>
        </w:tc>
        <w:tc>
          <w:tcPr>
            <w:tcW w:w="21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2"/>
              </w:rPr>
              <w:t>outstanding</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outstanding</w:t>
            </w:r>
          </w:p>
        </w:tc>
        <w:tc>
          <w:tcPr>
            <w:tcW w:w="940" w:type="dxa"/>
            <w:vAlign w:val="bottom"/>
          </w:tcPr>
          <w:p>
            <w:pPr>
              <w:spacing w:after="0"/>
              <w:rPr>
                <w:sz w:val="15"/>
                <w:szCs w:val="15"/>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outstanding</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unit</w:t>
            </w:r>
          </w:p>
        </w:tc>
        <w:tc>
          <w:tcPr>
            <w:tcW w:w="10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3"/>
        </w:trPr>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CCEEFF"/>
            </w:tcBorders>
            <w:gridSpan w:val="2"/>
            <w:shd w:val="clear" w:color="auto" w:fill="CCEEFF"/>
          </w:tcPr>
          <w:p>
            <w:pPr>
              <w:jc w:val="right"/>
              <w:ind w:right="1060"/>
              <w:spacing w:after="0" w:line="203" w:lineRule="exact"/>
              <w:rPr>
                <w:sz w:val="20"/>
                <w:szCs w:val="20"/>
                <w:color w:val="auto"/>
              </w:rPr>
            </w:pPr>
            <w:r>
              <w:rPr>
                <w:rFonts w:ascii="Arial" w:cs="Arial" w:eastAsia="Arial" w:hAnsi="Arial"/>
                <w:sz w:val="18"/>
                <w:szCs w:val="18"/>
                <w:color w:val="auto"/>
              </w:rPr>
              <w:t>1.0</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2,166,000</w:t>
            </w:r>
          </w:p>
        </w:tc>
        <w:tc>
          <w:tcPr>
            <w:tcW w:w="10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2,166,000</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79"/>
              </w:rPr>
              <w:t>1.67</w:t>
            </w: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3,617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880" w:type="dxa"/>
            <w:vAlign w:val="bottom"/>
            <w:gridSpan w:val="2"/>
          </w:tcPr>
          <w:p>
            <w:pPr>
              <w:jc w:val="right"/>
              <w:ind w:right="1060"/>
              <w:spacing w:after="0"/>
              <w:rPr>
                <w:sz w:val="20"/>
                <w:szCs w:val="20"/>
                <w:color w:val="auto"/>
              </w:rPr>
            </w:pPr>
            <w:r>
              <w:rPr>
                <w:rFonts w:ascii="Arial" w:cs="Arial" w:eastAsia="Arial" w:hAnsi="Arial"/>
                <w:sz w:val="18"/>
                <w:szCs w:val="18"/>
                <w:color w:val="auto"/>
              </w:rPr>
              <w:t>29.2</w:t>
            </w: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395,000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395,000</w:t>
            </w:r>
          </w:p>
        </w:tc>
        <w:tc>
          <w:tcPr>
            <w:tcW w:w="94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42.1</w:t>
            </w:r>
          </w:p>
        </w:tc>
        <w:tc>
          <w:tcPr>
            <w:tcW w:w="21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285,804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285,804</w:t>
            </w:r>
          </w:p>
        </w:tc>
        <w:tc>
          <w:tcPr>
            <w:tcW w:w="9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880" w:type="dxa"/>
            <w:vAlign w:val="bottom"/>
            <w:gridSpan w:val="2"/>
          </w:tcPr>
          <w:p>
            <w:pPr>
              <w:jc w:val="right"/>
              <w:ind w:right="1060"/>
              <w:spacing w:after="0"/>
              <w:rPr>
                <w:sz w:val="20"/>
                <w:szCs w:val="20"/>
                <w:color w:val="auto"/>
              </w:rPr>
            </w:pPr>
            <w:r>
              <w:rPr>
                <w:rFonts w:ascii="Arial" w:cs="Arial" w:eastAsia="Arial" w:hAnsi="Arial"/>
                <w:sz w:val="18"/>
                <w:szCs w:val="18"/>
                <w:color w:val="auto"/>
              </w:rPr>
              <w:t>51.9</w:t>
            </w: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1,650,000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1,650,000</w:t>
            </w:r>
          </w:p>
        </w:tc>
        <w:tc>
          <w:tcPr>
            <w:tcW w:w="94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59.7</w:t>
            </w:r>
          </w:p>
        </w:tc>
        <w:tc>
          <w:tcPr>
            <w:tcW w:w="21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330,000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330,000</w:t>
            </w:r>
          </w:p>
        </w:tc>
        <w:tc>
          <w:tcPr>
            <w:tcW w:w="9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880" w:type="dxa"/>
            <w:vAlign w:val="bottom"/>
            <w:gridSpan w:val="2"/>
          </w:tcPr>
          <w:p>
            <w:pPr>
              <w:jc w:val="right"/>
              <w:ind w:right="1060"/>
              <w:spacing w:after="0"/>
              <w:rPr>
                <w:sz w:val="20"/>
                <w:szCs w:val="20"/>
                <w:color w:val="auto"/>
              </w:rPr>
            </w:pPr>
            <w:r>
              <w:rPr>
                <w:rFonts w:ascii="Arial" w:cs="Arial" w:eastAsia="Arial" w:hAnsi="Arial"/>
                <w:sz w:val="18"/>
                <w:szCs w:val="18"/>
                <w:color w:val="auto"/>
              </w:rPr>
              <w:t>64.8</w:t>
            </w: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90,000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94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74.8</w:t>
            </w:r>
          </w:p>
        </w:tc>
        <w:tc>
          <w:tcPr>
            <w:tcW w:w="21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591,956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591,956</w:t>
            </w:r>
          </w:p>
        </w:tc>
        <w:tc>
          <w:tcPr>
            <w:tcW w:w="9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880" w:type="dxa"/>
            <w:vAlign w:val="bottom"/>
            <w:gridSpan w:val="2"/>
          </w:tcPr>
          <w:p>
            <w:pPr>
              <w:jc w:val="right"/>
              <w:ind w:right="1060"/>
              <w:spacing w:after="0"/>
              <w:rPr>
                <w:sz w:val="20"/>
                <w:szCs w:val="20"/>
                <w:color w:val="auto"/>
              </w:rPr>
            </w:pPr>
            <w:r>
              <w:rPr>
                <w:rFonts w:ascii="Arial" w:cs="Arial" w:eastAsia="Arial" w:hAnsi="Arial"/>
                <w:sz w:val="18"/>
                <w:szCs w:val="18"/>
                <w:color w:val="auto"/>
              </w:rPr>
              <w:t>115.5</w:t>
            </w: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86,875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84,375</w:t>
            </w:r>
          </w:p>
        </w:tc>
        <w:tc>
          <w:tcPr>
            <w:tcW w:w="2640" w:type="dxa"/>
            <w:vAlign w:val="bottom"/>
            <w:gridSpan w:val="3"/>
          </w:tcPr>
          <w:p>
            <w:pPr>
              <w:jc w:val="right"/>
              <w:ind w:right="520"/>
              <w:spacing w:after="0"/>
              <w:rPr>
                <w:sz w:val="20"/>
                <w:szCs w:val="20"/>
                <w:color w:val="auto"/>
              </w:rPr>
            </w:pPr>
            <w:r>
              <w:rPr>
                <w:rFonts w:ascii="Arial" w:cs="Arial" w:eastAsia="Arial" w:hAnsi="Arial"/>
                <w:sz w:val="18"/>
                <w:szCs w:val="18"/>
                <w:color w:val="auto"/>
              </w:rPr>
              <w:t>2,500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149.7</w:t>
            </w:r>
          </w:p>
        </w:tc>
        <w:tc>
          <w:tcPr>
            <w:tcW w:w="21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181,250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175,833</w:t>
            </w:r>
          </w:p>
        </w:tc>
        <w:tc>
          <w:tcPr>
            <w:tcW w:w="2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5,417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880" w:type="dxa"/>
            <w:vAlign w:val="bottom"/>
            <w:gridSpan w:val="2"/>
          </w:tcPr>
          <w:p>
            <w:pPr>
              <w:jc w:val="right"/>
              <w:ind w:right="1060"/>
              <w:spacing w:after="0"/>
              <w:rPr>
                <w:sz w:val="20"/>
                <w:szCs w:val="20"/>
                <w:color w:val="auto"/>
              </w:rPr>
            </w:pPr>
            <w:r>
              <w:rPr>
                <w:rFonts w:ascii="Arial" w:cs="Arial" w:eastAsia="Arial" w:hAnsi="Arial"/>
                <w:sz w:val="18"/>
                <w:szCs w:val="18"/>
                <w:color w:val="auto"/>
              </w:rPr>
              <w:t>169.4</w:t>
            </w: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17,083</w:t>
            </w:r>
          </w:p>
        </w:tc>
        <w:tc>
          <w:tcPr>
            <w:tcW w:w="2640" w:type="dxa"/>
            <w:vAlign w:val="bottom"/>
            <w:gridSpan w:val="3"/>
          </w:tcPr>
          <w:p>
            <w:pPr>
              <w:jc w:val="right"/>
              <w:ind w:right="520"/>
              <w:spacing w:after="0"/>
              <w:rPr>
                <w:sz w:val="20"/>
                <w:szCs w:val="20"/>
                <w:color w:val="auto"/>
              </w:rPr>
            </w:pPr>
            <w:r>
              <w:rPr>
                <w:rFonts w:ascii="Arial" w:cs="Arial" w:eastAsia="Arial" w:hAnsi="Arial"/>
                <w:sz w:val="18"/>
                <w:szCs w:val="18"/>
                <w:color w:val="auto"/>
              </w:rPr>
              <w:t>2,917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254.0</w:t>
            </w:r>
          </w:p>
        </w:tc>
        <w:tc>
          <w:tcPr>
            <w:tcW w:w="21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305,000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236,248</w:t>
            </w:r>
          </w:p>
        </w:tc>
        <w:tc>
          <w:tcPr>
            <w:tcW w:w="2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68,752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880" w:type="dxa"/>
            <w:vAlign w:val="bottom"/>
            <w:gridSpan w:val="2"/>
          </w:tcPr>
          <w:p>
            <w:pPr>
              <w:jc w:val="right"/>
              <w:ind w:right="1060"/>
              <w:spacing w:after="0"/>
              <w:rPr>
                <w:sz w:val="20"/>
                <w:szCs w:val="20"/>
                <w:color w:val="auto"/>
              </w:rPr>
            </w:pPr>
            <w:r>
              <w:rPr>
                <w:rFonts w:ascii="Arial" w:cs="Arial" w:eastAsia="Arial" w:hAnsi="Arial"/>
                <w:sz w:val="18"/>
                <w:szCs w:val="18"/>
                <w:color w:val="auto"/>
              </w:rPr>
              <w:t>265.2</w:t>
            </w: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58,750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54,375</w:t>
            </w:r>
          </w:p>
        </w:tc>
        <w:tc>
          <w:tcPr>
            <w:tcW w:w="2640" w:type="dxa"/>
            <w:vAlign w:val="bottom"/>
            <w:gridSpan w:val="3"/>
          </w:tcPr>
          <w:p>
            <w:pPr>
              <w:jc w:val="right"/>
              <w:ind w:right="520"/>
              <w:spacing w:after="0"/>
              <w:rPr>
                <w:sz w:val="20"/>
                <w:szCs w:val="20"/>
                <w:color w:val="auto"/>
              </w:rPr>
            </w:pPr>
            <w:r>
              <w:rPr>
                <w:rFonts w:ascii="Arial" w:cs="Arial" w:eastAsia="Arial" w:hAnsi="Arial"/>
                <w:sz w:val="18"/>
                <w:szCs w:val="18"/>
                <w:color w:val="auto"/>
              </w:rPr>
              <w:t>4,375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270.7</w:t>
            </w:r>
          </w:p>
        </w:tc>
        <w:tc>
          <w:tcPr>
            <w:tcW w:w="21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250,000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133,332</w:t>
            </w:r>
          </w:p>
        </w:tc>
        <w:tc>
          <w:tcPr>
            <w:tcW w:w="2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116,668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880" w:type="dxa"/>
            <w:vAlign w:val="bottom"/>
            <w:gridSpan w:val="2"/>
          </w:tcPr>
          <w:p>
            <w:pPr>
              <w:jc w:val="right"/>
              <w:ind w:right="1060"/>
              <w:spacing w:after="0"/>
              <w:rPr>
                <w:sz w:val="20"/>
                <w:szCs w:val="20"/>
                <w:color w:val="auto"/>
              </w:rPr>
            </w:pPr>
            <w:r>
              <w:rPr>
                <w:rFonts w:ascii="Arial" w:cs="Arial" w:eastAsia="Arial" w:hAnsi="Arial"/>
                <w:sz w:val="18"/>
                <w:szCs w:val="18"/>
                <w:color w:val="auto"/>
              </w:rPr>
              <w:t>279.1</w:t>
            </w: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1,386,762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1,056,338</w:t>
            </w:r>
          </w:p>
        </w:tc>
        <w:tc>
          <w:tcPr>
            <w:tcW w:w="2640" w:type="dxa"/>
            <w:vAlign w:val="bottom"/>
            <w:gridSpan w:val="3"/>
          </w:tcPr>
          <w:p>
            <w:pPr>
              <w:jc w:val="right"/>
              <w:ind w:right="520"/>
              <w:spacing w:after="0"/>
              <w:rPr>
                <w:sz w:val="20"/>
                <w:szCs w:val="20"/>
                <w:color w:val="auto"/>
              </w:rPr>
            </w:pPr>
            <w:r>
              <w:rPr>
                <w:rFonts w:ascii="Arial" w:cs="Arial" w:eastAsia="Arial" w:hAnsi="Arial"/>
                <w:sz w:val="18"/>
                <w:szCs w:val="18"/>
                <w:color w:val="auto"/>
              </w:rPr>
              <w:t>330,424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279.9</w:t>
            </w:r>
          </w:p>
        </w:tc>
        <w:tc>
          <w:tcPr>
            <w:tcW w:w="21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43,750</w:t>
            </w:r>
          </w:p>
        </w:tc>
        <w:tc>
          <w:tcPr>
            <w:tcW w:w="2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56,250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880" w:type="dxa"/>
            <w:vAlign w:val="bottom"/>
            <w:gridSpan w:val="2"/>
          </w:tcPr>
          <w:p>
            <w:pPr>
              <w:jc w:val="right"/>
              <w:ind w:right="1060"/>
              <w:spacing w:after="0"/>
              <w:rPr>
                <w:sz w:val="20"/>
                <w:szCs w:val="20"/>
                <w:color w:val="auto"/>
              </w:rPr>
            </w:pPr>
            <w:r>
              <w:rPr>
                <w:rFonts w:ascii="Arial" w:cs="Arial" w:eastAsia="Arial" w:hAnsi="Arial"/>
                <w:sz w:val="18"/>
                <w:szCs w:val="18"/>
                <w:color w:val="auto"/>
              </w:rPr>
              <w:t>283.0</w:t>
            </w: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273,966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273,966</w:t>
            </w:r>
          </w:p>
        </w:tc>
        <w:tc>
          <w:tcPr>
            <w:tcW w:w="94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304.6</w:t>
            </w:r>
          </w:p>
        </w:tc>
        <w:tc>
          <w:tcPr>
            <w:tcW w:w="21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2,277,586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2,277,586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880" w:type="dxa"/>
            <w:vAlign w:val="bottom"/>
            <w:gridSpan w:val="2"/>
          </w:tcPr>
          <w:p>
            <w:pPr>
              <w:jc w:val="right"/>
              <w:ind w:right="1060"/>
              <w:spacing w:after="0"/>
              <w:rPr>
                <w:sz w:val="20"/>
                <w:szCs w:val="20"/>
                <w:color w:val="auto"/>
              </w:rPr>
            </w:pPr>
            <w:r>
              <w:rPr>
                <w:rFonts w:ascii="Arial" w:cs="Arial" w:eastAsia="Arial" w:hAnsi="Arial"/>
                <w:sz w:val="18"/>
                <w:szCs w:val="18"/>
                <w:color w:val="auto"/>
              </w:rPr>
              <w:t>305.9</w:t>
            </w: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70,000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28,958</w:t>
            </w:r>
          </w:p>
        </w:tc>
        <w:tc>
          <w:tcPr>
            <w:tcW w:w="2640" w:type="dxa"/>
            <w:vAlign w:val="bottom"/>
            <w:gridSpan w:val="3"/>
          </w:tcPr>
          <w:p>
            <w:pPr>
              <w:jc w:val="right"/>
              <w:ind w:right="520"/>
              <w:spacing w:after="0"/>
              <w:rPr>
                <w:sz w:val="20"/>
                <w:szCs w:val="20"/>
                <w:color w:val="auto"/>
              </w:rPr>
            </w:pPr>
            <w:r>
              <w:rPr>
                <w:rFonts w:ascii="Arial" w:cs="Arial" w:eastAsia="Arial" w:hAnsi="Arial"/>
                <w:sz w:val="18"/>
                <w:szCs w:val="18"/>
                <w:color w:val="auto"/>
              </w:rPr>
              <w:t>41,042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308.7</w:t>
            </w:r>
          </w:p>
        </w:tc>
        <w:tc>
          <w:tcPr>
            <w:tcW w:w="21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3,960,000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707,603</w:t>
            </w:r>
          </w:p>
        </w:tc>
        <w:tc>
          <w:tcPr>
            <w:tcW w:w="2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3,252,397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14,478,949</w:t>
            </w:r>
          </w:p>
        </w:tc>
        <w:tc>
          <w:tcPr>
            <w:tcW w:w="10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8,320,621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6,158,328</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restart"/>
          </w:tcPr>
          <w:p>
            <w:pPr>
              <w:jc w:val="right"/>
              <w:ind w:right="450"/>
              <w:spacing w:after="0"/>
              <w:rPr>
                <w:sz w:val="20"/>
                <w:szCs w:val="20"/>
                <w:color w:val="auto"/>
              </w:rPr>
            </w:pPr>
            <w:r>
              <w:rPr>
                <w:rFonts w:ascii="Arial" w:cs="Arial" w:eastAsia="Arial" w:hAnsi="Arial"/>
                <w:sz w:val="18"/>
                <w:szCs w:val="18"/>
                <w:color w:val="auto"/>
              </w:rPr>
              <w:t>164</w:t>
            </w: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6"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allocation of equity-based compensation, including $0.7 million from Himalaya Parent as a capital contribution during 2020, for all Class B units is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12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0"/>
              </w:rPr>
              <w:t>(2,993)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7"/>
              </w:rPr>
              <w:t>(2,997)</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(3,859)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w w:val="94"/>
              </w:rPr>
              <w:t>(3,406)</w:t>
            </w:r>
          </w:p>
        </w:tc>
      </w:tr>
      <w:tr>
        <w:trPr>
          <w:trHeight w:val="27"/>
        </w:trPr>
        <w:tc>
          <w:tcPr>
            <w:tcW w:w="4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(6,852)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(6,403)</w:t>
            </w:r>
          </w:p>
        </w:tc>
      </w:tr>
      <w:tr>
        <w:trPr>
          <w:trHeight w:val="20"/>
        </w:trPr>
        <w:tc>
          <w:tcPr>
            <w:tcW w:w="4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Collaboration, license and option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Co-Development and Collaboration Agreement with BeiGene</w:t>
      </w:r>
    </w:p>
    <w:p>
      <w:pPr>
        <w:spacing w:after="0" w:line="117"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In April 2019, the Company entered into a Global Co-Development and Collaboration agreement (the “BeiGene Collaboration”) with BeiGene, Ltd. and BeiGene Switzerland GmbH (collectively “BeiGene”), a commercial-stage biopharmaceutical company, for the development, manufacturing and commercialization of the Company’s investigational CAB CTLA-4 antibody (BA3071). The Company and BeiGene amended the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Global Co-Development and Collaboration agreement in December 2019 and in October 2020 (the “Amended BeiGene Collaboration”).</w:t>
      </w:r>
    </w:p>
    <w:p>
      <w:pPr>
        <w:spacing w:after="0" w:line="21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the BeiGene Collaboration the Company would co-develop the CAB-CTLA-4 antibody to reach defined early clinical objectives (“POC Milestone”), whereby the Company would perform the development activities (“Development Services”) and BeiGene reimbursed the Company for a portion of the costs incurred by the Company for these Development Services subsequent to the filing of an Investigational New Drug Application (“IND”). Following the POC Milestone, BeiGene would then lead the parties’ joint efforts to develop the product candidate and be responsible for global regulatory filings and commercialization. Subject to the terms of the agreement, BeiGene will hold a co-exclusive license with the Company to develop and manufacture the product candidate globally and an exclusive license to commercialize the product candidate globally. BeiGene will be responsible for all costs of development, manufacturing and commercialization in China, parts of the Middle East and Asia (excluding Japan), Australia and New Zealand (the “BeiGene Territory”), and the parties would share development and manufacturing costs and commercial profits and losses upon specified terms in the rest of the world that are not part of the BeiGene Territory (the “ROW”).</w:t>
      </w:r>
    </w:p>
    <w:p>
      <w:pPr>
        <w:spacing w:after="0" w:line="18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Subject to earlier termination, the BeiGene Collaboration shall remain in effect, on a country-by-country basis until the earlier of ten years following commercial sale or upon such time that the parties cease pursuing commercialization. Unless terminated early, at the expiration date BeiGene retains all licensing rights in the applicable territories. BeiGene may terminate the BeiGene Collaboration at any time after the one-year anniversary of the agreement subject to 90 days written notice, or any time subject to 45 days’ notice if it is determined that the proof of concept milestone or technological or scientific feasibility will not be achieved. The BeiGene Collaboration also contains customary provisions for termination by either party, including the event of breach of the BeiGene Collaboration, subject to cure.</w:t>
      </w:r>
    </w:p>
    <w:p>
      <w:pPr>
        <w:spacing w:after="0" w:line="17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2019, BeiGene paid the Company an upfront non-refundable payment of $20.0 million and paid the Company $5.0 million for the reimbursement of manufacturing costs. Under the BeiGene Collaboration, the Company was eligible to receive variable consideration for subsequent development and regulatory milestones globally and commercial milestones in the BeiGene Territory and tiered royalties ranging from the mid-single digits to the mid-double digits based on net sales in the BeiGene Territory.</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 concluded that the BeiGene Collaboration is a contract with a customer and applied relevant guidance from Topic 606 through reaching the POC milestone as the licenses to intellectual property granted to BeiGene and the obligation to perform research and development services are outputs of the Company’s ongoing activities.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60"/>
          </w:cols>
          <w:pgMar w:left="320" w:top="459"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identified material promises in the BeiGene Collaboration through POC milestone, consisting of the licenses described above and the Development Services. It was determined that the licenses are not distinct from the development services resulting in a single performance obligation.</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accordance with Topic 606, the Company determined the transaction price of the agreement is limited to the $25.0 million received, and excluded the variable consideration of expense reimbursements, milestone payments and royalties as they are fully constrained. The expense reimbursements were included in the transaction price in the reporting period the Company concluded it was probable that inclusion of such amounts in the transaction price would not result in a significant reversal in revenue recognized.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w:t>
      </w:r>
    </w:p>
    <w:p>
      <w:pPr>
        <w:spacing w:after="0" w:line="19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Under the terms of the Amended BeiGene Collaboration, BeiGene is generally responsible for developing BA3071 and is responsible for global regulatory filings and commercialization. Subject to the terms of the Amended BeiGene Collaboration, BeiGene holds an exclusive license with the Company to develop and manufacture the BA3071 candidate globally, and BeiGene is responsible for all costs of development, manufacturing and commercialization globally. The Amended BeiGene Collaboration provides that the Company is eligible to receive tiered royalties, ranging from the high-single digits to the low twenties, on sales worldwide, up to $225.5 million in subsequent development and regulatory milestone payments globally and commercial milestones in the BeiGene territory (reduced from $249 million under the BeiGene Collaboration), and a $5.0 million milestone payment upon the completion of the Company’s amended performance obligations, including the transfer of the master cell bank for BA3071 and other know-how.</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Under the Amended BeiGene Collaboration, the Company’s amended performance obligation, which includes the transfer of know-how and the master cell bank for BA3071, is satisfied at a point in time determined to be when BeiGene has received the know-how and master cell bank. Until then BeiGene cannot benefit from the ability to further develop and manufacture the BA3071 candidate. Under the original collaboration agreement, the Company recognized revenue over time using an input method based on actual costs incurred compared to estimated total costs expected to be incurred to fulfill its performance obligation to perform development services.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the years ended December 31, 2020 and 2019, the Company recognized revenue of $0.4 million and $4.7 million, respectively, related to the BeiGene collaboration. As of December 31, 2020 and 2019, the Company had $19.8 million and $20.2 million, respectively, of related deferred revenue, of which $19.8 million and $1.4 million, respectively, was classified as current. The deferred revenue is expected to be earned upon transfer of the know-how and master cell bank within the next twelve months.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 and Option Agreement with Pfizer, Inc.</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Company was party to a license and option agreement with Pfizer that was terminated in December 2019. Under the agreement, the parties granted to each other the exclusive option to obtain an exclusive, worldwide, sublicensable, transferable license to develop and commercialize a certain number of Antibody Drug Conjugates (“ADC”) CAB antibodies, with such ADC CAB antibodies to be jointly selected by the parties. As of December 2019, no ADC CAB Antibodies had been optioned by either party.</w:t>
      </w:r>
    </w:p>
    <w:p>
      <w:pPr>
        <w:spacing w:after="0" w:line="18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Pfizer paid the Company $1.0 million in December 2015 upon execution of the agreement. The Company had identified a single deliverable at inception of the agreement, which consisted of the company’s obligation to nominate targets, perform certain preclinical research, efficacy studies and related reports (“research and development services”). These services were prerequisites to Pfizer’s exercise of Pfizer’s substantive options under the agreement. As such, the Company recognized revenue for the $1.0 million of consideration received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over the four-year period over which it delivered its research and development services. In connection with the license and option agreement with Pfizer, the Company recognized collaboration revenue of $0.5 million for the year ended December 31,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Biotech Investment Group, LLC</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Prior to the Corporate Reorganization, Biotech Investment Group, LLC (“BIG”), was a principal owner, related party of the Company and affiliated with BioDuro, LLC (“BioDuro”) and Biotech Investment Group II LLC (“BIG II”). Subsequent to the Corporate Reorganization, BIG is no longer a principal owner and, as a result, neither BIG nor its affiliates are related parties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BioDuro</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BioDuro is a contract research organization that provides services to the Company. For the year ended December 31, 2019, the Company incurred expenses of $1.9 million in connection with services provided by BioDuro. As of December 31, 2019, the Company had outstanding accounts payable and accrued expenses due to BioDuro in the aggregate amount of $0.4 million. During 2019, an affiliate of BIG sold a majority interest in BioDuro to an unaffiliated entity. Effective January 1, 2020, BioDuro is no longer considered a related party of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Biotech Investment Group II LLC</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BIG II loaned the Company $0.5 million under the terms of the 2019 Notes described in Note 4 above. As of December 31, 2019, the Company had outstanding 2019 Notes due to BIG II in the amount of $0.5 million and accrued interest payable to BIG II of $11,000. For the years ended December 31, 2020 and 2019, the Company recognized interest expense (including amortization of debt discounts) of $42,000 and $20,000, respectively on outstanding 2019 Notes payable to BIG II. The 2019 Notes payable to BIG II were settled in connection with the Corporate Reorganization in July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 Jay Short and Carolyn Anderson Short</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Dr. Jay Short and Carolyn Anderson Short, principal owners and officers of the Company, loaned the Company $1.0 million and $0.5 million, respectively, under the terms of the 2019 Notes and 2020 Notes described in Note 4 above. As of December 31, 2019, the Company had outstanding 2019 Notes due to Dr. Jay Short and Carolyn Anderson Short in the amount of $1.0 million and accrued interest payable to Dr. Jay Short and Carolyn Anderson Short of $16,000. For the years ended December 31, 2020 and 2019, the Company recognized interest expense (including amortization of debt discounts) of $0.1 million and $32,000, respectively, on outstanding 2019 Notes and 2020 Notes payable to Dr. Jay Short and Carolyn Anderson Short. The 2019 Notes and 2020 Notes payable to Dr. Jay Short and Carolyn Anderson Short were settled in connection with the Corporate Reorganization in July 2020.</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EXUMA Biotech Corp. and subsidiary</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As of December 31, 2019, the Company and EXUMA are no longer related parties since none of the Post-Division LLCs own any common or preferred stock of EXUMA and have no ongoing contractual relationships other than the license agreement described below (see Note 11). The Company was a named party to a lease where a subsidiary of EXUMA was the primary tenant. The EXUMA subsidiary paid the landlord directly for payments due under the lease and was reimbursed by the Company for its share of the payments. For the year ended December 31, 2019, the Company expensed $15,000 for its share of payments due under the lease. In addition, the Company expensed $10,000 related to an amendment of the license agreement described in Note 11.</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Inversagen, LLC</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Inversagen was formed in conjunction with the LLC Division. On March 15, 2019, the Company entered into an Exclusive License Agreement with Inversagen (the “Inversagen License”). Under the terms of the agreement, Inversagen acquired the rights to CAB-antibodies for the field of diseases associated with aging, outside of cancer, and a immuno-oncology antibody. The Company may perform development services under the agreement and will be reimbursed by Inversagen for its costs. Commencing on the first commercial sale of the CAB-antibodies and immuno-oncology antibody subject to the Inversagen License, Inversagen will pay the Company milestone payments and royalties, which represent a variable interest held by the Company. On July 7, 2020, the Company and Inversagen entered into the First Amendment to Exclusive License Agreement (“Amended Inversagen License”), which grants the Company an option for a period of 10 years to acquire the immuno-oncology antibody in return for royalty payments in the low-single digits during the applicable royalty term. No payments have been made to date.</w:t>
      </w:r>
    </w:p>
    <w:p>
      <w:pPr>
        <w:spacing w:after="0" w:line="17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Inversagen has only nominal assets and liabilities and is a VIE as the entity lacks sufficient equity to finance its activities without additional subordinated financial support. The Company does not consolidate Inversagen as it is not the primary beneficiary; Inversagen License and the Amended Inversagen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Inversagen, and no exposure to its losses. Inversagen is currently inactive, and the Company has not provided any services to Inversagen, has not provided any support to Inversagen and has no obligation to do so, and Inversagen’s creditors have no recourse to the general credit of the Company. The Company does not have any assets or liabilities associated with its variable interest in Inversagen at December 31, 2020 and 2019.</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Inversagen is a related party of the Company. Dr. Jay Short and Carolyn Anderson Short serve as managers of Inversagen.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Himalaya Therapeutics SEZC</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Prior to the Corporate Reorganization, Himalaya Therapeutics SEZC met the definition of a VIE under ASC 810-10, as the entity did not have enough equity to finance its activities without additional subordinated financial support. The Company consolidated Himalaya Therapeutics SEZC as the primary beneficiary, as it had (i) the power to direct activities of a VIE that most significantly impact the VIE’s economic performance and (ii) the right to receive benefits from the VIE that could potentially be significant to the VIE, resulting from its control of the board of directors, and voting control of the entity via a voting agreement among its shareholders, and its equity holdings. The Company was not obligated to provide financial support to Himalaya Therapeutics SEZC. Himalaya Therapeutics SEZC’s creditors had no recourse in the general credit of the Company. Himalaya Therapeutics SEZC held intellectual property related to certain CAB Antibodies under an Exclusive Rights Agreement with the Company dated December 20, 2018. As of December 31, 2019, Himalaya Therapeutics SEZC had no material operations, did not have any employees and the carrying value of its assets and liabilities was nominal.</w:t>
      </w:r>
    </w:p>
    <w:p>
      <w:pPr>
        <w:spacing w:after="0" w:line="18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On January 1, 2020, the Company entered into an Amended and Restated Exclusive Rights Agreement (the “Amended Rights Agreement”) with Himalaya Therapeutics SEZC. Under the terms of the Amended Rights Agreement, Himalaya Therapeutics SEZC acquired the rights to</w:t>
      </w:r>
    </w:p>
    <w:p>
      <w:pPr>
        <w:ind w:left="120" w:right="500"/>
        <w:spacing w:after="0" w:line="302" w:lineRule="auto"/>
        <w:rPr>
          <w:sz w:val="20"/>
          <w:szCs w:val="20"/>
          <w:color w:val="auto"/>
        </w:rPr>
      </w:pPr>
      <w:r>
        <w:rPr>
          <w:rFonts w:ascii="Arial" w:cs="Arial" w:eastAsia="Arial" w:hAnsi="Arial"/>
          <w:sz w:val="16"/>
          <w:szCs w:val="16"/>
          <w:color w:val="auto"/>
        </w:rPr>
        <w:t>10 CAB-antibodies for the territory of China, Macao, Hong Kong and Taiwan, global rights to a CAB-HER2-bispecific-antibody and global co-development rights with us to an IL-22 non-CAB-antibody. Payments to the Company may include upfront payments, milestone payments and double digit royalties, which represent a variable interest held by the Company, but no payments have been made to the Company to date.</w:t>
      </w:r>
    </w:p>
    <w:p>
      <w:pPr>
        <w:spacing w:after="0" w:line="15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part of the Corporate Reorganization, Himalaya Therapeutics SEZC was distributed to Himalaya Parent LLC at the carrying value of its assets and liabilities, which were nominal, and no gain or loss was recorded 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transaction in the Company’s financial statements for the year ended December 31, 2020. Himalaya Therapeutics SEZC continues to be a variable interest entity as it does not have sufficient equity to finance its activities without additional subordinated financial support. The Company is not obligated to provide financial support to Himalaya Therapeutics SEZC. The Company is not the primary beneficiary of Himalaya Therapeutics SEZC, however, as the Amended Rights Agreement does not provide BioAtla, Inc. with the power to direct activities of a VIE that most significantly impact the VIE’s economic performance, such as decision-making power over the direction of its development efforts or the search for or terms of any future financing arrangements. The Company does not have any assets or liabilities recorded at December 31, 2020 associated with its variable interest in Himalaya Therapeutics SEZC, and has no exposure to Himalaya Therapeutics SEZC losses. The Company does not have a variable interest in Himalaya Parent LLC.</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Himalaya Therapeutics SEZC is a related party whose controlling shareholder is Himalaya Parent LLC. Dr. Jay Short and Carolyn Anderson Short serve as directors of Himalaya Therapeutics SEZC, and Carolyn Anderson Short serves as an officer of such entity.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BioAtla Holdings, LLC</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Effective January 1, 2020, the Company entered into an Exclusive License Agreement (the “BioAtla Holdings License”) with BioAtla Holdings, LLC. Under the terms of the agreement, BioAtla Holdings acquired the rights to CAB antibodies for certain targets in the field of Adoptive Cell Therapy (CAR-T format) in exchange for potential royalty payments on future net sales. On July 7, 2020, the Company and BioAtla Holdings entered into the First Amendment to Exclusive License Agreement (the “Amended BioAtla Holdings License”), which grants the Company an option for a period of 10 years to acquire the ACT Preparations and ACT Treatments in return for royalty payments in the low-single digits during the applicable royalty term. The Company has not exercised its option and no payments have been made to date under these agreements.</w:t>
      </w:r>
    </w:p>
    <w:p>
      <w:pPr>
        <w:spacing w:after="0" w:line="164"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In addition, effective January 1, 2020, the Company entered into a Royalty Sharing Agreement whereby the Company agreed to share with BioAtla Holdings 50% of the royalties it receives under the Amended and Restated EXUMA License defined and described in Note 11 below.</w:t>
      </w:r>
    </w:p>
    <w:p>
      <w:pPr>
        <w:spacing w:after="0" w:line="12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BioAtla Holdings is a variable interest entity as it does not have sufficient equity to finance its activities without additional subordinated financial support. The royalty payments and option to acquire assets represent variable interests held by the Company in BioAtla Holdings. The Company is not the primary beneficiary of BioAtla Holdings, however, as the BioAtla Holdings License and Amended BioAtla Holdings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BioAtla Holdings, and no exposure to its losses. BioAtla Holdings is currently inactive, and the Company has not provided any support to BioAtla Holdings and has no obligation to do so, and BioAtla Holdings’ creditors have no recourse to the general credit of the Company. The Company does not have any assets or liabilities associated with its variable interests in BioAtla Holdings at December 31, 2020 and 2019.</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BioAtla Holdings is a related party of the Company. Dr. Jay Short and Carolyn Anderson Short serve as managers of BioAtla Holdings.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Himalaya Parent LLC</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connection with the Corporate Reorganization, Himalaya Parent assumed the Company’s profits interest plan, including equity awards to employees of the Company. For the year ended December 31, 2020, the Company recognized $0.7 million of compensation cost and a related capital adjustment in connection with the assumed profits interest plan. Dr. Jay Short and Carolyn Anderson Short serve as managers of Himalaya Parent LLC.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401(k) plan</w:t>
      </w:r>
    </w:p>
    <w:p>
      <w:pPr>
        <w:spacing w:after="0" w:line="121"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As of December 31, 2020 and 2019, the Company had not made any matching contributions.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EXUMA Biotech Corp.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Exclusive License Agreement</w:t>
      </w:r>
    </w:p>
    <w:p>
      <w:pPr>
        <w:spacing w:after="0" w:line="11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As of December 31, 2020 and December 31, 2019, the Company is party to an Amended and Restated Exclusive License Agreement with EXUMA. Under the Amended and Restated Exclusive License Agreement, the Company granted EXUMA and its affiliates an exclusive, worldwide, sublicensable license under certain patents and know-how controlled by the Company to develop, manufacture and commercialize Adoptive Cellular Therapy (“ACT”) preparations and treatments for cancer for four specified targets. EXUMA’s rights under the agreement exclude the right to grant sublicenses to third parties to discover, develop or manufacture any CAB ACT or any component of the Company’s CAB ACT technology, except as used in or incorporated into EXUMA’s ACTs for cancer. The license to EXUMA is royalty bearing.</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EXUMA granted the Company an exclusive, worldwide, royalty free, fully paid-up, sublicensable license under certain patents</w:t>
      </w:r>
    </w:p>
    <w:p>
      <w:pPr>
        <w:spacing w:after="0" w:line="23" w:lineRule="exact"/>
        <w:rPr>
          <w:sz w:val="20"/>
          <w:szCs w:val="20"/>
          <w:color w:val="auto"/>
        </w:rPr>
      </w:pPr>
    </w:p>
    <w:p>
      <w:pPr>
        <w:ind w:left="120" w:right="600"/>
        <w:spacing w:after="0" w:line="260" w:lineRule="auto"/>
        <w:rPr>
          <w:sz w:val="20"/>
          <w:szCs w:val="20"/>
          <w:color w:val="auto"/>
        </w:rPr>
      </w:pPr>
      <w:r>
        <w:rPr>
          <w:rFonts w:ascii="Arial" w:cs="Arial" w:eastAsia="Arial" w:hAnsi="Arial"/>
          <w:sz w:val="18"/>
          <w:szCs w:val="18"/>
          <w:color w:val="auto"/>
        </w:rPr>
        <w:t>and know-how controlled by EXUMA and EXUMA’s interest in technology jointly developed under the agreement to develop, manufacture and commercialize non-ACT CAB products for any indication.</w:t>
      </w:r>
    </w:p>
    <w:p>
      <w:pPr>
        <w:spacing w:after="0" w:line="18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EXUMA is obligated to pay the Company during the royalty term, on a product-by-product basis and country-by-country basis, mid-single digit royalties based on annual net sales of certain EXUMA ACT products, subject to certain adjustments. The term during which EXUMA is obligated to pay royalties under the agreement with respect to any particular product in any particular country, will begin on the first commercial sale of such product in such country and will end on the date of expiration of the last-to-expire of certain product-related patent rights in such country. All royalties to be paid under the agreement are subject to certain adjustments. Future royalties will be recognized when earned.</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Unless earlier terminated, the agreement continues in effect so long as EXUMA or any of its affiliates, licensees or sublicensees are developing or commercializing any EXUMA products in the ACT field or the Company or any of its affiliates, licensees or sublicensees are developing or commercializing any CAB products for any indication outside the ACT field. The agreement may be terminated only by the mutual written agreement of the parties.</w:t>
      </w:r>
    </w:p>
    <w:p>
      <w:pPr>
        <w:spacing w:after="0" w:line="187"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EXUMA is a VIE, and the Company has a variable interest in EXUMA due to its right to receive royalties during the royalty term under the Amended and Restated EXUMA License. As of December 31, 2020 and 2019, the Company has determined it is not the primary beneficiary of EXUMA and, as such, the Company does not consolidate EXUMA. The Company has no equity ownership in EXUMA, no representation on the EXUMA board of directors, and the Amended and Restated EXUMA License does not provide the Company with the ability to make decisions regarding the execution of business strategy that most significantly impact the economic performance of EXUMA. The Company has not funded and has no commitment to fund EXUMA’s losses, and has no exposure to loss as a result of its Amended and Restated EXUMA License. The Company’s financial statements do not include any assets or liabilities related to the Amended and Restated EXUMA License at December 31, 2020 and 2019.</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Historically, the Company has conducted its U.S. operations through a pass through entity that filed its income tax returns as a partnership for U.S. federal and state income tax purposes. As a result, the Company was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not subject to U.S. federal or state income taxes as the related tax consequences were reported by its individual members. In connection with the Company’s initial public offering, its status was changed from a limited liability company to a corporation, and accordingly, the Company became taxable at the entity level for U.S. federal and state income tax purposes.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 reconciliation of income tax expense computed at the U.S. federal statutory income tax rate to the Company’s income tax expense for the year ended December 31, 2020 is as follows (in thousands):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the federal statutory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impact of conversion to C Corporation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(6,708)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Partnership income not subject to tax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12,768</w:t>
            </w:r>
          </w:p>
        </w:tc>
        <w:tc>
          <w:tcPr>
            <w:tcW w:w="0" w:type="dxa"/>
            <w:vAlign w:val="bottom"/>
          </w:tcPr>
          <w:p>
            <w:pPr>
              <w:spacing w:after="0"/>
              <w:rPr>
                <w:sz w:val="1"/>
                <w:szCs w:val="1"/>
                <w:color w:val="auto"/>
              </w:rPr>
            </w:pPr>
          </w:p>
        </w:tc>
      </w:tr>
      <w:tr>
        <w:trPr>
          <w:trHeight w:val="223"/>
        </w:trPr>
        <w:tc>
          <w:tcPr>
            <w:tcW w:w="7760" w:type="dxa"/>
            <w:vAlign w:val="bottom"/>
            <w:gridSpan w:val="2"/>
          </w:tcPr>
          <w:p>
            <w:pPr>
              <w:ind w:left="13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w w:val="91"/>
              </w:rPr>
              <w:t>As of December 31, 2020, the Company’s net deferred tax assets (liabilities) are as follows (in thousands):</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Guaranteed payments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credit carryforwards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(12,768)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1320"/>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32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A valuation allowance of approximately $12.8 million as of December 31, 2020 has been established to offset the deferred tax assets as the Company has determined that it is not more likely than not that these assets will be realized. The valuation allowance increased by approximately $12.8 million during 2020.</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At December 31, 2020, the Company had federal net operating loss carryforwards of approximately $26.7 million. The federal net operating losses can be carried forward indefinitely, subject to an 80% limitation against taxable income.</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December 31, 2020, the Company had federal and California research and development credit carryforwards of approximately $0.6 million and $0.3 million, respectively. The federal credit carryforwards will begin to expire in 2040, unless previously utilized. The California credits will carry forward indefinitely.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carryforwards may be limited in the event a cumulative change in ownership of more than 50% occurs within a three-year period. 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On March 27, 2020, the Coronavirus Aid, Relief, and Economic Security Act (“CARES” Act) was enacted in response to the COVID-19 pandemic. The CARES Act, among other things, permits net operating loss carryovers and carrybacks to offset 100% of taxable income for taxable years beginning before 2021. In addition, the CARES Act allows net operating losses incurred in 2018, 2019, and 2020 to be carried back to each of the five preceding taxable years to generate a refund of previously paid income taxes. As the Company operated as a partnership during the carryback period, net operating loss carrybacks will not be allowed. Due to the Company’s history of net operating losses, other provisions of the CARES Act are not expected to have a material impact on the Company’s financial statements.</w:t>
      </w:r>
    </w:p>
    <w:p>
      <w:pPr>
        <w:spacing w:after="0" w:line="178"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Pursuant to the Paycheck Protection Program (“PPP”) of the CARES Act, the Company received a PPP loan in the amount of $0.7 million. In accordance with the Consolidated Appropriations Act, 2021 enacted on December 27, 2020, certain qualified expenses which were paid for with the</w:t>
      </w:r>
    </w:p>
    <w:p>
      <w:pPr>
        <w:ind w:left="120" w:right="260" w:hanging="4"/>
        <w:spacing w:after="0" w:line="290" w:lineRule="auto"/>
        <w:tabs>
          <w:tab w:leader="none" w:pos="465" w:val="left"/>
        </w:tabs>
        <w:numPr>
          <w:ilvl w:val="0"/>
          <w:numId w:val="75"/>
        </w:numPr>
        <w:rPr>
          <w:rFonts w:ascii="Arial" w:cs="Arial" w:eastAsia="Arial" w:hAnsi="Arial"/>
          <w:sz w:val="17"/>
          <w:szCs w:val="17"/>
          <w:color w:val="auto"/>
        </w:rPr>
      </w:pPr>
      <w:r>
        <w:rPr>
          <w:rFonts w:ascii="Arial" w:cs="Arial" w:eastAsia="Arial" w:hAnsi="Arial"/>
          <w:sz w:val="17"/>
          <w:szCs w:val="17"/>
          <w:color w:val="auto"/>
        </w:rPr>
        <w:t>loan proceeds are fully deductible for federal income tax purposes. Additionally, should the Company receive forgiveness of the PPP loan in the future, the amount of forgiveness will not be considered taxable income for federal income tax purposes.</w:t>
      </w:r>
    </w:p>
    <w:p>
      <w:pPr>
        <w:spacing w:after="0" w:line="16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Under the FASB’s accounting guidance related to income tax positions, among other things, the impact of an uncertain income tax position reflected on the Company’s income tax return must be recognized at the largest amount that is more-likely-than-not to be sustained upon audit by the relevant taxing authority. An uncertain income tax position will not be recognized if it has less than a 50% likelihood of being sustained. Additionally, the guidance addresses derecognition, classification, interest and penalties, accounting in interim periods, disclosure and transition. The Company regularly evaluates the likelihood of recognizing the benefit for income tax positions taken in various U.S. federal and state filings by considering all relevant facts, circumstances, and information available.</w:t>
      </w:r>
    </w:p>
    <w:p>
      <w:pPr>
        <w:spacing w:after="0" w:line="192"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summarizes the reconciliation of the unrecognized tax benefits activity during the year ended December 31, 2020 (in thousands):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Gross increase – current-period tax positions</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As of December 31, 2020, the Company had gross unrecognized tax benefits of approximately $0.2 million, none of which would affect the Company’s effective tax rate due to the existence of the valuation allowance. The Company’s policy is to recognize interest and penalties related to income tax matters in income tax expense. The Company had no accrual for interest or penalties on the Company’s consolidated balance sheet and has not recognized interest or penalties in the consolidated statements of net and comprehensive income for the year ended December 31, 2020. The Company does not anticipate a significant change to its liability for unrecognized tax benefits within the next twelve months.</w:t>
      </w:r>
    </w:p>
    <w:p>
      <w:pPr>
        <w:spacing w:after="0" w:line="16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Company is subject to taxation in the United States and California. The Company is subject to examination by tax authorities in those jurisdictions for the tax years 2017 and 2016, respectively, and forward. However, any adjustment made for the period prior to the conversion to C Corporation in July 2020 would be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80"/>
          </w:cols>
          <w:pgMar w:left="320" w:top="459"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passed through to the Company’s former members. Post-conversion to C Corporation, to the extent allowed by law, the taxing authorities may have the right to examine periods where net operating losses and research and development credits were generated and carried forward, and make adjustments to the amount of the net operating loss and research credits carryforward amount. The Company is not currently under examination by any jurisdiction.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The Company has completed an evaluation of all subsequent events through March 24, 2021 for the financial statements as of and for the years ended December 31, 2020 and 2019, to ensure these consolidated financial statements include appropriate disclosure of events both recognized in the consolidated financial statements and events which occurred but were not recognized in the consolidated financial statements. Except as described below or elsewhere in these consolidated financial statements, the Company has concluded that no subsequent event has occurred that requires disclosure.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Transition Agreement</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March 18, 2021, the Company and Carolyn Anderson Short, its co-founder and Chief of Intellectual Property &amp; Strategy, mutually agreed that Ms. Short would depart the Company following an agreed upon transition period. The Transition Agreement provides for the following severance benefits in exchange for a release of claims by Ms. Short: (i) a lump sum payment equal to eighteen (18) months of Ms. Short’s current base salary, (ii) a payment at her targeted bonus rate for 2021, pro-rated to the Separation Date, and (iii) accelerated full vesting of her time-vesting equity awards including 7,747 stock options and 138,461 restricted stock units which could result in a material non-cash charge.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right="200"/>
        <w:spacing w:after="0" w:line="287" w:lineRule="auto"/>
        <w:rPr>
          <w:sz w:val="20"/>
          <w:szCs w:val="20"/>
          <w:color w:val="auto"/>
        </w:rPr>
      </w:pPr>
      <w:r>
        <w:rPr>
          <w:rFonts w:ascii="Arial" w:cs="Arial" w:eastAsia="Arial" w:hAnsi="Arial"/>
          <w:sz w:val="16"/>
          <w:szCs w:val="16"/>
          <w:color w:val="auto"/>
        </w:rPr>
        <w:t>As required by Rules 13a-15(b) and 15d-15(b) of the Exchange Act, our management with the participation of our Chief Executive Officer and our Chief Financial Officer, evaluated the effectiveness of our disclosure controls and procedures as of December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2020, our Chief Executive Officer and our Chief Financial Officer concluded that, as of such date, our disclosure controls and procedures were effective at the reasonable assurance level.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2020 that have materially affected, or are reasonably likely to materially affect, our internal control over financial reporting.</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March 18, 2021, the Company and Carolyn Anderson Short, its co-founder and Chief of Intellectual Property &amp; Strategy, mutually agreed that Ms. Short would depart the Company following an agreed upon transition period. On March 23, 2021, the Company and Ms. Short entered into a transition agreement (the “Transition Agreement”) pursuant to which Ms. Short will continue in her current role with the same base salary and employee benefits until her separation from the Company on May 31, 2021 (the “Separation Date”). Ms. Short will thereafter devote herself full time as the President &amp; Chief Operating Officer of Himalaya Therapeutics SEZC (“Himalaya”), which she also co-founded. Himalaya is a former subsidiary of the Company, and is engaged primarily in the development, registration and commercialization of several product candidates licensed from the Company for the Greater China market, and two product candidates globally.</w:t>
      </w:r>
    </w:p>
    <w:p>
      <w:pPr>
        <w:spacing w:after="0" w:line="17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Transition Agreement provides for the following severance benefits in exchange for a release of claims by Ms. Short: (i) a lump sum payment equal to eighteen (18) months of Ms. Short’s current base salary, (ii) a payment at her targeted bonus rate for 2021, pro-rated to the Separation Date, and (iii) accelerated full vesting of her time-vesting stock options and restricted stock units.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foregoing description of certain terms of the Transition Agreement is qualified in its entirety by reference to the Transition Agreement, a copy of which the Company intends to file with the U.S. Securities and Exchange Commission as an exhibit to its Quarterly Report on Form 10-Q for the quarter ending March 31, 2021.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Except to the extent provided below, the information required by this Item 10 will be included in our Proxy Statement to be filed with the SEC and is incorporated herein by reference.</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adopted a Code of Business Conduct and Ethics that applies to all officers, directors and employees, including our principal executive officer, principal financial officer, principal accounting officer or controller, or person performing similar functions. A current copy of the Code of Business Conduct and Ethics is available on the Corporate Governance section of our website at www.bioatla.com. If we make any substantive amendments to the Code of Business Conduct and Ethics or grants any waiver from a provision of the Code of Business Conduct and Ethics to any executive officer or director that are required to be disclosed pursuant to SEC rules, we will promptly disclose the nature of the amendment or waiver on our website or in a current report on Form 8-K.</w:t>
      </w:r>
    </w:p>
    <w:p>
      <w:pPr>
        <w:spacing w:after="0" w:line="337"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information required by this Item 11 will be included in our Proxy Statement to be filed with the SEC and is incorporated herein by reference.</w:t>
      </w:r>
    </w:p>
    <w:p>
      <w:pPr>
        <w:spacing w:after="0" w:line="39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information required by this Item 12 will be included in our Proxy Statement to be filed with the SEC and is incorporated herein by reference.</w:t>
      </w:r>
    </w:p>
    <w:p>
      <w:pPr>
        <w:spacing w:after="0" w:line="39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Party Transactions, and Director Independence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information required by this Item 13 will be included in our Proxy Statement to be filed with the SEC and is incorporated herein by reference.</w:t>
      </w:r>
    </w:p>
    <w:p>
      <w:pPr>
        <w:spacing w:after="0" w:line="39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information required by this Item 14 will be included in our Proxy Statement to be filed with the SEC and is incorporated herein by reference.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17" w:lineRule="exact"/>
        <w:rPr>
          <w:sz w:val="20"/>
          <w:szCs w:val="20"/>
          <w:color w:val="auto"/>
        </w:rPr>
      </w:pPr>
    </w:p>
    <w:p>
      <w:pPr>
        <w:ind w:left="820" w:hanging="264"/>
        <w:spacing w:after="0"/>
        <w:tabs>
          <w:tab w:leader="none" w:pos="8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files as part of this Annual Report on Form 10-K:</w:t>
      </w:r>
    </w:p>
    <w:p>
      <w:pPr>
        <w:spacing w:after="0" w:line="117" w:lineRule="exact"/>
        <w:rPr>
          <w:rFonts w:ascii="Arial" w:cs="Arial" w:eastAsia="Arial" w:hAnsi="Arial"/>
          <w:sz w:val="18"/>
          <w:szCs w:val="18"/>
          <w:b w:val="1"/>
          <w:bCs w:val="1"/>
          <w:color w:val="auto"/>
        </w:rPr>
      </w:pPr>
    </w:p>
    <w:p>
      <w:pPr>
        <w:ind w:left="1240" w:hanging="261"/>
        <w:spacing w:after="0"/>
        <w:tabs>
          <w:tab w:leader="none" w:pos="1240"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response to this portion of Item 15 is set forth under Item 8 hereof.</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1320" w:right="60"/>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consolidated financial statements or the notes thereto.</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left="1320"/>
        <w:spacing w:after="0" w:line="263" w:lineRule="auto"/>
        <w:rPr>
          <w:sz w:val="20"/>
          <w:szCs w:val="20"/>
          <w:color w:val="auto"/>
        </w:rPr>
      </w:pPr>
      <w:r>
        <w:rPr>
          <w:rFonts w:ascii="Arial" w:cs="Arial" w:eastAsia="Arial" w:hAnsi="Arial"/>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5680" w:type="dxa"/>
            <w:vAlign w:val="bottom"/>
            <w:gridSpan w:val="15"/>
          </w:tcPr>
          <w:p>
            <w:pPr>
              <w:ind w:left="260"/>
              <w:spacing w:after="0"/>
              <w:rPr>
                <w:sz w:val="20"/>
                <w:szCs w:val="20"/>
                <w:color w:val="auto"/>
              </w:rPr>
            </w:pPr>
            <w:r>
              <w:rPr>
                <w:rFonts w:ascii="Arial" w:cs="Arial" w:eastAsia="Arial" w:hAnsi="Arial"/>
                <w:sz w:val="18"/>
                <w:szCs w:val="18"/>
                <w:b w:val="1"/>
                <w:bCs w:val="1"/>
                <w:color w:val="auto"/>
              </w:rPr>
              <w:t>Form 10-K Summary</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500" w:type="dxa"/>
            <w:vAlign w:val="bottom"/>
            <w:gridSpan w:val="17"/>
          </w:tcPr>
          <w:p>
            <w:pPr>
              <w:ind w:left="440"/>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500" w:type="dxa"/>
            <w:vAlign w:val="bottom"/>
            <w:gridSpan w:val="17"/>
          </w:tcPr>
          <w:p>
            <w:pPr>
              <w:spacing w:after="0"/>
              <w:rPr>
                <w:sz w:val="20"/>
                <w:szCs w:val="20"/>
                <w:color w:val="auto"/>
              </w:rPr>
            </w:pPr>
            <w:r>
              <w:rPr>
                <w:rFonts w:ascii="Arial" w:cs="Arial" w:eastAsia="Arial" w:hAnsi="Arial"/>
                <w:sz w:val="18"/>
                <w:szCs w:val="18"/>
                <w:b w:val="1"/>
                <w:bCs w:val="1"/>
                <w:color w:val="auto"/>
              </w:rPr>
              <w:t>Exhibit Index</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gridSpan w:val="11"/>
            <w:vMerge w:val="restart"/>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8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220" w:type="dxa"/>
            <w:vAlign w:val="bottom"/>
          </w:tcPr>
          <w:p>
            <w:pPr>
              <w:spacing w:after="0"/>
              <w:rPr>
                <w:sz w:val="24"/>
                <w:szCs w:val="24"/>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Exhibit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2"/>
              </w:rPr>
              <w:t>Filed/Furnished</w:t>
            </w:r>
          </w:p>
        </w:tc>
        <w:tc>
          <w:tcPr>
            <w:tcW w:w="0" w:type="dxa"/>
            <w:vAlign w:val="bottom"/>
          </w:tcPr>
          <w:p>
            <w:pPr>
              <w:spacing w:after="0"/>
              <w:rPr>
                <w:sz w:val="1"/>
                <w:szCs w:val="1"/>
                <w:color w:val="auto"/>
              </w:rPr>
            </w:pPr>
          </w:p>
        </w:tc>
      </w:tr>
      <w:tr>
        <w:trPr>
          <w:trHeight w:val="17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gridSpan w:val="11"/>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Filing Date</w:t>
            </w:r>
          </w:p>
        </w:tc>
        <w:tc>
          <w:tcPr>
            <w:tcW w:w="980" w:type="dxa"/>
            <w:vAlign w:val="bottom"/>
          </w:tcPr>
          <w:p>
            <w:pPr>
              <w:jc w:val="right"/>
              <w:ind w:right="122"/>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2"/>
                <w:szCs w:val="22"/>
                <w:color w:val="auto"/>
              </w:rPr>
            </w:pPr>
          </w:p>
        </w:tc>
        <w:tc>
          <w:tcPr>
            <w:tcW w:w="5460" w:type="dxa"/>
            <w:vAlign w:val="bottom"/>
            <w:gridSpan w:val="14"/>
          </w:tcPr>
          <w:p>
            <w:pPr>
              <w:spacing w:after="0"/>
              <w:rPr>
                <w:rFonts w:ascii="Arial" w:cs="Arial" w:eastAsia="Arial" w:hAnsi="Arial"/>
                <w:sz w:val="18"/>
                <w:szCs w:val="18"/>
                <w:color w:val="0000EE"/>
              </w:rPr>
            </w:pPr>
            <w:hyperlink r:id="rId214">
              <w:r>
                <w:rPr>
                  <w:rFonts w:ascii="Arial" w:cs="Arial" w:eastAsia="Arial" w:hAnsi="Arial"/>
                  <w:sz w:val="18"/>
                  <w:szCs w:val="18"/>
                  <w:color w:val="0000EE"/>
                </w:rPr>
                <w:t>Amended and Restated Certificate of Incorporation of BioAtla, Inc.</w:t>
              </w:r>
            </w:hyperlink>
          </w:p>
        </w:tc>
        <w:tc>
          <w:tcPr>
            <w:tcW w:w="220" w:type="dxa"/>
            <w:vAlign w:val="bottom"/>
          </w:tcPr>
          <w:p>
            <w:pPr>
              <w:spacing w:after="0"/>
              <w:rPr>
                <w:sz w:val="22"/>
                <w:szCs w:val="22"/>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8-K</w:t>
            </w:r>
          </w:p>
        </w:tc>
        <w:tc>
          <w:tcPr>
            <w:tcW w:w="220" w:type="dxa"/>
            <w:vAlign w:val="bottom"/>
          </w:tcPr>
          <w:p>
            <w:pPr>
              <w:spacing w:after="0"/>
              <w:rPr>
                <w:sz w:val="22"/>
                <w:szCs w:val="22"/>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97"/>
              </w:rPr>
              <w:t>001-39787</w:t>
            </w:r>
          </w:p>
        </w:tc>
        <w:tc>
          <w:tcPr>
            <w:tcW w:w="22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3.1</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12-18-20</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4860" w:type="dxa"/>
            <w:vAlign w:val="bottom"/>
            <w:tcBorders>
              <w:top w:val="single" w:sz="8" w:color="0000EE"/>
            </w:tcBorders>
            <w:gridSpan w:val="10"/>
          </w:tcPr>
          <w:p>
            <w:pPr>
              <w:spacing w:after="0"/>
              <w:rPr>
                <w:rFonts w:ascii="Arial" w:cs="Arial" w:eastAsia="Arial" w:hAnsi="Arial"/>
                <w:sz w:val="18"/>
                <w:szCs w:val="18"/>
                <w:color w:val="0000EE"/>
              </w:rPr>
            </w:pPr>
            <w:hyperlink r:id="rId215">
              <w:r>
                <w:rPr>
                  <w:rFonts w:ascii="Arial" w:cs="Arial" w:eastAsia="Arial" w:hAnsi="Arial"/>
                  <w:sz w:val="18"/>
                  <w:szCs w:val="18"/>
                  <w:color w:val="0000EE"/>
                </w:rPr>
                <w:t>Amended and Restated Bylaws of BioAtla, Inc.</w:t>
              </w:r>
            </w:hyperlink>
          </w:p>
        </w:tc>
        <w:tc>
          <w:tcPr>
            <w:tcW w:w="820" w:type="dxa"/>
            <w:vAlign w:val="bottom"/>
            <w:gridSpan w:val="5"/>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860" w:type="dxa"/>
            <w:vAlign w:val="bottom"/>
          </w:tcPr>
          <w:p>
            <w:pPr>
              <w:spacing w:after="0"/>
              <w:rPr>
                <w:sz w:val="20"/>
                <w:szCs w:val="20"/>
                <w:color w:val="auto"/>
              </w:rPr>
            </w:pPr>
            <w:r>
              <w:rPr>
                <w:rFonts w:ascii="Arial" w:cs="Arial" w:eastAsia="Arial" w:hAnsi="Arial"/>
                <w:sz w:val="18"/>
                <w:szCs w:val="18"/>
                <w:color w:val="auto"/>
                <w:w w:val="97"/>
              </w:rPr>
              <w:t>001-39787</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3.2</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12-18-20</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5680" w:type="dxa"/>
            <w:vAlign w:val="bottom"/>
            <w:gridSpan w:val="15"/>
          </w:tcPr>
          <w:p>
            <w:pPr>
              <w:spacing w:after="0"/>
              <w:rPr>
                <w:rFonts w:ascii="Arial" w:cs="Arial" w:eastAsia="Arial" w:hAnsi="Arial"/>
                <w:sz w:val="18"/>
                <w:szCs w:val="18"/>
                <w:color w:val="0000EE"/>
                <w:w w:val="99"/>
              </w:rPr>
            </w:pPr>
            <w:hyperlink r:id="rId216">
              <w:r>
                <w:rPr>
                  <w:rFonts w:ascii="Arial" w:cs="Arial" w:eastAsia="Arial" w:hAnsi="Arial"/>
                  <w:sz w:val="18"/>
                  <w:szCs w:val="18"/>
                  <w:color w:val="0000EE"/>
                  <w:w w:val="99"/>
                </w:rPr>
                <w:t>Specimen Common Stock Certificate evidencing the shares of common</w:t>
              </w:r>
            </w:hyperlink>
          </w:p>
        </w:tc>
        <w:tc>
          <w:tcPr>
            <w:tcW w:w="660" w:type="dxa"/>
            <w:vAlign w:val="bottom"/>
            <w:gridSpan w:val="2"/>
          </w:tcPr>
          <w:p>
            <w:pPr>
              <w:spacing w:after="0"/>
              <w:rPr>
                <w:sz w:val="20"/>
                <w:szCs w:val="20"/>
                <w:color w:val="auto"/>
              </w:rPr>
            </w:pPr>
            <w:r>
              <w:rPr>
                <w:rFonts w:ascii="Arial" w:cs="Arial" w:eastAsia="Arial" w:hAnsi="Arial"/>
                <w:sz w:val="18"/>
                <w:szCs w:val="18"/>
                <w:color w:val="auto"/>
              </w:rPr>
              <w:t>S-1/A</w:t>
            </w:r>
          </w:p>
        </w:tc>
        <w:tc>
          <w:tcPr>
            <w:tcW w:w="860" w:type="dxa"/>
            <w:vAlign w:val="bottom"/>
          </w:tcPr>
          <w:p>
            <w:pPr>
              <w:spacing w:after="0"/>
              <w:rPr>
                <w:sz w:val="20"/>
                <w:szCs w:val="20"/>
                <w:color w:val="auto"/>
              </w:rPr>
            </w:pPr>
            <w:r>
              <w:rPr>
                <w:rFonts w:ascii="Arial" w:cs="Arial" w:eastAsia="Arial" w:hAnsi="Arial"/>
                <w:sz w:val="18"/>
                <w:szCs w:val="18"/>
                <w:color w:val="auto"/>
                <w:w w:val="87"/>
              </w:rPr>
              <w:t>333-250093</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4.1</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216">
              <w:r>
                <w:rPr>
                  <w:rFonts w:ascii="Arial" w:cs="Arial" w:eastAsia="Arial" w:hAnsi="Arial"/>
                  <w:sz w:val="18"/>
                  <w:szCs w:val="18"/>
                  <w:color w:val="0000EE"/>
                  <w:w w:val="85"/>
                </w:rPr>
                <w:t>stock</w:t>
              </w:r>
            </w:hyperlink>
          </w:p>
        </w:tc>
        <w:tc>
          <w:tcPr>
            <w:tcW w:w="4760" w:type="dxa"/>
            <w:vAlign w:val="bottom"/>
            <w:tcBorders>
              <w:top w:val="single" w:sz="8" w:color="0000EE"/>
            </w:tcBorders>
            <w:gridSpan w:val="11"/>
          </w:tcPr>
          <w:p>
            <w:pPr>
              <w:spacing w:after="0"/>
              <w:rPr>
                <w:sz w:val="17"/>
                <w:szCs w:val="17"/>
                <w:color w:val="auto"/>
              </w:rPr>
            </w:pPr>
          </w:p>
        </w:tc>
        <w:tc>
          <w:tcPr>
            <w:tcW w:w="54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3580" w:type="dxa"/>
            <w:vAlign w:val="bottom"/>
            <w:tcBorders>
              <w:bottom w:val="single" w:sz="8" w:color="0000EE"/>
            </w:tcBorders>
            <w:gridSpan w:val="9"/>
          </w:tcPr>
          <w:p>
            <w:pPr>
              <w:spacing w:after="0"/>
              <w:rPr>
                <w:rFonts w:ascii="Arial" w:cs="Arial" w:eastAsia="Arial" w:hAnsi="Arial"/>
                <w:sz w:val="18"/>
                <w:szCs w:val="18"/>
                <w:color w:val="0000EE"/>
                <w:w w:val="90"/>
              </w:rPr>
            </w:pPr>
            <w:hyperlink r:id="rId217">
              <w:r>
                <w:rPr>
                  <w:rFonts w:ascii="Arial" w:cs="Arial" w:eastAsia="Arial" w:hAnsi="Arial"/>
                  <w:sz w:val="18"/>
                  <w:szCs w:val="18"/>
                  <w:color w:val="0000EE"/>
                  <w:w w:val="90"/>
                </w:rPr>
                <w:t>Investors’ Rights Agreement, dated July 13, 2020</w:t>
              </w:r>
            </w:hyperlink>
          </w:p>
        </w:tc>
        <w:tc>
          <w:tcPr>
            <w:tcW w:w="2100" w:type="dxa"/>
            <w:vAlign w:val="bottom"/>
            <w:gridSpan w:val="6"/>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S-1/A</w:t>
            </w:r>
          </w:p>
        </w:tc>
        <w:tc>
          <w:tcPr>
            <w:tcW w:w="860" w:type="dxa"/>
            <w:vAlign w:val="bottom"/>
          </w:tcPr>
          <w:p>
            <w:pPr>
              <w:spacing w:after="0"/>
              <w:rPr>
                <w:sz w:val="20"/>
                <w:szCs w:val="20"/>
                <w:color w:val="auto"/>
              </w:rPr>
            </w:pPr>
            <w:r>
              <w:rPr>
                <w:rFonts w:ascii="Arial" w:cs="Arial" w:eastAsia="Arial" w:hAnsi="Arial"/>
                <w:sz w:val="18"/>
                <w:szCs w:val="18"/>
                <w:color w:val="auto"/>
                <w:w w:val="87"/>
              </w:rPr>
              <w:t>333-250093</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4.2</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5680" w:type="dxa"/>
            <w:vAlign w:val="bottom"/>
            <w:gridSpan w:val="15"/>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Description of Securities</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5680" w:type="dxa"/>
            <w:vAlign w:val="bottom"/>
            <w:gridSpan w:val="15"/>
          </w:tcPr>
          <w:p>
            <w:pPr>
              <w:spacing w:after="0"/>
              <w:rPr>
                <w:rFonts w:ascii="Arial" w:cs="Arial" w:eastAsia="Arial" w:hAnsi="Arial"/>
                <w:sz w:val="18"/>
                <w:szCs w:val="18"/>
                <w:color w:val="0000EE"/>
              </w:rPr>
            </w:pPr>
            <w:hyperlink r:id="rId218">
              <w:r>
                <w:rPr>
                  <w:rFonts w:ascii="Arial" w:cs="Arial" w:eastAsia="Arial" w:hAnsi="Arial"/>
                  <w:sz w:val="18"/>
                  <w:szCs w:val="18"/>
                  <w:color w:val="0000EE"/>
                </w:rPr>
                <w:t>2020 Equity Incentive Plan</w:t>
              </w:r>
            </w:hyperlink>
          </w:p>
        </w:tc>
        <w:tc>
          <w:tcPr>
            <w:tcW w:w="660" w:type="dxa"/>
            <w:vAlign w:val="bottom"/>
            <w:gridSpan w:val="2"/>
          </w:tcPr>
          <w:p>
            <w:pPr>
              <w:spacing w:after="0"/>
              <w:rPr>
                <w:sz w:val="20"/>
                <w:szCs w:val="20"/>
                <w:color w:val="auto"/>
              </w:rPr>
            </w:pPr>
            <w:r>
              <w:rPr>
                <w:rFonts w:ascii="Arial" w:cs="Arial" w:eastAsia="Arial" w:hAnsi="Arial"/>
                <w:sz w:val="18"/>
                <w:szCs w:val="18"/>
                <w:color w:val="auto"/>
              </w:rPr>
              <w:t>S-1/A</w:t>
            </w:r>
          </w:p>
        </w:tc>
        <w:tc>
          <w:tcPr>
            <w:tcW w:w="860" w:type="dxa"/>
            <w:vAlign w:val="bottom"/>
          </w:tcPr>
          <w:p>
            <w:pPr>
              <w:spacing w:after="0"/>
              <w:rPr>
                <w:sz w:val="20"/>
                <w:szCs w:val="20"/>
                <w:color w:val="auto"/>
              </w:rPr>
            </w:pPr>
            <w:r>
              <w:rPr>
                <w:rFonts w:ascii="Arial" w:cs="Arial" w:eastAsia="Arial" w:hAnsi="Arial"/>
                <w:sz w:val="18"/>
                <w:szCs w:val="18"/>
                <w:color w:val="auto"/>
                <w:w w:val="87"/>
              </w:rPr>
              <w:t>333-250093</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10.1</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5680" w:type="dxa"/>
            <w:vAlign w:val="bottom"/>
            <w:gridSpan w:val="15"/>
          </w:tcPr>
          <w:p>
            <w:pPr>
              <w:spacing w:after="0"/>
              <w:rPr>
                <w:rFonts w:ascii="Arial" w:cs="Arial" w:eastAsia="Arial" w:hAnsi="Arial"/>
                <w:sz w:val="18"/>
                <w:szCs w:val="18"/>
                <w:color w:val="0000EE"/>
              </w:rPr>
            </w:pPr>
            <w:hyperlink r:id="rId219">
              <w:r>
                <w:rPr>
                  <w:rFonts w:ascii="Arial" w:cs="Arial" w:eastAsia="Arial" w:hAnsi="Arial"/>
                  <w:sz w:val="18"/>
                  <w:szCs w:val="18"/>
                  <w:color w:val="0000EE"/>
                </w:rPr>
                <w:t>Amendment No. 1 to 2020 Equity Incentive Plan</w:t>
              </w:r>
            </w:hyperlink>
          </w:p>
        </w:tc>
        <w:tc>
          <w:tcPr>
            <w:tcW w:w="660" w:type="dxa"/>
            <w:vAlign w:val="bottom"/>
            <w:gridSpan w:val="2"/>
          </w:tcPr>
          <w:p>
            <w:pPr>
              <w:spacing w:after="0"/>
              <w:rPr>
                <w:sz w:val="20"/>
                <w:szCs w:val="20"/>
                <w:color w:val="auto"/>
              </w:rPr>
            </w:pPr>
            <w:r>
              <w:rPr>
                <w:rFonts w:ascii="Arial" w:cs="Arial" w:eastAsia="Arial" w:hAnsi="Arial"/>
                <w:sz w:val="18"/>
                <w:szCs w:val="18"/>
                <w:color w:val="auto"/>
              </w:rPr>
              <w:t>S-8</w:t>
            </w:r>
          </w:p>
        </w:tc>
        <w:tc>
          <w:tcPr>
            <w:tcW w:w="860" w:type="dxa"/>
            <w:vAlign w:val="bottom"/>
          </w:tcPr>
          <w:p>
            <w:pPr>
              <w:spacing w:after="0"/>
              <w:rPr>
                <w:sz w:val="20"/>
                <w:szCs w:val="20"/>
                <w:color w:val="auto"/>
              </w:rPr>
            </w:pPr>
            <w:r>
              <w:rPr>
                <w:rFonts w:ascii="Arial" w:cs="Arial" w:eastAsia="Arial" w:hAnsi="Arial"/>
                <w:sz w:val="18"/>
                <w:szCs w:val="18"/>
                <w:color w:val="auto"/>
                <w:w w:val="87"/>
              </w:rPr>
              <w:t>333-251520</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99.2</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12-18-20</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r:id="rId220">
              <w:r>
                <w:rPr>
                  <w:rFonts w:ascii="Arial" w:cs="Arial" w:eastAsia="Arial" w:hAnsi="Arial"/>
                  <w:sz w:val="18"/>
                  <w:szCs w:val="18"/>
                  <w:color w:val="0000EE"/>
                  <w:w w:val="90"/>
                </w:rPr>
                <w:t>Form of Restricted Stock Agreement</w:t>
              </w:r>
            </w:hyperlink>
          </w:p>
        </w:tc>
        <w:tc>
          <w:tcPr>
            <w:tcW w:w="860" w:type="dxa"/>
            <w:vAlign w:val="bottom"/>
            <w:tcBorders>
              <w:top w:val="single" w:sz="8" w:color="0000EE"/>
            </w:tcBorders>
            <w:gridSpan w:val="2"/>
          </w:tcPr>
          <w:p>
            <w:pPr>
              <w:spacing w:after="0"/>
              <w:rPr>
                <w:sz w:val="24"/>
                <w:szCs w:val="24"/>
                <w:color w:val="auto"/>
              </w:rPr>
            </w:pPr>
          </w:p>
        </w:tc>
        <w:tc>
          <w:tcPr>
            <w:tcW w:w="2160" w:type="dxa"/>
            <w:vAlign w:val="bottom"/>
            <w:gridSpan w:val="7"/>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S-1/A</w:t>
            </w:r>
          </w:p>
        </w:tc>
        <w:tc>
          <w:tcPr>
            <w:tcW w:w="860" w:type="dxa"/>
            <w:vAlign w:val="bottom"/>
          </w:tcPr>
          <w:p>
            <w:pPr>
              <w:spacing w:after="0"/>
              <w:rPr>
                <w:sz w:val="20"/>
                <w:szCs w:val="20"/>
                <w:color w:val="auto"/>
              </w:rPr>
            </w:pPr>
            <w:r>
              <w:rPr>
                <w:rFonts w:ascii="Arial" w:cs="Arial" w:eastAsia="Arial" w:hAnsi="Arial"/>
                <w:sz w:val="18"/>
                <w:szCs w:val="18"/>
                <w:color w:val="auto"/>
                <w:w w:val="87"/>
              </w:rPr>
              <w:t>333-250093</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10.2</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5680" w:type="dxa"/>
            <w:vAlign w:val="bottom"/>
            <w:gridSpan w:val="15"/>
          </w:tcPr>
          <w:p>
            <w:pPr>
              <w:spacing w:after="0"/>
              <w:rPr>
                <w:rFonts w:ascii="Arial" w:cs="Arial" w:eastAsia="Arial" w:hAnsi="Arial"/>
                <w:sz w:val="18"/>
                <w:szCs w:val="18"/>
                <w:color w:val="0000EE"/>
              </w:rPr>
            </w:pPr>
            <w:hyperlink r:id="rId221">
              <w:r>
                <w:rPr>
                  <w:rFonts w:ascii="Arial" w:cs="Arial" w:eastAsia="Arial" w:hAnsi="Arial"/>
                  <w:sz w:val="18"/>
                  <w:szCs w:val="18"/>
                  <w:color w:val="0000EE"/>
                </w:rPr>
                <w:t>2020 Employee Stock Purchase Plan</w:t>
              </w:r>
            </w:hyperlink>
          </w:p>
        </w:tc>
        <w:tc>
          <w:tcPr>
            <w:tcW w:w="660" w:type="dxa"/>
            <w:vAlign w:val="bottom"/>
            <w:gridSpan w:val="2"/>
          </w:tcPr>
          <w:p>
            <w:pPr>
              <w:spacing w:after="0"/>
              <w:rPr>
                <w:sz w:val="20"/>
                <w:szCs w:val="20"/>
                <w:color w:val="auto"/>
              </w:rPr>
            </w:pPr>
            <w:r>
              <w:rPr>
                <w:rFonts w:ascii="Arial" w:cs="Arial" w:eastAsia="Arial" w:hAnsi="Arial"/>
                <w:sz w:val="18"/>
                <w:szCs w:val="18"/>
                <w:color w:val="auto"/>
              </w:rPr>
              <w:t>S-1/A</w:t>
            </w:r>
          </w:p>
        </w:tc>
        <w:tc>
          <w:tcPr>
            <w:tcW w:w="860" w:type="dxa"/>
            <w:vAlign w:val="bottom"/>
          </w:tcPr>
          <w:p>
            <w:pPr>
              <w:spacing w:after="0"/>
              <w:rPr>
                <w:sz w:val="20"/>
                <w:szCs w:val="20"/>
                <w:color w:val="auto"/>
              </w:rPr>
            </w:pPr>
            <w:r>
              <w:rPr>
                <w:rFonts w:ascii="Arial" w:cs="Arial" w:eastAsia="Arial" w:hAnsi="Arial"/>
                <w:sz w:val="18"/>
                <w:szCs w:val="18"/>
                <w:color w:val="auto"/>
                <w:w w:val="87"/>
              </w:rPr>
              <w:t>333-250093</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10.3</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10.5*</w:t>
            </w:r>
          </w:p>
        </w:tc>
        <w:tc>
          <w:tcPr>
            <w:tcW w:w="320" w:type="dxa"/>
            <w:vAlign w:val="bottom"/>
          </w:tcPr>
          <w:p>
            <w:pPr>
              <w:spacing w:after="0"/>
              <w:rPr>
                <w:sz w:val="24"/>
                <w:szCs w:val="24"/>
                <w:color w:val="auto"/>
              </w:rPr>
            </w:pPr>
          </w:p>
        </w:tc>
        <w:tc>
          <w:tcPr>
            <w:tcW w:w="5680" w:type="dxa"/>
            <w:vAlign w:val="bottom"/>
            <w:gridSpan w:val="15"/>
          </w:tcPr>
          <w:p>
            <w:pPr>
              <w:spacing w:after="0"/>
              <w:rPr>
                <w:rFonts w:ascii="Arial" w:cs="Arial" w:eastAsia="Arial" w:hAnsi="Arial"/>
                <w:sz w:val="18"/>
                <w:szCs w:val="18"/>
                <w:color w:val="0000EE"/>
                <w:w w:val="95"/>
              </w:rPr>
            </w:pPr>
            <w:hyperlink r:id="rId222">
              <w:r>
                <w:rPr>
                  <w:rFonts w:ascii="Arial" w:cs="Arial" w:eastAsia="Arial" w:hAnsi="Arial"/>
                  <w:sz w:val="18"/>
                  <w:szCs w:val="18"/>
                  <w:color w:val="0000EE"/>
                  <w:w w:val="95"/>
                </w:rPr>
                <w:t>Exclusive License Agreement with Himalaya SEZC, dated January 1, 2020</w:t>
              </w:r>
            </w:hyperlink>
          </w:p>
        </w:tc>
        <w:tc>
          <w:tcPr>
            <w:tcW w:w="660" w:type="dxa"/>
            <w:vAlign w:val="bottom"/>
            <w:gridSpan w:val="2"/>
          </w:tcPr>
          <w:p>
            <w:pPr>
              <w:spacing w:after="0"/>
              <w:rPr>
                <w:sz w:val="20"/>
                <w:szCs w:val="20"/>
                <w:color w:val="auto"/>
              </w:rPr>
            </w:pPr>
            <w:r>
              <w:rPr>
                <w:rFonts w:ascii="Arial" w:cs="Arial" w:eastAsia="Arial" w:hAnsi="Arial"/>
                <w:sz w:val="18"/>
                <w:szCs w:val="18"/>
                <w:color w:val="auto"/>
              </w:rPr>
              <w:t>S-1</w:t>
            </w:r>
          </w:p>
        </w:tc>
        <w:tc>
          <w:tcPr>
            <w:tcW w:w="860" w:type="dxa"/>
            <w:vAlign w:val="bottom"/>
          </w:tcPr>
          <w:p>
            <w:pPr>
              <w:spacing w:after="0"/>
              <w:rPr>
                <w:sz w:val="20"/>
                <w:szCs w:val="20"/>
                <w:color w:val="auto"/>
              </w:rPr>
            </w:pPr>
            <w:r>
              <w:rPr>
                <w:rFonts w:ascii="Arial" w:cs="Arial" w:eastAsia="Arial" w:hAnsi="Arial"/>
                <w:sz w:val="18"/>
                <w:szCs w:val="18"/>
                <w:color w:val="auto"/>
                <w:w w:val="87"/>
              </w:rPr>
              <w:t>333-250093</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10.4</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w w:val="89"/>
              </w:rPr>
              <w:t>11-13-2020</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10.6*</w:t>
            </w:r>
          </w:p>
        </w:tc>
        <w:tc>
          <w:tcPr>
            <w:tcW w:w="320" w:type="dxa"/>
            <w:vAlign w:val="bottom"/>
          </w:tcPr>
          <w:p>
            <w:pPr>
              <w:spacing w:after="0"/>
              <w:rPr>
                <w:sz w:val="24"/>
                <w:szCs w:val="24"/>
                <w:color w:val="auto"/>
              </w:rPr>
            </w:pPr>
          </w:p>
        </w:tc>
        <w:tc>
          <w:tcPr>
            <w:tcW w:w="50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r:id="rId223">
              <w:r>
                <w:rPr>
                  <w:rFonts w:ascii="Arial" w:cs="Arial" w:eastAsia="Arial" w:hAnsi="Arial"/>
                  <w:sz w:val="18"/>
                  <w:szCs w:val="18"/>
                  <w:color w:val="0000EE"/>
                  <w:w w:val="92"/>
                </w:rPr>
                <w:t>Exclusive License Agreement with Inversagen LLC, dated March 15,</w:t>
              </w:r>
            </w:hyperlink>
          </w:p>
        </w:tc>
        <w:tc>
          <w:tcPr>
            <w:tcW w:w="400" w:type="dxa"/>
            <w:vAlign w:val="bottom"/>
            <w:tcBorders>
              <w:top w:val="single" w:sz="8" w:color="0000EE"/>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S-1</w:t>
            </w:r>
          </w:p>
        </w:tc>
        <w:tc>
          <w:tcPr>
            <w:tcW w:w="860" w:type="dxa"/>
            <w:vAlign w:val="bottom"/>
          </w:tcPr>
          <w:p>
            <w:pPr>
              <w:spacing w:after="0"/>
              <w:rPr>
                <w:sz w:val="20"/>
                <w:szCs w:val="20"/>
                <w:color w:val="auto"/>
              </w:rPr>
            </w:pPr>
            <w:r>
              <w:rPr>
                <w:rFonts w:ascii="Arial" w:cs="Arial" w:eastAsia="Arial" w:hAnsi="Arial"/>
                <w:sz w:val="18"/>
                <w:szCs w:val="18"/>
                <w:color w:val="auto"/>
                <w:w w:val="87"/>
              </w:rPr>
              <w:t>333-250093</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10.5</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w w:val="89"/>
              </w:rPr>
              <w:t>11-13-2020</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80" w:type="dxa"/>
            <w:vAlign w:val="bottom"/>
            <w:gridSpan w:val="15"/>
          </w:tcPr>
          <w:p>
            <w:pPr>
              <w:spacing w:after="0" w:line="196" w:lineRule="exact"/>
              <w:rPr>
                <w:rFonts w:ascii="Arial" w:cs="Arial" w:eastAsia="Arial" w:hAnsi="Arial"/>
                <w:sz w:val="18"/>
                <w:szCs w:val="18"/>
                <w:color w:val="0000EE"/>
                <w:w w:val="97"/>
              </w:rPr>
            </w:pPr>
            <w:hyperlink r:id="rId223">
              <w:r>
                <w:rPr>
                  <w:rFonts w:ascii="Arial" w:cs="Arial" w:eastAsia="Arial" w:hAnsi="Arial"/>
                  <w:sz w:val="18"/>
                  <w:szCs w:val="18"/>
                  <w:color w:val="0000EE"/>
                  <w:w w:val="97"/>
                </w:rPr>
                <w:t>2019, as amended by First Amendment to Exclusive License Agreement,</w:t>
              </w:r>
            </w:hyperlink>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223">
              <w:r>
                <w:rPr>
                  <w:rFonts w:ascii="Arial" w:cs="Arial" w:eastAsia="Arial" w:hAnsi="Arial"/>
                  <w:sz w:val="18"/>
                  <w:szCs w:val="18"/>
                  <w:color w:val="0000EE"/>
                  <w:w w:val="88"/>
                </w:rPr>
                <w:t>dated July 7, 2020</w:t>
              </w:r>
            </w:hyperlink>
          </w:p>
        </w:tc>
        <w:tc>
          <w:tcPr>
            <w:tcW w:w="3940" w:type="dxa"/>
            <w:vAlign w:val="bottom"/>
            <w:tcBorders>
              <w:top w:val="single" w:sz="8" w:color="0000EE"/>
            </w:tcBorders>
            <w:gridSpan w:val="11"/>
          </w:tcPr>
          <w:p>
            <w:pPr>
              <w:spacing w:after="0"/>
              <w:rPr>
                <w:sz w:val="17"/>
                <w:szCs w:val="17"/>
                <w:color w:val="auto"/>
              </w:rPr>
            </w:pPr>
          </w:p>
        </w:tc>
        <w:tc>
          <w:tcPr>
            <w:tcW w:w="4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gridSpan w:val="10"/>
          </w:tcPr>
          <w:p>
            <w:pPr>
              <w:ind w:left="4540"/>
              <w:spacing w:after="0"/>
              <w:rPr>
                <w:sz w:val="20"/>
                <w:szCs w:val="20"/>
                <w:color w:val="auto"/>
              </w:rPr>
            </w:pPr>
            <w:r>
              <w:rPr>
                <w:rFonts w:ascii="Arial" w:cs="Arial" w:eastAsia="Arial" w:hAnsi="Arial"/>
                <w:sz w:val="18"/>
                <w:szCs w:val="18"/>
                <w:color w:val="auto"/>
                <w:w w:val="99"/>
              </w:rPr>
              <w:t>176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160" w:type="dxa"/>
            <w:vAlign w:val="bottom"/>
            <w:gridSpan w:val="12"/>
            <w:vMerge w:val="restart"/>
          </w:tcPr>
          <w:p>
            <w:pPr>
              <w:ind w:left="8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2"/>
                <w:szCs w:val="22"/>
                <w:color w:val="auto"/>
              </w:rPr>
            </w:pPr>
          </w:p>
        </w:tc>
        <w:tc>
          <w:tcPr>
            <w:tcW w:w="5380" w:type="dxa"/>
            <w:vAlign w:val="bottom"/>
            <w:tcBorders>
              <w:bottom w:val="single" w:sz="8" w:color="0000EE"/>
            </w:tcBorders>
            <w:gridSpan w:val="16"/>
          </w:tcPr>
          <w:p>
            <w:pPr>
              <w:spacing w:after="0"/>
              <w:rPr>
                <w:rFonts w:ascii="Arial" w:cs="Arial" w:eastAsia="Arial" w:hAnsi="Arial"/>
                <w:sz w:val="18"/>
                <w:szCs w:val="18"/>
                <w:color w:val="0000EE"/>
                <w:w w:val="93"/>
              </w:rPr>
            </w:pPr>
            <w:hyperlink r:id="rId225">
              <w:r>
                <w:rPr>
                  <w:rFonts w:ascii="Arial" w:cs="Arial" w:eastAsia="Arial" w:hAnsi="Arial"/>
                  <w:sz w:val="18"/>
                  <w:szCs w:val="18"/>
                  <w:color w:val="0000EE"/>
                  <w:w w:val="93"/>
                </w:rPr>
                <w:t>Exclusive License Agreement with BioAtla Holdings LLC, dated January</w:t>
              </w:r>
            </w:hyperlink>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25">
              <w:r>
                <w:rPr>
                  <w:rFonts w:ascii="Arial" w:cs="Arial" w:eastAsia="Arial" w:hAnsi="Arial"/>
                  <w:sz w:val="18"/>
                  <w:szCs w:val="18"/>
                  <w:color w:val="0000EE"/>
                  <w:w w:val="90"/>
                </w:rPr>
                <w:t>1, 2020, as amended by First Amendment to Exclusive License agreement,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225">
              <w:r>
                <w:rPr>
                  <w:rFonts w:ascii="Arial" w:cs="Arial" w:eastAsia="Arial" w:hAnsi="Arial"/>
                  <w:sz w:val="18"/>
                  <w:szCs w:val="18"/>
                  <w:color w:val="0000EE"/>
                  <w:w w:val="88"/>
                </w:rPr>
                <w:t>dated July 7, 2020</w:t>
              </w:r>
            </w:hyperlink>
          </w:p>
        </w:tc>
        <w:tc>
          <w:tcPr>
            <w:tcW w:w="41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5480" w:type="dxa"/>
            <w:vAlign w:val="bottom"/>
            <w:gridSpan w:val="18"/>
          </w:tcPr>
          <w:p>
            <w:pPr>
              <w:spacing w:after="0"/>
              <w:rPr>
                <w:rFonts w:ascii="Arial" w:cs="Arial" w:eastAsia="Arial" w:hAnsi="Arial"/>
                <w:sz w:val="18"/>
                <w:szCs w:val="18"/>
                <w:color w:val="0000EE"/>
              </w:rPr>
            </w:pPr>
            <w:hyperlink r:id="rId226">
              <w:r>
                <w:rPr>
                  <w:rFonts w:ascii="Arial" w:cs="Arial" w:eastAsia="Arial" w:hAnsi="Arial"/>
                  <w:sz w:val="18"/>
                  <w:szCs w:val="18"/>
                  <w:color w:val="0000EE"/>
                </w:rPr>
                <w:t>Amended and Restated Exclusive License Agreement with EXUMA</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80" w:type="dxa"/>
            <w:vAlign w:val="bottom"/>
            <w:gridSpan w:val="18"/>
          </w:tcPr>
          <w:p>
            <w:pPr>
              <w:spacing w:after="0" w:line="196" w:lineRule="exact"/>
              <w:rPr>
                <w:rFonts w:ascii="Arial" w:cs="Arial" w:eastAsia="Arial" w:hAnsi="Arial"/>
                <w:sz w:val="18"/>
                <w:szCs w:val="18"/>
                <w:color w:val="0000EE"/>
                <w:w w:val="98"/>
              </w:rPr>
            </w:pPr>
            <w:hyperlink r:id="rId226">
              <w:r>
                <w:rPr>
                  <w:rFonts w:ascii="Arial" w:cs="Arial" w:eastAsia="Arial" w:hAnsi="Arial"/>
                  <w:sz w:val="18"/>
                  <w:szCs w:val="18"/>
                  <w:color w:val="0000EE"/>
                  <w:w w:val="98"/>
                </w:rPr>
                <w:t>Biotech Corp. (formerly F1 Oncology, Inc.), dated November 22, 2019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5480" w:type="dxa"/>
            <w:vAlign w:val="bottom"/>
            <w:gridSpan w:val="18"/>
          </w:tcPr>
          <w:p>
            <w:pPr>
              <w:spacing w:after="0"/>
              <w:rPr>
                <w:rFonts w:ascii="Arial" w:cs="Arial" w:eastAsia="Arial" w:hAnsi="Arial"/>
                <w:sz w:val="18"/>
                <w:szCs w:val="18"/>
                <w:color w:val="0000EE"/>
                <w:w w:val="93"/>
              </w:rPr>
            </w:pPr>
            <w:hyperlink r:id="rId227">
              <w:r>
                <w:rPr>
                  <w:rFonts w:ascii="Arial" w:cs="Arial" w:eastAsia="Arial" w:hAnsi="Arial"/>
                  <w:sz w:val="18"/>
                  <w:szCs w:val="18"/>
                  <w:color w:val="0000EE"/>
                  <w:w w:val="93"/>
                </w:rPr>
                <w:t>Global Co-Development and Collaboration Agreement with BeiGene, Ltd.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27">
              <w:r>
                <w:rPr>
                  <w:rFonts w:ascii="Arial" w:cs="Arial" w:eastAsia="Arial" w:hAnsi="Arial"/>
                  <w:sz w:val="18"/>
                  <w:szCs w:val="18"/>
                  <w:color w:val="0000EE"/>
                  <w:w w:val="91"/>
                </w:rPr>
                <w:t>and BeiGene Switzerland GmbH, dated April 8, 2019, as amended by First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80" w:type="dxa"/>
            <w:vAlign w:val="bottom"/>
            <w:gridSpan w:val="18"/>
          </w:tcPr>
          <w:p>
            <w:pPr>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Amendment, dated December 24, 2019 and as amended by Second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Amendment, October 5, 2020</w:t>
              </w:r>
            </w:hyperlink>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92"/>
              </w:rPr>
              <w:t>10.10*</w:t>
            </w:r>
          </w:p>
        </w:tc>
        <w:tc>
          <w:tcPr>
            <w:tcW w:w="320" w:type="dxa"/>
            <w:vAlign w:val="bottom"/>
          </w:tcPr>
          <w:p>
            <w:pPr>
              <w:spacing w:after="0"/>
              <w:rPr>
                <w:sz w:val="24"/>
                <w:szCs w:val="24"/>
                <w:color w:val="auto"/>
              </w:rPr>
            </w:pPr>
          </w:p>
        </w:tc>
        <w:tc>
          <w:tcPr>
            <w:tcW w:w="5300" w:type="dxa"/>
            <w:vAlign w:val="bottom"/>
            <w:tcBorders>
              <w:bottom w:val="single" w:sz="8" w:color="0000EE"/>
            </w:tcBorders>
            <w:gridSpan w:val="15"/>
          </w:tcPr>
          <w:p>
            <w:pPr>
              <w:spacing w:after="0"/>
              <w:rPr>
                <w:rFonts w:ascii="Arial" w:cs="Arial" w:eastAsia="Arial" w:hAnsi="Arial"/>
                <w:sz w:val="18"/>
                <w:szCs w:val="18"/>
                <w:color w:val="0000EE"/>
                <w:w w:val="92"/>
              </w:rPr>
            </w:pPr>
            <w:hyperlink r:id="rId228">
              <w:r>
                <w:rPr>
                  <w:rFonts w:ascii="Arial" w:cs="Arial" w:eastAsia="Arial" w:hAnsi="Arial"/>
                  <w:sz w:val="18"/>
                  <w:szCs w:val="18"/>
                  <w:color w:val="0000EE"/>
                  <w:w w:val="92"/>
                </w:rPr>
                <w:t>Cell Line License Agreement with Life Technologies Corporation, dated</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80" w:type="dxa"/>
            <w:vAlign w:val="bottom"/>
            <w:gridSpan w:val="18"/>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June 28, 2018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4"/>
                <w:szCs w:val="24"/>
                <w:color w:val="auto"/>
              </w:rPr>
            </w:pPr>
          </w:p>
        </w:tc>
        <w:tc>
          <w:tcPr>
            <w:tcW w:w="5460" w:type="dxa"/>
            <w:vAlign w:val="bottom"/>
            <w:tcBorders>
              <w:bottom w:val="single" w:sz="8" w:color="0000EE"/>
            </w:tcBorders>
            <w:gridSpan w:val="17"/>
          </w:tcPr>
          <w:p>
            <w:pPr>
              <w:spacing w:after="0"/>
              <w:rPr>
                <w:rFonts w:ascii="Arial" w:cs="Arial" w:eastAsia="Arial" w:hAnsi="Arial"/>
                <w:sz w:val="18"/>
                <w:szCs w:val="18"/>
                <w:color w:val="0000EE"/>
                <w:w w:val="93"/>
              </w:rPr>
            </w:pPr>
            <w:hyperlink r:id="rId229">
              <w:r>
                <w:rPr>
                  <w:rFonts w:ascii="Arial" w:cs="Arial" w:eastAsia="Arial" w:hAnsi="Arial"/>
                  <w:sz w:val="18"/>
                  <w:szCs w:val="18"/>
                  <w:color w:val="0000EE"/>
                  <w:w w:val="93"/>
                </w:rPr>
                <w:t>Royalty Sharing Agreement with BioAtla Holdings, LLC, dated January 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80" w:type="dxa"/>
            <w:vAlign w:val="bottom"/>
            <w:gridSpan w:val="3"/>
          </w:tcPr>
          <w:p>
            <w:pPr>
              <w:ind w:left="320"/>
              <w:spacing w:after="0" w:line="196" w:lineRule="exact"/>
              <w:rPr>
                <w:rFonts w:ascii="Arial" w:cs="Arial" w:eastAsia="Arial" w:hAnsi="Arial"/>
                <w:sz w:val="18"/>
                <w:szCs w:val="18"/>
                <w:color w:val="0000EE"/>
                <w:w w:val="84"/>
              </w:rPr>
            </w:pPr>
            <w:hyperlink r:id="rId229">
              <w:r>
                <w:rPr>
                  <w:rFonts w:ascii="Arial" w:cs="Arial" w:eastAsia="Arial" w:hAnsi="Arial"/>
                  <w:sz w:val="18"/>
                  <w:szCs w:val="18"/>
                  <w:color w:val="0000EE"/>
                  <w:w w:val="84"/>
                </w:rPr>
                <w:t>2020</w:t>
              </w:r>
            </w:hyperlink>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86"/>
              </w:rPr>
              <w:t>10.12+</w:t>
            </w:r>
          </w:p>
        </w:tc>
        <w:tc>
          <w:tcPr>
            <w:tcW w:w="320" w:type="dxa"/>
            <w:vAlign w:val="bottom"/>
          </w:tcPr>
          <w:p>
            <w:pPr>
              <w:spacing w:after="0"/>
              <w:rPr>
                <w:sz w:val="24"/>
                <w:szCs w:val="24"/>
                <w:color w:val="auto"/>
              </w:rPr>
            </w:pPr>
          </w:p>
        </w:tc>
        <w:tc>
          <w:tcPr>
            <w:tcW w:w="5220" w:type="dxa"/>
            <w:vAlign w:val="bottom"/>
            <w:tcBorders>
              <w:bottom w:val="single" w:sz="8" w:color="0000EE"/>
            </w:tcBorders>
            <w:gridSpan w:val="14"/>
          </w:tcPr>
          <w:p>
            <w:pPr>
              <w:spacing w:after="0"/>
              <w:rPr>
                <w:rFonts w:ascii="Arial" w:cs="Arial" w:eastAsia="Arial" w:hAnsi="Arial"/>
                <w:sz w:val="18"/>
                <w:szCs w:val="18"/>
                <w:color w:val="0000EE"/>
                <w:w w:val="91"/>
              </w:rPr>
            </w:pPr>
            <w:hyperlink r:id="rId230">
              <w:r>
                <w:rPr>
                  <w:rFonts w:ascii="Arial" w:cs="Arial" w:eastAsia="Arial" w:hAnsi="Arial"/>
                  <w:sz w:val="18"/>
                  <w:szCs w:val="18"/>
                  <w:color w:val="0000EE"/>
                  <w:w w:val="91"/>
                </w:rPr>
                <w:t>Employment Letter Agreement between BioAtla, LLC and Jay Short, as</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80" w:type="dxa"/>
            <w:vAlign w:val="bottom"/>
            <w:gridSpan w:val="18"/>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amended by the Letter Amendment dated October 1, 2011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86"/>
              </w:rPr>
              <w:t>10.13+</w:t>
            </w:r>
          </w:p>
        </w:tc>
        <w:tc>
          <w:tcPr>
            <w:tcW w:w="320" w:type="dxa"/>
            <w:vAlign w:val="bottom"/>
          </w:tcPr>
          <w:p>
            <w:pPr>
              <w:spacing w:after="0"/>
              <w:rPr>
                <w:sz w:val="24"/>
                <w:szCs w:val="24"/>
                <w:color w:val="auto"/>
              </w:rPr>
            </w:pPr>
          </w:p>
        </w:tc>
        <w:tc>
          <w:tcPr>
            <w:tcW w:w="5480" w:type="dxa"/>
            <w:vAlign w:val="bottom"/>
            <w:gridSpan w:val="18"/>
          </w:tcPr>
          <w:p>
            <w:pPr>
              <w:spacing w:after="0"/>
              <w:rPr>
                <w:rFonts w:ascii="Arial" w:cs="Arial" w:eastAsia="Arial" w:hAnsi="Arial"/>
                <w:sz w:val="18"/>
                <w:szCs w:val="18"/>
                <w:color w:val="0000EE"/>
                <w:w w:val="92"/>
              </w:rPr>
            </w:pPr>
            <w:hyperlink r:id="rId231">
              <w:r>
                <w:rPr>
                  <w:rFonts w:ascii="Arial" w:cs="Arial" w:eastAsia="Arial" w:hAnsi="Arial"/>
                  <w:sz w:val="18"/>
                  <w:szCs w:val="18"/>
                  <w:color w:val="0000EE"/>
                  <w:w w:val="92"/>
                </w:rPr>
                <w:t>Offer Letter between BioAtla, LLC and Carolyn Short, dated November 30,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80" w:type="dxa"/>
            <w:vAlign w:val="bottom"/>
            <w:gridSpan w:val="3"/>
          </w:tcPr>
          <w:p>
            <w:pPr>
              <w:ind w:left="320"/>
              <w:spacing w:after="0" w:line="196" w:lineRule="exact"/>
              <w:rPr>
                <w:rFonts w:ascii="Arial" w:cs="Arial" w:eastAsia="Arial" w:hAnsi="Arial"/>
                <w:sz w:val="18"/>
                <w:szCs w:val="18"/>
                <w:color w:val="0000EE"/>
                <w:w w:val="84"/>
              </w:rPr>
            </w:pPr>
            <w:hyperlink r:id="rId231">
              <w:r>
                <w:rPr>
                  <w:rFonts w:ascii="Arial" w:cs="Arial" w:eastAsia="Arial" w:hAnsi="Arial"/>
                  <w:sz w:val="18"/>
                  <w:szCs w:val="18"/>
                  <w:color w:val="0000EE"/>
                  <w:w w:val="84"/>
                </w:rPr>
                <w:t>2015</w:t>
              </w:r>
            </w:hyperlink>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86"/>
              </w:rPr>
              <w:t>10.14+</w:t>
            </w:r>
          </w:p>
        </w:tc>
        <w:tc>
          <w:tcPr>
            <w:tcW w:w="320" w:type="dxa"/>
            <w:vAlign w:val="bottom"/>
          </w:tcPr>
          <w:p>
            <w:pPr>
              <w:spacing w:after="0"/>
              <w:rPr>
                <w:sz w:val="24"/>
                <w:szCs w:val="24"/>
                <w:color w:val="auto"/>
              </w:rPr>
            </w:pPr>
          </w:p>
        </w:tc>
        <w:tc>
          <w:tcPr>
            <w:tcW w:w="5480" w:type="dxa"/>
            <w:vAlign w:val="bottom"/>
            <w:gridSpan w:val="18"/>
          </w:tcPr>
          <w:p>
            <w:pPr>
              <w:spacing w:after="0"/>
              <w:rPr>
                <w:rFonts w:ascii="Arial" w:cs="Arial" w:eastAsia="Arial" w:hAnsi="Arial"/>
                <w:sz w:val="18"/>
                <w:szCs w:val="18"/>
                <w:color w:val="0000EE"/>
                <w:w w:val="93"/>
              </w:rPr>
            </w:pPr>
            <w:hyperlink r:id="rId232">
              <w:r>
                <w:rPr>
                  <w:rFonts w:ascii="Arial" w:cs="Arial" w:eastAsia="Arial" w:hAnsi="Arial"/>
                  <w:sz w:val="18"/>
                  <w:szCs w:val="18"/>
                  <w:color w:val="0000EE"/>
                  <w:w w:val="93"/>
                </w:rPr>
                <w:t>Severance Agreement between BioAtla, LLC and Jay Short, dated July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80" w:type="dxa"/>
            <w:vAlign w:val="bottom"/>
            <w:gridSpan w:val="3"/>
          </w:tcPr>
          <w:p>
            <w:pPr>
              <w:ind w:left="320"/>
              <w:spacing w:after="0" w:line="196" w:lineRule="exact"/>
              <w:rPr>
                <w:rFonts w:ascii="Arial" w:cs="Arial" w:eastAsia="Arial" w:hAnsi="Arial"/>
                <w:sz w:val="18"/>
                <w:szCs w:val="18"/>
                <w:color w:val="0000EE"/>
                <w:w w:val="84"/>
              </w:rPr>
            </w:pPr>
            <w:hyperlink r:id="rId232">
              <w:r>
                <w:rPr>
                  <w:rFonts w:ascii="Arial" w:cs="Arial" w:eastAsia="Arial" w:hAnsi="Arial"/>
                  <w:sz w:val="18"/>
                  <w:szCs w:val="18"/>
                  <w:color w:val="0000EE"/>
                  <w:w w:val="84"/>
                </w:rPr>
                <w:t>2018</w:t>
              </w:r>
            </w:hyperlink>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86"/>
              </w:rPr>
              <w:t>10.15+</w:t>
            </w:r>
          </w:p>
        </w:tc>
        <w:tc>
          <w:tcPr>
            <w:tcW w:w="320" w:type="dxa"/>
            <w:vAlign w:val="bottom"/>
          </w:tcPr>
          <w:p>
            <w:pPr>
              <w:spacing w:after="0"/>
              <w:rPr>
                <w:sz w:val="24"/>
                <w:szCs w:val="24"/>
                <w:color w:val="auto"/>
              </w:rPr>
            </w:pPr>
          </w:p>
        </w:tc>
        <w:tc>
          <w:tcPr>
            <w:tcW w:w="5380" w:type="dxa"/>
            <w:vAlign w:val="bottom"/>
            <w:tcBorders>
              <w:bottom w:val="single" w:sz="8" w:color="0000EE"/>
            </w:tcBorders>
            <w:gridSpan w:val="16"/>
          </w:tcPr>
          <w:p>
            <w:pPr>
              <w:spacing w:after="0"/>
              <w:rPr>
                <w:rFonts w:ascii="Arial" w:cs="Arial" w:eastAsia="Arial" w:hAnsi="Arial"/>
                <w:sz w:val="18"/>
                <w:szCs w:val="18"/>
                <w:color w:val="0000EE"/>
                <w:w w:val="91"/>
              </w:rPr>
            </w:pPr>
            <w:hyperlink r:id="rId233">
              <w:r>
                <w:rPr>
                  <w:rFonts w:ascii="Arial" w:cs="Arial" w:eastAsia="Arial" w:hAnsi="Arial"/>
                  <w:sz w:val="18"/>
                  <w:szCs w:val="18"/>
                  <w:color w:val="0000EE"/>
                  <w:w w:val="91"/>
                </w:rPr>
                <w:t>Offer Letter between BioAtla, LLC and Scott Smith, dated August 2, 2018</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86"/>
              </w:rPr>
              <w:t>10.16+</w:t>
            </w:r>
          </w:p>
        </w:tc>
        <w:tc>
          <w:tcPr>
            <w:tcW w:w="320" w:type="dxa"/>
            <w:vAlign w:val="bottom"/>
          </w:tcPr>
          <w:p>
            <w:pPr>
              <w:spacing w:after="0"/>
              <w:rPr>
                <w:sz w:val="24"/>
                <w:szCs w:val="24"/>
                <w:color w:val="auto"/>
              </w:rPr>
            </w:pPr>
          </w:p>
        </w:tc>
        <w:tc>
          <w:tcPr>
            <w:tcW w:w="5480" w:type="dxa"/>
            <w:vAlign w:val="bottom"/>
            <w:gridSpan w:val="18"/>
          </w:tcPr>
          <w:p>
            <w:pPr>
              <w:spacing w:after="0"/>
              <w:rPr>
                <w:rFonts w:ascii="Arial" w:cs="Arial" w:eastAsia="Arial" w:hAnsi="Arial"/>
                <w:sz w:val="18"/>
                <w:szCs w:val="18"/>
                <w:color w:val="0000EE"/>
                <w:w w:val="93"/>
              </w:rPr>
            </w:pPr>
            <w:hyperlink r:id="rId234">
              <w:r>
                <w:rPr>
                  <w:rFonts w:ascii="Arial" w:cs="Arial" w:eastAsia="Arial" w:hAnsi="Arial"/>
                  <w:sz w:val="18"/>
                  <w:szCs w:val="18"/>
                  <w:color w:val="0000EE"/>
                  <w:w w:val="93"/>
                </w:rPr>
                <w:t>Letter Agreement between BioAtla, LLC and Scott Smith, dated August 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80" w:type="dxa"/>
            <w:vAlign w:val="bottom"/>
            <w:gridSpan w:val="3"/>
          </w:tcPr>
          <w:p>
            <w:pPr>
              <w:ind w:left="320"/>
              <w:spacing w:after="0" w:line="196" w:lineRule="exact"/>
              <w:rPr>
                <w:rFonts w:ascii="Arial" w:cs="Arial" w:eastAsia="Arial" w:hAnsi="Arial"/>
                <w:sz w:val="18"/>
                <w:szCs w:val="18"/>
                <w:color w:val="0000EE"/>
                <w:w w:val="84"/>
              </w:rPr>
            </w:pPr>
            <w:hyperlink r:id="rId234">
              <w:r>
                <w:rPr>
                  <w:rFonts w:ascii="Arial" w:cs="Arial" w:eastAsia="Arial" w:hAnsi="Arial"/>
                  <w:sz w:val="18"/>
                  <w:szCs w:val="18"/>
                  <w:color w:val="0000EE"/>
                  <w:w w:val="84"/>
                </w:rPr>
                <w:t>2018</w:t>
              </w:r>
            </w:hyperlink>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86"/>
              </w:rPr>
              <w:t>10.17+</w:t>
            </w:r>
          </w:p>
        </w:tc>
        <w:tc>
          <w:tcPr>
            <w:tcW w:w="320" w:type="dxa"/>
            <w:vAlign w:val="bottom"/>
          </w:tcPr>
          <w:p>
            <w:pPr>
              <w:spacing w:after="0"/>
              <w:rPr>
                <w:sz w:val="24"/>
                <w:szCs w:val="24"/>
                <w:color w:val="auto"/>
              </w:rPr>
            </w:pPr>
          </w:p>
        </w:tc>
        <w:tc>
          <w:tcPr>
            <w:tcW w:w="5480" w:type="dxa"/>
            <w:vAlign w:val="bottom"/>
            <w:gridSpan w:val="18"/>
          </w:tcPr>
          <w:p>
            <w:pPr>
              <w:spacing w:after="0"/>
              <w:rPr>
                <w:rFonts w:ascii="Arial" w:cs="Arial" w:eastAsia="Arial" w:hAnsi="Arial"/>
                <w:sz w:val="18"/>
                <w:szCs w:val="18"/>
                <w:color w:val="0000EE"/>
              </w:rPr>
            </w:pPr>
            <w:hyperlink r:id="rId235">
              <w:r>
                <w:rPr>
                  <w:rFonts w:ascii="Arial" w:cs="Arial" w:eastAsia="Arial" w:hAnsi="Arial"/>
                  <w:sz w:val="18"/>
                  <w:szCs w:val="18"/>
                  <w:color w:val="0000EE"/>
                </w:rPr>
                <w:t>Severance Agreement between BioAtla, LLC and Scott Smith, dated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235">
              <w:r>
                <w:rPr>
                  <w:rFonts w:ascii="Arial" w:cs="Arial" w:eastAsia="Arial" w:hAnsi="Arial"/>
                  <w:sz w:val="18"/>
                  <w:szCs w:val="18"/>
                  <w:color w:val="0000EE"/>
                  <w:w w:val="89"/>
                </w:rPr>
                <w:t>August 20, 2018</w:t>
              </w:r>
            </w:hyperlink>
          </w:p>
        </w:tc>
        <w:tc>
          <w:tcPr>
            <w:tcW w:w="3740" w:type="dxa"/>
            <w:vAlign w:val="bottom"/>
            <w:tcBorders>
              <w:top w:val="single" w:sz="8" w:color="0000EE"/>
            </w:tcBorders>
            <w:gridSpan w:val="7"/>
          </w:tcPr>
          <w:p>
            <w:pPr>
              <w:spacing w:after="0"/>
              <w:rPr>
                <w:sz w:val="17"/>
                <w:szCs w:val="17"/>
                <w:color w:val="auto"/>
              </w:rPr>
            </w:pPr>
          </w:p>
        </w:tc>
        <w:tc>
          <w:tcPr>
            <w:tcW w:w="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86"/>
              </w:rPr>
              <w:t>10.18+</w:t>
            </w:r>
          </w:p>
        </w:tc>
        <w:tc>
          <w:tcPr>
            <w:tcW w:w="320" w:type="dxa"/>
            <w:vAlign w:val="bottom"/>
          </w:tcPr>
          <w:p>
            <w:pPr>
              <w:spacing w:after="0"/>
              <w:rPr>
                <w:sz w:val="24"/>
                <w:szCs w:val="24"/>
                <w:color w:val="auto"/>
              </w:rPr>
            </w:pPr>
          </w:p>
        </w:tc>
        <w:tc>
          <w:tcPr>
            <w:tcW w:w="4940" w:type="dxa"/>
            <w:vAlign w:val="bottom"/>
            <w:tcBorders>
              <w:bottom w:val="single" w:sz="8" w:color="0000EE"/>
            </w:tcBorders>
            <w:gridSpan w:val="11"/>
          </w:tcPr>
          <w:p>
            <w:pPr>
              <w:spacing w:after="0"/>
              <w:rPr>
                <w:rFonts w:ascii="Arial" w:cs="Arial" w:eastAsia="Arial" w:hAnsi="Arial"/>
                <w:sz w:val="18"/>
                <w:szCs w:val="18"/>
                <w:color w:val="0000EE"/>
                <w:w w:val="91"/>
              </w:rPr>
            </w:pPr>
            <w:hyperlink r:id="rId236">
              <w:r>
                <w:rPr>
                  <w:rFonts w:ascii="Arial" w:cs="Arial" w:eastAsia="Arial" w:hAnsi="Arial"/>
                  <w:sz w:val="18"/>
                  <w:szCs w:val="18"/>
                  <w:color w:val="0000EE"/>
                  <w:w w:val="91"/>
                </w:rPr>
                <w:t>Severance Agreement between BioAtla, LLC and Carolyn Short, as</w:t>
              </w:r>
            </w:hyperlink>
          </w:p>
        </w:tc>
        <w:tc>
          <w:tcPr>
            <w:tcW w:w="5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80" w:type="dxa"/>
            <w:vAlign w:val="bottom"/>
            <w:gridSpan w:val="18"/>
          </w:tcPr>
          <w:p>
            <w:pPr>
              <w:spacing w:after="0" w:line="196" w:lineRule="exact"/>
              <w:rPr>
                <w:rFonts w:ascii="Arial" w:cs="Arial" w:eastAsia="Arial" w:hAnsi="Arial"/>
                <w:sz w:val="18"/>
                <w:szCs w:val="18"/>
                <w:color w:val="0000EE"/>
                <w:w w:val="95"/>
              </w:rPr>
            </w:pPr>
            <w:hyperlink r:id="rId236">
              <w:r>
                <w:rPr>
                  <w:rFonts w:ascii="Arial" w:cs="Arial" w:eastAsia="Arial" w:hAnsi="Arial"/>
                  <w:sz w:val="18"/>
                  <w:szCs w:val="18"/>
                  <w:color w:val="0000EE"/>
                  <w:w w:val="95"/>
                </w:rPr>
                <w:t>amended by the Amended Severance Agreement between BioAtla, LLC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36">
              <w:r>
                <w:rPr>
                  <w:rFonts w:ascii="Arial" w:cs="Arial" w:eastAsia="Arial" w:hAnsi="Arial"/>
                  <w:sz w:val="18"/>
                  <w:szCs w:val="18"/>
                  <w:color w:val="0000EE"/>
                </w:rPr>
                <w:t>and Carolyn Short, dated April 1, 2020</w:t>
              </w:r>
            </w:hyperlink>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86"/>
              </w:rPr>
              <w:t>10.19+</w:t>
            </w:r>
          </w:p>
        </w:tc>
        <w:tc>
          <w:tcPr>
            <w:tcW w:w="320" w:type="dxa"/>
            <w:vAlign w:val="bottom"/>
          </w:tcPr>
          <w:p>
            <w:pPr>
              <w:spacing w:after="0"/>
              <w:rPr>
                <w:sz w:val="24"/>
                <w:szCs w:val="24"/>
                <w:color w:val="auto"/>
              </w:rPr>
            </w:pPr>
          </w:p>
        </w:tc>
        <w:tc>
          <w:tcPr>
            <w:tcW w:w="5480" w:type="dxa"/>
            <w:vAlign w:val="bottom"/>
            <w:gridSpan w:val="18"/>
          </w:tcPr>
          <w:p>
            <w:pPr>
              <w:spacing w:after="0"/>
              <w:rPr>
                <w:rFonts w:ascii="Arial" w:cs="Arial" w:eastAsia="Arial" w:hAnsi="Arial"/>
                <w:sz w:val="18"/>
                <w:szCs w:val="18"/>
                <w:color w:val="0000EE"/>
                <w:w w:val="92"/>
              </w:rPr>
            </w:pPr>
            <w:hyperlink r:id="rId237">
              <w:r>
                <w:rPr>
                  <w:rFonts w:ascii="Arial" w:cs="Arial" w:eastAsia="Arial" w:hAnsi="Arial"/>
                  <w:sz w:val="18"/>
                  <w:szCs w:val="18"/>
                  <w:color w:val="0000EE"/>
                  <w:w w:val="92"/>
                </w:rPr>
                <w:t>Form of Indemnification Agreement between the Registrant and each of its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executive officers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260" w:type="dxa"/>
            <w:vAlign w:val="bottom"/>
            <w:tcBorders>
              <w:top w:val="single" w:sz="8" w:color="0000EE"/>
            </w:tcBorders>
            <w:gridSpan w:val="4"/>
          </w:tcPr>
          <w:p>
            <w:pPr>
              <w:spacing w:after="0"/>
              <w:rPr>
                <w:sz w:val="24"/>
                <w:szCs w:val="24"/>
                <w:color w:val="auto"/>
              </w:rPr>
            </w:pPr>
          </w:p>
        </w:tc>
        <w:tc>
          <w:tcPr>
            <w:tcW w:w="3540" w:type="dxa"/>
            <w:vAlign w:val="bottom"/>
            <w:gridSpan w:val="5"/>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220" w:type="dxa"/>
            <w:vAlign w:val="bottom"/>
            <w:vMerge w:val="restart"/>
          </w:tcPr>
          <w:p>
            <w:pPr>
              <w:spacing w:after="0"/>
              <w:rPr>
                <w:sz w:val="14"/>
                <w:szCs w:val="14"/>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vMerge w:val="restart"/>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Filed/Furnished</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Filing Date</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11-13-2020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11-13-2020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11-13-2020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11-13-2020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11-13-2020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w w:val="88"/>
              </w:rPr>
              <w:t>S-1/A</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97"/>
              </w:rPr>
              <w:t>10.11</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w w:val="88"/>
              </w:rPr>
              <w:t>S-1/A</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97"/>
              </w:rPr>
              <w:t>10.12</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w w:val="88"/>
              </w:rPr>
              <w:t>S-1/A</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97"/>
              </w:rPr>
              <w:t>10.13</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w w:val="88"/>
              </w:rPr>
              <w:t>S-1/A</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97"/>
              </w:rPr>
              <w:t>10.14</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w w:val="88"/>
              </w:rPr>
              <w:t>S-1/A</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97"/>
              </w:rPr>
              <w:t>10.15</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w w:val="88"/>
              </w:rPr>
              <w:t>S-1/A</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97"/>
              </w:rPr>
              <w:t>10.16</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w w:val="88"/>
              </w:rPr>
              <w:t>S-1/A</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97"/>
              </w:rPr>
              <w:t>10.17</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20" w:type="dxa"/>
            <w:vAlign w:val="bottom"/>
          </w:tcPr>
          <w:p>
            <w:pPr>
              <w:spacing w:after="0"/>
              <w:rPr>
                <w:sz w:val="20"/>
                <w:szCs w:val="20"/>
                <w:color w:val="auto"/>
              </w:rPr>
            </w:pPr>
            <w:r>
              <w:rPr>
                <w:rFonts w:ascii="Arial" w:cs="Arial" w:eastAsia="Arial" w:hAnsi="Arial"/>
                <w:sz w:val="18"/>
                <w:szCs w:val="18"/>
                <w:color w:val="auto"/>
                <w:w w:val="88"/>
              </w:rPr>
              <w:t>S-1/A</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333-250093</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97"/>
              </w:rPr>
              <w:t>10.18</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420" w:space="220"/>
            <w:col w:w="446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4380" w:type="dxa"/>
            <w:vAlign w:val="bottom"/>
            <w:gridSpan w:val="13"/>
            <w:vMerge w:val="restart"/>
          </w:tcPr>
          <w:p>
            <w:pPr>
              <w:ind w:left="114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tcPr>
          <w:p>
            <w:pPr>
              <w:spacing w:after="0"/>
              <w:rPr>
                <w:sz w:val="14"/>
                <w:szCs w:val="14"/>
                <w:color w:val="auto"/>
              </w:rPr>
            </w:pPr>
          </w:p>
        </w:tc>
        <w:tc>
          <w:tcPr>
            <w:tcW w:w="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220" w:type="dxa"/>
            <w:vAlign w:val="bottom"/>
          </w:tcPr>
          <w:p>
            <w:pPr>
              <w:spacing w:after="0"/>
              <w:rPr>
                <w:sz w:val="14"/>
                <w:szCs w:val="14"/>
                <w:color w:val="auto"/>
              </w:rPr>
            </w:pP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9"/>
              </w:rPr>
              <w:t>Exhibit</w:t>
            </w: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000" w:type="dxa"/>
            <w:vAlign w:val="bottom"/>
          </w:tcPr>
          <w:p>
            <w:pP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7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4"/>
                <w:szCs w:val="14"/>
                <w:color w:val="auto"/>
              </w:rPr>
            </w:pPr>
          </w:p>
        </w:tc>
        <w:tc>
          <w:tcPr>
            <w:tcW w:w="4380" w:type="dxa"/>
            <w:vAlign w:val="bottom"/>
            <w:gridSpan w:val="13"/>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Filing Date</w:t>
            </w:r>
          </w:p>
        </w:tc>
        <w:tc>
          <w:tcPr>
            <w:tcW w:w="1000" w:type="dxa"/>
            <w:vAlign w:val="bottom"/>
          </w:tcPr>
          <w:p>
            <w:pPr>
              <w:ind w:left="2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440" w:type="dxa"/>
            <w:vAlign w:val="bottom"/>
          </w:tcPr>
          <w:p>
            <w:pPr>
              <w:spacing w:after="0"/>
              <w:rPr>
                <w:sz w:val="22"/>
                <w:szCs w:val="22"/>
                <w:color w:val="auto"/>
              </w:rPr>
            </w:pPr>
          </w:p>
        </w:tc>
        <w:tc>
          <w:tcPr>
            <w:tcW w:w="4920" w:type="dxa"/>
            <w:vAlign w:val="bottom"/>
            <w:tcBorders>
              <w:bottom w:val="single" w:sz="8" w:color="0000EE"/>
            </w:tcBorders>
            <w:gridSpan w:val="8"/>
          </w:tcPr>
          <w:p>
            <w:pPr>
              <w:spacing w:after="0"/>
              <w:rPr>
                <w:rFonts w:ascii="Arial" w:cs="Arial" w:eastAsia="Arial" w:hAnsi="Arial"/>
                <w:sz w:val="18"/>
                <w:szCs w:val="18"/>
                <w:color w:val="0000EE"/>
                <w:w w:val="89"/>
              </w:rPr>
            </w:pPr>
            <w:hyperlink r:id="rId239">
              <w:r>
                <w:rPr>
                  <w:rFonts w:ascii="Arial" w:cs="Arial" w:eastAsia="Arial" w:hAnsi="Arial"/>
                  <w:sz w:val="18"/>
                  <w:szCs w:val="18"/>
                  <w:color w:val="0000EE"/>
                  <w:w w:val="89"/>
                </w:rPr>
                <w:t>Lease Agreement with HCP Torreyana, LLC, dated June 2, 2017, as</w:t>
              </w:r>
            </w:hyperlink>
          </w:p>
        </w:tc>
        <w:tc>
          <w:tcPr>
            <w:tcW w:w="360" w:type="dxa"/>
            <w:vAlign w:val="bottom"/>
            <w:gridSpan w:val="6"/>
          </w:tcPr>
          <w:p>
            <w:pPr>
              <w:spacing w:after="0"/>
              <w:rPr>
                <w:sz w:val="22"/>
                <w:szCs w:val="22"/>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S-1/A</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333-250093</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3"/>
              </w:rPr>
              <w:t>10.19</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12-08-20</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239">
              <w:r>
                <w:rPr>
                  <w:rFonts w:ascii="Arial" w:cs="Arial" w:eastAsia="Arial" w:hAnsi="Arial"/>
                  <w:sz w:val="18"/>
                  <w:szCs w:val="18"/>
                  <w:color w:val="0000EE"/>
                  <w:w w:val="89"/>
                </w:rPr>
                <w:t>amended by First Amendment to Lease, dated January 16, 2019</w:t>
              </w:r>
            </w:hyperlink>
          </w:p>
        </w:tc>
        <w:tc>
          <w:tcPr>
            <w:tcW w:w="68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440" w:type="dxa"/>
            <w:vAlign w:val="bottom"/>
          </w:tcPr>
          <w:p>
            <w:pPr>
              <w:spacing w:after="0"/>
              <w:rPr>
                <w:sz w:val="24"/>
                <w:szCs w:val="24"/>
                <w:color w:val="auto"/>
              </w:rPr>
            </w:pPr>
          </w:p>
        </w:tc>
        <w:tc>
          <w:tcPr>
            <w:tcW w:w="5280" w:type="dxa"/>
            <w:vAlign w:val="bottom"/>
            <w:gridSpan w:val="14"/>
          </w:tcPr>
          <w:p>
            <w:pPr>
              <w:spacing w:after="0"/>
              <w:rPr>
                <w:rFonts w:ascii="Arial" w:cs="Arial" w:eastAsia="Arial" w:hAnsi="Arial"/>
                <w:sz w:val="18"/>
                <w:szCs w:val="18"/>
                <w:color w:val="0000EE"/>
                <w:w w:val="93"/>
              </w:rPr>
            </w:pPr>
            <w:hyperlink r:id="rId240">
              <w:r>
                <w:rPr>
                  <w:rFonts w:ascii="Arial" w:cs="Arial" w:eastAsia="Arial" w:hAnsi="Arial"/>
                  <w:sz w:val="18"/>
                  <w:szCs w:val="18"/>
                  <w:color w:val="0000EE"/>
                  <w:w w:val="93"/>
                </w:rPr>
                <w:t>Payment Protection Program Promissory Note dated April 22, 2020, by</w:t>
              </w:r>
            </w:hyperlink>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333-250093</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3"/>
              </w:rPr>
              <w:t>10.20</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1"/>
              </w:rPr>
              <w:t>11-13-2020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40">
              <w:r>
                <w:rPr>
                  <w:rFonts w:ascii="Arial" w:cs="Arial" w:eastAsia="Arial" w:hAnsi="Arial"/>
                  <w:sz w:val="18"/>
                  <w:szCs w:val="18"/>
                  <w:color w:val="0000EE"/>
                </w:rPr>
                <w:t>and between BioAtla, LLC and City National Bank.</w:t>
              </w:r>
            </w:hyperlink>
          </w:p>
        </w:tc>
        <w:tc>
          <w:tcPr>
            <w:tcW w:w="1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43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88">
              <w:r>
                <w:rPr>
                  <w:rFonts w:ascii="Arial" w:cs="Arial" w:eastAsia="Arial" w:hAnsi="Arial"/>
                  <w:sz w:val="18"/>
                  <w:szCs w:val="18"/>
                  <w:color w:val="0000EE"/>
                  <w:w w:val="90"/>
                </w:rPr>
                <w:t>Consent of Independent Registered Public Accounting Firm</w:t>
              </w:r>
            </w:hyperlink>
          </w:p>
        </w:tc>
        <w:tc>
          <w:tcPr>
            <w:tcW w:w="96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ind w:left="8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34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81">
              <w:r>
                <w:rPr>
                  <w:rFonts w:ascii="Arial" w:cs="Arial" w:eastAsia="Arial" w:hAnsi="Arial"/>
                  <w:sz w:val="18"/>
                  <w:szCs w:val="18"/>
                  <w:color w:val="0000EE"/>
                  <w:w w:val="90"/>
                </w:rPr>
                <w:t>Power of Attorney (included on signature page)</w:t>
              </w:r>
            </w:hyperlink>
          </w:p>
        </w:tc>
        <w:tc>
          <w:tcPr>
            <w:tcW w:w="1840" w:type="dxa"/>
            <w:vAlign w:val="bottom"/>
            <w:gridSpan w:val="11"/>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ind w:left="8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518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89">
              <w:r>
                <w:rPr>
                  <w:rFonts w:ascii="Arial" w:cs="Arial" w:eastAsia="Arial" w:hAnsi="Arial"/>
                  <w:sz w:val="18"/>
                  <w:szCs w:val="18"/>
                  <w:color w:val="0000EE"/>
                  <w:w w:val="92"/>
                </w:rPr>
                <w:t>Certification of Chief Executive Officer pursuant to Rule 13a-14(a) and</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ind w:left="8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89">
              <w:r>
                <w:rPr>
                  <w:rFonts w:ascii="Arial" w:cs="Arial" w:eastAsia="Arial" w:hAnsi="Arial"/>
                  <w:sz w:val="18"/>
                  <w:szCs w:val="18"/>
                  <w:color w:val="0000EE"/>
                  <w:w w:val="89"/>
                </w:rPr>
                <w:t>15d-14(a), as adopted pursuant to Section 302 of the Sarbanes-Oxley</w:t>
              </w:r>
            </w:hyperlink>
          </w:p>
        </w:tc>
        <w:tc>
          <w:tcPr>
            <w:tcW w:w="26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80" w:type="dxa"/>
            <w:vAlign w:val="bottom"/>
            <w:gridSpan w:val="14"/>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Act of 2002.</w:t>
              </w:r>
            </w:hyperlink>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31.2†</w:t>
            </w:r>
          </w:p>
        </w:tc>
        <w:tc>
          <w:tcPr>
            <w:tcW w:w="5280" w:type="dxa"/>
            <w:vAlign w:val="bottom"/>
            <w:gridSpan w:val="14"/>
          </w:tcPr>
          <w:p>
            <w:pPr>
              <w:spacing w:after="0"/>
              <w:rPr>
                <w:rFonts w:ascii="Arial" w:cs="Arial" w:eastAsia="Arial" w:hAnsi="Arial"/>
                <w:sz w:val="18"/>
                <w:szCs w:val="18"/>
                <w:color w:val="0000EE"/>
                <w:w w:val="95"/>
              </w:rPr>
            </w:pPr>
            <w:hyperlink w:anchor="page190">
              <w:r>
                <w:rPr>
                  <w:rFonts w:ascii="Arial" w:cs="Arial" w:eastAsia="Arial" w:hAnsi="Arial"/>
                  <w:sz w:val="18"/>
                  <w:szCs w:val="18"/>
                  <w:color w:val="0000EE"/>
                  <w:w w:val="95"/>
                </w:rPr>
                <w:t>Certification of Chief Financial Officer pursuant to Rule 13a-14(a) and</w:t>
              </w:r>
            </w:hyperlink>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ind w:left="8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190">
              <w:r>
                <w:rPr>
                  <w:rFonts w:ascii="Arial" w:cs="Arial" w:eastAsia="Arial" w:hAnsi="Arial"/>
                  <w:sz w:val="18"/>
                  <w:szCs w:val="18"/>
                  <w:color w:val="0000EE"/>
                  <w:w w:val="89"/>
                </w:rPr>
                <w:t>15d-14(a), as adopted pursuant to Section 302 of the Sarbanes-Oxley</w:t>
              </w:r>
            </w:hyperlink>
          </w:p>
        </w:tc>
        <w:tc>
          <w:tcPr>
            <w:tcW w:w="80" w:type="dxa"/>
            <w:vAlign w:val="bottom"/>
            <w:tcBorders>
              <w:top w:val="single" w:sz="8" w:color="0000EE"/>
            </w:tcBorders>
          </w:tcPr>
          <w:p>
            <w:pPr>
              <w:spacing w:after="0"/>
              <w:rPr>
                <w:sz w:val="17"/>
                <w:szCs w:val="17"/>
                <w:color w:val="auto"/>
              </w:rPr>
            </w:pPr>
          </w:p>
        </w:tc>
        <w:tc>
          <w:tcPr>
            <w:tcW w:w="18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80" w:type="dxa"/>
            <w:vAlign w:val="bottom"/>
            <w:gridSpan w:val="14"/>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Act of 2002.</w:t>
              </w:r>
            </w:hyperlink>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32.1†</w:t>
            </w:r>
          </w:p>
        </w:tc>
        <w:tc>
          <w:tcPr>
            <w:tcW w:w="5280" w:type="dxa"/>
            <w:vAlign w:val="bottom"/>
            <w:gridSpan w:val="14"/>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Certification of Chief Executive Officer and Chief Financial Officer</w:t>
              </w:r>
            </w:hyperlink>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ind w:left="8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91">
              <w:r>
                <w:rPr>
                  <w:rFonts w:ascii="Arial" w:cs="Arial" w:eastAsia="Arial" w:hAnsi="Arial"/>
                  <w:sz w:val="18"/>
                  <w:szCs w:val="18"/>
                  <w:color w:val="0000EE"/>
                  <w:w w:val="89"/>
                </w:rPr>
                <w:t>pursuant to 18.U.S.C. Section 1350, as adopted pursuant to Section 906</w:t>
              </w:r>
            </w:hyperlink>
          </w:p>
        </w:tc>
        <w:tc>
          <w:tcPr>
            <w:tcW w:w="1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80" w:type="dxa"/>
            <w:vAlign w:val="bottom"/>
            <w:gridSpan w:val="14"/>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of the Sarbanes Oxley Act of 2002.</w:t>
              </w:r>
            </w:hyperlink>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Furnished and not filed.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Indicates management contract or compensatory plan.</w:t>
      </w:r>
    </w:p>
    <w:p>
      <w:pPr>
        <w:spacing w:after="0" w:line="9" w:lineRule="exact"/>
        <w:rPr>
          <w:sz w:val="20"/>
          <w:szCs w:val="20"/>
          <w:color w:val="auto"/>
        </w:rPr>
      </w:pPr>
    </w:p>
    <w:p>
      <w:pPr>
        <w:ind w:left="340" w:right="340" w:hanging="224"/>
        <w:spacing w:after="0" w:line="260"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they are both (i) not material and (ii) would likely cause competitive harm to the Registrant if publicly disclosed.</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60"/>
          </w:cols>
          <w:pgMar w:left="320" w:top="459" w:right="5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360" w:type="dxa"/>
            <w:vAlign w:val="bottom"/>
            <w:gridSpan w:val="2"/>
          </w:tcPr>
          <w:p>
            <w:pPr>
              <w:ind w:left="2080"/>
              <w:spacing w:after="0"/>
              <w:rPr>
                <w:sz w:val="20"/>
                <w:szCs w:val="20"/>
                <w:color w:val="auto"/>
              </w:rPr>
            </w:pPr>
            <w:r>
              <w:rPr>
                <w:rFonts w:ascii="Arial" w:cs="Arial" w:eastAsia="Arial" w:hAnsi="Arial"/>
                <w:sz w:val="18"/>
                <w:szCs w:val="18"/>
                <w:b w:val="1"/>
                <w:bCs w:val="1"/>
                <w:color w:val="auto"/>
              </w:rPr>
              <w:t>BioAtla,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24, 2021</w:t>
            </w:r>
          </w:p>
        </w:tc>
        <w:tc>
          <w:tcPr>
            <w:tcW w:w="7360" w:type="dxa"/>
            <w:vAlign w:val="bottom"/>
            <w:gridSpan w:val="2"/>
          </w:tcPr>
          <w:p>
            <w:pPr>
              <w:ind w:left="2080"/>
              <w:spacing w:after="0"/>
              <w:rPr>
                <w:sz w:val="20"/>
                <w:szCs w:val="20"/>
                <w:color w:val="auto"/>
              </w:rPr>
            </w:pPr>
            <w:r>
              <w:rPr>
                <w:rFonts w:ascii="Arial" w:cs="Arial" w:eastAsia="Arial" w:hAnsi="Arial"/>
                <w:sz w:val="18"/>
                <w:szCs w:val="18"/>
                <w:color w:val="auto"/>
              </w:rPr>
              <w:t>By:  /s/ Jay M. Short, Ph.D.</w:t>
            </w:r>
          </w:p>
        </w:tc>
      </w:tr>
      <w:tr>
        <w:trPr>
          <w:trHeight w:val="195"/>
        </w:trPr>
        <w:tc>
          <w:tcPr>
            <w:tcW w:w="3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9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Jay M. Short, Ph.D.</w:t>
            </w:r>
          </w:p>
        </w:tc>
      </w:tr>
      <w:tr>
        <w:trPr>
          <w:trHeight w:val="216"/>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16"/>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 and</w:t>
            </w:r>
          </w:p>
        </w:tc>
      </w:tr>
      <w:tr>
        <w:trPr>
          <w:trHeight w:val="230"/>
        </w:trPr>
        <w:tc>
          <w:tcPr>
            <w:tcW w:w="3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Jay M. Short, Ph.D. and Richard A. Waldron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spacing w:after="0" w:line="16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6"/>
                <w:szCs w:val="16"/>
                <w:color w:val="auto"/>
              </w:rPr>
            </w:pPr>
          </w:p>
        </w:tc>
        <w:tc>
          <w:tcPr>
            <w:tcW w:w="440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412"/>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Jay M. Short, Ph.D.</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24,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0"/>
              </w:rPr>
              <w:t>Jay M. Short, Ph.D.</w:t>
            </w:r>
          </w:p>
        </w:tc>
        <w:tc>
          <w:tcPr>
            <w:tcW w:w="24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54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Waldron</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24,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3"/>
              </w:rPr>
              <w:t>Richard A. Waldron</w:t>
            </w:r>
          </w:p>
        </w:tc>
        <w:tc>
          <w:tcPr>
            <w:tcW w:w="24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154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Scott Smith</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24,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3"/>
              </w:rPr>
              <w:t>Scott Smith</w:t>
            </w:r>
          </w:p>
        </w:tc>
        <w:tc>
          <w:tcPr>
            <w:tcW w:w="2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Priyanka Belawat, Ph.D.</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24,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Priyanka Belawat, Ph.D.</w:t>
            </w:r>
          </w:p>
        </w:tc>
        <w:tc>
          <w:tcPr>
            <w:tcW w:w="2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Guy Levy</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24,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7"/>
              </w:rPr>
              <w:t>Guy Levy</w:t>
            </w:r>
          </w:p>
        </w:tc>
        <w:tc>
          <w:tcPr>
            <w:tcW w:w="2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Lawrence Steinman</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24,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9"/>
              </w:rPr>
              <w:t>Lawrence Steinman</w:t>
            </w:r>
          </w:p>
        </w:tc>
        <w:tc>
          <w:tcPr>
            <w:tcW w:w="2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Mary Ann Gray, Ph.D.</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24,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3"/>
              </w:rPr>
              <w:t>Mary Ann Gray, Ph.D.</w:t>
            </w:r>
          </w:p>
        </w:tc>
        <w:tc>
          <w:tcPr>
            <w:tcW w:w="2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Susan Moran, M.D.</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24,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Susan Moran, M.D.</w:t>
            </w:r>
          </w:p>
        </w:tc>
        <w:tc>
          <w:tcPr>
            <w:tcW w:w="2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64"/>
        </w:trPr>
        <w:tc>
          <w:tcPr>
            <w:tcW w:w="4620" w:type="dxa"/>
            <w:vAlign w:val="bottom"/>
          </w:tcPr>
          <w:p>
            <w:pPr>
              <w:spacing w:after="0"/>
              <w:rPr>
                <w:sz w:val="24"/>
                <w:szCs w:val="24"/>
                <w:color w:val="auto"/>
              </w:rPr>
            </w:pPr>
          </w:p>
        </w:tc>
        <w:tc>
          <w:tcPr>
            <w:tcW w:w="4640" w:type="dxa"/>
            <w:vAlign w:val="bottom"/>
            <w:gridSpan w:val="2"/>
          </w:tcPr>
          <w:p>
            <w:pPr>
              <w:jc w:val="right"/>
              <w:ind w:right="3532"/>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4" w:right="100"/>
        <w:spacing w:after="0" w:line="293" w:lineRule="auto"/>
        <w:rPr>
          <w:sz w:val="20"/>
          <w:szCs w:val="20"/>
          <w:color w:val="auto"/>
        </w:rPr>
      </w:pPr>
      <w:r>
        <w:rPr>
          <w:rFonts w:ascii="Arial" w:cs="Arial" w:eastAsia="Arial" w:hAnsi="Arial"/>
          <w:sz w:val="16"/>
          <w:szCs w:val="16"/>
          <w:i w:val="1"/>
          <w:iCs w:val="1"/>
          <w:color w:val="auto"/>
        </w:rPr>
        <w:t>BioAtla, Inc. (“we,” “our,” “us,” or the “Company”) has one class of securities registered under Section 12 of the Securities Exchange Act of 1934, as amended: our common stock. The following summary of the terms of our common stock is based upon our restated certificate of incorporation and our restated bylaws. This summary does not purport to be complete and is subject to, and is qualified in its entirety by express reference to, the applicable provisions of our amended and restated certificate of incorporation and our amended and restated bylaws, which are filed as exhibits to our Annual Report on Form 10-K and are incorporated by reference herein. We encourage you to read our amended and restated certificate of incorporation, our amended and restated bylaws and the applicable provisions of the Delaware General Corporation Law for more information.</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Common stock and class B common stock</w:t>
      </w:r>
    </w:p>
    <w:p>
      <w:pPr>
        <w:spacing w:after="0" w:line="121" w:lineRule="exact"/>
        <w:rPr>
          <w:sz w:val="20"/>
          <w:szCs w:val="20"/>
          <w:color w:val="auto"/>
        </w:rPr>
      </w:pPr>
    </w:p>
    <w:p>
      <w:pPr>
        <w:ind w:left="4" w:right="60" w:firstLine="991"/>
        <w:spacing w:after="0" w:line="285" w:lineRule="auto"/>
        <w:rPr>
          <w:sz w:val="20"/>
          <w:szCs w:val="20"/>
          <w:color w:val="auto"/>
        </w:rPr>
      </w:pPr>
      <w:r>
        <w:rPr>
          <w:rFonts w:ascii="Arial" w:cs="Arial" w:eastAsia="Arial" w:hAnsi="Arial"/>
          <w:sz w:val="16"/>
          <w:szCs w:val="16"/>
          <w:color w:val="auto"/>
        </w:rPr>
        <w:t>We are authorized to issue up to a total of 350,000,000 shares of common stock, par value $0.0001 per share and up to a total of 15,368,569 shares of Class B common stock, par value $0.0001 per share. The holders of our common stock and Class B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Class B common stock are not entitled to any votes per share of Class B common stock, including for the election of directors and</w:t>
      </w:r>
    </w:p>
    <w:p>
      <w:pPr>
        <w:spacing w:after="0" w:line="2" w:lineRule="exact"/>
        <w:rPr>
          <w:sz w:val="20"/>
          <w:szCs w:val="20"/>
          <w:color w:val="auto"/>
        </w:rPr>
      </w:pPr>
    </w:p>
    <w:p>
      <w:pPr>
        <w:ind w:left="4" w:right="40" w:hanging="4"/>
        <w:spacing w:after="0" w:line="253" w:lineRule="auto"/>
        <w:tabs>
          <w:tab w:leader="none" w:pos="269"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holders of our common stock have no conversion rights, while holders of our Class B common stock shall have the right to convert each share of our Class B common stock into one share of common stock at such holder’s election, provided that as a result of such conversion, such holder would not beneficially own in excess of 4.99% of any class of our securities registered under the Exchange Act, unless otherwise as expressly provided for in our amended and restated certificate of incorporation. However, this ownership limitation may be increased or decreased to any other percentage designated by such holder of Class B common stock upon 61 days’ notice to us.</w:t>
      </w:r>
    </w:p>
    <w:p>
      <w:pPr>
        <w:spacing w:after="0" w:line="191" w:lineRule="exact"/>
        <w:rPr>
          <w:sz w:val="20"/>
          <w:szCs w:val="20"/>
          <w:color w:val="auto"/>
        </w:rPr>
      </w:pPr>
    </w:p>
    <w:p>
      <w:pPr>
        <w:ind w:left="4" w:right="20" w:firstLine="991"/>
        <w:spacing w:after="0" w:line="275" w:lineRule="auto"/>
        <w:rPr>
          <w:sz w:val="20"/>
          <w:szCs w:val="20"/>
          <w:color w:val="auto"/>
        </w:rPr>
      </w:pPr>
      <w:r>
        <w:rPr>
          <w:rFonts w:ascii="Arial" w:cs="Arial" w:eastAsia="Arial" w:hAnsi="Arial"/>
          <w:sz w:val="17"/>
          <w:szCs w:val="17"/>
          <w:color w:val="auto"/>
        </w:rPr>
        <w:t>Our common stock and Class B common stock have no preemptive rights or other subscription rights or redemption or sinking fund provisions. Upon our liquidation, dissolution or winding-up, holders of our common stock and Class B common stock are entitled to share ratably in all assets remaining after payment of all liabilities and the liquidation preferences of any of our outstanding shares of preferred stock. Subject to preferences that may be applicable to any outstanding shares of preferred stock, holders of our common stock and Class B common stock are entitled to receive dividends only if declared from time to time by our board of directors out of assets which are legally available.</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4" w:right="160" w:firstLine="991"/>
        <w:spacing w:after="0" w:line="257" w:lineRule="auto"/>
        <w:rPr>
          <w:sz w:val="20"/>
          <w:szCs w:val="20"/>
          <w:color w:val="auto"/>
        </w:rPr>
      </w:pPr>
      <w:r>
        <w:rPr>
          <w:rFonts w:ascii="Arial" w:cs="Arial" w:eastAsia="Arial" w:hAnsi="Arial"/>
          <w:sz w:val="18"/>
          <w:szCs w:val="18"/>
          <w:color w:val="auto"/>
        </w:rPr>
        <w:t>Under our amended and restated certificate of incorporation, our board of directors has the authority, without further action by the stockholders, to issue up to 200,000,000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ectPr>
          <w:pgSz w:w="11900" w:h="16838" w:orient="portrait"/>
          <w:cols w:equalWidth="0" w:num="1">
            <w:col w:w="11024"/>
          </w:cols>
          <w:pgMar w:left="436" w:top="121" w:right="439" w:bottom="1440" w:gutter="0" w:footer="0" w:header="0"/>
        </w:sectPr>
      </w:pPr>
    </w:p>
    <w:bookmarkStart w:id="182" w:name="page183"/>
    <w:bookmarkEnd w:id="182"/>
    <w:p>
      <w:pPr>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December 31, 2020, we had 717,674 outstanding warrants.</w:t>
      </w:r>
    </w:p>
    <w:p>
      <w:pPr>
        <w:spacing w:after="0" w:line="225"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On February 29, 2016, we issued a warrant to purchase 339,952 shares of common stock at an exercise price of $88.25 per share, which warrant was subsequently amended and restated. The warrant is exercisable during the period commencing on December 19, 2020 and ending on December 18, 2021, and provides for cashless exercise at the option of the warrant holder.</w:t>
      </w:r>
    </w:p>
    <w:p>
      <w:pPr>
        <w:spacing w:after="0" w:line="184"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On March 24, 2016, we issued warrants to purchase an aggregate of 226,634 shares of common stock at an exercise price of $88.25 per share, which warrants were subsequently amended and restated. The warrants are exercisable during the period commencing on December 19, 2020 and ending on December 18, 2021, and provide for cashless exercise at the option of the warrant holder.</w:t>
      </w:r>
    </w:p>
    <w:p>
      <w:pPr>
        <w:spacing w:after="0" w:line="16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On June 6, 2016, we issued warrants to purchase an aggregate of 151,088 shares of common stock at an exercise price of $132.37 per share, which warrants were subsequently amended and restated. The warrants are exercisable during the period commencing on December 19, 2020 and ending on March 13, 2022, and provide for cashless exercise at the option of the warrant holder.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Upon the completion of the initial public offering and subject to the lock-up agreements entered into in connection with such offering and federal securities laws, certain holders of shares of our common stock are initially be entitled to certain rights with respect to registration of such shares under the Securities Act. These shares are referred to as registrable securities.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64"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terminate upon the earliest of (i) with respect to each stockholder, such date, on or after the completion of our initial public offering, on which all registrable shares held by such stockholder may immediately be sold during any three month period pursuant to Rule 144, (ii) the occurrence of a deemed liquidation event, as defined in our certificate of incorporation, as currently in effect and (iii) the fifth anniversary of the completion of our initial public offering.</w:t>
      </w:r>
    </w:p>
    <w:p>
      <w:pPr>
        <w:sectPr>
          <w:pgSz w:w="11900" w:h="16838" w:orient="portrait"/>
          <w:cols w:equalWidth="0" w:num="1">
            <w:col w:w="10980"/>
          </w:cols>
          <w:pgMar w:left="440" w:top="274" w:right="47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Demand registration rights</w:t>
      </w:r>
    </w:p>
    <w:p>
      <w:pPr>
        <w:spacing w:after="0" w:line="117"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As of December 31, 2020, holders of approximately 12.9 million shares of our common stock are entitled to certain demand registration rights. Beginning on June 14, 2021, investors holding, collectively, a majority of registrable securities having an anticipated aggregate offering price of at least $5.0 million may, on not more than two occasions, request that we register all or a portion of their shares, subject to certain specified exceptions. If any of these holders exercises its demand registration rights, then holders of approximately 15.4 million shares of our common stock will be entitled to register their shares, subject to specified conditions and limitations in the corresponding offering.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As of December 31, 2020, holders of approximately 12.9 million shares of our common stock are entitled to their rights to notice of public offerings and to include their shares of registrable securities in public offerings. In the event that we propose to register any of our securities under the Securities Act in an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17"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As of December 31, 2020, the holders of approximately 12.9 million shares of our common stock are initially entitled to certain Form S-3 registration rights. Certain major investors holding at least 10% of registrable securities may, on not more than two registrations on Form S-3 within any 12-month period, request that we register all or a portion of their shares on Form S-3 if we are qualified to file a registration statement on Form S-3, subject to specified exceptions. Such request for registration on Form S-3 must cover securities with an aggregate offering price which equals or exceeds $3.0 million, net of selling expenses. The right to have such shares registered on Form S-3 is further subject to other specified conditions and limitations.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our bylaws and Delaware law</w:t>
      </w:r>
    </w:p>
    <w:p>
      <w:pPr>
        <w:spacing w:after="0" w:line="121"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Certain provisions of Delaware law and certain provisions included in our amended and restated certificate of incorporation and amended and restated bylaws, summarized below, may be deemed to have an anti-takeover effect and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right="560" w:firstLine="991"/>
        <w:spacing w:after="0" w:line="263" w:lineRule="auto"/>
        <w:rPr>
          <w:sz w:val="20"/>
          <w:szCs w:val="20"/>
          <w:color w:val="auto"/>
        </w:rPr>
      </w:pPr>
      <w:r>
        <w:rPr>
          <w:rFonts w:ascii="Arial" w:cs="Arial" w:eastAsia="Arial" w:hAnsi="Arial"/>
          <w:sz w:val="18"/>
          <w:szCs w:val="18"/>
          <w:color w:val="auto"/>
        </w:rPr>
        <w:t>We are subject to Section 203 of the Delaware General Corporation Law,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89" w:lineRule="exact"/>
        <w:rPr>
          <w:sz w:val="20"/>
          <w:szCs w:val="20"/>
          <w:color w:val="auto"/>
        </w:rPr>
      </w:pPr>
    </w:p>
    <w:p>
      <w:pPr>
        <w:ind w:left="960" w:right="300" w:hanging="532"/>
        <w:spacing w:after="0" w:line="277"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60" w:right="280" w:hanging="532"/>
        <w:spacing w:after="0" w:line="277"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upon consummation of the transaction, excluding for purposes of determining the number of shares outstanding</w:t>
      </w:r>
    </w:p>
    <w:p>
      <w:pPr>
        <w:sectPr>
          <w:pgSz w:w="11900" w:h="16838" w:orient="portrait"/>
          <w:cols w:equalWidth="0" w:num="1">
            <w:col w:w="11000"/>
          </w:cols>
          <w:pgMar w:left="440" w:top="274" w:right="459" w:bottom="1440" w:gutter="0" w:footer="0" w:header="0"/>
        </w:sectPr>
      </w:pPr>
    </w:p>
    <w:bookmarkStart w:id="184" w:name="page185"/>
    <w:bookmarkEnd w:id="184"/>
    <w:p>
      <w:pPr>
        <w:jc w:val="both"/>
        <w:ind w:left="980" w:right="600" w:firstLine="1"/>
        <w:spacing w:after="0" w:line="263" w:lineRule="auto"/>
        <w:tabs>
          <w:tab w:leader="none" w:pos="1225" w:val="left"/>
        </w:tabs>
        <w:numPr>
          <w:ilvl w:val="1"/>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89"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960" w:hanging="532"/>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sale, transfer, pledge or other disposition involving the interested stockholder of 10% or more of the assets of the corporation;</w:t>
      </w:r>
    </w:p>
    <w:p>
      <w:pPr>
        <w:spacing w:after="0" w:line="142" w:lineRule="exact"/>
        <w:rPr>
          <w:rFonts w:ascii="Arial" w:cs="Arial" w:eastAsia="Arial" w:hAnsi="Arial"/>
          <w:sz w:val="17"/>
          <w:szCs w:val="17"/>
          <w:color w:val="auto"/>
        </w:rPr>
      </w:pPr>
    </w:p>
    <w:p>
      <w:pPr>
        <w:ind w:left="960" w:right="60" w:hanging="532"/>
        <w:spacing w:after="0" w:line="277"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w:t>
      </w:r>
    </w:p>
    <w:p>
      <w:pPr>
        <w:spacing w:after="0" w:line="75" w:lineRule="exact"/>
        <w:rPr>
          <w:rFonts w:ascii="Arial" w:cs="Arial" w:eastAsia="Arial" w:hAnsi="Arial"/>
          <w:sz w:val="18"/>
          <w:szCs w:val="18"/>
          <w:color w:val="auto"/>
        </w:rPr>
      </w:pPr>
    </w:p>
    <w:p>
      <w:pPr>
        <w:ind w:left="960" w:right="520" w:hanging="532"/>
        <w:spacing w:after="0" w:line="277"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 and</w:t>
      </w:r>
    </w:p>
    <w:p>
      <w:pPr>
        <w:spacing w:after="0" w:line="75"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180" w:firstLine="991"/>
        <w:spacing w:after="0" w:line="301" w:lineRule="auto"/>
        <w:rPr>
          <w:sz w:val="20"/>
          <w:szCs w:val="20"/>
          <w:color w:val="auto"/>
        </w:rPr>
      </w:pPr>
      <w:r>
        <w:rPr>
          <w:rFonts w:ascii="Arial" w:cs="Arial" w:eastAsia="Arial" w:hAnsi="Arial"/>
          <w:sz w:val="16"/>
          <w:szCs w:val="16"/>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designated Class I, Class II and Class III. Each class will be an equal number of directors, as nearly as possible, consisting of one third of the total number of directors constituting the entire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at least 66 2/3% of the voting power of all of our then outstanding common stock and that the authorized number of directors may be changed only by resolution adopted by a majority of the board of directors.</w:t>
      </w:r>
    </w:p>
    <w:p>
      <w:pPr>
        <w:sectPr>
          <w:pgSz w:w="11900" w:h="16838" w:orient="portrait"/>
          <w:cols w:equalWidth="0" w:num="1">
            <w:col w:w="10980"/>
          </w:cols>
          <w:pgMar w:left="440" w:top="274" w:right="47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vacancies</w:t>
      </w:r>
    </w:p>
    <w:p>
      <w:pPr>
        <w:spacing w:after="0" w:line="117"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Our amended and restated certificate of incorporation provides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right="140" w:firstLine="991"/>
        <w:spacing w:after="0" w:line="311"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except as otherwise required by law, special meetings of our stockholders may be called only by the chairman of the board, our Chief Executive Officer or by the board of directors pursuant to a resolution adopted by a majority of the total number of authorized directors (whether or not there exists any vacancies).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17"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stockholders seeking to nominate candidates for election as directors at an annual or special meeting of stockholders must provide timely notice thereof in writing and also specify requirements as to the form and content of a stockholder’s notice.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right="680" w:firstLine="991"/>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require that any action to be taken by our stockholders must be effected at a duly called annual or special meeting of stockholders and not be taken by written consent.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Our amended and restated certificate of incorporation provides for cumulative voting rights (therefore allowing the holders of a majority of the shares of common stock entitled to vote in any election of directors to elect all of the directors standing for election, if they should so choose).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17"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The amendment of any of the provisions in our amended and restated certificate of incorporation, with the exception of the ability of our board of directors to issue shares of preferred stock and designate any rights, preferences and privileges thereto, would require the affirmative vote of the holders of at least 66 2/3% of the voting power of all of our then outstanding common stock. Additionally, our amended and restated certificate of incorporation provides that our bylaws may be amended, altered or repealed by the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provision</w:t>
      </w:r>
    </w:p>
    <w:p>
      <w:pPr>
        <w:spacing w:after="0" w:line="117"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(or, if the Court of Chancery of the</w:t>
      </w:r>
    </w:p>
    <w:p>
      <w:pPr>
        <w:sectPr>
          <w:pgSz w:w="11900" w:h="16838" w:orient="portrait"/>
          <w:cols w:equalWidth="0" w:num="1">
            <w:col w:w="11000"/>
          </w:cols>
          <w:pgMar w:left="440" w:top="274" w:right="459" w:bottom="1440" w:gutter="0" w:footer="0" w:header="0"/>
        </w:sectPr>
      </w:pPr>
    </w:p>
    <w:bookmarkStart w:id="186" w:name="page187"/>
    <w:bookmarkEnd w:id="186"/>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common stock is listed on The Nasdaq Global Market under the symbol “BCAB.”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The transfer agent and registrar for our common stock and Class B common stock is Philadelphia Stock Transfer, Inc. The transfer agent and registrar’s address is 2320 Haverford Rd., Suite 230, Ardmore, PA 19003.</w:t>
      </w:r>
    </w:p>
    <w:p>
      <w:pPr>
        <w:sectPr>
          <w:pgSz w:w="11900" w:h="16838" w:orient="portrait"/>
          <w:cols w:equalWidth="0" w:num="1">
            <w:col w:w="10980"/>
          </w:cols>
          <w:pgMar w:left="440" w:top="274" w:right="47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 (Form S-8 No. 333-251520) pertaining to BIOATLA, INC. 2020 EQUITY INCENTIVE PLAN, and the BIOATLA, INC. EMPLOYEE STOCK PURCHASE PLAN of our report dated March 24, 2021, with respect to the consolidated financial statements of BioAtla, Inc. included in this Annual Report (Form 10-K) of BioAtla, Inc.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24, 2021</w:t>
      </w:r>
    </w:p>
    <w:p>
      <w:pPr>
        <w:sectPr>
          <w:pgSz w:w="11900" w:h="16838" w:orient="portrait"/>
          <w:cols w:equalWidth="0" w:num="1">
            <w:col w:w="11020"/>
          </w:cols>
          <w:pgMar w:left="440" w:top="121" w:right="4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Jay M. Short, Ph.D., certify that:</w:t>
      </w:r>
    </w:p>
    <w:p>
      <w:pPr>
        <w:spacing w:after="0" w:line="117" w:lineRule="exact"/>
        <w:rPr>
          <w:sz w:val="20"/>
          <w:szCs w:val="20"/>
          <w:color w:val="auto"/>
        </w:rPr>
      </w:pPr>
    </w:p>
    <w:p>
      <w:pPr>
        <w:ind w:left="184" w:hanging="184"/>
        <w:spacing w:after="0"/>
        <w:tabs>
          <w:tab w:leader="none" w:pos="184"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2020 of BioAtla, Inc.;</w:t>
      </w:r>
    </w:p>
    <w:p>
      <w:pPr>
        <w:spacing w:after="0" w:line="225" w:lineRule="exact"/>
        <w:rPr>
          <w:rFonts w:ascii="Arial" w:cs="Arial" w:eastAsia="Arial" w:hAnsi="Arial"/>
          <w:sz w:val="18"/>
          <w:szCs w:val="18"/>
          <w:color w:val="auto"/>
        </w:rPr>
      </w:pPr>
    </w:p>
    <w:p>
      <w:pPr>
        <w:ind w:left="4" w:right="60" w:hanging="4"/>
        <w:spacing w:after="0" w:line="342" w:lineRule="auto"/>
        <w:tabs>
          <w:tab w:leader="none" w:pos="184"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 w:right="280" w:hanging="4"/>
        <w:spacing w:after="0" w:line="342" w:lineRule="auto"/>
        <w:tabs>
          <w:tab w:leader="none" w:pos="184"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 w:right="380" w:hanging="4"/>
        <w:spacing w:after="0" w:line="277" w:lineRule="auto"/>
        <w:tabs>
          <w:tab w:leader="none" w:pos="18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 w:right="200" w:firstLine="436"/>
        <w:spacing w:after="0" w:line="263" w:lineRule="auto"/>
        <w:tabs>
          <w:tab w:leader="none" w:pos="629"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 w:right="680" w:firstLine="436"/>
        <w:spacing w:after="0" w:line="342" w:lineRule="auto"/>
        <w:tabs>
          <w:tab w:leader="none" w:pos="639"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 w:right="20" w:firstLine="436"/>
        <w:spacing w:after="0" w:line="263" w:lineRule="auto"/>
        <w:tabs>
          <w:tab w:leader="none" w:pos="629"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 w:right="80" w:hanging="4"/>
        <w:spacing w:after="0" w:line="308" w:lineRule="auto"/>
        <w:tabs>
          <w:tab w:leader="none" w:pos="184"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 w:right="100" w:firstLine="436"/>
        <w:spacing w:after="0" w:line="277" w:lineRule="auto"/>
        <w:tabs>
          <w:tab w:leader="none" w:pos="62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 w:right="40" w:firstLine="436"/>
        <w:spacing w:after="0" w:line="277" w:lineRule="auto"/>
        <w:tabs>
          <w:tab w:leader="none" w:pos="63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004"/>
        <w:spacing w:after="0"/>
        <w:rPr>
          <w:sz w:val="20"/>
          <w:szCs w:val="20"/>
          <w:color w:val="auto"/>
        </w:rPr>
      </w:pPr>
      <w:r>
        <w:rPr>
          <w:rFonts w:ascii="Arial" w:cs="Arial" w:eastAsia="Arial" w:hAnsi="Arial"/>
          <w:sz w:val="18"/>
          <w:szCs w:val="18"/>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8104"/>
        <w:spacing w:after="0"/>
        <w:rPr>
          <w:sz w:val="20"/>
          <w:szCs w:val="20"/>
          <w:color w:val="auto"/>
        </w:rPr>
      </w:pPr>
      <w:r>
        <w:rPr>
          <w:rFonts w:ascii="Arial" w:cs="Arial" w:eastAsia="Arial" w:hAnsi="Arial"/>
          <w:sz w:val="18"/>
          <w:szCs w:val="18"/>
          <w:color w:val="auto"/>
        </w:rPr>
        <w:t>Jay M. Short, Ph.D.</w:t>
      </w:r>
    </w:p>
    <w:p>
      <w:pPr>
        <w:spacing w:after="0" w:line="2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jc w:val="center"/>
        <w:ind w:left="6620"/>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24, 2021</w:t>
      </w:r>
    </w:p>
    <w:p>
      <w:pPr>
        <w:sectPr>
          <w:pgSz w:w="11900" w:h="16838" w:orient="portrait"/>
          <w:cols w:equalWidth="0" w:num="1">
            <w:col w:w="11024"/>
          </w:cols>
          <w:pgMar w:left="436" w:top="121" w:right="4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Richard A. Waldron, certify that:</w:t>
      </w:r>
    </w:p>
    <w:p>
      <w:pPr>
        <w:spacing w:after="0" w:line="117" w:lineRule="exact"/>
        <w:rPr>
          <w:sz w:val="20"/>
          <w:szCs w:val="20"/>
          <w:color w:val="auto"/>
        </w:rPr>
      </w:pPr>
    </w:p>
    <w:p>
      <w:pPr>
        <w:ind w:left="184" w:hanging="184"/>
        <w:spacing w:after="0"/>
        <w:tabs>
          <w:tab w:leader="none" w:pos="184"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2020 of BioAtla, Inc.;</w:t>
      </w:r>
    </w:p>
    <w:p>
      <w:pPr>
        <w:spacing w:after="0" w:line="225" w:lineRule="exact"/>
        <w:rPr>
          <w:rFonts w:ascii="Arial" w:cs="Arial" w:eastAsia="Arial" w:hAnsi="Arial"/>
          <w:sz w:val="18"/>
          <w:szCs w:val="18"/>
          <w:color w:val="auto"/>
        </w:rPr>
      </w:pPr>
    </w:p>
    <w:p>
      <w:pPr>
        <w:ind w:left="4" w:right="60" w:hanging="4"/>
        <w:spacing w:after="0" w:line="342" w:lineRule="auto"/>
        <w:tabs>
          <w:tab w:leader="none" w:pos="184"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 w:right="280" w:hanging="4"/>
        <w:spacing w:after="0" w:line="342" w:lineRule="auto"/>
        <w:tabs>
          <w:tab w:leader="none" w:pos="184"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 w:right="380" w:hanging="4"/>
        <w:spacing w:after="0" w:line="277" w:lineRule="auto"/>
        <w:tabs>
          <w:tab w:leader="none" w:pos="18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 w:right="200" w:firstLine="436"/>
        <w:spacing w:after="0" w:line="263" w:lineRule="auto"/>
        <w:tabs>
          <w:tab w:leader="none" w:pos="629"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 w:right="680" w:firstLine="436"/>
        <w:spacing w:after="0" w:line="342" w:lineRule="auto"/>
        <w:tabs>
          <w:tab w:leader="none" w:pos="639"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 w:right="20" w:firstLine="436"/>
        <w:spacing w:after="0" w:line="263" w:lineRule="auto"/>
        <w:tabs>
          <w:tab w:leader="none" w:pos="629"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 w:right="80" w:hanging="4"/>
        <w:spacing w:after="0" w:line="308" w:lineRule="auto"/>
        <w:tabs>
          <w:tab w:leader="none" w:pos="184"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 w:right="100" w:firstLine="436"/>
        <w:spacing w:after="0" w:line="277" w:lineRule="auto"/>
        <w:tabs>
          <w:tab w:leader="none" w:pos="62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 w:right="40" w:firstLine="436"/>
        <w:spacing w:after="0" w:line="277" w:lineRule="auto"/>
        <w:tabs>
          <w:tab w:leader="none" w:pos="63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84"/>
        <w:spacing w:after="0"/>
        <w:rPr>
          <w:sz w:val="20"/>
          <w:szCs w:val="20"/>
          <w:color w:val="auto"/>
        </w:rPr>
      </w:pPr>
      <w:r>
        <w:rPr>
          <w:rFonts w:ascii="Arial" w:cs="Arial" w:eastAsia="Arial" w:hAnsi="Arial"/>
          <w:sz w:val="18"/>
          <w:szCs w:val="18"/>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8084"/>
        <w:spacing w:after="0"/>
        <w:rPr>
          <w:sz w:val="20"/>
          <w:szCs w:val="20"/>
          <w:color w:val="auto"/>
        </w:rPr>
      </w:pPr>
      <w:r>
        <w:rPr>
          <w:rFonts w:ascii="Arial" w:cs="Arial" w:eastAsia="Arial" w:hAnsi="Arial"/>
          <w:sz w:val="18"/>
          <w:szCs w:val="18"/>
          <w:color w:val="auto"/>
        </w:rPr>
        <w:t>Richard A. Waldron</w:t>
      </w:r>
    </w:p>
    <w:p>
      <w:pPr>
        <w:spacing w:after="0" w:line="2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66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24, 2021</w:t>
      </w:r>
    </w:p>
    <w:p>
      <w:pPr>
        <w:sectPr>
          <w:pgSz w:w="11900" w:h="16838" w:orient="portrait"/>
          <w:cols w:equalWidth="0" w:num="1">
            <w:col w:w="11024"/>
          </w:cols>
          <w:pgMar w:left="436" w:top="121" w:right="4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PURSURANT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connection with the Annual Report on Form 10-K of BioAtla, Inc. (the “Company”) for the period ended December 31, 2020, to which this Certification is attached, as filed with the Securities and Exchange Commission on the date hereof (the “Report”), each of the undersigned officers of the Company herby certifies, pursuant to 18 U.S.C. Section 1350, as adopted pursuant to Section 906 of the Sarbanes-Oxley Act of 2002, that to their knowledge:</w:t>
      </w:r>
    </w:p>
    <w:p>
      <w:pPr>
        <w:spacing w:after="0" w:line="79" w:lineRule="exact"/>
        <w:rPr>
          <w:sz w:val="20"/>
          <w:szCs w:val="20"/>
          <w:color w:val="auto"/>
        </w:rPr>
      </w:pPr>
    </w:p>
    <w:p>
      <w:pPr>
        <w:ind w:left="620" w:hanging="184"/>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40" w:firstLine="436"/>
        <w:spacing w:after="0" w:line="277" w:lineRule="auto"/>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have executed this Certification effective as of March 24, 2021.</w:t>
      </w:r>
    </w:p>
    <w:p>
      <w:pPr>
        <w:spacing w:after="0" w:line="25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Jay M. Short, Ph.D.</w:t>
      </w:r>
    </w:p>
    <w:p>
      <w:pPr>
        <w:spacing w:after="0" w:line="2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jc w:val="center"/>
        <w:ind w:left="6620"/>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Richard A. Waldron</w:t>
      </w:r>
    </w:p>
    <w:p>
      <w:pPr>
        <w:spacing w:after="0" w:line="2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66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2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1"/>
      <w:numFmt w:val="bullet"/>
      <w:start w:val="1"/>
    </w:lvl>
  </w:abstractNum>
  <w:abstractNum w:abstractNumId="13">
    <w:nsid w:val="684A481A"/>
    <w:multiLevelType w:val="hybridMultilevel"/>
    <w:lvl w:ilvl="0">
      <w:lvlJc w:val="left"/>
      <w:lvlText w:val="2"/>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bullet"/>
      <w:start w:val="1"/>
    </w:lvl>
  </w:abstractNum>
  <w:abstractNum w:abstractNumId="19">
    <w:nsid w:val="75C6C33A"/>
    <w:multiLevelType w:val="hybridMultilevel"/>
    <w:lvl w:ilvl="0">
      <w:lvlJc w:val="left"/>
      <w:lvlText w:val="(%1)"/>
      <w:numFmt w:val="lowerRoman"/>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1)"/>
      <w:numFmt w:val="lowerRoman"/>
      <w:start w:val="2"/>
    </w:lvl>
  </w:abstractNum>
  <w:abstractNum w:abstractNumId="25">
    <w:nsid w:val="23F9C13C"/>
    <w:multiLevelType w:val="hybridMultilevel"/>
    <w:lvl w:ilvl="0">
      <w:lvlJc w:val="left"/>
      <w:lvlText w:val="•"/>
      <w:numFmt w:val="bullet"/>
      <w:start w:val="1"/>
    </w:lvl>
    <w:lvl w:ilvl="1">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1)"/>
      <w:numFmt w:val="lowerRoman"/>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1)"/>
      <w:numFmt w:val="lowerRoman"/>
      <w:start w:val="4"/>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lvl w:ilvl="1">
      <w:lvlJc w:val="left"/>
      <w:lvlText w:val="•"/>
      <w:numFmt w:val="bullet"/>
      <w:start w:val="1"/>
    </w:lvl>
  </w:abstractNum>
  <w:abstractNum w:abstractNumId="57">
    <w:nsid w:val="799D0247"/>
    <w:multiLevelType w:val="hybridMultilevel"/>
    <w:lvl w:ilvl="0">
      <w:lvlJc w:val="left"/>
      <w:lvlText w:val="(%1)"/>
      <w:numFmt w:val="lowerRoman"/>
      <w:start w:val="3"/>
    </w:lvl>
  </w:abstractNum>
  <w:abstractNum w:abstractNumId="58">
    <w:nsid w:val="6B94764"/>
    <w:multiLevelType w:val="hybridMultilevel"/>
    <w:lvl w:ilvl="0">
      <w:lvlJc w:val="left"/>
      <w:lvlText w:val="%1"/>
      <w:numFmt w:val="upperLetter"/>
      <w:start w:val="68"/>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1)"/>
      <w:numFmt w:val="lowerRoman"/>
      <w:start w:val="3"/>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decimal"/>
      <w:start w:val="606"/>
    </w:lvl>
  </w:abstractNum>
  <w:abstractNum w:abstractNumId="66">
    <w:nsid w:val="51D9C564"/>
    <w:multiLevelType w:val="hybridMultilevel"/>
    <w:lvl w:ilvl="0">
      <w:lvlJc w:val="left"/>
      <w:lvlText w:val="(%1)"/>
      <w:numFmt w:val="lowerRoman"/>
      <w:start w:val="1"/>
    </w:lvl>
  </w:abstractNum>
  <w:abstractNum w:abstractNumId="67">
    <w:nsid w:val="613EFDC5"/>
    <w:multiLevelType w:val="hybridMultilevel"/>
    <w:lvl w:ilvl="0">
      <w:lvlJc w:val="left"/>
      <w:lvlText w:val="%1)"/>
      <w:numFmt w:val="lowerRoman"/>
      <w:start w:val="2"/>
    </w:lvl>
  </w:abstractNum>
  <w:abstractNum w:abstractNumId="68">
    <w:nsid w:val="BF72B14"/>
    <w:multiLevelType w:val="hybridMultilevel"/>
    <w:lvl w:ilvl="0">
      <w:lvlJc w:val="left"/>
      <w:lvlText w:val="%1)"/>
      <w:numFmt w:val="lowerRoman"/>
      <w:start w:val="2"/>
    </w:lvl>
  </w:abstractNum>
  <w:abstractNum w:abstractNumId="69">
    <w:nsid w:val="11447B73"/>
    <w:multiLevelType w:val="hybridMultilevel"/>
    <w:lvl w:ilvl="0">
      <w:lvlJc w:val="left"/>
      <w:lvlText w:val="(%1)"/>
      <w:numFmt w:val="lowerRoman"/>
      <w:start w:val="2"/>
    </w:lvl>
  </w:abstractNum>
  <w:abstractNum w:abstractNumId="70">
    <w:nsid w:val="42963E5A"/>
    <w:multiLevelType w:val="hybridMultilevel"/>
    <w:lvl w:ilvl="0">
      <w:lvlJc w:val="left"/>
      <w:lvlText w:val="(%1)"/>
      <w:numFmt w:val="lowerRoman"/>
      <w:start w:val="2"/>
    </w:lvl>
  </w:abstractNum>
  <w:abstractNum w:abstractNumId="71">
    <w:nsid w:val="A0382C5"/>
    <w:multiLevelType w:val="hybridMultilevel"/>
    <w:lvl w:ilvl="0">
      <w:lvlJc w:val="left"/>
      <w:lvlText w:val="(%1)"/>
      <w:numFmt w:val="lowerRoman"/>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1)"/>
      <w:numFmt w:val="lowerRoman"/>
      <w:start w:val="2"/>
    </w:lvl>
  </w:abstractNum>
  <w:abstractNum w:abstractNumId="74">
    <w:nsid w:val="3B0FD379"/>
    <w:multiLevelType w:val="hybridMultilevel"/>
    <w:lvl w:ilvl="0">
      <w:lvlJc w:val="left"/>
      <w:lvlText w:val="%1"/>
      <w:numFmt w:val="upperLetter"/>
      <w:start w:val="68"/>
    </w:lvl>
  </w:abstractNum>
  <w:abstractNum w:abstractNumId="75">
    <w:nsid w:val="68EB2F63"/>
    <w:multiLevelType w:val="hybridMultilevel"/>
    <w:lvl w:ilvl="0">
      <w:lvlJc w:val="left"/>
      <w:lvlText w:val="(%1)"/>
      <w:numFmt w:val="lowerLetter"/>
      <w:start w:val="1"/>
    </w:lvl>
    <w:lvl w:ilvl="1">
      <w:lvlJc w:val="left"/>
      <w:lvlText w:val="(%2)"/>
      <w:numFmt w:val="decimal"/>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1)"/>
      <w:numFmt w:val="lowerRoman"/>
      <w:start w:val="2"/>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lvl w:ilvl="1">
      <w:lvlJc w:val="left"/>
      <w:lvlText w:val="(%2)"/>
      <w:numFmt w:val="lowerLetter"/>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24" Type="http://schemas.openxmlformats.org/officeDocument/2006/relationships/image" Target="media/image207.png"/><Relationship Id="rId238"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14" Type="http://schemas.openxmlformats.org/officeDocument/2006/relationships/hyperlink" Target="http://www.sec.gov/Archives/edgar/data/1826892/000119312520321571/d89083dex31.htm" TargetMode="External"/><Relationship Id="rId215" Type="http://schemas.openxmlformats.org/officeDocument/2006/relationships/hyperlink" Target="http://www.sec.gov/Archives/edgar/data/1826892/000119312520321571/d89083dex32.htm" TargetMode="External"/><Relationship Id="rId216" Type="http://schemas.openxmlformats.org/officeDocument/2006/relationships/hyperlink" Target="http://www.sec.gov/Archives/edgar/data/1826892/000119312520312311/d258427dex41.htm" TargetMode="External"/><Relationship Id="rId217" Type="http://schemas.openxmlformats.org/officeDocument/2006/relationships/hyperlink" Target="http://www.sec.gov/Archives/edgar/data/1826892/000119312520312311/d258427dex42.htm" TargetMode="External"/><Relationship Id="rId218" Type="http://schemas.openxmlformats.org/officeDocument/2006/relationships/hyperlink" Target="http://www.sec.gov/Archives/edgar/data/1826892/000119312520312311/d258427dex101.htm" TargetMode="External"/><Relationship Id="rId219" Type="http://schemas.openxmlformats.org/officeDocument/2006/relationships/hyperlink" Target="http://www.sec.gov/Archives/edgar/data/1826892/000119312520321696/d56161dex992.htm" TargetMode="External"/><Relationship Id="rId220" Type="http://schemas.openxmlformats.org/officeDocument/2006/relationships/hyperlink" Target="http://www.sec.gov/Archives/edgar/data/1826892/000119312520312311/d258427dex102.htm" TargetMode="External"/><Relationship Id="rId221" Type="http://schemas.openxmlformats.org/officeDocument/2006/relationships/hyperlink" Target="http://www.sec.gov/Archives/edgar/data/1826892/000119312520312311/d258427dex103.htm" TargetMode="External"/><Relationship Id="rId222" Type="http://schemas.openxmlformats.org/officeDocument/2006/relationships/hyperlink" Target="http://www.sec.gov/Archives/edgar/data/0001826892/000119312520293235/d258427dex104.htm" TargetMode="External"/><Relationship Id="rId223" Type="http://schemas.openxmlformats.org/officeDocument/2006/relationships/hyperlink" Target="http://www.sec.gov/Archives/edgar/data/0001826892/000119312520293235/d258427dex105.htm" TargetMode="External"/><Relationship Id="rId225" Type="http://schemas.openxmlformats.org/officeDocument/2006/relationships/hyperlink" Target="http://www.sec.gov/Archives/edgar/data/0001826892/000119312520293235/d258427dex106.htm" TargetMode="External"/><Relationship Id="rId226" Type="http://schemas.openxmlformats.org/officeDocument/2006/relationships/hyperlink" Target="http://www.sec.gov/Archives/edgar/data/0001826892/000119312520293235/d258427dex107.htm" TargetMode="External"/><Relationship Id="rId227" Type="http://schemas.openxmlformats.org/officeDocument/2006/relationships/hyperlink" Target="http://www.sec.gov/Archives/edgar/data/0001826892/000119312520293235/d258427dex108.htm" TargetMode="External"/><Relationship Id="rId228" Type="http://schemas.openxmlformats.org/officeDocument/2006/relationships/hyperlink" Target="http://www.sec.gov/Archives/edgar/data/0001826892/000119312520293235/d258427dex109.htm" TargetMode="External"/><Relationship Id="rId229" Type="http://schemas.openxmlformats.org/officeDocument/2006/relationships/hyperlink" Target="http://www.sec.gov/Archives/edgar/data/0001826892/000119312520293235/d258427dex1010.htm" TargetMode="External"/><Relationship Id="rId230" Type="http://schemas.openxmlformats.org/officeDocument/2006/relationships/hyperlink" Target="http://www.sec.gov/Archives/edgar/data/1826892/000119312520312311/d258427dex1011.htm" TargetMode="External"/><Relationship Id="rId231" Type="http://schemas.openxmlformats.org/officeDocument/2006/relationships/hyperlink" Target="http://www.sec.gov/Archives/edgar/data/1826892/000119312520312311/d258427dex1012.htm" TargetMode="External"/><Relationship Id="rId232" Type="http://schemas.openxmlformats.org/officeDocument/2006/relationships/hyperlink" Target="http://www.sec.gov/Archives/edgar/data/1826892/000119312520312311/d258427dex1013.htm" TargetMode="External"/><Relationship Id="rId233" Type="http://schemas.openxmlformats.org/officeDocument/2006/relationships/hyperlink" Target="http://www.sec.gov/Archives/edgar/data/1826892/000119312520312311/d258427dex1014.htm" TargetMode="External"/><Relationship Id="rId234" Type="http://schemas.openxmlformats.org/officeDocument/2006/relationships/hyperlink" Target="http://www.sec.gov/Archives/edgar/data/1826892/000119312520312311/d258427dex1015.htm" TargetMode="External"/><Relationship Id="rId235" Type="http://schemas.openxmlformats.org/officeDocument/2006/relationships/hyperlink" Target="http://www.sec.gov/Archives/edgar/data/1826892/000119312520312311/d258427dex1016.htm" TargetMode="External"/><Relationship Id="rId236" Type="http://schemas.openxmlformats.org/officeDocument/2006/relationships/hyperlink" Target="http://www.sec.gov/Archives/edgar/data/1826892/000119312520312311/d258427dex1017.htm" TargetMode="External"/><Relationship Id="rId237" Type="http://schemas.openxmlformats.org/officeDocument/2006/relationships/hyperlink" Target="http://www.sec.gov/Archives/edgar/data/1826892/000119312520312311/d258427dex1018.htm" TargetMode="External"/><Relationship Id="rId239" Type="http://schemas.openxmlformats.org/officeDocument/2006/relationships/hyperlink" Target="http://www.sec.gov/Archives/edgar/data/1826892/000119312520312311/d258427dex1019.htm" TargetMode="External"/><Relationship Id="rId240" Type="http://schemas.openxmlformats.org/officeDocument/2006/relationships/hyperlink" Target="http://www.sec.gov/Archives/edgar/data/0001826892/000119312520293235/d258427d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2021-03-25T20:02:27Z</dcterms:created>
  <dcterms:modified xsi:type="dcterms:W3CDTF">2021-03-25T20:02:27Z</dcterms:modified>
</cp:coreProperties>
</file>