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407"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001-39787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BIOATLA,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4920" w:type="dxa"/>
            <w:vAlign w:val="bottom"/>
          </w:tcPr>
          <w:p>
            <w:pPr>
              <w:jc w:val="center"/>
              <w:ind w:right="168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85-1922320</w:t>
            </w:r>
          </w:p>
        </w:tc>
      </w:tr>
      <w:tr>
        <w:trPr>
          <w:trHeight w:val="148"/>
        </w:trPr>
        <w:tc>
          <w:tcPr>
            <w:tcW w:w="4920" w:type="dxa"/>
            <w:vAlign w:val="bottom"/>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76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7"/>
        </w:trPr>
        <w:tc>
          <w:tcPr>
            <w:tcW w:w="4920" w:type="dxa"/>
            <w:vAlign w:val="bottom"/>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76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8"/>
        </w:trPr>
        <w:tc>
          <w:tcPr>
            <w:tcW w:w="4920" w:type="dxa"/>
            <w:vAlign w:val="bottom"/>
          </w:tcPr>
          <w:p>
            <w:pPr>
              <w:jc w:val="center"/>
              <w:ind w:right="1708"/>
              <w:spacing w:after="0"/>
              <w:rPr>
                <w:sz w:val="20"/>
                <w:szCs w:val="20"/>
                <w:color w:val="auto"/>
              </w:rPr>
            </w:pPr>
            <w:r>
              <w:rPr>
                <w:rFonts w:ascii="Times New Roman" w:cs="Times New Roman" w:eastAsia="Times New Roman" w:hAnsi="Times New Roman"/>
                <w:sz w:val="16"/>
                <w:szCs w:val="16"/>
                <w:b w:val="1"/>
                <w:bCs w:val="1"/>
                <w:color w:val="auto"/>
              </w:rPr>
              <w:t>11085 Torreyana Road, San Diego, California</w:t>
            </w:r>
          </w:p>
        </w:tc>
        <w:tc>
          <w:tcPr>
            <w:tcW w:w="27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3"/>
        </w:trPr>
        <w:tc>
          <w:tcPr>
            <w:tcW w:w="4920" w:type="dxa"/>
            <w:vAlign w:val="bottom"/>
          </w:tcPr>
          <w:p>
            <w:pPr>
              <w:jc w:val="center"/>
              <w:ind w:right="16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60" w:type="dxa"/>
            <w:vAlign w:val="bottom"/>
          </w:tcPr>
          <w:p>
            <w:pPr>
              <w:jc w:val="center"/>
              <w:ind w:left="17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558-0708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BCAB</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142"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0" w:lineRule="exact"/>
        <w:rPr>
          <w:sz w:val="24"/>
          <w:szCs w:val="24"/>
          <w:color w:val="auto"/>
        </w:rPr>
      </w:pPr>
    </w:p>
    <w:p>
      <w:pPr>
        <w:ind w:right="500" w:firstLine="599"/>
        <w:spacing w:after="0" w:line="298" w:lineRule="auto"/>
        <w:rPr>
          <w:sz w:val="20"/>
          <w:szCs w:val="20"/>
          <w:color w:val="auto"/>
        </w:rPr>
      </w:pPr>
      <w:r>
        <w:rPr>
          <w:rFonts w:ascii="Times New Roman" w:cs="Times New Roman" w:eastAsia="Times New Roman" w:hAnsi="Times New Roman"/>
          <w:sz w:val="16"/>
          <w:szCs w:val="16"/>
          <w:color w:val="auto"/>
        </w:rPr>
        <w:t>As of May 10, 2024, the number of shares of the registrant’s common stock outstanding was 48,115,918 and the number of shares of the registrant’s Class B common stock outstanding was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760095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760" w:type="dxa"/>
            <w:vAlign w:val="bottom"/>
            <w:gridSpan w:val="26"/>
            <w:vMerge w:val="restart"/>
          </w:tcPr>
          <w:p>
            <w:pPr>
              <w:spacing w:after="0"/>
              <w:rPr>
                <w:sz w:val="20"/>
                <w:szCs w:val="20"/>
                <w:color w:val="auto"/>
              </w:rPr>
            </w:pPr>
            <w:r>
              <w:rPr>
                <w:rFonts w:ascii="Times New Roman" w:cs="Times New Roman" w:eastAsia="Times New Roman" w:hAnsi="Times New Roman"/>
                <w:sz w:val="16"/>
                <w:szCs w:val="16"/>
                <w:color w:val="0000FF"/>
              </w:rPr>
              <w:t>FINANCIAL INFORMATION</w:t>
            </w: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20" w:type="dxa"/>
            <w:vAlign w:val="bottom"/>
            <w:gridSpan w:val="2"/>
            <w:vMerge w:val="continue"/>
          </w:tcPr>
          <w:p>
            <w:pPr>
              <w:spacing w:after="0"/>
              <w:rPr>
                <w:sz w:val="13"/>
                <w:szCs w:val="13"/>
                <w:color w:val="auto"/>
              </w:rPr>
            </w:pPr>
          </w:p>
        </w:tc>
        <w:tc>
          <w:tcPr>
            <w:tcW w:w="9760" w:type="dxa"/>
            <w:vAlign w:val="bottom"/>
            <w:gridSpan w:val="26"/>
            <w:vMerge w:val="continue"/>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4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600" w:type="dxa"/>
            <w:vAlign w:val="bottom"/>
            <w:tcBorders>
              <w:top w:val="single" w:sz="8" w:color="0000FF"/>
            </w:tcBorders>
            <w:gridSpan w:val="4"/>
          </w:tcPr>
          <w:p>
            <w:pPr>
              <w:spacing w:after="0"/>
              <w:rPr>
                <w:sz w:val="18"/>
                <w:szCs w:val="18"/>
                <w:color w:val="auto"/>
              </w:rPr>
            </w:pPr>
          </w:p>
        </w:tc>
        <w:tc>
          <w:tcPr>
            <w:tcW w:w="7740" w:type="dxa"/>
            <w:vAlign w:val="bottom"/>
            <w:gridSpan w:val="12"/>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Condensed Balance Sheets as of March 31, 2024 (unaudited) and December 31, 2023</w:t>
            </w:r>
          </w:p>
        </w:tc>
        <w:tc>
          <w:tcPr>
            <w:tcW w:w="20" w:type="dxa"/>
            <w:vAlign w:val="bottom"/>
            <w:tcBorders>
              <w:bottom w:val="single" w:sz="8" w:color="0000EE"/>
            </w:tcBorders>
          </w:tcPr>
          <w:p>
            <w:pPr>
              <w:spacing w:after="0"/>
              <w:rPr>
                <w:sz w:val="18"/>
                <w:szCs w:val="18"/>
                <w:color w:val="auto"/>
              </w:rPr>
            </w:pPr>
          </w:p>
        </w:tc>
        <w:tc>
          <w:tcPr>
            <w:tcW w:w="3960" w:type="dxa"/>
            <w:vAlign w:val="bottom"/>
            <w:gridSpan w:val="5"/>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Condensed Statements of Operations and Comprehensive Loss (unaudited) for the three months ended March 31, 2024 and 2023</w:t>
            </w: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50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Condensed Statements of Stockholders’ Equity (unaudited) for the three months ended March 31, 2024 and 2023</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80" w:type="dxa"/>
            <w:vAlign w:val="bottom"/>
            <w:tcBorders>
              <w:top w:val="single" w:sz="8" w:color="0000EE"/>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Condensed Statements of Cash Flows (unaudited) for the three months ended March 31, 2024 and 2023</w:t>
            </w:r>
          </w:p>
        </w:tc>
        <w:tc>
          <w:tcPr>
            <w:tcW w:w="640" w:type="dxa"/>
            <w:vAlign w:val="bottom"/>
            <w:tcBorders>
              <w:top w:val="single" w:sz="8" w:color="0000EE"/>
            </w:tcBorders>
          </w:tcPr>
          <w:p>
            <w:pPr>
              <w:spacing w:after="0"/>
              <w:rPr>
                <w:sz w:val="18"/>
                <w:szCs w:val="18"/>
                <w:color w:val="auto"/>
              </w:rPr>
            </w:pPr>
          </w:p>
        </w:tc>
        <w:tc>
          <w:tcPr>
            <w:tcW w:w="2160" w:type="dxa"/>
            <w:vAlign w:val="bottom"/>
            <w:gridSpan w:val="2"/>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Notes to Condensed Financial Statements (unaudited)</w:t>
            </w:r>
          </w:p>
        </w:tc>
        <w:tc>
          <w:tcPr>
            <w:tcW w:w="20" w:type="dxa"/>
            <w:vAlign w:val="bottom"/>
            <w:tcBorders>
              <w:bottom w:val="single" w:sz="8" w:color="0000EE"/>
            </w:tcBorders>
          </w:tcPr>
          <w:p>
            <w:pPr>
              <w:spacing w:after="0"/>
              <w:rPr>
                <w:sz w:val="18"/>
                <w:szCs w:val="18"/>
                <w:color w:val="auto"/>
              </w:rPr>
            </w:pPr>
          </w:p>
        </w:tc>
        <w:tc>
          <w:tcPr>
            <w:tcW w:w="6020" w:type="dxa"/>
            <w:vAlign w:val="bottom"/>
            <w:gridSpan w:val="9"/>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940" w:type="dxa"/>
            <w:vAlign w:val="bottom"/>
            <w:gridSpan w:val="4"/>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820" w:type="dxa"/>
            <w:vAlign w:val="bottom"/>
            <w:gridSpan w:val="7"/>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0" w:type="dxa"/>
            <w:vAlign w:val="bottom"/>
            <w:tcBorders>
              <w:bottom w:val="single" w:sz="8" w:color="0000EE"/>
            </w:tcBorders>
          </w:tcPr>
          <w:p>
            <w:pPr>
              <w:spacing w:after="0"/>
              <w:rPr>
                <w:sz w:val="18"/>
                <w:szCs w:val="18"/>
                <w:color w:val="auto"/>
              </w:rPr>
            </w:pPr>
          </w:p>
        </w:tc>
        <w:tc>
          <w:tcPr>
            <w:tcW w:w="8140" w:type="dxa"/>
            <w:vAlign w:val="bottom"/>
            <w:gridSpan w:val="14"/>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7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8060" w:type="dxa"/>
            <w:vAlign w:val="bottom"/>
            <w:gridSpan w:val="13"/>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8560" w:type="dxa"/>
            <w:vAlign w:val="bottom"/>
            <w:gridSpan w:val="18"/>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20" w:type="dxa"/>
            <w:vAlign w:val="bottom"/>
            <w:tcBorders>
              <w:bottom w:val="single" w:sz="8" w:color="0000EE"/>
            </w:tcBorders>
          </w:tcPr>
          <w:p>
            <w:pPr>
              <w:spacing w:after="0"/>
              <w:rPr>
                <w:sz w:val="18"/>
                <w:szCs w:val="18"/>
                <w:color w:val="auto"/>
              </w:rPr>
            </w:pPr>
          </w:p>
        </w:tc>
        <w:tc>
          <w:tcPr>
            <w:tcW w:w="8920" w:type="dxa"/>
            <w:vAlign w:val="bottom"/>
            <w:gridSpan w:val="20"/>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5840" w:type="dxa"/>
            <w:vAlign w:val="bottom"/>
            <w:gridSpan w:val="8"/>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7660" w:type="dxa"/>
            <w:vAlign w:val="bottom"/>
            <w:gridSpan w:val="11"/>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8160" w:type="dxa"/>
            <w:vAlign w:val="bottom"/>
            <w:gridSpan w:val="15"/>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5.</w:t>
            </w:r>
          </w:p>
        </w:tc>
        <w:tc>
          <w:tcPr>
            <w:tcW w:w="9760" w:type="dxa"/>
            <w:vAlign w:val="bottom"/>
            <w:gridSpan w:val="2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tcBorders>
              <w:top w:val="single" w:sz="8" w:color="0000FF"/>
            </w:tcBorders>
            <w:gridSpan w:val="3"/>
          </w:tcPr>
          <w:p>
            <w:pPr>
              <w:spacing w:after="0"/>
              <w:rPr>
                <w:sz w:val="18"/>
                <w:szCs w:val="18"/>
                <w:color w:val="auto"/>
              </w:rPr>
            </w:pPr>
          </w:p>
        </w:tc>
        <w:tc>
          <w:tcPr>
            <w:tcW w:w="8580" w:type="dxa"/>
            <w:vAlign w:val="bottom"/>
            <w:gridSpan w:val="19"/>
          </w:tcPr>
          <w:p>
            <w:pPr>
              <w:spacing w:after="0"/>
              <w:rPr>
                <w:sz w:val="18"/>
                <w:szCs w:val="18"/>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10580" w:type="dxa"/>
            <w:vAlign w:val="bottom"/>
            <w:gridSpan w:val="28"/>
          </w:tcPr>
          <w:p>
            <w:pPr>
              <w:ind w:left="20"/>
              <w:spacing w:after="0"/>
              <w:rPr>
                <w:sz w:val="20"/>
                <w:szCs w:val="20"/>
                <w:color w:val="auto"/>
              </w:rPr>
            </w:pPr>
            <w:r>
              <w:rPr>
                <w:rFonts w:ascii="Times New Roman" w:cs="Times New Roman" w:eastAsia="Times New Roman" w:hAnsi="Times New Roman"/>
                <w:sz w:val="16"/>
                <w:szCs w:val="16"/>
                <w:color w:val="0000FF"/>
              </w:rPr>
              <w:t>SIGNATURES</w:t>
            </w: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242"/>
        </w:trPr>
        <w:tc>
          <w:tcPr>
            <w:tcW w:w="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80,630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111,471</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86,425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116,406</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119,658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to licensor</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48,986</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200,000,000 shares authorized at March 31, 2024</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2023; 0 shares issued and outstanding at March 31, 2024</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December 31, 2023</w:t>
            </w:r>
          </w:p>
        </w:tc>
        <w:tc>
          <w:tcPr>
            <w:tcW w:w="26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350,000,000 shares authorized at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48,106,317 and 48,077,599</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March 31, 2024 and December 31, 2023</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common stock, $0.0001 par value; 15,368,569 shares authorized at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0 shares issued and outstanding at</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26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489,208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486,930</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(439,497 )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(416,263 )</w:t>
            </w: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49,716</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-3531235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-3514090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-2887980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 and Comprehensive Loss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6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10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r>
      <w:tr>
        <w:trPr>
          <w:trHeight w:val="23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120" w:type="dxa"/>
            <w:vAlign w:val="bottom"/>
          </w:tcPr>
          <w:p>
            <w:pPr>
              <w:spacing w:after="0"/>
              <w:rPr>
                <w:sz w:val="20"/>
                <w:szCs w:val="20"/>
                <w:color w:val="auto"/>
              </w:rPr>
            </w:pPr>
          </w:p>
        </w:tc>
      </w:tr>
      <w:tr>
        <w:trPr>
          <w:trHeight w:val="243"/>
        </w:trPr>
        <w:tc>
          <w:tcPr>
            <w:tcW w:w="7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24,457</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120" w:type="dxa"/>
            <w:vAlign w:val="bottom"/>
          </w:tcPr>
          <w:p>
            <w:pPr>
              <w:spacing w:after="0"/>
              <w:rPr>
                <w:sz w:val="20"/>
                <w:szCs w:val="20"/>
                <w:color w:val="auto"/>
              </w:rPr>
            </w:pPr>
          </w:p>
        </w:tc>
      </w:tr>
      <w:tr>
        <w:trPr>
          <w:trHeight w:val="24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(24,457 )</w:t>
            </w:r>
          </w:p>
        </w:tc>
        <w:tc>
          <w:tcPr>
            <w:tcW w:w="4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(28,930 )</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4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37"/>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(23,234 )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(27,460 )</w:t>
            </w:r>
          </w:p>
        </w:tc>
      </w:tr>
      <w:tr>
        <w:trPr>
          <w:trHeight w:val="20"/>
        </w:trPr>
        <w:tc>
          <w:tcPr>
            <w:tcW w:w="7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(0.48 )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(0.58 )</w:t>
            </w:r>
          </w:p>
        </w:tc>
      </w:tr>
      <w:tr>
        <w:trPr>
          <w:trHeight w:val="228"/>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4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48,087,460</w:t>
            </w:r>
          </w:p>
        </w:tc>
        <w:tc>
          <w:tcPr>
            <w:tcW w:w="10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47,578,418</w:t>
            </w:r>
          </w:p>
        </w:tc>
        <w:tc>
          <w:tcPr>
            <w:tcW w:w="120" w:type="dxa"/>
            <w:vAlign w:val="bottom"/>
            <w:tcBorders>
              <w:top w:val="single" w:sz="8" w:color="CFF0FC"/>
            </w:tcBorders>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-1499870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-1499870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-548005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-548005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-205105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-205105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-187960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81" w:right="55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11"/>
                <w:szCs w:val="11"/>
                <w:color w:val="auto"/>
              </w:rPr>
            </w:pPr>
          </w:p>
        </w:tc>
        <w:tc>
          <w:tcPr>
            <w:tcW w:w="420" w:type="dxa"/>
            <w:vAlign w:val="bottom"/>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2020" w:type="dxa"/>
            <w:vAlign w:val="bottom"/>
            <w:gridSpan w:val="3"/>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Stockh</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202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gridSpan w:val="3"/>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ated</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olders’</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1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48,077,599</w:t>
            </w:r>
          </w:p>
        </w:tc>
        <w:tc>
          <w:tcPr>
            <w:tcW w:w="920" w:type="dxa"/>
            <w:vAlign w:val="bottom"/>
            <w:gridSpan w:val="2"/>
            <w:shd w:val="clear" w:color="auto" w:fill="CFF0FC"/>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486,930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63 )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28,718</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2"/>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48,106,317</w:t>
            </w:r>
          </w:p>
        </w:tc>
        <w:tc>
          <w:tcPr>
            <w:tcW w:w="120" w:type="dxa"/>
            <w:vAlign w:val="bottom"/>
          </w:tcPr>
          <w:p>
            <w:pPr>
              <w:spacing w:after="0"/>
              <w:rPr>
                <w:sz w:val="19"/>
                <w:szCs w:val="19"/>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489,208</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97 )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4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w:t>
            </w:r>
          </w:p>
        </w:tc>
        <w:tc>
          <w:tcPr>
            <w:tcW w:w="100" w:type="dxa"/>
            <w:vAlign w:val="bottom"/>
          </w:tcPr>
          <w:p>
            <w:pPr>
              <w:spacing w:after="0"/>
              <w:rPr>
                <w:sz w:val="11"/>
                <w:szCs w:val="11"/>
                <w:color w:val="auto"/>
              </w:rPr>
            </w:pPr>
          </w:p>
        </w:tc>
        <w:tc>
          <w:tcPr>
            <w:tcW w:w="420" w:type="dxa"/>
            <w:vAlign w:val="bottom"/>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2020" w:type="dxa"/>
            <w:vAlign w:val="bottom"/>
            <w:gridSpan w:val="3"/>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62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Stockh</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202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gridSpan w:val="3"/>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ated</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olders’</w:t>
            </w: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1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46,336,166</w:t>
            </w:r>
          </w:p>
        </w:tc>
        <w:tc>
          <w:tcPr>
            <w:tcW w:w="920" w:type="dxa"/>
            <w:vAlign w:val="bottom"/>
            <w:gridSpan w:val="2"/>
            <w:shd w:val="clear" w:color="auto" w:fill="CFF0FC"/>
          </w:tcPr>
          <w:p>
            <w:pPr>
              <w:jc w:val="right"/>
              <w:ind w:right="62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1,211,959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473,135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01 )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equity incentive plans, net of</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89,196</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related to net share settlement of equity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3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1,211,959</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(1,211,959 )</w:t>
            </w:r>
          </w:p>
        </w:tc>
        <w:tc>
          <w:tcPr>
            <w:tcW w:w="360" w:type="dxa"/>
            <w:vAlign w:val="bottom"/>
            <w:shd w:val="clear" w:color="auto" w:fill="CFF0FC"/>
          </w:tcPr>
          <w:p>
            <w:pPr>
              <w:spacing w:after="0"/>
              <w:rPr>
                <w:sz w:val="20"/>
                <w:szCs w:val="20"/>
                <w:color w:val="auto"/>
              </w:rPr>
            </w:pP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02"/>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(320,2</w:t>
            </w: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47,637,321</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476,683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61 ) $</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-2931160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-2931160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-2931160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-2931160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-2931160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-2931160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(23,234 )</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(27,460 )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(860 )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(2,106 )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(8,978 )</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(296 )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(30,828 )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(22,654 )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(13 )</w:t>
            </w: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(30,841 )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9"/>
              </w:rPr>
              <w:t>(22,820 )</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111,471</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215,507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80,630</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192,687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related to net settlement of equity awards included in accounts payable and</w:t>
            </w:r>
          </w:p>
        </w:tc>
        <w:tc>
          <w:tcPr>
            <w:tcW w:w="960" w:type="dxa"/>
            <w:vAlign w:val="bottom"/>
            <w:vMerge w:val="restart"/>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-2056765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-1113790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unaudited condensed financial statements as of March 31, 2024, and for the three months ended March 31, 2024 and 2023, have been prepared in accordance with the rules and regulations of the Securities and Exchange Commission (“SEC”), and with accounting principles generally accepted in the United States (“GAAP”) applicable to interim financial statements. These unaudited condensed financial statements have been prepared on the same basis as the audited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financial statements should be read in conjunction with the Company’s audited financial statements for the year ended December 31, 2023, included in its Annual Report on Form 10-K filed with the SEC on March 26,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March 31, 2024, the Company had an accumulated deficit of $439.5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7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In January 2023, the Company entered into an Open Market Sale Agreement (the “Sales Agreement”) with Jefferies LLC pursuant to which the Company may, from time to time at its sole discretion, sell shares of the Company’s common stock, with aggregate gross sales proceeds of up to $100.0 million. The Company has not sold any shares of its common stock under the Sales Agreement as of March 31, 2024.</w:t>
      </w:r>
    </w:p>
    <w:p>
      <w:pPr>
        <w:spacing w:after="0" w:line="176"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included the preparation of cash flow forecasts resulting in management’s conclusion that there is not substantial doubt about the Company’s ability to continue as a going concern as its current cash and cash equivalents will be sufficient to fund the Company’s operations for a period of at least one year from the issuance date of these unaudited condensed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the Company’s condensed financial statements requires it to make estimates and assumptions that impact the reported amounts of assets, liabilities, revenues and expenses and the disclosure of contingent assets and liabilities in the Company’s condensed financial statements and accompanying notes. The most significant estimates in the Company’s condensed financial statements relate to accruals for research and development costs, and equity-based compensation.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not included in the calculation of the ROU asset and the related lease liability and are recognized as incurred.</w:t>
      </w:r>
    </w:p>
    <w:p>
      <w:pPr>
        <w:spacing w:after="0" w:line="80"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6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operating lease liabilities, and operating lease liabilities, non-current on the Company’s balance sheets. The Company does not have any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common share because to do so would be anti-dilutive are as follows (in common stock equivalents):</w:t>
      </w:r>
    </w:p>
    <w:p>
      <w:pPr>
        <w:spacing w:after="0" w:line="250"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6" w:lineRule="exact"/>
        <w:rPr>
          <w:sz w:val="20"/>
          <w:szCs w:val="20"/>
          <w:color w:val="auto"/>
        </w:rPr>
      </w:pPr>
    </w:p>
    <w:tbl>
      <w:tblPr>
        <w:tblLayout w:type="fixed"/>
        <w:tblInd w:w="108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6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6,276,230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6,214,418</w:t>
            </w:r>
          </w:p>
        </w:tc>
        <w:tc>
          <w:tcPr>
            <w:tcW w:w="80" w:type="dxa"/>
            <w:vAlign w:val="bottom"/>
            <w:shd w:val="clear" w:color="auto" w:fill="CFF0FC"/>
          </w:tcPr>
          <w:p>
            <w:pPr>
              <w:spacing w:after="0"/>
              <w:rPr>
                <w:sz w:val="20"/>
                <w:szCs w:val="20"/>
                <w:color w:val="auto"/>
              </w:rPr>
            </w:pPr>
          </w:p>
        </w:tc>
      </w:tr>
      <w:tr>
        <w:trPr>
          <w:trHeight w:val="23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1,561,042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400,293</w:t>
            </w:r>
          </w:p>
        </w:tc>
        <w:tc>
          <w:tcPr>
            <w:tcW w:w="80" w:type="dxa"/>
            <w:vAlign w:val="bottom"/>
          </w:tcPr>
          <w:p>
            <w:pPr>
              <w:spacing w:after="0"/>
              <w:rPr>
                <w:sz w:val="20"/>
                <w:szCs w:val="20"/>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 shares</w:t>
            </w:r>
          </w:p>
        </w:tc>
        <w:tc>
          <w:tcPr>
            <w:tcW w:w="1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172,009</w:t>
            </w:r>
          </w:p>
        </w:tc>
        <w:tc>
          <w:tcPr>
            <w:tcW w:w="24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122,565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8,009,281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6,737,276</w:t>
            </w:r>
          </w:p>
        </w:tc>
        <w:tc>
          <w:tcPr>
            <w:tcW w:w="8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-187960</wp:posOffset>
            </wp:positionV>
            <wp:extent cx="59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-187960</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were no new accounting standards that had a material impact on the Company’s financial statements during the three months ended March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8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9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880" w:type="dxa"/>
            <w:vAlign w:val="bottom"/>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rPr>
              <w:t>3 - 7</w:t>
            </w:r>
          </w:p>
        </w:tc>
        <w:tc>
          <w:tcPr>
            <w:tcW w:w="2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1,721</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88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tcBorders>
              <w:bottom w:val="single" w:sz="8" w:color="CFF0FC"/>
            </w:tcBorders>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rPr>
              <w:t>2 - 3</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3,680</w:t>
            </w:r>
          </w:p>
        </w:tc>
        <w:tc>
          <w:tcPr>
            <w:tcW w:w="1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(6,318 )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(6,078 )</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w:t>
            </w:r>
          </w:p>
        </w:tc>
        <w:tc>
          <w:tcPr>
            <w:tcW w:w="16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9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 w:type="dxa"/>
            <w:vAlign w:val="bottom"/>
          </w:tcPr>
          <w:p>
            <w:pPr>
              <w:spacing w:after="0"/>
              <w:rPr>
                <w:sz w:val="21"/>
                <w:szCs w:val="21"/>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-3256915</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-3256915</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-1962150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-1962150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-1645285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-1645285</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current financial assets and current financial liabilities are considered to be representative of their respective fair values because of the short-term nature of those instruments.</w:t>
      </w:r>
    </w:p>
    <w:p>
      <w:pPr>
        <w:spacing w:after="0" w:line="162" w:lineRule="exact"/>
        <w:rPr>
          <w:sz w:val="20"/>
          <w:szCs w:val="20"/>
          <w:color w:val="auto"/>
        </w:rPr>
      </w:pPr>
    </w:p>
    <w:p>
      <w:pPr>
        <w:jc w:val="both"/>
        <w:ind w:right="20" w:firstLine="509"/>
        <w:spacing w:after="0" w:line="257"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$51.1 million and $50.4 million, respectively, invested in U.S. Government and U.S. Treasury money market funds which are recorded as cash equivalents and represent a Level 1 measurement within the fair value hierarchy.</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None of the Company’s non-financial assets and liabilities are recorded at fair value on a non-recurring basis. No transfers between levels have occurred during the periods presented.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included in the Company’s statements of operations and loss include (in thousands):</w:t>
      </w:r>
    </w:p>
    <w:p>
      <w:pPr>
        <w:spacing w:after="0" w:line="28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180" w:type="dxa"/>
            <w:vAlign w:val="bottom"/>
          </w:tcPr>
          <w:p>
            <w:pPr>
              <w:spacing w:after="0"/>
              <w:rPr>
                <w:sz w:val="18"/>
                <w:szCs w:val="18"/>
                <w:color w:val="auto"/>
              </w:rPr>
            </w:pPr>
          </w:p>
        </w:tc>
        <w:tc>
          <w:tcPr>
            <w:tcW w:w="15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500" w:type="dxa"/>
            <w:vAlign w:val="bottom"/>
            <w:shd w:val="clear" w:color="auto" w:fill="CFF0FC"/>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30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20"/>
                <w:szCs w:val="20"/>
                <w:color w:val="auto"/>
              </w:rPr>
            </w:pPr>
          </w:p>
        </w:tc>
      </w:tr>
      <w:tr>
        <w:trPr>
          <w:trHeight w:val="23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r>
      <w:tr>
        <w:trPr>
          <w:trHeight w:val="27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 net</w:t>
            </w:r>
          </w:p>
        </w:tc>
        <w:tc>
          <w:tcPr>
            <w:tcW w:w="1500" w:type="dxa"/>
            <w:vAlign w:val="bottom"/>
            <w:tcBorders>
              <w:bottom w:val="single" w:sz="8" w:color="auto"/>
            </w:tcBorders>
            <w:shd w:val="clear" w:color="auto" w:fill="CFF0FC"/>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160" w:firstLine="464"/>
        <w:spacing w:after="0" w:line="312" w:lineRule="auto"/>
        <w:rPr>
          <w:sz w:val="20"/>
          <w:szCs w:val="20"/>
          <w:color w:val="auto"/>
        </w:rPr>
      </w:pPr>
      <w:r>
        <w:rPr>
          <w:rFonts w:ascii="Times New Roman" w:cs="Times New Roman" w:eastAsia="Times New Roman" w:hAnsi="Times New Roman"/>
          <w:sz w:val="17"/>
          <w:szCs w:val="17"/>
          <w:color w:val="auto"/>
        </w:rPr>
        <w:t>Variable lease costs are primarily related to payments made to lessors for common area maintenance, property taxes, insurance, and other operating expenses. The Company did not have any short-term leases or finance leases for the three months ended March 31, 2024 and 2023, respectively.</w:t>
      </w:r>
    </w:p>
    <w:p>
      <w:pPr>
        <w:spacing w:after="0" w:line="1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were as follows:</w:t>
      </w:r>
    </w:p>
    <w:p>
      <w:pPr>
        <w:spacing w:after="0" w:line="30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16510</wp:posOffset>
            </wp:positionV>
            <wp:extent cx="18599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4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7"/>
        </w:trPr>
        <w:tc>
          <w:tcPr>
            <w:tcW w:w="5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1.25</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5"/>
              </w:rPr>
              <w:t>2.25</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percentage</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3.50 %</w:t>
            </w:r>
          </w:p>
        </w:tc>
        <w:tc>
          <w:tcPr>
            <w:tcW w:w="154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0"/>
              </w:rPr>
              <w:t>3.50 %</w:t>
            </w: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under which the Company is the lessee was as follows (amounts in thousands):</w:t>
      </w:r>
    </w:p>
    <w:p>
      <w:pPr>
        <w:spacing w:after="0" w:line="28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16510</wp:posOffset>
            </wp:positionV>
            <wp:extent cx="1920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49" w:lineRule="exact"/>
        <w:rPr>
          <w:sz w:val="20"/>
          <w:szCs w:val="20"/>
          <w:color w:val="auto"/>
        </w:rPr>
      </w:pPr>
    </w:p>
    <w:p>
      <w:pPr>
        <w:ind w:left="7740"/>
        <w:spacing w:after="0"/>
        <w:tabs>
          <w:tab w:leader="none" w:pos="94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16510</wp:posOffset>
            </wp:positionV>
            <wp:extent cx="19202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left="860"/>
        <w:spacing w:after="0"/>
        <w:tabs>
          <w:tab w:leader="none" w:pos="7280" w:val="left"/>
          <w:tab w:leader="none" w:pos="8200" w:val="left"/>
          <w:tab w:leader="none" w:pos="8820" w:val="left"/>
          <w:tab w:leader="none" w:pos="10000" w:val="left"/>
        </w:tabs>
        <w:rPr>
          <w:sz w:val="20"/>
          <w:szCs w:val="20"/>
          <w:color w:val="auto"/>
        </w:rPr>
      </w:pPr>
      <w:r>
        <w:rPr>
          <w:rFonts w:ascii="Times New Roman" w:cs="Times New Roman" w:eastAsia="Times New Roman" w:hAnsi="Times New Roman"/>
          <w:sz w:val="18"/>
          <w:szCs w:val="18"/>
          <w:color w:val="auto"/>
        </w:rPr>
        <w:t>Cash paid for amounts included in the measurement of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557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-127635</wp:posOffset>
            </wp:positionV>
            <wp:extent cx="606044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2024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60" w:type="dxa"/>
            <w:vAlign w:val="bottom"/>
            <w:gridSpan w:val="3"/>
          </w:tcPr>
          <w:p>
            <w:pPr>
              <w:jc w:val="center"/>
              <w:ind w:right="19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3"/>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Nine months ending December 31, 2024</w:t>
            </w:r>
          </w:p>
        </w:tc>
        <w:tc>
          <w:tcPr>
            <w:tcW w:w="30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0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6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-1276350</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-950595</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may grant awards of common stock under the 2020 Equity Incentive Plan (the “2020 Plan”) to the Company’s employees, consultants and non-employee directors pursuant to option awards, stock appreciation rights awards, restricted stock awards, restricted stock unit awards, performance stock awards, performance stock unit awards and other stock-based awards. As of March 31, 2024 and December 31, 2023, the total number of common shares authorized for issuance under the 2020 Plan was 10,735,431 and 9,196,970, respectively. On January 1st of each year, commencing with the first January 1st following the effective date of the 2020 Plan, the shares authorized for issuance under the 2020 Plan shall be increased by a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 Unvested RSUs totaling 139,730 shares and 574,244 unvested options which would have been forfeited under the original terms of the 2020 Plan continued to vest. The Company applied modification accounting to these awards which resulted in a decrease in fair value to these awards. The Company calculated compensation cost for the modified unvested awards of $416,000 related to the RSUs and $962,000 related to the options, and will recognize these amounts over the remaining requisite service periods. The modification also resulted in an increase to the term of 130,699 fully vested options for which $123,000 of incremental compensation cost was immediately recognized on the date of the modification.</w:t>
      </w:r>
    </w:p>
    <w:p>
      <w:pPr>
        <w:spacing w:after="0" w:line="19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March 31, 2024 and 2023 has been reported in the condensed statements of operations and comprehensive loss as follows (in thousands):</w:t>
      </w:r>
    </w:p>
    <w:p>
      <w:pPr>
        <w:spacing w:after="0" w:line="169"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FF0FC"/>
          </w:tcPr>
          <w:p>
            <w:pPr>
              <w:spacing w:after="0"/>
              <w:rPr>
                <w:sz w:val="20"/>
                <w:szCs w:val="20"/>
                <w:color w:val="auto"/>
              </w:rPr>
            </w:pPr>
          </w:p>
        </w:tc>
      </w:tr>
      <w:tr>
        <w:trPr>
          <w:trHeight w:val="23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80" w:type="dxa"/>
            <w:vAlign w:val="bottom"/>
          </w:tcPr>
          <w:p>
            <w:pPr>
              <w:spacing w:after="0"/>
              <w:rPr>
                <w:sz w:val="20"/>
                <w:szCs w:val="20"/>
                <w:color w:val="auto"/>
              </w:rPr>
            </w:pPr>
          </w:p>
        </w:tc>
      </w:tr>
      <w:tr>
        <w:trPr>
          <w:trHeight w:val="27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FF0FC"/>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2020 Plan for the three months ended March 31, 2024:</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99,104</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1,499,000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(37,062 )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1,561,042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total unrecognized stock-based compensation expense for RSUs was $4.8 million, which is expected to be recognized over a remaining weighted-average period of approximately 3.8 years.</w:t>
      </w: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2020 Plan for the three months ended March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2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6,273,507</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(3,277 )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6,276,230</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4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449,640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6,276,230</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449,640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2,449,437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-548005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-205105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total unrecognized stock-based compensation cost for unvested common stock options was $13.7 million, which is expected to be recognized over a remaining weighted-average period of approximately 2.46 years. The weighted-average grant date fair value of stock options granted during the three months ended March 31, 2024 was $1.41 per share. The total fair value of options vested during the three months ended March 31, 2024 was $3.6 million. Upon option exercise, the Company issues new shares of its common stock.</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determine the fair value of stock option grants were as follows:</w:t>
      </w:r>
    </w:p>
    <w:p>
      <w:pPr>
        <w:spacing w:after="0" w:line="232" w:lineRule="exact"/>
        <w:rPr>
          <w:sz w:val="20"/>
          <w:szCs w:val="20"/>
          <w:color w:val="auto"/>
        </w:rPr>
      </w:pPr>
    </w:p>
    <w:p>
      <w:pPr>
        <w:jc w:val="center"/>
        <w:ind w:left="3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3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2260" w:type="dxa"/>
        <w:tblCellMar>
          <w:top w:w="0" w:type="dxa"/>
          <w:left w:w="0" w:type="dxa"/>
          <w:bottom w:w="0" w:type="dxa"/>
          <w:right w:w="0" w:type="dxa"/>
        </w:tblCellMar>
      </w:tblPr>
      <w:tr>
        <w:trPr>
          <w:trHeight w:val="169"/>
        </w:trPr>
        <w:tc>
          <w:tcPr>
            <w:tcW w:w="380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47"/>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years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years</w:t>
            </w:r>
          </w:p>
        </w:tc>
      </w:tr>
    </w:tbl>
    <w:p>
      <w:pPr>
        <w:spacing w:after="0" w:line="231" w:lineRule="exact"/>
        <w:rPr>
          <w:sz w:val="20"/>
          <w:szCs w:val="20"/>
          <w:color w:val="auto"/>
        </w:rPr>
      </w:pPr>
    </w:p>
    <w:p>
      <w:pPr>
        <w:ind w:right="4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As the Company’s common stock does not have a significant trading history, the expected volatility assumption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a peer group of similar companies whose share prices are publicly available. The peer group was developed based on companies in the biotechnology industry.</w:t>
      </w:r>
    </w:p>
    <w:p>
      <w:pPr>
        <w:spacing w:after="0" w:line="173"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assumption on the U.S. Treasury’s rates for U.S. Treasury zero-coupon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maturities similar to those of the expected term of the award being valued.</w:t>
      </w:r>
    </w:p>
    <w:p>
      <w:pPr>
        <w:spacing w:after="0" w:line="158"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bases the expected dividend yield assumption on the fact that it has never paid cash dividends and has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plans to pay cash dividends.</w:t>
      </w:r>
    </w:p>
    <w:p>
      <w:pPr>
        <w:spacing w:after="0" w:line="158" w:lineRule="exact"/>
        <w:rPr>
          <w:sz w:val="20"/>
          <w:szCs w:val="20"/>
          <w:color w:val="auto"/>
        </w:rPr>
      </w:pPr>
    </w:p>
    <w:p>
      <w:pPr>
        <w:jc w:val="both"/>
        <w:ind w:right="2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For employees, the expected term represents the period of time that options are expected to be outstanding. Because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(“ESPP”)</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ESPP permits participants to purchase common stock through payroll deductions of up to 15% of their eligible compensation. As of March 31, 2024 and December 31, 2023, a total of 2,281,600 shares and 1,737,098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 common shares or (iii) a number determined by the Company’s board of directors that is less than (i) and (ii). The Company did not issue any shares of common stock under the ESPP during the three months ended March 31, 2024 and 2023, respectively. As of March 31, 2024, 1,957,304 shares of common stock remained available for issuance under the ESPP. Stock-based compensation expense related to the ESPP for the three months ended March 31, 2024 and 2023 was immaterial.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are as follows in common equivalent shares: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40" w:type="dxa"/>
            <w:vAlign w:val="bottom"/>
          </w:tcPr>
          <w:p>
            <w:pPr>
              <w:spacing w:after="0"/>
              <w:rPr>
                <w:sz w:val="16"/>
                <w:szCs w:val="16"/>
                <w:color w:val="auto"/>
              </w:rPr>
            </w:pPr>
          </w:p>
        </w:tc>
        <w:tc>
          <w:tcPr>
            <w:tcW w:w="12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 and restricted stock units issued and outstanding</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7,837,272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6,372,611</w:t>
            </w:r>
          </w:p>
        </w:tc>
        <w:tc>
          <w:tcPr>
            <w:tcW w:w="80" w:type="dxa"/>
            <w:vAlign w:val="bottom"/>
            <w:shd w:val="clear" w:color="auto" w:fill="CFF0FC"/>
          </w:tcPr>
          <w:p>
            <w:pPr>
              <w:spacing w:after="0"/>
              <w:rPr>
                <w:sz w:val="20"/>
                <w:szCs w:val="20"/>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2020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1,028,151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991,413</w:t>
            </w:r>
          </w:p>
        </w:tc>
        <w:tc>
          <w:tcPr>
            <w:tcW w:w="80" w:type="dxa"/>
            <w:vAlign w:val="bottom"/>
          </w:tcPr>
          <w:p>
            <w:pPr>
              <w:spacing w:after="0"/>
              <w:rPr>
                <w:sz w:val="20"/>
                <w:szCs w:val="20"/>
                <w:color w:val="auto"/>
              </w:rPr>
            </w:pPr>
          </w:p>
        </w:tc>
      </w:tr>
      <w:tr>
        <w:trPr>
          <w:trHeight w:val="24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ESPP</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1,957,304</w:t>
            </w: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1,412,802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10,822,727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8,776,826</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Collaboration, License and Option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Co-Development and Collaboration Agreement with BeiGene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April 2019, the Company entered into a Global Co-Development and Collaboration agreement (the “BeiGene Collaboration”) with BeiGene, Ltd. and BeiGene Switzerland GmbH (collectively “BeiGene”), for the development, manufacturing and commercialization of evalstotug (BA3071). The BeiGene Collaboration was amended several times between 2019 and 2021 and the Company received a total of $25.0 million in non-refundable payments from BeiGene during that time.</w:t>
      </w:r>
    </w:p>
    <w:p>
      <w:pPr>
        <w:spacing w:after="0" w:line="153"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evalstotug. As consideration for this amendment, the Company agreed to pay BeiGene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spacing w:after="0" w:line="14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collaboration agreement with BeiGene during the three months ended March 31, 2024 and 2023, respectively. The Company had a $19.8 million Liability to Licensor as of March 31, 2024 and December 31,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Supply Agreement with Bristol-Myers Squibb</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January 2022, the Company and Bristol-Myers Squibb Company (“BMS”) entered into a clinical trial collaboration and supply agreement (the “BMS Agreement”). Under the terms of the BMS Agreement, BioAtla and BMS will collaborate on clinical trials of separate combination therapies using two of BioAtla’s CAB ADCs, mecbotamab vedotin (BA3011) and ozuriftamab vedotin (BA3021), each in combination with Opdivo® (nivolumab), BMS’ proprietary anti-PD-1 monoclonal antibody product. The Company will serve as the study sponsor of the scheduled studies and will be responsible for costs associated with the trial execution. BMS will provide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our mecbotamab vedotin and ozuriftamab vedotin combination study trials. There was no impact to the Company's financial results for the three months ended March 31, 2024 and 2023 as a result of this agreement.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 SEZC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Services Agreement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January 2024, the Company entered into an amended Clinical Trial Services Agreement with Himalaya Therapeutics SEZC (as so amended, the “Clinical Trial Services Agreement”). Under the Clinical Trial Services Agreement, BioAtla will pay Himalaya Therapeutics SEZC for the full-time use of two of its personnel and provide services related to the initiation of clinical trials for evalstotug in China for a period of 12 months. For the three months ended March 31, 2024 and 2023, the Company recognized $0.1 million and $0.1 million, respectively, in research and development expense related to the Clinical Trial Services Agreement. As of March 31, 2024, the Company had $0.1 million due to Himalaya Therapeutics SEZC, related to the Clinical Trial Services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401(k) Plan</w:t>
      </w:r>
    </w:p>
    <w:p>
      <w:pPr>
        <w:spacing w:after="0" w:line="121" w:lineRule="exact"/>
        <w:rPr>
          <w:sz w:val="20"/>
          <w:szCs w:val="20"/>
          <w:color w:val="auto"/>
        </w:rPr>
      </w:pPr>
    </w:p>
    <w:p>
      <w:pPr>
        <w:ind w:right="340" w:firstLine="509"/>
        <w:spacing w:after="0" w:line="257"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unaudited condensed financial statements and notes thereto included in “Item 1. Financial Statements” of this Quarterly Report on Form 10-Q and the audited financial statements and notes thereto as of and for the year ended December 31, 2023 included in the Annual Report on Form 10-K, filed with the Securities and Exchange Commission, or the SEC, on March 26, 2024. In addition to historical information, this Quarterly Report contains forward-looking statements that involve risks, uncertainties, and assumptions. Our actual results may differ materially from those anticipated in these forward-looking statements as a result of certain factors, including but not limited to those set forth under the caption “Risk Factors” in the Annual Report on form 10-K, and the caption “Risk Factors” in this Quarterly Report, as updated by our subsequent filings under the Securities Exchange Act of 1934, as amended, or the Exchange Act. Furthermore, past operating results are not necessarily indicative of results that may occur in future periods.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and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w:t>
      </w:r>
    </w:p>
    <w:p>
      <w:pPr>
        <w:spacing w:after="0" w:line="18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 was $23.2 million for the three months ended March 31, 2024 compared to $27.5 million for the three months ended March 31, 2023. As of March 31, 2024, we had an accumulated deficit of $439.5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be variable as we focus development efforts on our prioritized programs. We expect research and development expenses to vary as we continue to advance clinical trials of our lead product candidates, and are expected to decrease in the near term as we complete enrollment and treatment of patients in certain trials.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and capital requirements could increase substantially in connection with our ongoing activities as we:</w:t>
      </w:r>
    </w:p>
    <w:p>
      <w:pPr>
        <w:spacing w:after="0" w:line="117" w:lineRule="exact"/>
        <w:rPr>
          <w:sz w:val="20"/>
          <w:szCs w:val="20"/>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mecbotamab vedotin;</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ozuriftamab vedotin;</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evalstotug;</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BA3182;</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pipeline of bispecific and other CAB antibody-based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CAB technology platform;</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 including patents, trade secrets and know-how;</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additional product collaborations and commercial manufacturing relationships with third parties;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ind w:left="1000" w:right="220" w:hanging="36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sales, marketing and distribution infrastructure and relationships with third parties to commercialize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operational, financial and management information systems;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clinical, scientific, management, administrative and commercial personnel.</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substantial additional capital to develop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our cash and cash equivalents totaled approximately $80.6 million. Based on our current operating plan, our current cash and cash equivalents are expected to be sufficient to fund our ongoing operations for a period of at least twelve months from the date of issuance of the financial statements included in this report. Our current operating plan includes plans to complete enrollment in certain of our clinical trials, delaying development of certain pre-clinical programs, and prioritizing and focusing clinical development on selected assets and indications. In addition, we have based this estimate on assumptions that may prove to be wrong, and we could utilize our available capital resources sooner than we currently expect.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we have not generated any revenue from the sale of products and do not expect to generate meaningful revenue in the near future.</w:t>
      </w:r>
    </w:p>
    <w:p>
      <w:pPr>
        <w:spacing w:after="0" w:line="225"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Company has entered into collaborations and licensing agreements with various third parties that, in some cases, may provide for potential future milestone and royalty payments to us (see Note 7 to our financial statements). Prior to developing our own programs, we received revenue from services performed under fixed price service contracts that, in some cases, provided for potential milestone and royalty payments to us. We did not recognize any revenue from collaborations, licenses, or our legacy service contracts during the three months ended March 31,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the discovery and development of our product candidates.</w:t>
      </w:r>
    </w:p>
    <w:p>
      <w:pPr>
        <w:spacing w:after="0" w:line="117" w:lineRule="exact"/>
        <w:rPr>
          <w:sz w:val="20"/>
          <w:szCs w:val="20"/>
          <w:color w:val="auto"/>
        </w:rPr>
      </w:pPr>
    </w:p>
    <w:p>
      <w:pPr>
        <w:ind w:left="1020" w:hanging="38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 of:</w:t>
      </w:r>
    </w:p>
    <w:p>
      <w:pPr>
        <w:spacing w:after="0" w:line="117" w:lineRule="exact"/>
        <w:rPr>
          <w:rFonts w:ascii="Times New Roman" w:cs="Times New Roman" w:eastAsia="Times New Roman" w:hAnsi="Times New Roman"/>
          <w:sz w:val="18"/>
          <w:szCs w:val="18"/>
          <w:color w:val="auto"/>
        </w:rPr>
      </w:pPr>
    </w:p>
    <w:p>
      <w:pPr>
        <w:ind w:left="1380" w:right="720" w:hanging="374"/>
        <w:spacing w:after="0" w:line="282"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contractors, clinical research organizations (CROs) and consultants, and other costs related to preclinical and clinical trials;</w:t>
      </w:r>
    </w:p>
    <w:p>
      <w:pPr>
        <w:spacing w:after="0" w:line="53" w:lineRule="exact"/>
        <w:rPr>
          <w:rFonts w:ascii="Times New Roman" w:cs="Times New Roman" w:eastAsia="Times New Roman" w:hAnsi="Times New Roman"/>
          <w:sz w:val="18"/>
          <w:szCs w:val="18"/>
          <w:color w:val="auto"/>
        </w:rPr>
      </w:pPr>
    </w:p>
    <w:p>
      <w:pPr>
        <w:ind w:left="1380" w:right="480" w:hanging="374"/>
        <w:spacing w:after="0" w:line="282"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 manufacturing organizations (CMOs) and other vendors for manufacturing research and clinical trial materials;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w:t>
      </w:r>
    </w:p>
    <w:p>
      <w:pPr>
        <w:spacing w:after="0" w:line="117" w:lineRule="exact"/>
        <w:rPr>
          <w:rFonts w:ascii="Times New Roman" w:cs="Times New Roman" w:eastAsia="Times New Roman" w:hAnsi="Times New Roman"/>
          <w:sz w:val="18"/>
          <w:szCs w:val="18"/>
          <w:color w:val="auto"/>
        </w:rPr>
      </w:pPr>
    </w:p>
    <w:p>
      <w:pPr>
        <w:ind w:left="1380" w:right="400" w:hanging="374"/>
        <w:spacing w:after="0" w:line="282"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equity-based compensation expenses, for personnel in our research and development functions; and</w:t>
      </w:r>
    </w:p>
    <w:p>
      <w:pPr>
        <w:spacing w:after="0" w:line="53" w:lineRule="exact"/>
        <w:rPr>
          <w:rFonts w:ascii="Times New Roman" w:cs="Times New Roman" w:eastAsia="Times New Roman" w:hAnsi="Times New Roman"/>
          <w:sz w:val="18"/>
          <w:szCs w:val="18"/>
          <w:color w:val="auto"/>
        </w:rPr>
      </w:pPr>
    </w:p>
    <w:p>
      <w:pPr>
        <w:ind w:left="1380" w:hanging="374"/>
        <w:spacing w:after="0"/>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equipment and facilities depreciation expense.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remain variable from quarter to quarter as we continue to advance our clinical programs, then to decrease in the near term as we complete enrollment and treatment in certain of our clinical trials, and focus development on selected high potential indications.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 We expect our general and administrative expenses to remain flat to moderately increasing in the future to support development of our prioritized CAB programs.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 balances.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(2,845 )</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(1,628 )</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(4,473 )</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60" w:type="dxa"/>
            <w:vAlign w:val="bottom"/>
          </w:tcPr>
          <w:p>
            <w:pPr>
              <w:spacing w:after="0"/>
              <w:rPr>
                <w:sz w:val="20"/>
                <w:szCs w:val="20"/>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(24,457 )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(28,930 )</w:t>
            </w: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00" w:type="dxa"/>
            <w:vAlign w:val="bottom"/>
            <w:shd w:val="clear" w:color="auto" w:fill="CFF0FC"/>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60" w:type="dxa"/>
            <w:vAlign w:val="bottom"/>
          </w:tcPr>
          <w:p>
            <w:pPr>
              <w:spacing w:after="0"/>
              <w:rPr>
                <w:sz w:val="21"/>
                <w:szCs w:val="21"/>
                <w:color w:val="auto"/>
              </w:rPr>
            </w:pPr>
          </w:p>
        </w:tc>
        <w:tc>
          <w:tcPr>
            <w:tcW w:w="3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(257 )</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60" w:type="dxa"/>
            <w:vAlign w:val="bottom"/>
          </w:tcPr>
          <w:p>
            <w:pPr>
              <w:spacing w:after="0"/>
              <w:rPr>
                <w:sz w:val="20"/>
                <w:szCs w:val="20"/>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tcPr>
          <w:p>
            <w:pPr>
              <w:spacing w:after="0"/>
              <w:rPr>
                <w:sz w:val="20"/>
                <w:szCs w:val="20"/>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(247 )</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6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(23,234 )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(27,460 )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-1910715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-1910715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-1910715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-959485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-959485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-959485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32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Mecbotamab vedotin, BA3011 (CAB AXL-ADC)</w:t>
            </w:r>
          </w:p>
        </w:tc>
        <w:tc>
          <w:tcPr>
            <w:tcW w:w="900" w:type="dxa"/>
            <w:vAlign w:val="bottom"/>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1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Ozuriftamab vedotin, BA3021 (CAB ROR2-ADC)</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Evalstotug, BA3071 (CAB CTLA-4)</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CAB Programs</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(3,738 )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16,192</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(2,910 )</w:t>
            </w:r>
          </w:p>
        </w:tc>
        <w:tc>
          <w:tcPr>
            <w:tcW w:w="0" w:type="dxa"/>
            <w:vAlign w:val="bottom"/>
          </w:tcPr>
          <w:p>
            <w:pPr>
              <w:spacing w:after="0"/>
              <w:rPr>
                <w:sz w:val="1"/>
                <w:szCs w:val="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and related</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9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39"/>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and other</w:t>
            </w:r>
          </w:p>
        </w:tc>
        <w:tc>
          <w:tcPr>
            <w:tcW w:w="9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shd w:val="clear" w:color="auto" w:fill="CFF0FC"/>
          </w:tcPr>
          <w:p>
            <w:pPr>
              <w:jc w:val="right"/>
              <w:ind w:right="7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(2,845 )</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$18.9 million and $21.7 million for the three months ended March 31, 2024 and 2023, respectively. The decrease of approximately $2.8 million was primarily driven by a $3.7 million decrease in pre-clinical development costs primarily for BA3142, our CAB-B7H3 x CAB-CD3 bispecific program, and BA3361, our CAB Nectin-4 ADC program, a $0.4 million decrease in stock-based compensation related to awards issued under our 2020 Equity Incentive Plan, offset by a $0.8 million increase in development costs for our clinical stage programs, primarily mecbotamab vedotin and ozuriftamab vedotin, and a $0.3 million increase in personnel related costs.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$5.6 million and $7.2 million for the three months ended March 31, 2024 and 2023, respectively. The decrease of approximately $1.6 million was primarily driven by a $0.9 million decrease in stock-based compensation related to awards issued under our 2020 Equity Incentive Plan, $0.4 million due to professional services and consulting expenses, $0.1 million due to a decrease in insurance due to a decrease in premiums for our D&amp;O policy, and a $0.1 million decrease in travel related expense.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Interest income was $1.2 million and $1.5 million for the three months ended March 31, 2024 and 2023, respectively. The decrease of $0.3 million was due to lower cash and cash equivalents compared to the same period in 2023, offset by the impact of higher yields during the same period in 2023.</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incurred aggregate net losses and negative cash flows from operations since our inception and anticipate we will continue to incur net losses for the foreseeable future. Since July 2020, we have funded our operations primarily through the issuance of equity. As of March 31, 2024, we had cash and cash equivalents of $80.6 million.</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January 2023, the Company entered into an Open Market Sale Agreement (the “Sales Agreement”) with Jefferies LLC (“Jefferies”) acting as sales agent pursuant to which the Company may, from time to time at its sole discretion, sell shares of the Company’s common stock, with aggregate gross sales proceeds of up to $100.0 million. The Company will pay Jefferies a commission of 3.0% of the aggregate gross proceeds the Company receives from all sales of the Company’s common stock under the Sales Agreement. We have not sold any shares of our common stock under the Sales Agreement as of March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54" w:lineRule="exact"/>
        <w:rPr>
          <w:sz w:val="20"/>
          <w:szCs w:val="20"/>
          <w:color w:val="auto"/>
        </w:rPr>
      </w:pPr>
    </w:p>
    <w:p>
      <w:pPr>
        <w:ind w:left="1000" w:right="240" w:hanging="36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advancement, scope, rate of progress, completion of enrollment, results and costs of our preclinical studies, clinical trials and other related activities for our product candidates;</w:t>
      </w:r>
    </w:p>
    <w:p>
      <w:pPr>
        <w:spacing w:after="0" w:line="53"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commercial supplies and sales, marketing and distribution capabilities;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capital expenditures to support our research and development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17" w:lineRule="exact"/>
        <w:rPr>
          <w:rFonts w:ascii="Times New Roman" w:cs="Times New Roman" w:eastAsia="Times New Roman" w:hAnsi="Times New Roman"/>
          <w:sz w:val="18"/>
          <w:szCs w:val="18"/>
          <w:color w:val="auto"/>
        </w:rPr>
      </w:pPr>
    </w:p>
    <w:p>
      <w:pPr>
        <w:ind w:left="1000" w:right="100" w:hanging="36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administrative costs associated with being a public company; and</w:t>
      </w:r>
    </w:p>
    <w:p>
      <w:pPr>
        <w:spacing w:after="0" w:line="117" w:lineRule="exact"/>
        <w:rPr>
          <w:rFonts w:ascii="Times New Roman" w:cs="Times New Roman" w:eastAsia="Times New Roman" w:hAnsi="Times New Roman"/>
          <w:sz w:val="18"/>
          <w:szCs w:val="18"/>
          <w:color w:val="auto"/>
        </w:rPr>
      </w:pPr>
    </w:p>
    <w:p>
      <w:pPr>
        <w:ind w:left="1000" w:right="20" w:hanging="36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although we have no commitments or agreements relating to any of these types of transactions.</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our current cash and cash equivalents are expected to be sufficient to fund our ongoing operations for a period of at least twelve months from the date the financial statements included in this report are issued. We have based this estimate on assumptions that may prove to be wrong, and we could utilize our available capital resources sooner than we currently expect.</w:t>
      </w:r>
    </w:p>
    <w:p>
      <w:pPr>
        <w:spacing w:after="0" w:line="176"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We will require additional funding in order to complete development of our product candidates and commercialize our products, if approved. We may seek to raise any necessary additional capital through a combination of public or private equity offerings, debt financings, collaborations, strategic alliances, licensing arrangements and other marketing and distribution arrangements. We cannot assure you that, in the event we require additional financing,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 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supply chain disruptions, and geopolitical disruptions, including the recent conflict between Russia and Ukraine and the conflict between Israel and Hamas,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w:t>
      </w:r>
    </w:p>
    <w:p>
      <w:pPr>
        <w:spacing w:after="0" w:line="23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(30,828 )</w:t>
            </w:r>
          </w:p>
        </w:tc>
        <w:tc>
          <w:tcPr>
            <w:tcW w:w="120" w:type="dxa"/>
            <w:vAlign w:val="bottom"/>
          </w:tcPr>
          <w:p>
            <w:pPr>
              <w:spacing w:after="0"/>
              <w:rPr>
                <w:sz w:val="20"/>
                <w:szCs w:val="20"/>
                <w:color w:val="auto"/>
              </w:rPr>
            </w:pPr>
          </w:p>
        </w:tc>
        <w:tc>
          <w:tcPr>
            <w:tcW w:w="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(22,654 )</w:t>
            </w:r>
          </w:p>
        </w:tc>
      </w:tr>
      <w:tr>
        <w:trPr>
          <w:trHeight w:val="252"/>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0"/>
        </w:trPr>
        <w:tc>
          <w:tcPr>
            <w:tcW w:w="5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(30,841 )</w:t>
            </w: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(22,820 )</w:t>
            </w: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$30.8 million, which consisted of a net loss of $23.2 million, a net change of $10.1 million in our operating assets and liabilities and $2.5 million of non-cash transactions. The net change in our operating assets and liabilities was primarily due to a decrease in accounts payable and accrued expenses of $9.0 million, a net decrease in operating lease right-of-use assets and lease liabilities of $0.3 million, and an increase in prepaid expenses and other assets of $0.9 million. The non-cash transactions primarily consisted of $2.3 million of stock-based compensation and non-cash charges of $0.2 million related to depreciation and amortization.</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$22.7 million, which consisted of a net loss of $27.5 million, a net change of $0.9 million in our operating assets and liabilities and $3.9 million of non-cash transactions. The net change in our operating assets and liabilities was primarily due to an increase in accounts payable and accrued expenses of $3.2 million, offset by an increase in prepaid expenses and other assets of $2.1 million. The non-cash transactions primarily consisted of $3.6 million of stock-based compensation and non-cash charges of $0.3 million related to depreciation and amortization.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immaterial for the three months ended March 31, 2024. Cash used in investing activities for the three months ended March 31, 2023 was $50,000, related to the purchase of property and equipment.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immaterial for the three months ended March 31, 2024, consisting primarily of the payment of taxes related to the net settlement of restricted stock units.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$0.1 million for the three months ended March 31, 2023, which consisted primarily of the payment of taxes related to the net settlement of restricted stock units.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see the section entitled “Management’s Discussion and Analysis of Financial Condition and Results of Operations — Critical Accounting Policies and Estimates” contained in our Annual Report on Form 10-K for the year ended December 31, 2023. There have not been any material changes to the critical accounting policies discussed therein during the three months ended March 31, 2024.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 to a smaller reporting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required by Rules 13a-15(b) and 15d-15(b) of the Exchange Act, our management, with the participation of our Chief Executive Officer and our Chief Financial Officer, evaluated the effectiveness of our disclosure controls and procedures as of March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all information in this Quarterly Report on Form 10-Q, including our condensed financial statements and related notes appearing elsewhere in this report and “Management’s Discussion and Analysis of Financial Condition and Results of Operations,” before purchasing our common stock. These risks are discussed more fully in the section titled “Risk Factors.” These risks and uncertainties include, but are not limited to, the following:</w:t>
      </w:r>
    </w:p>
    <w:p>
      <w:pPr>
        <w:spacing w:after="0" w:line="72" w:lineRule="exact"/>
        <w:rPr>
          <w:sz w:val="20"/>
          <w:szCs w:val="20"/>
          <w:color w:val="auto"/>
        </w:rPr>
      </w:pPr>
    </w:p>
    <w:p>
      <w:pPr>
        <w:ind w:left="1000" w:right="220" w:hanging="36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53" w:lineRule="exact"/>
        <w:rPr>
          <w:rFonts w:ascii="Times New Roman" w:cs="Times New Roman" w:eastAsia="Times New Roman" w:hAnsi="Times New Roman"/>
          <w:sz w:val="18"/>
          <w:szCs w:val="18"/>
          <w:color w:val="auto"/>
        </w:rPr>
      </w:pPr>
    </w:p>
    <w:p>
      <w:pPr>
        <w:ind w:left="1000" w:right="400" w:hanging="36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in development or suffer delays that adversely affect their commercial viability.</w:t>
      </w:r>
    </w:p>
    <w:p>
      <w:pPr>
        <w:spacing w:after="0" w:line="27" w:lineRule="exact"/>
        <w:rPr>
          <w:rFonts w:ascii="Times New Roman" w:cs="Times New Roman" w:eastAsia="Times New Roman" w:hAnsi="Times New Roman"/>
          <w:sz w:val="18"/>
          <w:szCs w:val="18"/>
          <w:color w:val="auto"/>
        </w:rPr>
      </w:pPr>
    </w:p>
    <w:p>
      <w:pPr>
        <w:ind w:left="1000"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patented CAB technology platform, and our future success depends heavily on the successful development of this platform.</w:t>
      </w:r>
    </w:p>
    <w:p>
      <w:pPr>
        <w:spacing w:after="0" w:line="73" w:lineRule="exact"/>
        <w:rPr>
          <w:rFonts w:ascii="Times New Roman" w:cs="Times New Roman" w:eastAsia="Times New Roman" w:hAnsi="Times New Roman"/>
          <w:sz w:val="18"/>
          <w:szCs w:val="18"/>
          <w:color w:val="auto"/>
        </w:rPr>
      </w:pPr>
    </w:p>
    <w:p>
      <w:pPr>
        <w:ind w:left="1000" w:right="60" w:hanging="36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resources to pursue particular product candidates and fail to capitalize on product candidates that may be more profitable or for which there is a greater likelihood of success.</w:t>
      </w: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left="368" w:right="58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because they are based on our novel therapeutic modality, and we may not generate any future revenue from the sale or licensing of product candidates.</w:t>
      </w:r>
    </w:p>
    <w:p>
      <w:pPr>
        <w:spacing w:after="0" w:line="53" w:lineRule="exact"/>
        <w:rPr>
          <w:rFonts w:ascii="Times New Roman" w:cs="Times New Roman" w:eastAsia="Times New Roman" w:hAnsi="Times New Roman"/>
          <w:sz w:val="18"/>
          <w:szCs w:val="18"/>
          <w:color w:val="auto"/>
        </w:rPr>
      </w:pPr>
    </w:p>
    <w:p>
      <w:pPr>
        <w:ind w:left="368" w:right="26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53" w:lineRule="exact"/>
        <w:rPr>
          <w:rFonts w:ascii="Times New Roman" w:cs="Times New Roman" w:eastAsia="Times New Roman" w:hAnsi="Times New Roman"/>
          <w:sz w:val="18"/>
          <w:szCs w:val="18"/>
          <w:color w:val="auto"/>
        </w:rPr>
      </w:pPr>
    </w:p>
    <w:p>
      <w:pPr>
        <w:ind w:left="368" w:right="12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368" w:right="98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and completion of clinical trials could increase costs and delay or prevent regulatory approval and commercialization of our product candidates.</w:t>
      </w:r>
    </w:p>
    <w:p>
      <w:pPr>
        <w:spacing w:after="0" w:line="53" w:lineRule="exact"/>
        <w:rPr>
          <w:rFonts w:ascii="Times New Roman" w:cs="Times New Roman" w:eastAsia="Times New Roman" w:hAnsi="Times New Roman"/>
          <w:sz w:val="18"/>
          <w:szCs w:val="18"/>
          <w:color w:val="auto"/>
        </w:rPr>
      </w:pPr>
    </w:p>
    <w:p>
      <w:pPr>
        <w:ind w:left="368" w:right="8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w:t>
      </w:r>
    </w:p>
    <w:p>
      <w:pPr>
        <w:spacing w:after="0" w:line="53"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U.S. or foreign regulatory approval and, as a result, unable to commercialize our product candidates.</w:t>
      </w:r>
    </w:p>
    <w:p>
      <w:pPr>
        <w:spacing w:after="0" w:line="117" w:lineRule="exact"/>
        <w:rPr>
          <w:rFonts w:ascii="Times New Roman" w:cs="Times New Roman" w:eastAsia="Times New Roman" w:hAnsi="Times New Roman"/>
          <w:sz w:val="18"/>
          <w:szCs w:val="18"/>
          <w:color w:val="auto"/>
        </w:rPr>
      </w:pPr>
    </w:p>
    <w:p>
      <w:pPr>
        <w:jc w:val="both"/>
        <w:ind w:left="368" w:right="120"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67" w:lineRule="exact"/>
        <w:rPr>
          <w:rFonts w:ascii="Times New Roman" w:cs="Times New Roman" w:eastAsia="Times New Roman" w:hAnsi="Times New Roman"/>
          <w:sz w:val="18"/>
          <w:szCs w:val="18"/>
          <w:color w:val="auto"/>
        </w:rPr>
      </w:pPr>
    </w:p>
    <w:p>
      <w:pPr>
        <w:ind w:left="368" w:right="8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product candidates, we will be subject to ongoing regulatory obligations and continued regulatory review, which may result in significant additional expense.</w:t>
      </w:r>
    </w:p>
    <w:p>
      <w:pPr>
        <w:spacing w:after="0" w:line="53" w:lineRule="exact"/>
        <w:rPr>
          <w:rFonts w:ascii="Times New Roman" w:cs="Times New Roman" w:eastAsia="Times New Roman" w:hAnsi="Times New Roman"/>
          <w:sz w:val="18"/>
          <w:szCs w:val="18"/>
          <w:color w:val="auto"/>
        </w:rPr>
      </w:pPr>
    </w:p>
    <w:p>
      <w:pPr>
        <w:ind w:left="368" w:right="56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senior management and key scientific personnel, our business may be materially and adversely affected.</w:t>
      </w:r>
    </w:p>
    <w:p>
      <w:pPr>
        <w:spacing w:after="0" w:line="53" w:lineRule="exact"/>
        <w:rPr>
          <w:rFonts w:ascii="Times New Roman" w:cs="Times New Roman" w:eastAsia="Times New Roman" w:hAnsi="Times New Roman"/>
          <w:sz w:val="18"/>
          <w:szCs w:val="18"/>
          <w:color w:val="auto"/>
        </w:rPr>
      </w:pPr>
    </w:p>
    <w:p>
      <w:pPr>
        <w:ind w:left="368" w:right="140" w:hanging="368"/>
        <w:spacing w:after="0" w:line="282"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53" w:lineRule="exact"/>
        <w:rPr>
          <w:rFonts w:ascii="Times New Roman" w:cs="Times New Roman" w:eastAsia="Times New Roman" w:hAnsi="Times New Roman"/>
          <w:sz w:val="18"/>
          <w:szCs w:val="18"/>
          <w:color w:val="auto"/>
        </w:rPr>
      </w:pPr>
    </w:p>
    <w:p>
      <w:pPr>
        <w:ind w:left="368"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68" w:right="140"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67" w:lineRule="exact"/>
        <w:rPr>
          <w:rFonts w:ascii="Times New Roman" w:cs="Times New Roman" w:eastAsia="Times New Roman" w:hAnsi="Times New Roman"/>
          <w:sz w:val="18"/>
          <w:szCs w:val="18"/>
          <w:color w:val="auto"/>
        </w:rPr>
      </w:pPr>
    </w:p>
    <w:p>
      <w:pPr>
        <w:jc w:val="both"/>
        <w:ind w:left="368" w:right="120"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67" w:lineRule="exact"/>
        <w:rPr>
          <w:rFonts w:ascii="Times New Roman" w:cs="Times New Roman" w:eastAsia="Times New Roman" w:hAnsi="Times New Roman"/>
          <w:sz w:val="18"/>
          <w:szCs w:val="18"/>
          <w:color w:val="auto"/>
        </w:rPr>
      </w:pPr>
    </w:p>
    <w:p>
      <w:pPr>
        <w:ind w:left="368"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rFonts w:ascii="Times New Roman" w:cs="Times New Roman" w:eastAsia="Times New Roman" w:hAnsi="Times New Roman"/>
          <w:sz w:val="18"/>
          <w:szCs w:val="18"/>
          <w:color w:val="auto"/>
        </w:rPr>
      </w:pPr>
    </w:p>
    <w:p>
      <w:pPr>
        <w:ind w:left="368" w:right="20" w:hanging="368"/>
        <w:spacing w:after="0" w:line="266"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67"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issuance of equity or of debt securities that are convertible into equity will dilute our share capital.</w:t>
      </w:r>
    </w:p>
    <w:p>
      <w:pPr>
        <w:spacing w:after="0" w:line="117" w:lineRule="exact"/>
        <w:rPr>
          <w:rFonts w:ascii="Times New Roman" w:cs="Times New Roman" w:eastAsia="Times New Roman" w:hAnsi="Times New Roman"/>
          <w:sz w:val="18"/>
          <w:szCs w:val="18"/>
          <w:color w:val="auto"/>
        </w:rPr>
      </w:pPr>
    </w:p>
    <w:p>
      <w:pPr>
        <w:ind w:left="368" w:right="520" w:hanging="368"/>
        <w:spacing w:after="0" w:line="261" w:lineRule="auto"/>
        <w:tabs>
          <w:tab w:leader="none" w:pos="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ind w:left="4908"/>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952" w:top="109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9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$123.5 million and $106.5 million for the years ended December 31, 2023 and 2022, respectively. For the three months ended March 31, 2024 and 2023, our net losses were $23.2 million and $27.5 million, respectively. As of March 31, 2024, we had an accumulated deficit of $439.5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9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we had approximately $80.6 million in cash and cash equivalents. Based on our current operating plan, our current cash and cash equivalents are expected to be sufficient to fund our ongoing operations for a period of at least twelve</w:t>
      </w: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3" w:name="page24"/>
    <w:bookmarkEnd w:id="23"/>
    <w:p>
      <w:pPr>
        <w:ind w:right="200"/>
        <w:spacing w:after="0" w:line="258" w:lineRule="auto"/>
        <w:rPr>
          <w:sz w:val="20"/>
          <w:szCs w:val="20"/>
          <w:color w:val="auto"/>
        </w:rPr>
      </w:pPr>
      <w:r>
        <w:rPr>
          <w:rFonts w:ascii="Times New Roman" w:cs="Times New Roman" w:eastAsia="Times New Roman" w:hAnsi="Times New Roman"/>
          <w:sz w:val="18"/>
          <w:szCs w:val="18"/>
          <w:color w:val="auto"/>
        </w:rPr>
        <w:t>months from the date the financial statements included in this report are issued. Our current operating plan includes prioritization of our programs and focusing on clinical development of selected assets and indications.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plan to use our existing cash and cash equivalents to fund the research and development of our product candidates and development programs and to fund working capital and other general corporate purposes. 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79" w:lineRule="exact"/>
        <w:rPr>
          <w:sz w:val="20"/>
          <w:szCs w:val="20"/>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ongoing clinical trials for mecbotamab vedotin, ozuriftamab vedotin, evalstotug, and BA3182;</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collaborators with whom we have entered, or may in the future enter, into collaboration agreements and research and development agreements;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our collaboration agreements;</w:t>
      </w:r>
    </w:p>
    <w:p>
      <w:pPr>
        <w:spacing w:after="0" w:line="117" w:lineRule="exact"/>
        <w:rPr>
          <w:rFonts w:ascii="Times New Roman" w:cs="Times New Roman" w:eastAsia="Times New Roman" w:hAnsi="Times New Roman"/>
          <w:sz w:val="18"/>
          <w:szCs w:val="18"/>
          <w:color w:val="auto"/>
        </w:rPr>
      </w:pPr>
    </w:p>
    <w:p>
      <w:pPr>
        <w:ind w:left="1000" w:right="34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collaboration and research and development programs or possibly establish new collaboration arrangements;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00" w:right="720" w:hanging="36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of our product candidates and satisfy our obligations as a public company.</w:t>
      </w:r>
    </w:p>
    <w:p>
      <w:pPr>
        <w:spacing w:after="0" w:line="162" w:lineRule="exact"/>
        <w:rPr>
          <w:sz w:val="20"/>
          <w:szCs w:val="20"/>
          <w:color w:val="auto"/>
        </w:rPr>
      </w:pPr>
    </w:p>
    <w:p>
      <w:pPr>
        <w:ind w:right="60" w:firstLine="509"/>
        <w:spacing w:after="0" w:line="251" w:lineRule="auto"/>
        <w:rPr>
          <w:sz w:val="20"/>
          <w:szCs w:val="20"/>
          <w:color w:val="auto"/>
        </w:rPr>
      </w:pPr>
      <w:r>
        <w:rPr>
          <w:rFonts w:ascii="Times New Roman" w:cs="Times New Roman" w:eastAsia="Times New Roman" w:hAnsi="Times New Roman"/>
          <w:sz w:val="18"/>
          <w:szCs w:val="18"/>
          <w:color w:val="auto"/>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Additionally, although we had no direct exposure to the March 2023 failure of Silicon Valley Bank, its potential near- and long-term effects on the biotechnology industry and its participants such as our vendors, suppliers, collaborators and investors, may also adversely affect our financial condition, operations and stock price.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46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a portion of our cash in a money market fund, which is vulnerable to market-specific risks that could adversely affect our business and financial condition.</w:t>
      </w:r>
    </w:p>
    <w:p>
      <w:pPr>
        <w:spacing w:after="0" w:line="15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 products on the market and our product candidates are in various stages of development. We are currently conducting Phase 2 clinical trials of mecbotamab vedotin, ozuriftamab vedotin, and evalstotug; we have begun dosing patients in our Phase 1 trial of BA3182 and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80" w:lineRule="exact"/>
        <w:rPr>
          <w:sz w:val="20"/>
          <w:szCs w:val="20"/>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resulting from external factors including global conflicts and health epidemics;</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53" w:lineRule="exact"/>
        <w:rPr>
          <w:rFonts w:ascii="Times New Roman" w:cs="Times New Roman" w:eastAsia="Times New Roman" w:hAnsi="Times New Roman"/>
          <w:sz w:val="18"/>
          <w:szCs w:val="18"/>
          <w:color w:val="auto"/>
        </w:rPr>
      </w:pPr>
    </w:p>
    <w:p>
      <w:pPr>
        <w:ind w:left="1000" w:right="2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clinical trials or by individuals using therapeutic biologics that share characteristics with our product candidates;</w:t>
      </w:r>
    </w:p>
    <w:p>
      <w:pPr>
        <w:spacing w:after="0" w:line="53" w:lineRule="exact"/>
        <w:rPr>
          <w:rFonts w:ascii="Times New Roman" w:cs="Times New Roman" w:eastAsia="Times New Roman" w:hAnsi="Times New Roman"/>
          <w:sz w:val="18"/>
          <w:szCs w:val="18"/>
          <w:color w:val="auto"/>
        </w:rPr>
      </w:pPr>
    </w:p>
    <w:p>
      <w:pPr>
        <w:ind w:left="1000" w:right="36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or institutional review boards, or IRBs,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including the EMA, regarding the scope or design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drug materials or other supplies necessary for the conduct of our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our third-party manufacturers’ manufacturing processes or facilities;</w:t>
      </w:r>
    </w:p>
    <w:p>
      <w:pPr>
        <w:spacing w:after="0" w:line="117" w:lineRule="exact"/>
        <w:rPr>
          <w:rFonts w:ascii="Times New Roman" w:cs="Times New Roman" w:eastAsia="Times New Roman" w:hAnsi="Times New Roman"/>
          <w:sz w:val="18"/>
          <w:szCs w:val="18"/>
          <w:color w:val="auto"/>
        </w:rPr>
      </w:pPr>
    </w:p>
    <w:p>
      <w:pPr>
        <w:ind w:left="1000" w:right="300" w:hanging="368"/>
        <w:spacing w:after="0" w:line="312"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31" w:lineRule="exact"/>
        <w:rPr>
          <w:rFonts w:ascii="Times New Roman" w:cs="Times New Roman" w:eastAsia="Times New Roman" w:hAnsi="Times New Roman"/>
          <w:sz w:val="17"/>
          <w:szCs w:val="17"/>
          <w:color w:val="auto"/>
        </w:rPr>
      </w:pPr>
    </w:p>
    <w:p>
      <w:pPr>
        <w:ind w:left="1000" w:right="26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third-party contractors, investigators or contract research organizations, or CROs,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00" w:right="400" w:hanging="36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 including the EMA.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 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in 2023, enrollment was completed in multi-center investigator-initiated clinical trials in Canada of mecbotamab vedotin and ozuriftamab vedotin in patients with platinum-resistant ovarian cancer using the less intense dose of 1.8mg/kg Q2W of the two doses available.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spacing w:after="0" w:line="29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2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5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are using our patented technology platform to develop CABs in oncology indications with our lead product candidates mecbotamab vedotin, ozuriftamab vedotin, evalstotug, and BA3182, as well as continuing to build our pipeline of product candidates.</w:t>
      </w: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140"/>
        <w:spacing w:after="0" w:line="273" w:lineRule="auto"/>
        <w:rPr>
          <w:sz w:val="20"/>
          <w:szCs w:val="20"/>
          <w:color w:val="auto"/>
        </w:rPr>
      </w:pPr>
      <w:r>
        <w:rPr>
          <w:rFonts w:ascii="Times New Roman" w:cs="Times New Roman" w:eastAsia="Times New Roman" w:hAnsi="Times New Roman"/>
          <w:sz w:val="17"/>
          <w:szCs w:val="17"/>
          <w:color w:val="auto"/>
        </w:rPr>
        <w:t>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7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have no plans to internally explore additional dosing regimens for certain indications, and do not intend to pursue ovarian cancer as an indication, and are focusing development on selected assets and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focus our product candidate development on therapeutic CAB antibodies for the treatment of various oncology indications, such as soft tissue and bone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75" w:lineRule="exact"/>
        <w:rPr>
          <w:sz w:val="20"/>
          <w:szCs w:val="20"/>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 including the EMA;</w:t>
      </w:r>
    </w:p>
    <w:p>
      <w:pPr>
        <w:spacing w:after="0" w:line="117" w:lineRule="exact"/>
        <w:rPr>
          <w:rFonts w:ascii="Times New Roman" w:cs="Times New Roman" w:eastAsia="Times New Roman" w:hAnsi="Times New Roman"/>
          <w:sz w:val="18"/>
          <w:szCs w:val="18"/>
          <w:color w:val="auto"/>
        </w:rPr>
      </w:pPr>
    </w:p>
    <w:p>
      <w:pPr>
        <w:jc w:val="center"/>
        <w:ind w:left="5540" w:right="700" w:hanging="4908"/>
        <w:spacing w:after="0" w:line="282" w:lineRule="auto"/>
        <w:tabs>
          <w:tab w:leader="none" w:pos="10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obtain new biopsies or consent to provide existing tumor tissue specimens to support our clinical trials;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physician education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third-party payor reimbursement;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00" w:right="300" w:hanging="36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5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68" w:lineRule="exact"/>
        <w:rPr>
          <w:sz w:val="20"/>
          <w:szCs w:val="20"/>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preclinical data;</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 consensus with regulatory authorities on study design;</w:t>
      </w:r>
    </w:p>
    <w:p>
      <w:pPr>
        <w:spacing w:after="0" w:line="117"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IRB approval at each site;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trial;</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1000" w:right="36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clinical trials to ensure adequate statistical power to detect statistically significant treatment effects;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00" w:right="12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53" w:lineRule="exact"/>
        <w:rPr>
          <w:rFonts w:ascii="Times New Roman" w:cs="Times New Roman" w:eastAsia="Times New Roman" w:hAnsi="Times New Roman"/>
          <w:sz w:val="18"/>
          <w:szCs w:val="18"/>
          <w:color w:val="auto"/>
        </w:rPr>
      </w:pPr>
    </w:p>
    <w:p>
      <w:pPr>
        <w:ind w:left="1000" w:right="22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treatment emergent adverse events, or TEAEs, associated with the product candidate that are viewed to outweigh the product candidate’s potential benefits;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adding new clinical trial sites;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acceptable for use in clinical trials in a timely manner, or at all; or</w:t>
      </w:r>
    </w:p>
    <w:p>
      <w:pPr>
        <w:spacing w:after="0" w:line="117" w:lineRule="exact"/>
        <w:rPr>
          <w:rFonts w:ascii="Times New Roman" w:cs="Times New Roman" w:eastAsia="Times New Roman" w:hAnsi="Times New Roman"/>
          <w:sz w:val="18"/>
          <w:szCs w:val="18"/>
          <w:color w:val="auto"/>
        </w:rPr>
      </w:pPr>
    </w:p>
    <w:p>
      <w:pPr>
        <w:ind w:left="1000" w:right="120" w:hanging="36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outbreaks, including the COVID-19 pandemic, which in the past has resulted in, and in the future may result in, delays to patient enrollment, patients discontinuing their treatment or follow up visits or changes to trial protocols.</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a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9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2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spacing w:after="0" w:line="6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ind w:firstLine="509"/>
        <w:spacing w:after="0" w:line="261"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and immune related adverse events. We may also observe undesirable side effects in clinical trials for our other product candidates.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and evalstotug have demonstrated manageable tolerability profiles thus far, we cannot assure you that these and our other product candidates will not cause more severe side effects in a greater proportion of patients.</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mecbotamab vedotin, ozuriftamab vedotin, and evalstotug are being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our clinical trials may die or experience major clinical events either during the course of the clinical trials or after participating in such trials due mainly to the gravity of their illness, which has occurred in the past.</w:t>
      </w:r>
    </w:p>
    <w:p>
      <w:pPr>
        <w:spacing w:after="0" w:line="1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54" w:lineRule="exact"/>
        <w:rPr>
          <w:sz w:val="20"/>
          <w:szCs w:val="20"/>
          <w:color w:val="auto"/>
        </w:rPr>
      </w:pPr>
    </w:p>
    <w:p>
      <w:pPr>
        <w:ind w:left="1000" w:right="620" w:hanging="36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their approval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requested or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00" w:right="480" w:hanging="36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00" w:right="140" w:hanging="368"/>
        <w:spacing w:after="0" w:line="312"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31" w:lineRule="exact"/>
        <w:rPr>
          <w:rFonts w:ascii="Times New Roman" w:cs="Times New Roman" w:eastAsia="Times New Roman" w:hAnsi="Times New Roman"/>
          <w:sz w:val="17"/>
          <w:szCs w:val="17"/>
          <w:color w:val="auto"/>
        </w:rPr>
      </w:pPr>
    </w:p>
    <w:p>
      <w:pPr>
        <w:ind w:left="1000" w:right="600" w:hanging="36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and/or create a Medication Guide outlining the risks of such side effects for distribution to patients, a communication plan for healthcare providers and/or other elements to assure safe use;</w:t>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28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Currently, we are evaluating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8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28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78"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right="260"/>
        <w:spacing w:after="0" w:line="282" w:lineRule="auto"/>
        <w:rPr>
          <w:sz w:val="20"/>
          <w:szCs w:val="20"/>
          <w:color w:val="auto"/>
        </w:rPr>
      </w:pPr>
      <w:r>
        <w:rPr>
          <w:rFonts w:ascii="Times New Roman" w:cs="Times New Roman" w:eastAsia="Times New Roman" w:hAnsi="Times New Roman"/>
          <w:sz w:val="18"/>
          <w:szCs w:val="18"/>
          <w:color w:val="auto"/>
        </w:rPr>
        <w:t>limited. In addition, we expect to rely on third parties for the design, development and manufacture of companion diagnostic tests for any of our product candidates that require such tests.</w:t>
      </w:r>
    </w:p>
    <w:p>
      <w:pPr>
        <w:spacing w:after="0" w:line="54"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8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sz w:val="20"/>
          <w:szCs w:val="20"/>
          <w:color w:val="auto"/>
        </w:rPr>
      </w:pPr>
    </w:p>
    <w:p>
      <w:pPr>
        <w:ind w:right="100" w:firstLine="509"/>
        <w:spacing w:after="0" w:line="272" w:lineRule="auto"/>
        <w:rPr>
          <w:sz w:val="20"/>
          <w:szCs w:val="20"/>
          <w:color w:val="auto"/>
        </w:rPr>
      </w:pPr>
      <w:r>
        <w:rPr>
          <w:rFonts w:ascii="Times New Roman" w:cs="Times New Roman" w:eastAsia="Times New Roman" w:hAnsi="Times New Roman"/>
          <w:sz w:val="17"/>
          <w:szCs w:val="17"/>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spacing w:after="0" w:line="1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we do not believe competing companies have selective CAB technology, there is a wide array of activity in multiple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9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biologic product candidates for which we intend to seek approval may face competition through an abbreviated pathway.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other legal compliance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unable to commercialize our product candidates.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3" w:name="page34"/>
    <w:bookmarkEnd w:id="33"/>
    <w:p>
      <w:pPr>
        <w:spacing w:after="0" w:line="266" w:lineRule="auto"/>
        <w:rPr>
          <w:sz w:val="20"/>
          <w:szCs w:val="20"/>
          <w:color w:val="auto"/>
        </w:rPr>
      </w:pPr>
      <w:r>
        <w:rPr>
          <w:rFonts w:ascii="Times New Roman" w:cs="Times New Roman" w:eastAsia="Times New Roman" w:hAnsi="Times New Roman"/>
          <w:sz w:val="18"/>
          <w:szCs w:val="18"/>
          <w:color w:val="auto"/>
        </w:rPr>
        <w:t>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7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We are considering these and other policy changes as they relate to our programs.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for many reasons including the following:</w:t>
      </w:r>
    </w:p>
    <w:p>
      <w:pPr>
        <w:spacing w:after="0" w:line="117" w:lineRule="exact"/>
        <w:rPr>
          <w:sz w:val="20"/>
          <w:szCs w:val="20"/>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00" w:right="10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53"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the dose for the product candidate has been optimized;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a sufficient response rate or duration of response for a product candidate;</w:t>
      </w:r>
    </w:p>
    <w:p>
      <w:pPr>
        <w:spacing w:after="0" w:line="117" w:lineRule="exact"/>
        <w:rPr>
          <w:rFonts w:ascii="Times New Roman" w:cs="Times New Roman" w:eastAsia="Times New Roman" w:hAnsi="Times New Roman"/>
          <w:sz w:val="18"/>
          <w:szCs w:val="18"/>
          <w:color w:val="auto"/>
        </w:rPr>
      </w:pPr>
    </w:p>
    <w:p>
      <w:pPr>
        <w:ind w:left="1000" w:right="68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53" w:lineRule="exact"/>
        <w:rPr>
          <w:rFonts w:ascii="Times New Roman" w:cs="Times New Roman" w:eastAsia="Times New Roman" w:hAnsi="Times New Roman"/>
          <w:sz w:val="18"/>
          <w:szCs w:val="18"/>
          <w:color w:val="auto"/>
        </w:rPr>
      </w:pPr>
    </w:p>
    <w:p>
      <w:pPr>
        <w:ind w:left="1000" w:right="300" w:hanging="36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53" w:lineRule="exact"/>
        <w:rPr>
          <w:rFonts w:ascii="Times New Roman" w:cs="Times New Roman" w:eastAsia="Times New Roman" w:hAnsi="Times New Roman"/>
          <w:sz w:val="18"/>
          <w:szCs w:val="18"/>
          <w:color w:val="auto"/>
        </w:rPr>
      </w:pPr>
    </w:p>
    <w:p>
      <w:pPr>
        <w:ind w:left="1000" w:right="440" w:hanging="36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contractors may not meet the current Good Manufacturing Practices, or cGMPs, and other applicable requirements for manufacturing processes, procedures, documentation and facilities necessary for approval by the FDA or comparable foreign regulatory authorities.</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4" w:name="page35"/>
    <w:bookmarkEnd w:id="34"/>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28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intend to seek accelerated approval for mecbotamab vedotin, and we may seek accelerated approval for one or more of our other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framework to foster discussion, research and innovation in approval and post-marketing processes, with the goal to enhance the balance.</w:t>
      </w:r>
    </w:p>
    <w:p>
      <w:pPr>
        <w:spacing w:after="0" w:line="32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0" w:lineRule="exact"/>
        <w:rPr>
          <w:sz w:val="20"/>
          <w:szCs w:val="20"/>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1000" w:right="580" w:hanging="36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of approval or refusal by the FDA or comparable regulatory authorities in other jurisdictions to approve pending applications or supplements to approved applications filed by us, our current collaborator or any future strategic partners;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license approvals;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9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88"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w:t>
      </w: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t>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soft tissue and bone sarcoma,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29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or approved by necessary government agencies, which would adversely affect our business. For example, in recent years, notably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and subsequently, on March 18, 2020, the FDA announced its intention to temporarily postpone routine surveillance inspections of domestic manufacturing facilities. Subsequently, on July 20, 2020, the FDA announced its intention to resume certain domestic on-site inspections,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In addition, on October 26, 2023, the FDA issued a draft guidance document in which the FDA outlined plans to conduct voluntary remote interactive evaluations of certain drug manufacturing facilities and clinical research sites. According to the guidance, the FDA intends to request such remote interactive evaluations in situations where it determines it is appropriate based on mission needs and any travel limitations. Regulatory authorities outside the United States may adopt similar restrictions or other policy measures.</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 prolonged government shutdown occurs, if global health concerns continue to prevent the FDA or other regulatory authorities from conducting their regular inspections, reviews, or other regulatory activities, or if the volume of applications to the 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87"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51" w:lineRule="exact"/>
        <w:rPr>
          <w:sz w:val="20"/>
          <w:szCs w:val="20"/>
          <w:color w:val="auto"/>
        </w:rPr>
      </w:pPr>
    </w:p>
    <w:p>
      <w:pPr>
        <w:jc w:val="both"/>
        <w:ind w:right="160" w:firstLine="509"/>
        <w:spacing w:after="0" w:line="255"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right="60"/>
        <w:spacing w:after="0" w:line="254" w:lineRule="auto"/>
        <w:rPr>
          <w:sz w:val="20"/>
          <w:szCs w:val="20"/>
          <w:color w:val="auto"/>
        </w:rPr>
      </w:pPr>
      <w:r>
        <w:rPr>
          <w:rFonts w:ascii="Times New Roman" w:cs="Times New Roman" w:eastAsia="Times New Roman" w:hAnsi="Times New Roman"/>
          <w:sz w:val="18"/>
          <w:szCs w:val="18"/>
          <w:color w:val="auto"/>
        </w:rPr>
        <w:t>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suppliers and vendors may engage in fraudulent conduct or other illegal activity. Misconduct by these parties could include intentional, reckless and/or negligent conduct or disclosure of unauthorized activities to us that violates: (i) FDA laws and regulations, including those laws that require the reporting of true, complete and accurate information to the FDA, (ii) manufacturing standards, (iii) federal and state healthcare fraud and abuse laws and regulations or (iv)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 including exclusion from government healthcare programs, and serious harm to our reputation.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in the United States, there have been and continue to be a number of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Healthcare reform initiatives recently culminated in the enactment of the Inflation Reduction Act, or IRA, in August 2022, which, among other things, allows HHS to directly negotiate the selling price of a statutorily specified number of drugs and biologics each year that CMS reimburses under Medicare Part B and Part D. Only high-expenditure single-source biologics that have been approved for at least 11 years (7 years for drugs) are eligible to be selected by CMS for negotiation, with the negotiated price taking effect two years after the selection year. Negotiations for Medicare Part D products take place in 2024 with the negotiated price taking effect in 2026, and negotiations for Medicare Part B products will begin in 2026 with the negotiated price taking effect in 2028. In August 2023, HHS announced the ten Medicare Part D drugs and biologics that it selected for negotiations. HHS will announce the negotiated maximum fair prices by September 1, 2024, and this price cap, which cannot exceed a statutory ceiling price, will go into effect on January 1, 2026. A drug or biological product that has an orphan drug designation for only one rare disease or condition will be excluded from the IRA’s price negotiation requirements, but will lose that exclusion if it receives designations for more than one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9" w:name="page40"/>
    <w:bookmarkEnd w:id="39"/>
    <w:p>
      <w:pPr>
        <w:ind w:right="80"/>
        <w:spacing w:after="0" w:line="253" w:lineRule="auto"/>
        <w:rPr>
          <w:sz w:val="20"/>
          <w:szCs w:val="20"/>
          <w:color w:val="auto"/>
        </w:rPr>
      </w:pPr>
      <w:r>
        <w:rPr>
          <w:rFonts w:ascii="Times New Roman" w:cs="Times New Roman" w:eastAsia="Times New Roman" w:hAnsi="Times New Roman"/>
          <w:sz w:val="18"/>
          <w:szCs w:val="18"/>
          <w:color w:val="auto"/>
        </w:rPr>
        <w:t>rare disease or condition, or if is approved for an indication that is not within that single designated rare disease or condition, unless such additional designation or such disqualifying approvals are withdrawn by the time CMS evaluates the drug for selection for negotiation. The negotiated prices will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multiple lawsuits. Thus, while it is unclear how the IRA will be implemented, it will likely have a significant impact on the pharmaceutical industry. It is unclear to what extent other statutory, regulatory, and administrative initiatives will be enacted and implemented, and to what extent these or any future legislation or regulations by the Biden administration or subsequent administrations will have on our business, including market acceptance, and sales, of our products and product candidates.</w:t>
      </w:r>
    </w:p>
    <w:p>
      <w:pPr>
        <w:spacing w:after="0" w:line="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FDA authorized the first such plan in Florida in January 2024.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2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75" w:lineRule="exact"/>
        <w:rPr>
          <w:sz w:val="20"/>
          <w:szCs w:val="20"/>
          <w:color w:val="auto"/>
        </w:rPr>
      </w:pPr>
    </w:p>
    <w:p>
      <w:pPr>
        <w:ind w:left="1000" w:right="100" w:hanging="368"/>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U.S. federal False Claims Act, which imposes criminal and civil</w:t>
      </w:r>
    </w:p>
    <w:p>
      <w:pPr>
        <w:spacing w:after="0" w:line="27" w:lineRule="exact"/>
        <w:rPr>
          <w:sz w:val="20"/>
          <w:szCs w:val="20"/>
          <w:color w:val="auto"/>
        </w:rPr>
      </w:pPr>
    </w:p>
    <w:p>
      <w:pPr>
        <w:ind w:left="1000"/>
        <w:spacing w:after="0" w:line="250" w:lineRule="auto"/>
        <w:rPr>
          <w:sz w:val="20"/>
          <w:szCs w:val="20"/>
          <w:color w:val="auto"/>
        </w:rPr>
      </w:pPr>
      <w:r>
        <w:rPr>
          <w:rFonts w:ascii="Times New Roman" w:cs="Times New Roman" w:eastAsia="Times New Roman" w:hAnsi="Times New Roman"/>
          <w:sz w:val="18"/>
          <w:szCs w:val="18"/>
          <w:color w:val="auto"/>
        </w:rPr>
        <w:t>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left="1000" w:right="160"/>
        <w:spacing w:after="0" w:line="282" w:lineRule="auto"/>
        <w:rPr>
          <w:sz w:val="20"/>
          <w:szCs w:val="20"/>
          <w:color w:val="auto"/>
        </w:rPr>
      </w:pPr>
      <w:r>
        <w:rPr>
          <w:rFonts w:ascii="Times New Roman" w:cs="Times New Roman" w:eastAsia="Times New Roman" w:hAnsi="Times New Roman"/>
          <w:sz w:val="18"/>
          <w:szCs w:val="18"/>
          <w:color w:val="auto"/>
        </w:rPr>
        <w:t>government. In addition, the government may assert that a claim including items and services resulting from a violation of the federal Anti-Kickback Statute constitutes a false or fraudulent claim for purposes of the False Claims Act;</w:t>
      </w:r>
    </w:p>
    <w:p>
      <w:pPr>
        <w:spacing w:after="0" w:line="54" w:lineRule="exact"/>
        <w:rPr>
          <w:sz w:val="20"/>
          <w:szCs w:val="20"/>
          <w:color w:val="auto"/>
        </w:rPr>
      </w:pPr>
    </w:p>
    <w:p>
      <w:pPr>
        <w:ind w:left="1000" w:right="20" w:hanging="368"/>
        <w:spacing w:after="0" w:line="258"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160" w:hanging="383"/>
        <w:spacing w:after="0" w:line="258"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5" w:lineRule="exact"/>
        <w:rPr>
          <w:rFonts w:ascii="Times New Roman" w:cs="Times New Roman" w:eastAsia="Times New Roman" w:hAnsi="Times New Roman"/>
          <w:sz w:val="18"/>
          <w:szCs w:val="18"/>
          <w:color w:val="auto"/>
        </w:rPr>
      </w:pPr>
    </w:p>
    <w:p>
      <w:pPr>
        <w:ind w:left="1000" w:right="760" w:hanging="36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customers;</w:t>
      </w:r>
    </w:p>
    <w:p>
      <w:pPr>
        <w:spacing w:after="0" w:line="53" w:lineRule="exact"/>
        <w:rPr>
          <w:rFonts w:ascii="Times New Roman" w:cs="Times New Roman" w:eastAsia="Times New Roman" w:hAnsi="Times New Roman"/>
          <w:sz w:val="18"/>
          <w:szCs w:val="18"/>
          <w:color w:val="auto"/>
        </w:rPr>
      </w:pPr>
    </w:p>
    <w:p>
      <w:pPr>
        <w:ind w:left="1000" w:right="100" w:hanging="368"/>
        <w:spacing w:after="0" w:line="277" w:lineRule="auto"/>
        <w:tabs>
          <w:tab w:leader="none" w:pos="10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59" w:lineRule="exact"/>
        <w:rPr>
          <w:rFonts w:ascii="Times New Roman" w:cs="Times New Roman" w:eastAsia="Times New Roman" w:hAnsi="Times New Roman"/>
          <w:sz w:val="17"/>
          <w:szCs w:val="17"/>
          <w:color w:val="auto"/>
        </w:rPr>
      </w:pPr>
    </w:p>
    <w:p>
      <w:pPr>
        <w:ind w:left="1000" w:hanging="368"/>
        <w:spacing w:after="0" w:line="25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State and local laws require the registration of pharmaceutical sales representatives.</w:t>
      </w:r>
    </w:p>
    <w:p>
      <w:pPr>
        <w:spacing w:after="0" w:line="187"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7"/>
          <w:szCs w:val="17"/>
          <w:color w:val="auto"/>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or the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p>
    <w:p>
      <w:pPr>
        <w:spacing w:after="0" w:line="18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1" w:name="page42"/>
    <w:bookmarkEnd w:id="41"/>
    <w:p>
      <w:pPr>
        <w:ind w:right="80"/>
        <w:spacing w:after="0" w:line="253" w:lineRule="auto"/>
        <w:rPr>
          <w:sz w:val="20"/>
          <w:szCs w:val="20"/>
          <w:color w:val="auto"/>
        </w:rPr>
      </w:pPr>
      <w:r>
        <w:rPr>
          <w:rFonts w:ascii="Times New Roman" w:cs="Times New Roman" w:eastAsia="Times New Roman" w:hAnsi="Times New Roman"/>
          <w:sz w:val="18"/>
          <w:szCs w:val="18"/>
          <w:color w:val="auto"/>
        </w:rPr>
        <w:t>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spacing w:after="0" w:line="19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0"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senior management and key clinical and scientific personnel, our business may be materially and adversely affected.</w:t>
      </w:r>
    </w:p>
    <w:p>
      <w:pPr>
        <w:spacing w:after="0" w:line="5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3"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3" w:name="page44"/>
    <w:bookmarkEnd w:id="43"/>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68" w:lineRule="exact"/>
        <w:rPr>
          <w:sz w:val="20"/>
          <w:szCs w:val="20"/>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right="160" w:hanging="38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spacing w:after="0" w:line="2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ind w:right="80" w:firstLine="8"/>
        <w:spacing w:after="0" w:line="25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30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75"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spacing w:after="0" w:line="20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We operate our ERP system and other key business systems on SaaS platforms. Accordingly, we depend on these systems, and the third-party providers of these services, for a number of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spacing w:after="0" w:line="28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such as recent step up of military exercises around Taiwan by China.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292"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spacing w:after="0" w:line="2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line="254" w:lineRule="auto"/>
        <w:rPr>
          <w:sz w:val="20"/>
          <w:szCs w:val="20"/>
          <w:color w:val="auto"/>
        </w:rPr>
      </w:pPr>
      <w:r>
        <w:rPr>
          <w:rFonts w:ascii="Times New Roman" w:cs="Times New Roman" w:eastAsia="Times New Roman" w:hAnsi="Times New Roman"/>
          <w:sz w:val="18"/>
          <w:szCs w:val="18"/>
          <w:color w:val="auto"/>
        </w:rPr>
        <w:t>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conducting business internationally.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72" w:lineRule="exact"/>
        <w:rPr>
          <w:sz w:val="20"/>
          <w:szCs w:val="20"/>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17" w:lineRule="exact"/>
        <w:rPr>
          <w:rFonts w:ascii="Times New Roman" w:cs="Times New Roman" w:eastAsia="Times New Roman" w:hAnsi="Times New Roman"/>
          <w:sz w:val="18"/>
          <w:szCs w:val="18"/>
          <w:color w:val="auto"/>
        </w:rPr>
      </w:pPr>
    </w:p>
    <w:p>
      <w:pPr>
        <w:ind w:left="1000" w:right="420" w:hanging="36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Additionally, in February 2022, armed conflict escalated between Russia and Ukraine, and in October 2023, armed conflict escalated between Israel and Hamas, including in the Gaza Strip. It is not possible to predict the broader consequences of these conflicts, which could include further sanctions, embargoes, greater regional instability, geopolitical shifts and other adverse effects on macroeconomic conditions, currency exchange rates, supply chains and financial markets. These and other risks associated with our international operations may materially adversely affect our ability to attain or maintain profitable operations.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outbreaks, including the COVID-19 pandemic, which could significantly disrupt our preclinical studies, affect enrollment of patients in our clinical trials or delay or prevent our receipt of necessary regulatory approvals.</w:t>
      </w:r>
    </w:p>
    <w:p>
      <w:pPr>
        <w:spacing w:after="0" w:line="5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which in the case of COVID-19 has occurred. Although the U.S. federal government has declared an end to the public health emergency related to the COVID-19 pandemic and many activities worldwide have returned to normal, the COVID-19 pandemic in the past has resulted in, and in the future may result in, governments implementing numerous containment measures, such as travel bans and restrictions, particularly quarantines, shelter-in-place or total lock-down orders and business limitations and shutdowns.</w:t>
      </w:r>
    </w:p>
    <w:p>
      <w:pPr>
        <w:spacing w:after="0" w:line="18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We are following, and plan to continue to follow, recommendations from federal, state and local governments regarding workplace policies, practices and procedures. We are complying with all applicable guidelines for our clinical trials, including remote clinical monitoring. We are continuing to monitor the potential impact of the pandemic, but even though many restrictions aimed at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right="100"/>
        <w:spacing w:after="0" w:line="282" w:lineRule="auto"/>
        <w:rPr>
          <w:sz w:val="20"/>
          <w:szCs w:val="20"/>
          <w:color w:val="auto"/>
        </w:rPr>
      </w:pPr>
      <w:r>
        <w:rPr>
          <w:rFonts w:ascii="Times New Roman" w:cs="Times New Roman" w:eastAsia="Times New Roman" w:hAnsi="Times New Roman"/>
          <w:sz w:val="18"/>
          <w:szCs w:val="18"/>
          <w:color w:val="auto"/>
        </w:rPr>
        <w:t>minimizing the spread of COVID-19 have been eased or lifted in the U.S. and other countries, we cannot be certain what the overall impact will be on our business, financial condition, results of operations and prospects.</w:t>
      </w:r>
    </w:p>
    <w:p>
      <w:pPr>
        <w:spacing w:after="0" w:line="16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COVID-19 pandemic in the past has had, and in the future may have, a severe effect on the clinical trials of many drug candidates of several sponsors. The extent to which the COVID-19 pandemic may impact our preclinical and clinical trial operations is uncertain and will depend on future developments, including the severity and duration of any resurgence of COVID-19 and its variants. To date, we have experienced modest business disruptions, including with respect to the clinical trials we are conducting, and non-material impairments as a result of the pandemic. A resurgence of COVID-19 or any of its variants could adversely impact our clinical trial operations, including our ability to recruit and retain patients and principal investigators and site staff who, as healthcare providers, may have heightened exposure to COVID-19 if an outbreak occurs in their geography.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our preclinical trials could be delayed and/or disrupted by the COVID-19 pandemic. As a result,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certain of our product candidates.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existing collaboration arrangements currently pose, and future collaborations involving our product candidates will pose, the following risks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99" w:lineRule="exact"/>
        <w:rPr>
          <w:sz w:val="20"/>
          <w:szCs w:val="20"/>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00" w:right="120" w:hanging="368"/>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00" w:right="44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00" w:right="40" w:hanging="36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00" w:right="520" w:hanging="36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8" w:name="page49"/>
    <w:bookmarkEnd w:id="48"/>
    <w:p>
      <w:pPr>
        <w:ind w:left="1000" w:hanging="36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00" w:right="6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jc w:val="both"/>
        <w:ind w:left="1020" w:right="360" w:hanging="38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67" w:lineRule="exact"/>
        <w:rPr>
          <w:rFonts w:ascii="Times New Roman" w:cs="Times New Roman" w:eastAsia="Times New Roman" w:hAnsi="Times New Roman"/>
          <w:sz w:val="18"/>
          <w:szCs w:val="18"/>
          <w:color w:val="auto"/>
        </w:rPr>
      </w:pPr>
    </w:p>
    <w:p>
      <w:pPr>
        <w:ind w:left="1020" w:right="680" w:hanging="38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53" w:lineRule="exact"/>
        <w:rPr>
          <w:rFonts w:ascii="Times New Roman" w:cs="Times New Roman" w:eastAsia="Times New Roman" w:hAnsi="Times New Roman"/>
          <w:sz w:val="18"/>
          <w:szCs w:val="18"/>
          <w:color w:val="auto"/>
        </w:rPr>
      </w:pPr>
    </w:p>
    <w:p>
      <w:pPr>
        <w:ind w:left="1000" w:right="160" w:hanging="36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sales and marketing activities or other operations may not be in compliance with applicable laws resulting in civil or criminal proceedings.</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28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6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29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Moreover, such arrangements are complex and time-consuming to negotiate, document and implement and they may require substantial resources to maintain.</w:t>
      </w:r>
    </w:p>
    <w:p>
      <w:pPr>
        <w:spacing w:after="0" w:line="187"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6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shortage of animals available for drug development due to an increase in demand from companies conducting research in the U.S., EU, and China.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79"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Additionally, in January 2024, there was congressional activity, including the introduction of the BIOSECURE Act in the House of Representatives and a substantially similar Senate bill. If these bills became law, or similar laws are passed, they would have the potential to severely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some business with companies in China and it is possible some of our contractual counterparties could be impacted by the legislation described above.</w:t>
      </w:r>
    </w:p>
    <w:p>
      <w:pPr>
        <w:spacing w:after="0" w:line="28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92"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right="440"/>
        <w:spacing w:after="0" w:line="282" w:lineRule="auto"/>
        <w:rPr>
          <w:sz w:val="20"/>
          <w:szCs w:val="20"/>
          <w:color w:val="auto"/>
        </w:rPr>
      </w:pPr>
      <w:r>
        <w:rPr>
          <w:rFonts w:ascii="Times New Roman" w:cs="Times New Roman" w:eastAsia="Times New Roman" w:hAnsi="Times New Roman"/>
          <w:sz w:val="18"/>
          <w:szCs w:val="18"/>
          <w:color w:val="auto"/>
        </w:rPr>
        <w:t>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6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72" w:lineRule="exact"/>
        <w:rPr>
          <w:sz w:val="20"/>
          <w:szCs w:val="20"/>
          <w:color w:val="auto"/>
        </w:rPr>
      </w:pPr>
    </w:p>
    <w:p>
      <w:pPr>
        <w:ind w:left="1000" w:hanging="36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6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117" w:lineRule="exact"/>
        <w:rPr>
          <w:rFonts w:ascii="Times New Roman" w:cs="Times New Roman" w:eastAsia="Times New Roman" w:hAnsi="Times New Roman"/>
          <w:sz w:val="18"/>
          <w:szCs w:val="18"/>
          <w:color w:val="auto"/>
        </w:rPr>
      </w:pPr>
    </w:p>
    <w:p>
      <w:pPr>
        <w:ind w:left="1000" w:right="660" w:hanging="36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not being properly identified;</w:t>
      </w:r>
    </w:p>
    <w:p>
      <w:pPr>
        <w:spacing w:after="0" w:line="53" w:lineRule="exact"/>
        <w:rPr>
          <w:rFonts w:ascii="Times New Roman" w:cs="Times New Roman" w:eastAsia="Times New Roman" w:hAnsi="Times New Roman"/>
          <w:sz w:val="18"/>
          <w:szCs w:val="18"/>
          <w:color w:val="auto"/>
        </w:rPr>
      </w:pPr>
    </w:p>
    <w:p>
      <w:pPr>
        <w:ind w:left="1020" w:right="60" w:hanging="38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29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88"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firstLine="509"/>
        <w:spacing w:after="0" w:line="252"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For example, the extent to which the COVID-19 pandemic impacts the ability to procure sufficient supplies for the development of our product candidates will depend on future developments, including the severity and duration of any resurgence of COVID-19 and its variants.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88"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spacing w:after="0" w:line="79" w:lineRule="exact"/>
        <w:rPr>
          <w:sz w:val="20"/>
          <w:szCs w:val="20"/>
          <w:color w:val="auto"/>
        </w:rPr>
      </w:pPr>
    </w:p>
    <w:p>
      <w:pPr>
        <w:ind w:left="1000" w:hanging="36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maintain, protect and enforce intellectual property protection for our technologies and product candidates.</w:t>
      </w:r>
    </w:p>
    <w:p>
      <w:pPr>
        <w:spacing w:after="0" w:line="117" w:lineRule="exact"/>
        <w:rPr>
          <w:rFonts w:ascii="Times New Roman" w:cs="Times New Roman" w:eastAsia="Times New Roman" w:hAnsi="Times New Roman"/>
          <w:sz w:val="18"/>
          <w:szCs w:val="18"/>
          <w:color w:val="auto"/>
        </w:rPr>
      </w:pPr>
    </w:p>
    <w:p>
      <w:pPr>
        <w:ind w:left="1000" w:right="26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00" w:right="460" w:hanging="36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5540" w:right="220" w:hanging="4908"/>
        <w:spacing w:after="0" w:line="282" w:lineRule="auto"/>
        <w:tabs>
          <w:tab w:leader="none" w:pos="10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file patent applications covering certain aspects of our inventions.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1000" w:right="68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that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 or will not be challenged by third parties.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or in-license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may license will lead to issued patents.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1000" w:right="20" w:hanging="36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9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t>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protect our competitive position on our product candidates for an adequate amount of time.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September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spacing w:after="0" w:line="192"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240"/>
        <w:spacing w:after="0" w:line="282" w:lineRule="auto"/>
        <w:rPr>
          <w:sz w:val="20"/>
          <w:szCs w:val="20"/>
          <w:color w:val="auto"/>
        </w:rPr>
      </w:pPr>
      <w:r>
        <w:rPr>
          <w:rFonts w:ascii="Times New Roman" w:cs="Times New Roman" w:eastAsia="Times New Roman" w:hAnsi="Times New Roman"/>
          <w:sz w:val="18"/>
          <w:szCs w:val="18"/>
          <w:color w:val="auto"/>
        </w:rPr>
        <w:t>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spacing w:after="0" w:line="20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8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67" w:lineRule="exact"/>
        <w:rPr>
          <w:sz w:val="20"/>
          <w:szCs w:val="20"/>
          <w:color w:val="auto"/>
        </w:rPr>
      </w:pPr>
    </w:p>
    <w:p>
      <w:pPr>
        <w:jc w:val="both"/>
        <w:ind w:firstLine="509"/>
        <w:spacing w:after="0" w:line="272"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83" w:lineRule="exact"/>
        <w:rPr>
          <w:sz w:val="20"/>
          <w:szCs w:val="20"/>
          <w:color w:val="auto"/>
        </w:rPr>
      </w:pPr>
    </w:p>
    <w:p>
      <w:pPr>
        <w:ind w:right="220" w:firstLine="509"/>
        <w:spacing w:after="0" w:line="257"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80"/>
        <w:spacing w:after="0" w:line="266" w:lineRule="auto"/>
        <w:rPr>
          <w:sz w:val="20"/>
          <w:szCs w:val="20"/>
          <w:color w:val="auto"/>
        </w:rPr>
      </w:pPr>
      <w:r>
        <w:rPr>
          <w:rFonts w:ascii="Times New Roman" w:cs="Times New Roman" w:eastAsia="Times New Roman" w:hAnsi="Times New Roman"/>
          <w:sz w:val="18"/>
          <w:szCs w:val="18"/>
          <w:color w:val="auto"/>
        </w:rPr>
        <w:t>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9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or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9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2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spacing w:after="0" w:line="296"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annual and quarterly fluctuations. Our net loss and other operating results will be affected by numerous factors, including, among others:</w:t>
      </w:r>
    </w:p>
    <w:p>
      <w:pPr>
        <w:spacing w:after="0" w:line="54" w:lineRule="exact"/>
        <w:rPr>
          <w:sz w:val="20"/>
          <w:szCs w:val="20"/>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and any potential additional collaborations, licensing or similar arrangements;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00" w:right="24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common stock could decline substantially.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fluctuations in our operating results may, in turn, cause the price of our stock to fluctuate substantially.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54" w:lineRule="exact"/>
        <w:rPr>
          <w:sz w:val="20"/>
          <w:szCs w:val="20"/>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our clinical trials or those of our competitors;</w:t>
      </w:r>
    </w:p>
    <w:p>
      <w:pPr>
        <w:spacing w:after="0" w:line="117" w:lineRule="exact"/>
        <w:rPr>
          <w:rFonts w:ascii="Times New Roman" w:cs="Times New Roman" w:eastAsia="Times New Roman" w:hAnsi="Times New Roman"/>
          <w:sz w:val="18"/>
          <w:szCs w:val="18"/>
          <w:color w:val="auto"/>
        </w:rPr>
      </w:pPr>
    </w:p>
    <w:p>
      <w:pPr>
        <w:ind w:left="1000" w:right="66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right="48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current or future collaborators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or the restructuring or termination of current collaboration agreements;</w:t>
      </w:r>
    </w:p>
    <w:p>
      <w:pPr>
        <w:spacing w:after="0" w:line="117" w:lineRule="exact"/>
        <w:rPr>
          <w:rFonts w:ascii="Times New Roman" w:cs="Times New Roman" w:eastAsia="Times New Roman" w:hAnsi="Times New Roman"/>
          <w:sz w:val="18"/>
          <w:szCs w:val="18"/>
          <w:color w:val="auto"/>
        </w:rPr>
      </w:pPr>
    </w:p>
    <w:p>
      <w:pPr>
        <w:ind w:left="1000" w:right="48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preclinical studies, clinical trials,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those regarding manufacturing, supply and commercialization of our products;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16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hanging="36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analysts’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such as the COVID-19 pandemic;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jc w:val="both"/>
        <w:ind w:right="500" w:firstLine="509"/>
        <w:spacing w:after="0" w:line="257"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 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spacing w:after="0" w:line="29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executive officers and directors, together with holders of 5% or more of our outstanding common stock and their respective affiliates, beneficially own approximately 45.4% of our outstanding common stock. More specifically, Jay M. Short, Ph.D, our Chairman and Chief Executive Officer, together with his spouse, beneficially own approximately 7.21%, of our outstanding common stock, as of March 31, 2024.</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registered the offer and sale of all shares of common stock that we may issue under our equity compensation plans, which shares will be able to be sold in the public market upon issuance, subject to applicable securities laws.</w:t>
      </w: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5" w:lineRule="exact"/>
        <w:rPr>
          <w:sz w:val="20"/>
          <w:szCs w:val="20"/>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00" w:right="200" w:hanging="36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53"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00" w:hanging="36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attract and retain qualified members of our board of directors may be impacted due to new state laws, including recently enacted diversity quotas.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2018, California enacted SB 826 requiring public companies headquartered in California to maintain minimum female representation on their boards of directors as follows: by the end of 2019, at least one woman on its board, by the end of 2020, public company boards with five members will be required to have at least two female directors, and public company boards with six or more members will be required to have at least three female directors.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2020, California enacted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w:t>
      </w:r>
    </w:p>
    <w:p>
      <w:pPr>
        <w:spacing w:after="0" w:line="6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to that initial 2021 requirement, the law mandated that the number of directors from underrepresented communities be increased by the end of calendar year 2022, depending on the size of the board.</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the Company is subject to the listing rules from Nasdaq related to board diversity and disclosure, which require all companies listed on Nasdaq’s U.S. exchanges to publicly disclose consistent, transparent diversity statistics regarding their board of directors. Additionally, the rules require most Nasdaq-listed companies to have, or explain why they do not have, at least two diverse directors, including one who self-identifies as female and one who self-identifies as either an underrepresented minority or LGBTQ+.</w:t>
      </w:r>
    </w:p>
    <w:p>
      <w:pPr>
        <w:spacing w:after="0" w:line="7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the California laws or Nasdaq rules, which may expose us to penalties and/or reputational harm.</w:t>
      </w:r>
    </w:p>
    <w:p>
      <w:pPr>
        <w:spacing w:after="0" w:line="28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 proper and effective internal controls, our ability to produce accurate financial statements on a timely basis could be impaired.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as a public company, we are required to incur costs and obligations in order to comply with SEC rules that implement Section 404 of the Sarbanes-Oxley Act. Under these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2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20" w:type="dxa"/>
            <w:vAlign w:val="bottom"/>
            <w:gridSpan w:val="10"/>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520" w:type="dxa"/>
            <w:vAlign w:val="bottom"/>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Exhibit Filing Date</w:t>
            </w:r>
          </w:p>
        </w:tc>
        <w:tc>
          <w:tcPr>
            <w:tcW w:w="12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File/Furnished</w:t>
            </w:r>
          </w:p>
        </w:tc>
        <w:tc>
          <w:tcPr>
            <w:tcW w:w="0" w:type="dxa"/>
            <w:vAlign w:val="bottom"/>
          </w:tcPr>
          <w:p>
            <w:pPr>
              <w:spacing w:after="0"/>
              <w:rPr>
                <w:sz w:val="1"/>
                <w:szCs w:val="1"/>
                <w:color w:val="auto"/>
              </w:rPr>
            </w:pPr>
          </w:p>
        </w:tc>
      </w:tr>
      <w:tr>
        <w:trPr>
          <w:trHeight w:val="187"/>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10"/>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2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4020" w:type="dxa"/>
            <w:vAlign w:val="bottom"/>
            <w:gridSpan w:val="1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Bylaws of BioAtla, Inc.</w:t>
              </w:r>
            </w:hyperlink>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001-39787</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3.1</w:t>
            </w: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4/24/2024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China Clinical Trial Services Agreement, dated April 8,</w:t>
            </w: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2022, by and between BioAtla, Inc. and Himalaya</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Therapeutics Limited Company, as amended</w:t>
            </w:r>
            <w:r>
              <w:rPr>
                <w:rFonts w:ascii="Times New Roman" w:cs="Times New Roman" w:eastAsia="Times New Roman" w:hAnsi="Times New Roman"/>
                <w:sz w:val="18"/>
                <w:szCs w:val="18"/>
                <w:color w:val="000000"/>
              </w:rPr>
              <w:t>.</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Form of Restricted Stock Unit Agreement</w:t>
            </w: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9"/>
                <w:szCs w:val="19"/>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as Adopted Pursuant to</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06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9"/>
                <w:szCs w:val="19"/>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w:t>
            </w: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gridSpan w:val="8"/>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1"/>
                <w:szCs w:val="21"/>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materials from BioAtla’s Quarterly</w:t>
            </w: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Report on Form 10-Q for the quarter ended March 31,</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2024, formatted in iXBRL (inline eXtensible Business</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Reporting Language): (i) the Condensed Balance</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Sheets, (ii) the Condensed Statements of Operations</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and Comprehensive Loss, (iii) the Condensed</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Statements of Stockholders’ Equity (iv) the Condensed</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Statements of Cash Flows, and (v) Notes to Condensed</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Financial Statements, tagged as blocks of text and</w:t>
            </w: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including detailed tags.</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document and contained in exhibit 101).</w:t>
            </w:r>
          </w:p>
        </w:tc>
        <w:tc>
          <w:tcPr>
            <w:tcW w:w="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and not filed.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left="160" w:right="500" w:hanging="152"/>
        <w:spacing w:after="0" w:line="261" w:lineRule="auto"/>
        <w:tabs>
          <w:tab w:leader="none" w:pos="1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Item 601(b)(10)(iv) of Regulation S-K. Annexes have been omitted pursuant to Item 601(a)(5).</w:t>
      </w: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Company Name</w:t>
            </w:r>
          </w:p>
        </w:tc>
        <w:tc>
          <w:tcPr>
            <w:tcW w:w="4320" w:type="dxa"/>
            <w:vAlign w:val="bottom"/>
          </w:tcPr>
          <w:p>
            <w:pPr>
              <w:spacing w:after="0"/>
              <w:rPr>
                <w:sz w:val="20"/>
                <w:szCs w:val="20"/>
                <w:color w:val="auto"/>
              </w:rPr>
            </w:pPr>
          </w:p>
        </w:tc>
      </w:tr>
      <w:tr>
        <w:trPr>
          <w:trHeight w:val="47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14, 2024</w:t>
            </w:r>
          </w:p>
        </w:tc>
        <w:tc>
          <w:tcPr>
            <w:tcW w:w="3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 Jay M. Short, Ph.D.</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ind w:left="1000"/>
              <w:spacing w:after="0" w:line="205" w:lineRule="exact"/>
              <w:rPr>
                <w:sz w:val="20"/>
                <w:szCs w:val="20"/>
                <w:color w:val="auto"/>
              </w:rPr>
            </w:pPr>
            <w:r>
              <w:rPr>
                <w:rFonts w:ascii="Times New Roman" w:cs="Times New Roman" w:eastAsia="Times New Roman" w:hAnsi="Times New Roman"/>
                <w:sz w:val="18"/>
                <w:szCs w:val="18"/>
                <w:color w:val="auto"/>
              </w:rPr>
              <w:t>Jay M. Short, Ph.D.</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14, 2024</w:t>
            </w:r>
          </w:p>
        </w:tc>
        <w:tc>
          <w:tcPr>
            <w:tcW w:w="34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 Richard A. Waldron</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ind w:left="1000"/>
              <w:spacing w:after="0" w:line="205" w:lineRule="exact"/>
              <w:rPr>
                <w:sz w:val="20"/>
                <w:szCs w:val="20"/>
                <w:color w:val="auto"/>
              </w:rPr>
            </w:pPr>
            <w:r>
              <w:rPr>
                <w:rFonts w:ascii="Times New Roman" w:cs="Times New Roman" w:eastAsia="Times New Roman" w:hAnsi="Times New Roman"/>
                <w:sz w:val="18"/>
                <w:szCs w:val="18"/>
                <w:color w:val="auto"/>
              </w:rPr>
              <w:t>Richard A. Waldron</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3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45"/>
        </w:trPr>
        <w:tc>
          <w:tcPr>
            <w:tcW w:w="3500" w:type="dxa"/>
            <w:vAlign w:val="bottom"/>
          </w:tcPr>
          <w:p>
            <w:pPr>
              <w:spacing w:after="0"/>
              <w:rPr>
                <w:sz w:val="24"/>
                <w:szCs w:val="24"/>
                <w:color w:val="auto"/>
              </w:rPr>
            </w:pPr>
          </w:p>
        </w:tc>
        <w:tc>
          <w:tcPr>
            <w:tcW w:w="2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w:t>
            </w:r>
          </w:p>
        </w:tc>
        <w:tc>
          <w:tcPr>
            <w:tcW w:w="9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line="296" w:lineRule="auto"/>
        <w:rPr>
          <w:sz w:val="20"/>
          <w:szCs w:val="20"/>
          <w:color w:val="auto"/>
        </w:rPr>
      </w:pPr>
      <w:r>
        <w:rPr>
          <w:rFonts w:ascii="Arial" w:cs="Arial" w:eastAsia="Arial" w:hAnsi="Arial"/>
          <w:sz w:val="16"/>
          <w:szCs w:val="16"/>
          <w:b w:val="1"/>
          <w:b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CHINA CLINICAL TRIAL SERVICES AGREEMENT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China Clinical Trial Services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made as of this 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day of April 2022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by and between BioAtla, Inc. (“</w:t>
      </w:r>
      <w:r>
        <w:rPr>
          <w:rFonts w:ascii="Times New Roman" w:cs="Times New Roman" w:eastAsia="Times New Roman" w:hAnsi="Times New Roman"/>
          <w:sz w:val="17"/>
          <w:szCs w:val="17"/>
          <w:b w:val="1"/>
          <w:bCs w:val="1"/>
          <w:color w:val="auto"/>
        </w:rPr>
        <w:t>BioAtla</w:t>
      </w:r>
      <w:r>
        <w:rPr>
          <w:rFonts w:ascii="Times New Roman" w:cs="Times New Roman" w:eastAsia="Times New Roman" w:hAnsi="Times New Roman"/>
          <w:sz w:val="17"/>
          <w:szCs w:val="17"/>
          <w:color w:val="auto"/>
        </w:rPr>
        <w:t>”), a Delaware corporation having a place of business at 11085 Torreyana Road, San Diego, CA 92121 and Himalaya Therapeutics Limited Company, a company organized under the laws of Shanghai, having a registered office 3rd Floor, Building 2, No. 200 Zhangheng Road, China (Shanghai) Pilot Free Trade Zone (“</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BioAtla and Sponsor are each referred to herein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w:t>
      </w:r>
    </w:p>
    <w:p>
      <w:pPr>
        <w:spacing w:after="0" w:line="225" w:lineRule="exact"/>
        <w:rPr>
          <w:sz w:val="20"/>
          <w:szCs w:val="20"/>
          <w:color w:val="auto"/>
        </w:rPr>
      </w:pPr>
    </w:p>
    <w:p>
      <w:pPr>
        <w:ind w:right="200" w:firstLine="749"/>
        <w:spacing w:after="0" w:line="291" w:lineRule="auto"/>
        <w:rPr>
          <w:sz w:val="20"/>
          <w:szCs w:val="20"/>
          <w:color w:val="auto"/>
        </w:rPr>
      </w:pPr>
      <w:r>
        <w:rPr>
          <w:rFonts w:ascii="Times New Roman" w:cs="Times New Roman" w:eastAsia="Times New Roman" w:hAnsi="Times New Roman"/>
          <w:sz w:val="17"/>
          <w:szCs w:val="17"/>
          <w:color w:val="auto"/>
        </w:rPr>
        <w:t>BioAtla and Sponsor are parties to an Exclusive Rights Agreement effective January 1, 2020 (the “</w:t>
      </w:r>
      <w:r>
        <w:rPr>
          <w:rFonts w:ascii="Times New Roman" w:cs="Times New Roman" w:eastAsia="Times New Roman" w:hAnsi="Times New Roman"/>
          <w:sz w:val="17"/>
          <w:szCs w:val="17"/>
          <w:b w:val="1"/>
          <w:bCs w:val="1"/>
          <w:color w:val="auto"/>
        </w:rPr>
        <w:t>Exclusive Rights Agreement</w:t>
      </w:r>
      <w:r>
        <w:rPr>
          <w:rFonts w:ascii="Times New Roman" w:cs="Times New Roman" w:eastAsia="Times New Roman" w:hAnsi="Times New Roman"/>
          <w:sz w:val="17"/>
          <w:szCs w:val="17"/>
          <w:color w:val="auto"/>
        </w:rPr>
        <w:t>”) pursuant to which, among other things, BioAtla has licensed rights to certain of its proprietary pharmaceutical drug portfolio in the People’s Republic of China (the “</w:t>
      </w:r>
      <w:r>
        <w:rPr>
          <w:rFonts w:ascii="Times New Roman" w:cs="Times New Roman" w:eastAsia="Times New Roman" w:hAnsi="Times New Roman"/>
          <w:sz w:val="17"/>
          <w:szCs w:val="17"/>
          <w:b w:val="1"/>
          <w:bCs w:val="1"/>
          <w:color w:val="auto"/>
        </w:rPr>
        <w:t>PRC Territory</w:t>
      </w:r>
      <w:r>
        <w:rPr>
          <w:rFonts w:ascii="Times New Roman" w:cs="Times New Roman" w:eastAsia="Times New Roman" w:hAnsi="Times New Roman"/>
          <w:sz w:val="17"/>
          <w:szCs w:val="17"/>
          <w:color w:val="auto"/>
        </w:rPr>
        <w:t>”), and the Special Administrative Regions of Hong Kong and Macao, and Taiwan (collectively, the “</w:t>
      </w:r>
      <w:r>
        <w:rPr>
          <w:rFonts w:ascii="Times New Roman" w:cs="Times New Roman" w:eastAsia="Times New Roman" w:hAnsi="Times New Roman"/>
          <w:sz w:val="17"/>
          <w:szCs w:val="17"/>
          <w:b w:val="1"/>
          <w:bCs w:val="1"/>
          <w:color w:val="auto"/>
        </w:rPr>
        <w:t>Himalaya Territory</w:t>
      </w:r>
      <w:r>
        <w:rPr>
          <w:rFonts w:ascii="Times New Roman" w:cs="Times New Roman" w:eastAsia="Times New Roman" w:hAnsi="Times New Roman"/>
          <w:sz w:val="17"/>
          <w:szCs w:val="17"/>
          <w:color w:val="auto"/>
        </w:rPr>
        <w:t>”) to Sponsor.</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BioAtla is advancing potentially registration-enabling Phase II Clinical Trial studies for ozuriftamab vedotin, which is internally referred to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BioAtla as BA3021 (“</w:t>
      </w:r>
      <w:r>
        <w:rPr>
          <w:rFonts w:ascii="Times New Roman" w:cs="Times New Roman" w:eastAsia="Times New Roman" w:hAnsi="Times New Roman"/>
          <w:sz w:val="18"/>
          <w:szCs w:val="18"/>
          <w:b w:val="1"/>
          <w:bCs w:val="1"/>
          <w:color w:val="auto"/>
        </w:rPr>
        <w:t>BA3021</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These clinical trial activities include:</w:t>
      </w:r>
    </w:p>
    <w:p>
      <w:pPr>
        <w:spacing w:after="0" w:line="207" w:lineRule="exact"/>
        <w:rPr>
          <w:sz w:val="20"/>
          <w:szCs w:val="20"/>
          <w:color w:val="auto"/>
        </w:rPr>
      </w:pPr>
    </w:p>
    <w:p>
      <w:pPr>
        <w:ind w:left="1500" w:right="260" w:firstLine="754"/>
        <w:spacing w:after="0" w:line="282" w:lineRule="auto"/>
        <w:tabs>
          <w:tab w:leader="none" w:pos="254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BioAtla is currently conducting, independent of Sponsor, clinical trials for the Product in the Hong Kong and Taiwan regions of the Himalaya Territory.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BioAtla wishes to engage Sponsor to assist in conducting clinical trials for the Product in the PRC Territory as more specifically described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color w:val="auto"/>
        </w:rPr>
        <w:t>PRC Clinical Trial Activities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1500" w:right="240" w:firstLine="754"/>
        <w:spacing w:after="0" w:line="254" w:lineRule="auto"/>
        <w:tabs>
          <w:tab w:leader="none" w:pos="25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conduct the PRC Clinical Trial Activities, BioAtla will need to acquire, directly or indirectly, an investigational new drug authorization in the PRC Territory (together with all supplements, amendments, variations, extensions and renewals thereof that may be filed with respect to the foregoing a “</w:t>
      </w:r>
      <w:r>
        <w:rPr>
          <w:rFonts w:ascii="Times New Roman" w:cs="Times New Roman" w:eastAsia="Times New Roman" w:hAnsi="Times New Roman"/>
          <w:sz w:val="18"/>
          <w:szCs w:val="18"/>
          <w:b w:val="1"/>
          <w:bCs w:val="1"/>
          <w:color w:val="auto"/>
        </w:rPr>
        <w:t>PRC IND</w:t>
      </w:r>
      <w:r>
        <w:rPr>
          <w:rFonts w:ascii="Times New Roman" w:cs="Times New Roman" w:eastAsia="Times New Roman" w:hAnsi="Times New Roman"/>
          <w:sz w:val="18"/>
          <w:szCs w:val="18"/>
          <w:color w:val="auto"/>
        </w:rPr>
        <w:t>”) granted by the National Medical Product Administration of China (formerly known as China Food and Drug Administration) and any successor Regulatory Authority having substantially the same function (the “</w:t>
      </w:r>
      <w:r>
        <w:rPr>
          <w:rFonts w:ascii="Times New Roman" w:cs="Times New Roman" w:eastAsia="Times New Roman" w:hAnsi="Times New Roman"/>
          <w:sz w:val="18"/>
          <w:szCs w:val="18"/>
          <w:b w:val="1"/>
          <w:bCs w:val="1"/>
          <w:color w:val="auto"/>
        </w:rPr>
        <w:t>NMPA</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1500" w:right="80" w:firstLine="754"/>
        <w:spacing w:after="0" w:line="260" w:lineRule="auto"/>
        <w:tabs>
          <w:tab w:leader="none" w:pos="25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Sponsor currently is the holder of a PRC IND for BA3021, BioAtla wishes to engage the services of Sponsor set forth in Annex B attached hereto and made a part hereof, to advance the clinical trial work for the Product set forth.</w:t>
      </w:r>
    </w:p>
    <w:p>
      <w:pPr>
        <w:spacing w:after="0" w:line="18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Pursuant to Section 3.8(a) of the Exclusive Rights Agreement, BioAtla is entitled to engage Sponsor as the sponsor for, and to reasonably assist BioAtla subject to payments provided for in Section 8, PRC Clinical Trial Activities, and hereby elects to do so based upon the terms and conditions set forth in the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following mutual promises, covenants and conditions, the Parties, intending to be legally bound, mutually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8" w:name="page69"/>
    <w:bookmarkEnd w:id="68"/>
    <w:p>
      <w:pPr>
        <w:ind w:left="480" w:right="300" w:hanging="459"/>
        <w:spacing w:after="0" w:line="286" w:lineRule="auto"/>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all purposes of this Agreement, the capitalized terms defined in this Article 1 and throughout this Agreement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herein specified. Any capitalized terms not defined herein shall have the meanings set forth in the Exclusive Rights Agreement.</w:t>
      </w:r>
    </w:p>
    <w:p>
      <w:pPr>
        <w:spacing w:after="0" w:line="60" w:lineRule="exact"/>
        <w:rPr>
          <w:sz w:val="20"/>
          <w:szCs w:val="20"/>
          <w:color w:val="auto"/>
        </w:rPr>
      </w:pPr>
    </w:p>
    <w:p>
      <w:pPr>
        <w:ind w:left="520" w:right="220"/>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w:t>
      </w:r>
      <w:r>
        <w:rPr>
          <w:rFonts w:ascii="Times New Roman" w:cs="Times New Roman" w:eastAsia="Times New Roman" w:hAnsi="Times New Roman"/>
          <w:sz w:val="17"/>
          <w:szCs w:val="17"/>
          <w:color w:val="auto"/>
        </w:rPr>
        <w:t>” means applicable federal, state, local, national and supra-national laws, statutes, rules and regulations of a Regulatory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Authority, including any rules, regulations, guidelines or other requirements of any Regulatory Authority, that may be in effect from time to time during the Term and applicable to a particular activity hereunder, including: export control and economic sanctions regulations which prohibit the shipment of United States origin products and technology to certain restricted countries, entities and individuals; all applicable data protection requirements such as those specified in the EU Data Protection Directive (if applicable) and the regulations issued under the United States Health Insurance Portability and Accountability Act of 1996 (“</w:t>
      </w:r>
      <w:r>
        <w:rPr>
          <w:rFonts w:ascii="Times New Roman" w:cs="Times New Roman" w:eastAsia="Times New Roman" w:hAnsi="Times New Roman"/>
          <w:sz w:val="17"/>
          <w:szCs w:val="17"/>
          <w:b w:val="1"/>
          <w:bCs w:val="1"/>
          <w:color w:val="auto"/>
        </w:rPr>
        <w:t>HIPAA</w:t>
      </w:r>
      <w:r>
        <w:rPr>
          <w:rFonts w:ascii="Times New Roman" w:cs="Times New Roman" w:eastAsia="Times New Roman" w:hAnsi="Times New Roman"/>
          <w:sz w:val="17"/>
          <w:szCs w:val="17"/>
          <w:color w:val="auto"/>
        </w:rPr>
        <w:t>”) and the General Data Protection Regulation (EU) 2016/679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cGMP</w:t>
      </w:r>
      <w:r>
        <w:rPr>
          <w:rFonts w:ascii="Times New Roman" w:cs="Times New Roman" w:eastAsia="Times New Roman" w:hAnsi="Times New Roman"/>
          <w:sz w:val="18"/>
          <w:szCs w:val="18"/>
          <w:color w:val="auto"/>
        </w:rPr>
        <w:t>” means the current Good Manufacturing Practices officially published and interpreted by EMA, FDA and other applicable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 that may be in effect from time to time and are applicable to the Manufacture of the Product.</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CRO</w:t>
      </w:r>
      <w:r>
        <w:rPr>
          <w:rFonts w:ascii="Times New Roman" w:cs="Times New Roman" w:eastAsia="Times New Roman" w:hAnsi="Times New Roman"/>
          <w:sz w:val="18"/>
          <w:szCs w:val="18"/>
          <w:color w:val="auto"/>
        </w:rPr>
        <w:t>” means contract research organizations designated from time to time as contemplated by this Agreement.</w:t>
      </w:r>
    </w:p>
    <w:p>
      <w:pPr>
        <w:spacing w:after="0" w:line="117" w:lineRule="exact"/>
        <w:rPr>
          <w:sz w:val="20"/>
          <w:szCs w:val="20"/>
          <w:color w:val="auto"/>
        </w:rPr>
      </w:pPr>
    </w:p>
    <w:p>
      <w:pPr>
        <w:jc w:val="both"/>
        <w:ind w:left="520"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means the Good Clinical Practices officially published by EMA, FDA and the International Conference on Harmonisation of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for Registration of Pharmaceuticals for Human Use (ICH) that may be in effect from time to time and are applicable to the testing of the Product.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has the meaning set forth in the definition of Applicable Law.</w:t>
      </w:r>
    </w:p>
    <w:p>
      <w:pPr>
        <w:spacing w:after="0" w:line="117" w:lineRule="exact"/>
        <w:rPr>
          <w:sz w:val="20"/>
          <w:szCs w:val="20"/>
          <w:color w:val="auto"/>
        </w:rPr>
      </w:pPr>
    </w:p>
    <w:p>
      <w:pPr>
        <w:ind w:left="520"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Non-Conformance</w:t>
      </w:r>
      <w:r>
        <w:rPr>
          <w:rFonts w:ascii="Times New Roman" w:cs="Times New Roman" w:eastAsia="Times New Roman" w:hAnsi="Times New Roman"/>
          <w:sz w:val="18"/>
          <w:szCs w:val="18"/>
          <w:color w:val="auto"/>
        </w:rPr>
        <w:t>” means, with respect to any Product, such Product deviates from (a) the applicable specifications for such Product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Study or (b) any Applicable Law, including cGMP or health, safety or environmental protections.</w:t>
      </w:r>
    </w:p>
    <w:p>
      <w:pPr>
        <w:spacing w:after="0" w:line="47" w:lineRule="exact"/>
        <w:rPr>
          <w:sz w:val="20"/>
          <w:szCs w:val="20"/>
          <w:color w:val="auto"/>
        </w:rPr>
      </w:pPr>
    </w:p>
    <w:p>
      <w:pPr>
        <w:ind w:left="520" w:right="6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individual, sole proprietorship, partnership, corporation, business trust, joint stock company, trust, unincorporated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association, limited liability company, institution, public benefit corporation, joint venture, entity or governmental entity.</w:t>
      </w:r>
    </w:p>
    <w:p>
      <w:pPr>
        <w:spacing w:after="0" w:line="24" w:lineRule="exact"/>
        <w:rPr>
          <w:sz w:val="20"/>
          <w:szCs w:val="20"/>
          <w:color w:val="auto"/>
        </w:rPr>
      </w:pPr>
    </w:p>
    <w:p>
      <w:pPr>
        <w:ind w:left="520"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Pharmacovigilance Agreement</w:t>
      </w:r>
      <w:r>
        <w:rPr>
          <w:rFonts w:ascii="Times New Roman" w:cs="Times New Roman" w:eastAsia="Times New Roman" w:hAnsi="Times New Roman"/>
          <w:sz w:val="18"/>
          <w:szCs w:val="18"/>
          <w:color w:val="auto"/>
        </w:rPr>
        <w:t>” means a pharmacovigilance agreement entered into by the Parties for a particular Study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safety information related to a Product pursuant to this Agreement.</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means a written protocol created for a particular Study as set forth in the Study Plan, that will be used in the Study.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Protocol Synopsis</w:t>
      </w:r>
      <w:r>
        <w:rPr>
          <w:rFonts w:ascii="Times New Roman" w:cs="Times New Roman" w:eastAsia="Times New Roman" w:hAnsi="Times New Roman"/>
          <w:sz w:val="18"/>
          <w:szCs w:val="18"/>
          <w:color w:val="auto"/>
        </w:rPr>
        <w:t>” means a written summary of the Protocol.</w:t>
      </w:r>
    </w:p>
    <w:p>
      <w:pPr>
        <w:spacing w:after="0" w:line="117" w:lineRule="exact"/>
        <w:rPr>
          <w:sz w:val="20"/>
          <w:szCs w:val="20"/>
          <w:color w:val="auto"/>
        </w:rPr>
      </w:pPr>
    </w:p>
    <w:p>
      <w:pPr>
        <w:ind w:left="520"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 federal, national, multinational, state, provincial or local regulatory agency, department, bureau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entity with authority over the testing, manufacture, use, storage, import, promotion, marketing or sale (including pricing and reimbursement approval) of a Product in a country or territory.</w:t>
      </w:r>
    </w:p>
    <w:p>
      <w:pPr>
        <w:spacing w:after="0" w:line="63" w:lineRule="exact"/>
        <w:rPr>
          <w:sz w:val="20"/>
          <w:szCs w:val="20"/>
          <w:color w:val="auto"/>
        </w:rPr>
      </w:pPr>
    </w:p>
    <w:p>
      <w:pP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 Party, its Affiliates or any employees, directors, contractors, agents or consultants of such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w:t>
      </w:r>
    </w:p>
    <w:p>
      <w:pPr>
        <w:spacing w:after="0" w:line="47" w:lineRule="exact"/>
        <w:rPr>
          <w:sz w:val="20"/>
          <w:szCs w:val="20"/>
          <w:color w:val="auto"/>
        </w:rPr>
      </w:pPr>
    </w:p>
    <w:p>
      <w:pPr>
        <w:ind w:left="520"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w:t>
      </w:r>
      <w:r>
        <w:rPr>
          <w:rFonts w:ascii="Times New Roman" w:cs="Times New Roman" w:eastAsia="Times New Roman" w:hAnsi="Times New Roman"/>
          <w:sz w:val="18"/>
          <w:szCs w:val="18"/>
          <w:color w:val="auto"/>
        </w:rPr>
        <w:t>” means each clinical trial to be conducted under this Agreement pursuant to a Study Plan involving a Product for the treatment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as specifically described in the applicable Protocol; it being understood and agreed that the first Study is the Global Initial Study defined in Section 1.16 below.</w:t>
      </w:r>
    </w:p>
    <w:p>
      <w:pPr>
        <w:spacing w:after="0" w:line="63"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Data</w:t>
      </w:r>
      <w:r>
        <w:rPr>
          <w:rFonts w:ascii="Times New Roman" w:cs="Times New Roman" w:eastAsia="Times New Roman" w:hAnsi="Times New Roman"/>
          <w:sz w:val="18"/>
          <w:szCs w:val="18"/>
          <w:color w:val="auto"/>
        </w:rPr>
        <w:t>” means, with respect to a particular Study, all data (including raw data) and results (including Study Results) generated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the Study Plan for such Study, including results obtained from testing or analysis of biological samples as part of a Study pursuant to the Protocol pertaining to the Product within the Study Field.</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Field</w:t>
      </w:r>
      <w:r>
        <w:rPr>
          <w:rFonts w:ascii="Times New Roman" w:cs="Times New Roman" w:eastAsia="Times New Roman" w:hAnsi="Times New Roman"/>
          <w:sz w:val="18"/>
          <w:szCs w:val="18"/>
          <w:color w:val="auto"/>
        </w:rPr>
        <w:t>” means, with respect to a particular Study, the specific type(s) of cancer identified in the Study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7" w:right="359" w:bottom="1440" w:gutter="0" w:footer="0" w:header="0"/>
        </w:sectPr>
      </w:pPr>
    </w:p>
    <w:bookmarkStart w:id="69" w:name="page70"/>
    <w:bookmarkEnd w:id="69"/>
    <w:p>
      <w:pPr>
        <w:spacing w:after="0" w:line="122" w:lineRule="exact"/>
        <w:rPr>
          <w:sz w:val="20"/>
          <w:szCs w:val="20"/>
          <w:color w:val="auto"/>
        </w:rPr>
      </w:pPr>
    </w:p>
    <w:p>
      <w:pPr>
        <w:ind w:left="5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Plan</w:t>
      </w:r>
      <w:r>
        <w:rPr>
          <w:rFonts w:ascii="Times New Roman" w:cs="Times New Roman" w:eastAsia="Times New Roman" w:hAnsi="Times New Roman"/>
          <w:sz w:val="18"/>
          <w:szCs w:val="18"/>
          <w:color w:val="auto"/>
        </w:rPr>
        <w:t>” means, with respect to a particular Study for a particular cancer and patient population, the plan, including the Protocol,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be amended from time to time pursuant to this Agreement for the clinical evaluation of the Product in such Study. The global initial Study Plan for the first Study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Global Initial Study</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Study Results</w:t>
      </w:r>
      <w:r>
        <w:rPr>
          <w:rFonts w:ascii="Times New Roman" w:cs="Times New Roman" w:eastAsia="Times New Roman" w:hAnsi="Times New Roman"/>
          <w:sz w:val="18"/>
          <w:szCs w:val="18"/>
          <w:color w:val="auto"/>
        </w:rPr>
        <w:t>” has the meaning set forth in Section 3.7.</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has the meaning set forth in Section 7.1.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Sponsor, BioAtla or their respective Affiliates.</w:t>
      </w:r>
    </w:p>
    <w:p>
      <w:pPr>
        <w:spacing w:after="0" w:line="117" w:lineRule="exact"/>
        <w:rPr>
          <w:sz w:val="20"/>
          <w:szCs w:val="20"/>
          <w:color w:val="auto"/>
        </w:rPr>
      </w:pPr>
    </w:p>
    <w:p>
      <w:pPr>
        <w:jc w:val="both"/>
        <w:ind w:left="520" w:right="4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Violation</w:t>
      </w:r>
      <w:r>
        <w:rPr>
          <w:rFonts w:ascii="Times New Roman" w:cs="Times New Roman" w:eastAsia="Times New Roman" w:hAnsi="Times New Roman"/>
          <w:sz w:val="18"/>
          <w:szCs w:val="18"/>
          <w:color w:val="auto"/>
        </w:rPr>
        <w:t>” means that a Party or any of its officers or directors or any other personnel (or other permitted agents of a Party performing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hereunder) has been: (1) convicted of any of the felonies identified among the exclusion authorities listed on the U.S. Department of Health and Human Services, Office of Inspector General (OIG) website, including 42 U.S.C. 1320a-7(a)</w:t>
      </w:r>
    </w:p>
    <w:p>
      <w:pPr>
        <w:ind w:left="520"/>
        <w:spacing w:after="0" w:line="252" w:lineRule="auto"/>
        <w:rPr>
          <w:sz w:val="20"/>
          <w:szCs w:val="20"/>
          <w:color w:val="auto"/>
        </w:rPr>
      </w:pPr>
      <w:r>
        <w:rPr>
          <w:rFonts w:ascii="Times New Roman" w:cs="Times New Roman" w:eastAsia="Times New Roman" w:hAnsi="Times New Roman"/>
          <w:sz w:val="18"/>
          <w:szCs w:val="18"/>
          <w:color w:val="auto"/>
        </w:rPr>
        <w:t>(http://oig.hhs.gov/exclusions/authorities.asp); (2) identified in the OIG List of Excluded Individuals/Entities (LEIE) database (http://exclusions.oig.hhs.gov/) or listed as having an active exclusion in the System for Award Management (http://www.sam.gov); (3) listed by any US Federal agency as being suspended, debarred, excluded or otherwise ineligible to participate in Federal procurement or non-procurement programs, including under 21 U.S.C. 335a (http://www.fda.gov/ora/compliance_ref/debar/) (each of (1), (2) and (3) collectively the “</w:t>
      </w: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Lists</w:t>
      </w:r>
      <w:r>
        <w:rPr>
          <w:rFonts w:ascii="Times New Roman" w:cs="Times New Roman" w:eastAsia="Times New Roman" w:hAnsi="Times New Roman"/>
          <w:sz w:val="18"/>
          <w:szCs w:val="18"/>
          <w:color w:val="auto"/>
        </w:rPr>
        <w:t>”); or (4) otherwise ineligible under Applicable Law (including United States law or any foreign equivalent) or any government programs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the Study or any other activities under this Agreement.</w:t>
      </w:r>
    </w:p>
    <w:p>
      <w:pPr>
        <w:spacing w:after="0" w:line="105" w:lineRule="exact"/>
        <w:rPr>
          <w:sz w:val="20"/>
          <w:szCs w:val="20"/>
          <w:color w:val="auto"/>
        </w:rPr>
      </w:pPr>
    </w:p>
    <w:p>
      <w:pPr>
        <w:ind w:left="480" w:hanging="459"/>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STUDY COORDINATION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2.1. Global Initial Study. </w:t>
      </w:r>
      <w:r>
        <w:rPr>
          <w:rFonts w:ascii="Times New Roman" w:cs="Times New Roman" w:eastAsia="Times New Roman" w:hAnsi="Times New Roman"/>
          <w:sz w:val="18"/>
          <w:szCs w:val="18"/>
          <w:color w:val="auto"/>
        </w:rPr>
        <w:t>As the sponsor of the Global Initial Study, subject to Applicable Law, BioAtla shall be solely responsible for funding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implementation of the Global Initial Study.. Upon BioAtla’s written request, Himalaya shall assist BioAtla with executing the Global Initial Study in PRC, and shall act as sponsor of the Global Initial Study, with BioAtla assuming all liability related to its execution of the Global Initial Study in PRC. Notwithstanding anything to the contrary, Sponsor shall not undertake any actions with respect to the Global Initial Study without the prior approval of BioAtla; it being understood and agreed that, in the case of any matters required by Applicable Law in the PRC Territory, Sponsor shall only be required to give BioAtla such notice as consistent with Applicable Law in the PRC Territory.</w:t>
      </w:r>
    </w:p>
    <w:p>
      <w:pPr>
        <w:spacing w:after="0" w:line="304" w:lineRule="exact"/>
        <w:rPr>
          <w:sz w:val="20"/>
          <w:szCs w:val="20"/>
          <w:color w:val="auto"/>
        </w:rPr>
      </w:pPr>
    </w:p>
    <w:p>
      <w:pPr>
        <w:ind w:left="480" w:hanging="459"/>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OF THE STUDIES.</w:t>
      </w:r>
    </w:p>
    <w:p>
      <w:pPr>
        <w:spacing w:after="0" w:line="131"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 General; Study Plans. </w:t>
      </w:r>
      <w:r>
        <w:rPr>
          <w:rFonts w:ascii="Times New Roman" w:cs="Times New Roman" w:eastAsia="Times New Roman" w:hAnsi="Times New Roman"/>
          <w:sz w:val="18"/>
          <w:szCs w:val="18"/>
          <w:color w:val="auto"/>
        </w:rPr>
        <w:t>The specific details of each Study shall be subject to the applicable Study Plan, in writing, and attached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part hereof as Annex A. Sponsor shall act as the sponsor of the portion of the Global Initial Study in the PRC Territory and shall hold each applicable PRC IND relating to the the portion of the Global Initial Study in the PRC Territory; it being understood that (a) BioAtla shall be responsible for designing and executing the Global Initial Study, including the Protocol, to be conducted in the PRC Territory, and for payments to Sponsor (as provided in Section 8 below) and to the CROs engaged to perform the Global Initial Study, and (b) BioAtla shall promptly provide to Sponsor any and all amendments of the Global Initial Study to Sponsor, (c) BioAtla assumes all liability for the execution of the Global Initial Study in PRC, and (d) Himalaya assumes no liability or responsibility related to BioAtla execution of the Global Initial Study in PRC, and BioAtla hereby indemnifies Himalaya from all such liability.</w:t>
      </w:r>
    </w:p>
    <w:p>
      <w:pPr>
        <w:spacing w:after="0" w:line="77"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3.2. Compliance. </w:t>
      </w:r>
      <w:r>
        <w:rPr>
          <w:rFonts w:ascii="Times New Roman" w:cs="Times New Roman" w:eastAsia="Times New Roman" w:hAnsi="Times New Roman"/>
          <w:sz w:val="18"/>
          <w:szCs w:val="18"/>
          <w:color w:val="auto"/>
        </w:rPr>
        <w:t>Solely with respect to patients in the PRC Territory, BioAtla shall ensure that each Study is performed in accordance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including GCP, and shall ensure that its Affiliates and subcontractors performing activities under this Agreement do the same. BioAtla shall ensure timely delivery of all information required for Sponsor to meets its obligations hereunder. Notwithstanding anything to the contrary, Sponsor’s obligations to perform under the Global Initial Study shall be conditioned upon BioAtla’s full and timely provision of the supply of Product as contemplated by the Global Initial Study.</w:t>
      </w:r>
    </w:p>
    <w:p>
      <w:pPr>
        <w:spacing w:after="0" w:line="71" w:lineRule="exact"/>
        <w:rPr>
          <w:sz w:val="20"/>
          <w:szCs w:val="20"/>
          <w:color w:val="auto"/>
        </w:rPr>
      </w:pPr>
    </w:p>
    <w:p>
      <w:pPr>
        <w:ind w:left="520" w:right="1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3.3. No Violation. </w:t>
      </w:r>
      <w:r>
        <w:rPr>
          <w:rFonts w:ascii="Times New Roman" w:cs="Times New Roman" w:eastAsia="Times New Roman" w:hAnsi="Times New Roman"/>
          <w:sz w:val="17"/>
          <w:szCs w:val="17"/>
          <w:color w:val="auto"/>
        </w:rPr>
        <w:t>Neither Party shall knowingly employ or subcontract with any Person that is in Violation. Each Party hereby certifies that it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employed or otherwise used in any capacity and will not employ or otherwise use in any capacity the services of any Person in Violation in performing its obligations, and that each Party has, as of the Effective Date, screened itself, and its officers and directors, against the Exclusions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86" w:lineRule="exact"/>
        <w:rPr>
          <w:sz w:val="20"/>
          <w:szCs w:val="20"/>
          <w:color w:val="auto"/>
        </w:rPr>
      </w:pPr>
    </w:p>
    <w:p>
      <w:pPr>
        <w:jc w:val="both"/>
        <w:ind w:left="520" w:right="180"/>
        <w:spacing w:after="0" w:line="261" w:lineRule="auto"/>
        <w:rPr>
          <w:sz w:val="20"/>
          <w:szCs w:val="20"/>
          <w:color w:val="auto"/>
        </w:rPr>
      </w:pPr>
      <w:r>
        <w:rPr>
          <w:rFonts w:ascii="Times New Roman" w:cs="Times New Roman" w:eastAsia="Times New Roman" w:hAnsi="Times New Roman"/>
          <w:sz w:val="18"/>
          <w:szCs w:val="18"/>
          <w:color w:val="auto"/>
        </w:rPr>
        <w:t>Lists and that it has informed the other Party whether it or any of its officers or directors is in Violation. Each Party shall notify the other Party in writing immediately if any such Violation comes to its attention with respect to any Person performing activities under this Agreement, and shall, with respect to any such Person in Violation, promptly remove such Person from performing activities or acting in any function or capacity related to any Study or otherwise related to activities under this Agreement.</w:t>
      </w:r>
    </w:p>
    <w:p>
      <w:pPr>
        <w:spacing w:after="0" w:line="68" w:lineRule="exact"/>
        <w:rPr>
          <w:sz w:val="20"/>
          <w:szCs w:val="20"/>
          <w:color w:val="auto"/>
        </w:rPr>
      </w:pPr>
    </w:p>
    <w:p>
      <w:pPr>
        <w:ind w:left="520"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Consent. </w:t>
      </w:r>
      <w:r>
        <w:rPr>
          <w:rFonts w:ascii="Times New Roman" w:cs="Times New Roman" w:eastAsia="Times New Roman" w:hAnsi="Times New Roman"/>
          <w:sz w:val="18"/>
          <w:szCs w:val="18"/>
          <w:color w:val="auto"/>
        </w:rPr>
        <w:t>With respect to portion of the Global Initial Study in the PRC Territory, BioAtla shall ensure that all patient authorizations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required under HIPAA, the General Data Protection Regulation (Regulation (EU) 2016/679) (if applicable) or any other similar Applicable Law in connection with each Study are obtained, are valid.</w:t>
      </w:r>
    </w:p>
    <w:p>
      <w:pPr>
        <w:spacing w:after="0" w:line="63" w:lineRule="exact"/>
        <w:rPr>
          <w:sz w:val="20"/>
          <w:szCs w:val="20"/>
          <w:color w:val="auto"/>
        </w:rPr>
      </w:pPr>
    </w:p>
    <w:p>
      <w:pPr>
        <w:ind w:left="52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Study Data Ownership; License. </w:t>
      </w:r>
      <w:r>
        <w:rPr>
          <w:rFonts w:ascii="Times New Roman" w:cs="Times New Roman" w:eastAsia="Times New Roman" w:hAnsi="Times New Roman"/>
          <w:sz w:val="18"/>
          <w:szCs w:val="18"/>
          <w:color w:val="auto"/>
        </w:rPr>
        <w:t>BioAtla shall own all Data generated under this Agreement as provided in Section 3.9 of the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Agreement. Sponsor shall possess the license rights granted pursuant to Section 4.1 of the Exclusive Rights Agreement.</w:t>
      </w:r>
    </w:p>
    <w:p>
      <w:pPr>
        <w:spacing w:after="0" w:line="74" w:lineRule="exact"/>
        <w:rPr>
          <w:sz w:val="20"/>
          <w:szCs w:val="20"/>
          <w:color w:val="auto"/>
        </w:rPr>
      </w:pPr>
    </w:p>
    <w:p>
      <w:pPr>
        <w:ind w:left="480" w:hanging="459"/>
        <w:spacing w:after="0"/>
        <w:tabs>
          <w:tab w:leader="none" w:pos="4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AND SAFETY.</w:t>
      </w:r>
    </w:p>
    <w:p>
      <w:pPr>
        <w:spacing w:after="0" w:line="131" w:lineRule="exact"/>
        <w:rPr>
          <w:sz w:val="20"/>
          <w:szCs w:val="20"/>
          <w:color w:val="auto"/>
        </w:rPr>
      </w:pPr>
    </w:p>
    <w:p>
      <w:pPr>
        <w:ind w:left="520" w:right="18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4.1. Approvals. </w:t>
      </w:r>
      <w:r>
        <w:rPr>
          <w:rFonts w:ascii="Times New Roman" w:cs="Times New Roman" w:eastAsia="Times New Roman" w:hAnsi="Times New Roman"/>
          <w:sz w:val="17"/>
          <w:szCs w:val="17"/>
          <w:color w:val="auto"/>
        </w:rPr>
        <w:t>With respect to the portion of each Study in the PRC Territory: (a) Sponsor shall ensure that all directions from any Regulatory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Authority or institutional review board or ethics committee (“</w:t>
      </w:r>
      <w:r>
        <w:rPr>
          <w:rFonts w:ascii="Times New Roman" w:cs="Times New Roman" w:eastAsia="Times New Roman" w:hAnsi="Times New Roman"/>
          <w:sz w:val="17"/>
          <w:szCs w:val="17"/>
          <w:b w:val="1"/>
          <w:bCs w:val="1"/>
          <w:color w:val="auto"/>
        </w:rPr>
        <w:t>IRB/EC</w:t>
      </w:r>
      <w:r>
        <w:rPr>
          <w:rFonts w:ascii="Times New Roman" w:cs="Times New Roman" w:eastAsia="Times New Roman" w:hAnsi="Times New Roman"/>
          <w:sz w:val="17"/>
          <w:szCs w:val="17"/>
          <w:color w:val="auto"/>
        </w:rPr>
        <w:t>”) with jurisdiction over a Study are transmitted to BioAtla, or its designees; and (b) Sponsor will further be responsible for filing and updating the PRC IND for each Study with the information provided by BioAtla.</w:t>
      </w:r>
    </w:p>
    <w:p>
      <w:pPr>
        <w:spacing w:after="0" w:line="45" w:lineRule="exact"/>
        <w:rPr>
          <w:sz w:val="20"/>
          <w:szCs w:val="20"/>
          <w:color w:val="auto"/>
        </w:rPr>
      </w:pPr>
    </w:p>
    <w:p>
      <w:pPr>
        <w:ind w:left="520"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4.2. Interactions with Regulatory Authorities. </w:t>
      </w:r>
      <w:r>
        <w:rPr>
          <w:rFonts w:ascii="Times New Roman" w:cs="Times New Roman" w:eastAsia="Times New Roman" w:hAnsi="Times New Roman"/>
          <w:sz w:val="18"/>
          <w:szCs w:val="18"/>
          <w:color w:val="auto"/>
        </w:rPr>
        <w:t>Sponsor routinely engages in verbal and written discussions with Regulatory Authorities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PRC on behalf of BioAtla hereunder. BioAtla shall have the right (but not the obligation) to participate in any discussions between Sponsor and any Regulatory Authority regarding matters related specifically to a Product in the Study, and, to the extent reasonably practicable, Sponsor shall provide sufficient advance notice (at least five (5) Business Days, unless a shorter response period is required by the applicable Regulatory Authority, in which case such notice shall be provided to BioAtla as soon as reasonably practicable) to BioAtla of any such discussions. If Sponsor receives any correspondence, comments or other inquiries from a Regulatory Authority that pertain to a Product, Sponsor shall promptly provide such correspondence, comments or inquiries to BioAtla at least five (5) Business Days before any response is due, unless a shorter response period is required by the applicable Regulatory Authority, in which case such correspondence, comments or inquiries shall be provided to BioAtla as soon as reasonably practicable. In no event shall BioAtla’s inability to participate in discussions between Sponsor and any Regulatory Authority regarding matters related specifically to a Product in the Study constitute a breach hereunder. BioAtla understands that Sponsor may have impromptu discussions with Regulatory Authorities on behalf of BioAtla in a manner that preclude notifying BioAtla of such discussions prior to their occurance, such as when Sponsor receives a call from a Regulatory Authority.</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4.4. Adverse Event Reporting. </w:t>
      </w:r>
      <w:r>
        <w:rPr>
          <w:rFonts w:ascii="Times New Roman" w:cs="Times New Roman" w:eastAsia="Times New Roman" w:hAnsi="Times New Roman"/>
          <w:sz w:val="18"/>
          <w:szCs w:val="18"/>
          <w:color w:val="auto"/>
        </w:rPr>
        <w:t>As requested by BioAtla, the Parties will agree upon and execute a Pharmacovigilance Agreement.</w:t>
      </w:r>
    </w:p>
    <w:p>
      <w:pPr>
        <w:spacing w:after="0" w:line="144" w:lineRule="exact"/>
        <w:rPr>
          <w:sz w:val="20"/>
          <w:szCs w:val="20"/>
          <w:color w:val="auto"/>
        </w:rPr>
      </w:pPr>
    </w:p>
    <w:p>
      <w:pPr>
        <w:ind w:left="480" w:hanging="459"/>
        <w:spacing w:after="0"/>
        <w:tabs>
          <w:tab w:leader="none" w:pos="4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PROTOCOL AND RELATED DOCUMENTS.</w:t>
      </w:r>
    </w:p>
    <w:p>
      <w:pPr>
        <w:spacing w:after="0" w:line="131" w:lineRule="exact"/>
        <w:rPr>
          <w:sz w:val="20"/>
          <w:szCs w:val="20"/>
          <w:color w:val="auto"/>
        </w:rPr>
      </w:pPr>
    </w:p>
    <w:p>
      <w:pPr>
        <w:ind w:left="520"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 Protocol. </w:t>
      </w:r>
      <w:r>
        <w:rPr>
          <w:rFonts w:ascii="Times New Roman" w:cs="Times New Roman" w:eastAsia="Times New Roman" w:hAnsi="Times New Roman"/>
          <w:sz w:val="18"/>
          <w:szCs w:val="18"/>
          <w:color w:val="auto"/>
        </w:rPr>
        <w:t>A Protocol Synopsis, as governed by the approved IND, for the portion of the Global Initial Study in the PRC Territory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agreed to by the Parties as of the Effective Date and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ind w:left="52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Consent Form. </w:t>
      </w:r>
      <w:r>
        <w:rPr>
          <w:rFonts w:ascii="Times New Roman" w:cs="Times New Roman" w:eastAsia="Times New Roman" w:hAnsi="Times New Roman"/>
          <w:sz w:val="18"/>
          <w:szCs w:val="18"/>
          <w:color w:val="auto"/>
        </w:rPr>
        <w:t>BioAtla shall provide a patient informed consent form to Sponsor. Sponsor shall ensure that any such patient informed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complies with GCP requirements and Applicable Laws.</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FINANCIAL DISCLOSURE INFORMATION.</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The Parties shall work together to track and collect financial disclosure information from all “clinical investigators” involved in each Study.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AND TERMINATION.</w:t>
      </w:r>
    </w:p>
    <w:p>
      <w:pPr>
        <w:spacing w:after="0" w:line="117"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 Term. </w:t>
      </w:r>
      <w:r>
        <w:rPr>
          <w:rFonts w:ascii="Times New Roman" w:cs="Times New Roman" w:eastAsia="Times New Roman" w:hAnsi="Times New Roman"/>
          <w:sz w:val="18"/>
          <w:szCs w:val="18"/>
          <w:color w:val="auto"/>
        </w:rPr>
        <w:t>The term of this Agreement shall commence on the Effective Date and shall continue in full force and effect until completion of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the Parties hereunder for all Studies, or until terminated by either Party pursuant to this Article 7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Parties shall be entitled to enter into Study Plans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 of time commencing on the Effective Date and expiring on the second (2nd ) anniversary of the Effective Date.</w:t>
      </w:r>
    </w:p>
    <w:p>
      <w:pPr>
        <w:spacing w:after="0" w:line="113" w:lineRule="exact"/>
        <w:rPr>
          <w:sz w:val="20"/>
          <w:szCs w:val="20"/>
          <w:color w:val="auto"/>
        </w:rPr>
      </w:pPr>
    </w:p>
    <w:p>
      <w:pPr>
        <w:ind w:left="520"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7.2. Unsafe Use of Product. </w:t>
      </w:r>
      <w:r>
        <w:rPr>
          <w:rFonts w:ascii="Times New Roman" w:cs="Times New Roman" w:eastAsia="Times New Roman" w:hAnsi="Times New Roman"/>
          <w:sz w:val="18"/>
          <w:szCs w:val="18"/>
          <w:color w:val="auto"/>
        </w:rPr>
        <w:t>In the event that (a) BioAtla in good faith believes that a Product is being used in a manner that represents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unjustified risk to the safety of patients in the Study Field, and BioAtla fails to provide relevant information to Sponsor for Sponsor to incorporate changes into the Protocol requested in writing by BioAtla to address such issue, or (b) a Product is not being used as described in the Protocol, Sponsor has the right to immediately terminate this Agreement (or any Study being performed under this Agreement) upon written notice to BioAtla.</w:t>
      </w:r>
    </w:p>
    <w:p>
      <w:pPr>
        <w:spacing w:after="0" w:line="71" w:lineRule="exact"/>
        <w:rPr>
          <w:sz w:val="20"/>
          <w:szCs w:val="20"/>
          <w:color w:val="auto"/>
        </w:rPr>
      </w:pPr>
    </w:p>
    <w:p>
      <w:pPr>
        <w:ind w:left="520"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7.3. Termination for Material Breach. </w:t>
      </w:r>
      <w:r>
        <w:rPr>
          <w:rFonts w:ascii="Times New Roman" w:cs="Times New Roman" w:eastAsia="Times New Roman" w:hAnsi="Times New Roman"/>
          <w:sz w:val="18"/>
          <w:szCs w:val="18"/>
          <w:color w:val="auto"/>
        </w:rPr>
        <w:t>Either Party may terminate this Agreement if the other Party commits a material breach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such material breach remains uncured for thirty (30) days after receipt of written notice thereof from the non-breaching Party; provided that if such material breach cannot reasonably be cured within thirty (30) days, the breaching Party shall be given a reasonable period of time to cure such breach not to exceed one-hundred and twenty (120) days; provided further, that if such material breach is incapable of cure, then the notifying Party may terminate this Agreement effective after the expiration of such thirty (30)- day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 xml:space="preserve">7.4. Survival. </w:t>
      </w:r>
      <w:r>
        <w:rPr>
          <w:rFonts w:ascii="Times New Roman" w:cs="Times New Roman" w:eastAsia="Times New Roman" w:hAnsi="Times New Roman"/>
          <w:sz w:val="17"/>
          <w:szCs w:val="17"/>
          <w:color w:val="auto"/>
        </w:rPr>
        <w:t>The provisions of Sections 3.4-3.7, 4 and Article 1 (to the extent definitions are used in other surviving provisions) and Articles 7, 10-</w:t>
      </w:r>
    </w:p>
    <w:p>
      <w:pPr>
        <w:spacing w:after="0" w:line="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16 shall survive the expiration or termination of this Agreement.</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7.5. Effects of Termination.</w:t>
      </w:r>
    </w:p>
    <w:p>
      <w:pPr>
        <w:spacing w:after="0" w:line="119" w:lineRule="exact"/>
        <w:rPr>
          <w:sz w:val="20"/>
          <w:szCs w:val="20"/>
          <w:color w:val="auto"/>
        </w:rPr>
      </w:pPr>
    </w:p>
    <w:p>
      <w:pPr>
        <w:ind w:left="520" w:right="220"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7.5.1. No Prejudice. </w:t>
      </w:r>
      <w:r>
        <w:rPr>
          <w:rFonts w:ascii="Times New Roman" w:cs="Times New Roman" w:eastAsia="Times New Roman" w:hAnsi="Times New Roman"/>
          <w:sz w:val="18"/>
          <w:szCs w:val="18"/>
          <w:color w:val="auto"/>
        </w:rPr>
        <w:t>Termination of this Agreement shall be without prejudice to any claim or right of action of either Party against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for any prior breach of this Agreement.</w:t>
      </w:r>
    </w:p>
    <w:p>
      <w:pPr>
        <w:spacing w:after="0" w:line="50" w:lineRule="exact"/>
        <w:rPr>
          <w:sz w:val="20"/>
          <w:szCs w:val="20"/>
          <w:color w:val="auto"/>
        </w:rPr>
      </w:pPr>
    </w:p>
    <w:p>
      <w:pPr>
        <w:ind w:left="520" w:right="180"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7.5.2. Study Completion</w:t>
      </w:r>
      <w:r>
        <w:rPr>
          <w:rFonts w:ascii="Times New Roman" w:cs="Times New Roman" w:eastAsia="Times New Roman" w:hAnsi="Times New Roman"/>
          <w:sz w:val="18"/>
          <w:szCs w:val="18"/>
          <w:color w:val="auto"/>
        </w:rPr>
        <w:t>. In the event of any termination of this Agreement, the Parties shall cooperate in good faith to complete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existing ongoing Studies as directed by BioAtla in accordance with all Applicable Laws.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COSTS OF STUDY AND PAYMENTS.</w:t>
      </w:r>
    </w:p>
    <w:p>
      <w:pPr>
        <w:spacing w:after="0" w:line="117"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Pursuant to each Study, BioAtla shall fund all costs for the Global Initial Study, including (a) all amounts owed to the applicable CROs, (b)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supply costs (including replacement for Non-Conformance prior to delivery of Product), and (c) funding for the equivalent of two (2) full time equivalent personnel (“FTE”s) of Sponsor for activities allocated to Sponsor (at an annual rate per FTE per year and for a period of time as mutually agreed by the Parties). For the Global Initial Study, BioAtla shall pay Sponsor for the full time use of two of its personnel (based upon the full-time equivalent costs of such personnel of [***] for the period ending on the first anniversary of the Effective Date. All such payments are non-refundable. Payments are due and payable by BioAtla to Sponsor on a quarterly calendar basis, with the first of four quarterly payments (equal to [***]) due within [***] of the Effective Date, and subsequent payments of [***] due each [***] period thereafter.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SUPPLY AND USE OF THE PRODUCT.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9.1. Product Supply. </w:t>
      </w:r>
      <w:r>
        <w:rPr>
          <w:rFonts w:ascii="Times New Roman" w:cs="Times New Roman" w:eastAsia="Times New Roman" w:hAnsi="Times New Roman"/>
          <w:sz w:val="18"/>
          <w:szCs w:val="18"/>
          <w:color w:val="auto"/>
        </w:rPr>
        <w:t>As between the Parties, BioAtla shall be solely responsible, at its own cost, for supplying Product for each Study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CONFIDENTIALITY.</w:t>
      </w:r>
    </w:p>
    <w:p>
      <w:pPr>
        <w:spacing w:after="0" w:line="117" w:lineRule="exact"/>
        <w:rPr>
          <w:sz w:val="20"/>
          <w:szCs w:val="20"/>
          <w:color w:val="auto"/>
        </w:rPr>
      </w:pPr>
    </w:p>
    <w:p>
      <w:pPr>
        <w:ind w:left="520"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 Confidential Information. </w:t>
      </w:r>
      <w:r>
        <w:rPr>
          <w:rFonts w:ascii="Times New Roman" w:cs="Times New Roman" w:eastAsia="Times New Roman" w:hAnsi="Times New Roman"/>
          <w:sz w:val="18"/>
          <w:szCs w:val="18"/>
          <w:color w:val="auto"/>
        </w:rPr>
        <w:t>Article 9 of the Exclusive Rights Agreement shall apply to the Confidential Information pertaining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47" w:lineRule="exact"/>
        <w:rPr>
          <w:sz w:val="20"/>
          <w:szCs w:val="20"/>
          <w:color w:val="auto"/>
        </w:rPr>
      </w:pPr>
    </w:p>
    <w:p>
      <w:pPr>
        <w:ind w:left="52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10.2. Personally Identifiable Data. </w:t>
      </w:r>
      <w:r>
        <w:rPr>
          <w:rFonts w:ascii="Times New Roman" w:cs="Times New Roman" w:eastAsia="Times New Roman" w:hAnsi="Times New Roman"/>
          <w:sz w:val="18"/>
          <w:szCs w:val="18"/>
          <w:color w:val="auto"/>
        </w:rPr>
        <w:t>All Confidential Information containing personal identifiable data shall be handled in accordance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data protection and privacy laws, rules and regulations applicable to such Party.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COMPLIANCE WITH APPLICABLE LAWS; REGULATORY MEETINGS.</w:t>
      </w:r>
    </w:p>
    <w:p>
      <w:pPr>
        <w:spacing w:after="0" w:line="117" w:lineRule="exact"/>
        <w:rPr>
          <w:sz w:val="20"/>
          <w:szCs w:val="20"/>
          <w:color w:val="auto"/>
        </w:rPr>
      </w:pPr>
    </w:p>
    <w:p>
      <w:pPr>
        <w:ind w:left="520"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11.1. Compliance. </w:t>
      </w:r>
      <w:r>
        <w:rPr>
          <w:rFonts w:ascii="Times New Roman" w:cs="Times New Roman" w:eastAsia="Times New Roman" w:hAnsi="Times New Roman"/>
          <w:sz w:val="18"/>
          <w:szCs w:val="18"/>
          <w:color w:val="auto"/>
        </w:rPr>
        <w:t>In performing their respective obligations hereunder, the Parties acknowledge that the corporate policies of Sponsor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BioAtla and their respective Affiliates require that each Party’s business be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86" w:lineRule="exact"/>
        <w:rPr>
          <w:sz w:val="20"/>
          <w:szCs w:val="20"/>
          <w:color w:val="auto"/>
        </w:rPr>
      </w:pPr>
    </w:p>
    <w:p>
      <w:pPr>
        <w:ind w:left="520" w:right="100"/>
        <w:spacing w:after="0" w:line="255" w:lineRule="auto"/>
        <w:rPr>
          <w:sz w:val="20"/>
          <w:szCs w:val="20"/>
          <w:color w:val="auto"/>
        </w:rPr>
      </w:pPr>
      <w:r>
        <w:rPr>
          <w:rFonts w:ascii="Times New Roman" w:cs="Times New Roman" w:eastAsia="Times New Roman" w:hAnsi="Times New Roman"/>
          <w:sz w:val="18"/>
          <w:szCs w:val="18"/>
          <w:color w:val="auto"/>
        </w:rPr>
        <w:t>conducted within the letter and spirit of the law. By signing this Agreement, each Party agrees to conduct the business contemplated herein in a manner which is consistent in all material respects with all Applicable Law, including the U.S. Foreign Corrupt Practices Act, good business ethics, and such Party’s ethics and other corporate policies. Each Party represents and warrants that it and its Representatives have not, and covenants that it and its Representatives will not, in connection with the performance of this Agreement, directly or indirectly, make, promise, authorize, ratify or offer to make, or take any action in furtherance of, any payment or transfer of anything of value for the purpose of (a) influencing, inducing or rewarding any act, omission or decision to secure an improper advantage, (b) improperly assisting it in obtaining or retaining business for it or the other Party or (c) public or commercial bribery.</w:t>
      </w:r>
    </w:p>
    <w:p>
      <w:pPr>
        <w:spacing w:after="0" w:line="77" w:lineRule="exact"/>
        <w:rPr>
          <w:sz w:val="20"/>
          <w:szCs w:val="20"/>
          <w:color w:val="auto"/>
        </w:rPr>
      </w:pPr>
    </w:p>
    <w:p>
      <w:pPr>
        <w:ind w:left="520"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11.2. Meetings with NMPA. </w:t>
      </w:r>
      <w:r>
        <w:rPr>
          <w:rFonts w:ascii="Times New Roman" w:cs="Times New Roman" w:eastAsia="Times New Roman" w:hAnsi="Times New Roman"/>
          <w:sz w:val="18"/>
          <w:szCs w:val="18"/>
          <w:color w:val="auto"/>
        </w:rPr>
        <w:t>Neither Party shall contact or otherwise knowingly meet with the NMPA for the purpose of discussing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out of or in connection with this Agreement without the prior written approval of the other Party, except where such meeting is consistent with the purpose and terms of this Agreement and in compliance with Applicable Law.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LIMITATION OF LIABILITY.</w:t>
      </w:r>
    </w:p>
    <w:p>
      <w:pPr>
        <w:spacing w:after="0" w:line="121"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IN NO EVENT SHALL EITHER PARTY (OR ANY OF ITS AFFILIATES OR SUBCONTRACTORS) BE LIABLE TO THE OTHER PARTY FOR, NOR SHALL ANY PARTY HAVE THE RIGHT TO RECOVER, ANY SPECIAL, INDIRECT, INCIDENTAL, PUNITIVE OR CONSEQUENTIAL DAMAGES (INCLUDING LOST PROFITS OR DAMAGES FOR LOST OPPORTUNITIES), WHETHER IN CONTRACT, WARRANTY, NEGLIGENCE, TORT, STRICT LIABILITY OR OTHERWISE, ARISING OUT OF (x) THE MANUFACTURE OR USE OF ANY PRODUCT SUPPLIED HEREUNDER OR (y) ANY BREACH OF OR FAILURE TO PERFORM ANY OF THE PROVISIONS OF THIS AGREEMENT OR ANY REPRESENTATION, WARRANTY OR COVENANT CONTAINED IN OR MADE PURSUANT TO THIS AGREEMENT, EXCEPT THAT SUCH LIMITATION SHALL NOT APPLY TO DAMAGES PAID OR PAYABLE TO A THIRD PARTY OR DAMAGES RESULTING FROM ANY WILLFUL AND INTENTIONAL BREACH OF THIS AGREEMENT.</w:t>
      </w:r>
    </w:p>
    <w:p>
      <w:pPr>
        <w:spacing w:after="0" w:line="200" w:lineRule="exact"/>
        <w:rPr>
          <w:sz w:val="20"/>
          <w:szCs w:val="20"/>
          <w:color w:val="auto"/>
        </w:rPr>
      </w:pPr>
    </w:p>
    <w:p>
      <w:pPr>
        <w:spacing w:after="0" w:line="208" w:lineRule="exact"/>
        <w:rPr>
          <w:sz w:val="20"/>
          <w:szCs w:val="20"/>
          <w:color w:val="auto"/>
        </w:rPr>
      </w:pPr>
    </w:p>
    <w:p>
      <w:pPr>
        <w:ind w:left="520" w:right="220"/>
        <w:spacing w:after="0" w:line="255" w:lineRule="auto"/>
        <w:rPr>
          <w:sz w:val="20"/>
          <w:szCs w:val="20"/>
          <w:color w:val="auto"/>
        </w:rPr>
      </w:pPr>
      <w:r>
        <w:rPr>
          <w:rFonts w:ascii="Times New Roman" w:cs="Times New Roman" w:eastAsia="Times New Roman" w:hAnsi="Times New Roman"/>
          <w:sz w:val="18"/>
          <w:szCs w:val="18"/>
          <w:color w:val="auto"/>
        </w:rPr>
        <w:t>EXCEPT FOR ANY WILLFUL BREACH BY SPONSOR, IN NO EVENT SHALL SPONSOR BE LIABLE FOR ANY SPECIAL, INDIRECT, INCIDENTAL, PUNITIVE OR CONSEQUENTIAL DAMAGES (INCLUDING LOST PROFITS OR DAMAGES FOR LOST OPPORTUNITIES), WHETHER IN CONTRACT, WARRANTY, NEGLIGENCE, TORT, STRICT LIABILITY OR OTHERWISE, ARISING OUT OF (x) ANY STUDY CONDUCTED BY BIOATLA HEREUNDER (y) ANY BREACH OF OR FAILURE TO PERFORM ANY OF THE PROVISIONS OF THIS AGREEMENT OR ANY REPRESENTATION, WARRANTY OR COVENANT CONTAINED IN OR MADE PURSUANT TO THIS AGREEMENT, INCLUDING DAMAGES PAID OR PAYABLE TO A THIRD PARTY OR (z) ANY ACTION OF ANY THIRD PARTY AS PART OF A STUDY HEREUNDER.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ENTIRE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MODIFICATION.</w:t>
      </w:r>
    </w:p>
    <w:p>
      <w:pPr>
        <w:spacing w:after="0" w:line="117" w:lineRule="exact"/>
        <w:rPr>
          <w:sz w:val="20"/>
          <w:szCs w:val="20"/>
          <w:color w:val="auto"/>
        </w:rPr>
      </w:pPr>
    </w:p>
    <w:p>
      <w:pPr>
        <w:ind w:left="520" w:right="22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13.1. </w:t>
      </w:r>
      <w:r>
        <w:rPr>
          <w:rFonts w:ascii="Times New Roman" w:cs="Times New Roman" w:eastAsia="Times New Roman" w:hAnsi="Times New Roman"/>
          <w:sz w:val="17"/>
          <w:szCs w:val="17"/>
          <w:color w:val="auto"/>
        </w:rPr>
        <w:t>The Parties agree to the full and complete performance of the mutual covenants contained in this Agreement. This Agreement, together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Exclusive Rights Agreement (and the agreements referred to herein and therein), constitutes the sole, full and complete agreement by and between the Parties with respect to the subject matter of this Agreement, and all prior agreements, understandings, promises and representations, whether written or oral, with respect thereto are superseded by this Agreement. Except as provided in Section 2.2, no amendments, changes, additions, deletions or modifications to or of this Agreement shall be valid unless reduced to writing and signed by the Parties hereto.</w:t>
      </w:r>
    </w:p>
    <w:p>
      <w:pPr>
        <w:spacing w:after="0" w:line="83" w:lineRule="exact"/>
        <w:rPr>
          <w:sz w:val="20"/>
          <w:szCs w:val="20"/>
          <w:color w:val="auto"/>
        </w:rPr>
      </w:pPr>
    </w:p>
    <w:p>
      <w:pPr>
        <w:ind w:left="480" w:hanging="459"/>
        <w:spacing w:after="0"/>
        <w:tabs>
          <w:tab w:leader="none" w:pos="4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31" w:lineRule="exact"/>
        <w:rPr>
          <w:sz w:val="20"/>
          <w:szCs w:val="20"/>
          <w:color w:val="auto"/>
        </w:rPr>
      </w:pPr>
    </w:p>
    <w:p>
      <w:pPr>
        <w:ind w:left="640"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color w:val="auto"/>
        </w:rPr>
        <w:t>Neither Party shall assign or transfer this Agreement without the prior written consent of the other Party; provided, however, that 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assign this Agreement without the other Party’s consent to one or more of its Affiliates or to a Third Party that merges with, consolidates with or acquires all or substantially all of the business or assets or voting control of the assigning Party, and any and all rights and obligations of either Party may be exercised or performed by its Affiliates, provided that such Affiliates agree to be bound by this Agreement and the applicable Party shall remain responsible for and liable for all acts and omissions of such Party’s Affiliate.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52" w:lineRule="exact"/>
        <w:rPr>
          <w:sz w:val="20"/>
          <w:szCs w:val="20"/>
          <w:color w:val="auto"/>
        </w:rPr>
      </w:pPr>
    </w:p>
    <w:p>
      <w:pPr>
        <w:ind w:left="480" w:hanging="459"/>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INVALID PROVISION.</w:t>
      </w:r>
    </w:p>
    <w:p>
      <w:pPr>
        <w:spacing w:after="0" w:line="31" w:lineRule="exact"/>
        <w:rPr>
          <w:sz w:val="20"/>
          <w:szCs w:val="20"/>
          <w:color w:val="auto"/>
        </w:rPr>
      </w:pPr>
    </w:p>
    <w:p>
      <w:pPr>
        <w:ind w:left="640" w:right="2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color w:val="auto"/>
        </w:rPr>
        <w:t>If any provision of this Agreement is held to be illegal, invalid or unenforceable, the remaining provisions shall remain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and will not be affected by the illegal, invalid or unenforceable provision. In lieu of the illegal, invalid or unenforceable provision, the Parties shall negotiate in good faith to agree upon a reasonable provision that is legal, valid and enforceable to carry out as nearly as practicable the original intention of the entire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entered into this Agreement as of the Effective Date.</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BioAtla, Inc.</w:t>
            </w:r>
          </w:p>
        </w:tc>
        <w:tc>
          <w:tcPr>
            <w:tcW w:w="5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Himalaya Therapeutics Limited Company</w:t>
            </w:r>
          </w:p>
        </w:tc>
      </w:tr>
      <w:tr>
        <w:trPr>
          <w:trHeight w:val="48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Monica Sullivan</w:t>
            </w:r>
          </w:p>
        </w:tc>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Carolyn Short</w:t>
            </w:r>
          </w:p>
        </w:tc>
      </w:tr>
      <w:tr>
        <w:trPr>
          <w:trHeight w:val="49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Monica Sullivan</w:t>
            </w:r>
          </w:p>
        </w:tc>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Carolyn Short</w:t>
            </w:r>
          </w:p>
        </w:tc>
      </w:tr>
      <w:tr>
        <w:trPr>
          <w:trHeight w:val="49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SVP, IP and Contracts</w:t>
            </w:r>
          </w:p>
        </w:tc>
        <w:tc>
          <w:tcPr>
            <w:tcW w:w="1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President and COO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China Clinical Trial Services Agreement]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Annexes to China Clinical Trial Services Agreement</w:t>
            </w:r>
          </w:p>
        </w:tc>
        <w:tc>
          <w:tcPr>
            <w:tcW w:w="1560" w:type="dxa"/>
            <w:vAlign w:val="bottom"/>
          </w:tcPr>
          <w:p>
            <w:pPr>
              <w:spacing w:after="0"/>
              <w:rPr>
                <w:sz w:val="17"/>
                <w:szCs w:val="17"/>
                <w:color w:val="auto"/>
              </w:rPr>
            </w:pPr>
          </w:p>
        </w:tc>
      </w:tr>
      <w:tr>
        <w:trPr>
          <w:trHeight w:val="44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53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Study Plan</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Annex B</w:t>
            </w:r>
          </w:p>
        </w:tc>
        <w:tc>
          <w:tcPr>
            <w:tcW w:w="53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w w:val="99"/>
              </w:rPr>
              <w:t>Services to be Provided by Sponsor to BioAtla</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Item 601(a)(5) of Regulation S-K, the above annexes have been omitted and will be furnished supplementally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75" w:name="page76"/>
    <w:bookmarkEnd w:id="75"/>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1</w:t>
      </w:r>
      <w:r>
        <w:rPr>
          <w:rFonts w:ascii="Times New Roman" w:cs="Times New Roman" w:eastAsia="Times New Roman" w:hAnsi="Times New Roman"/>
          <w:sz w:val="25"/>
          <w:szCs w:val="25"/>
          <w:b w:val="1"/>
          <w:bCs w:val="1"/>
          <w:u w:val="single" w:color="auto"/>
          <w:color w:val="auto"/>
          <w:vertAlign w:val="superscript"/>
        </w:rPr>
        <w:t>st</w:t>
      </w:r>
      <w:r>
        <w:rPr>
          <w:rFonts w:ascii="Times New Roman" w:cs="Times New Roman" w:eastAsia="Times New Roman" w:hAnsi="Times New Roman"/>
          <w:sz w:val="19"/>
          <w:szCs w:val="19"/>
          <w:b w:val="1"/>
          <w:bCs w:val="1"/>
          <w:u w:val="single" w:color="auto"/>
          <w:color w:val="auto"/>
        </w:rPr>
        <w:t xml:space="preserve"> AMENDMENT TO CHINA CLINICAL TRIAL SERVICES AGREEMENT</w:t>
      </w:r>
    </w:p>
    <w:p>
      <w:pPr>
        <w:spacing w:after="0" w:line="368"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9"/>
          <w:szCs w:val="19"/>
          <w:color w:val="auto"/>
        </w:rPr>
        <w:t>This 1st Amendment to the Agreement (the “1st Amendment”) is made as of May 10th, 2022, by and among Himalaya Therapeutics Limited Company (“Himalaya”), and BioAtla, Inc. (“BioAtla”).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ecitals</w:t>
      </w:r>
    </w:p>
    <w:p>
      <w:pPr>
        <w:spacing w:after="0" w:line="218" w:lineRule="exact"/>
        <w:rPr>
          <w:sz w:val="20"/>
          <w:szCs w:val="20"/>
          <w:color w:val="auto"/>
        </w:rPr>
      </w:pPr>
    </w:p>
    <w:p>
      <w:pPr>
        <w:ind w:left="760" w:hanging="374"/>
        <w:spacing w:after="0"/>
        <w:tabs>
          <w:tab w:leader="none" w:pos="760" w:val="left"/>
        </w:tabs>
        <w:numPr>
          <w:ilvl w:val="1"/>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On April 8th, 2022, Himalaya, and BioAtla entered into the China Clinical Trial Services Agreement (the “Agreement”).</w:t>
      </w:r>
    </w:p>
    <w:p>
      <w:pPr>
        <w:spacing w:after="0" w:line="231" w:lineRule="exact"/>
        <w:rPr>
          <w:rFonts w:ascii="Times New Roman" w:cs="Times New Roman" w:eastAsia="Times New Roman" w:hAnsi="Times New Roman"/>
          <w:sz w:val="19"/>
          <w:szCs w:val="19"/>
          <w:b w:val="1"/>
          <w:bCs w:val="1"/>
          <w:color w:val="auto"/>
        </w:rPr>
      </w:pPr>
    </w:p>
    <w:p>
      <w:pPr>
        <w:ind w:left="520" w:hanging="512"/>
        <w:spacing w:after="0"/>
        <w:tabs>
          <w:tab w:leader="none" w:pos="52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mendment of</w:t>
      </w:r>
      <w:r>
        <w:rPr>
          <w:rFonts w:ascii="Times New Roman" w:cs="Times New Roman" w:eastAsia="Times New Roman" w:hAnsi="Times New Roman"/>
          <w:sz w:val="19"/>
          <w:szCs w:val="19"/>
          <w:b w:val="1"/>
          <w:bCs w:val="1"/>
          <w:color w:val="auto"/>
        </w:rPr>
        <w:t xml:space="preserve"> 1</w:t>
      </w:r>
      <w:r>
        <w:rPr>
          <w:rFonts w:ascii="Times New Roman" w:cs="Times New Roman" w:eastAsia="Times New Roman" w:hAnsi="Times New Roman"/>
          <w:sz w:val="9"/>
          <w:szCs w:val="9"/>
          <w:b w:val="1"/>
          <w:bCs w:val="1"/>
          <w:color w:val="auto"/>
        </w:rPr>
        <w:t>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3"/>
          <w:szCs w:val="13"/>
          <w:b w:val="1"/>
          <w:bCs w:val="1"/>
          <w:color w:val="auto"/>
        </w:rPr>
        <w:t>paragraph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first paragraph of the Agreement is hereby amended in its entirety to read as follows: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China Clinical Trial Services Agreement (“Agreement”), made as of this 8th day of April 2022 (the “Effective Date”), is by and between BioAtla, Inc. (“BioAtla”), a Delaware corporation having a place of business at 11085 Torreyana Road, San Diego, CA 92121, and Himalaya Therapeutics Limited Company, a company organized under the laws of Shanghai, having a registered office 3rd Floor, Building 2, No. 200 Zhangheng Road, China (Shanghai) Pilot Free Trade Zone and Himalaya Therapeutics SEZC, having a registered office at 90 N. Church Street, George Town, Cayman Islands (collectively, “Sponsor”). BioAtla and Sponsor are each referred to herein individually as a “Party” and collectively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7F7F7F"/>
        </w:rPr>
        <w:t>1st AMENDMENT TO THE CLINICAL TRIAL SERVICES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7F7F7F"/>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9"/>
          <w:szCs w:val="19"/>
          <w:color w:val="auto"/>
        </w:rPr>
        <w:t>The parties have executed this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Amendment to the Agreement as of the date first written above.</w:t>
      </w:r>
    </w:p>
    <w:p>
      <w:pPr>
        <w:spacing w:after="0" w:line="39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4"/>
          <w:szCs w:val="14"/>
          <w:b w:val="1"/>
          <w:bCs w:val="1"/>
          <w:color w:val="auto"/>
        </w:rPr>
        <w:t>imalaya</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imited</w:t>
      </w:r>
    </w:p>
    <w:p>
      <w:pPr>
        <w:spacing w:after="0" w:line="1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Brian Zhang</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Brian Zhang</w:t>
      </w:r>
    </w:p>
    <w:p>
      <w:pPr>
        <w:ind w:left="3740"/>
        <w:spacing w:after="0"/>
        <w:rPr>
          <w:sz w:val="20"/>
          <w:szCs w:val="20"/>
          <w:color w:val="auto"/>
        </w:rPr>
      </w:pPr>
      <w:r>
        <w:rPr>
          <w:rFonts w:ascii="Times New Roman" w:cs="Times New Roman" w:eastAsia="Times New Roman" w:hAnsi="Times New Roman"/>
          <w:sz w:val="22"/>
          <w:szCs w:val="22"/>
          <w:color w:val="auto"/>
        </w:rPr>
        <w:t>Title: CEO</w:t>
      </w:r>
    </w:p>
    <w:p>
      <w:pPr>
        <w:spacing w:after="0" w:line="20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Email:  bzhang@himalayatherapeutics.com</w:t>
      </w:r>
    </w:p>
    <w:p>
      <w:pPr>
        <w:spacing w:after="0" w:line="200" w:lineRule="exact"/>
        <w:rPr>
          <w:sz w:val="20"/>
          <w:szCs w:val="20"/>
          <w:color w:val="auto"/>
        </w:rPr>
      </w:pPr>
    </w:p>
    <w:p>
      <w:pPr>
        <w:spacing w:after="0" w:line="27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H</w:t>
      </w:r>
      <w:r>
        <w:rPr>
          <w:rFonts w:ascii="Times New Roman" w:cs="Times New Roman" w:eastAsia="Times New Roman" w:hAnsi="Times New Roman"/>
          <w:sz w:val="14"/>
          <w:szCs w:val="14"/>
          <w:b w:val="1"/>
          <w:bCs w:val="1"/>
          <w:color w:val="auto"/>
        </w:rPr>
        <w:t>imalaya</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22"/>
          <w:szCs w:val="22"/>
          <w:b w:val="1"/>
          <w:bCs w:val="1"/>
          <w:color w:val="auto"/>
        </w:rPr>
        <w:t xml:space="preserve"> SEZC</w:t>
      </w:r>
    </w:p>
    <w:p>
      <w:pPr>
        <w:spacing w:after="0" w:line="1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Carolyn Short</w:t>
      </w:r>
    </w:p>
    <w:p>
      <w:pPr>
        <w:spacing w:after="0" w:line="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 Carolyn Short</w:t>
      </w:r>
    </w:p>
    <w:p>
      <w:pPr>
        <w:ind w:left="3740"/>
        <w:spacing w:after="0"/>
        <w:rPr>
          <w:sz w:val="20"/>
          <w:szCs w:val="20"/>
          <w:color w:val="auto"/>
        </w:rPr>
      </w:pPr>
      <w:r>
        <w:rPr>
          <w:rFonts w:ascii="Times New Roman" w:cs="Times New Roman" w:eastAsia="Times New Roman" w:hAnsi="Times New Roman"/>
          <w:sz w:val="22"/>
          <w:szCs w:val="22"/>
          <w:color w:val="auto"/>
        </w:rPr>
        <w:t>Title: President &amp; COO</w:t>
      </w:r>
    </w:p>
    <w:p>
      <w:pPr>
        <w:spacing w:after="0" w:line="20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Email:  cshort@himalayatherapeutics.com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tla</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By: /s/ Monica Sullivan</w:t>
      </w:r>
    </w:p>
    <w:p>
      <w:pPr>
        <w:spacing w:after="0" w:line="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Name: Monica Sullivan</w:t>
      </w:r>
    </w:p>
    <w:p>
      <w:pPr>
        <w:ind w:left="3740"/>
        <w:spacing w:after="0"/>
        <w:rPr>
          <w:sz w:val="20"/>
          <w:szCs w:val="20"/>
          <w:color w:val="auto"/>
        </w:rPr>
      </w:pPr>
      <w:r>
        <w:rPr>
          <w:rFonts w:ascii="Times New Roman" w:cs="Times New Roman" w:eastAsia="Times New Roman" w:hAnsi="Times New Roman"/>
          <w:sz w:val="22"/>
          <w:szCs w:val="22"/>
          <w:color w:val="auto"/>
        </w:rPr>
        <w:t>Title: SVP, IP and Contracts</w:t>
      </w:r>
    </w:p>
    <w:p>
      <w:pPr>
        <w:spacing w:after="0" w:line="20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Email: msullivan@bioatla.com</w:t>
      </w:r>
    </w:p>
    <w:p>
      <w:pPr>
        <w:spacing w:after="0" w:line="2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7F7F7F"/>
        </w:rPr>
        <w:t>1st AMENDMENT TO THE CLINICAL TRIAL SERVICES AGREEMENT</w:t>
      </w:r>
    </w:p>
    <w:p>
      <w:pPr>
        <w:spacing w:after="0" w:line="3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7F7F7F"/>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25" w:right="1440" w:bottom="1440" w:gutter="0" w:footer="0" w:header="0"/>
        </w:sectPr>
      </w:pPr>
    </w:p>
    <w:bookmarkStart w:id="77" w:name="page78"/>
    <w:bookmarkEnd w:id="77"/>
    <w:p>
      <w:pPr>
        <w:jc w:val="center"/>
        <w:ind w:right="40"/>
        <w:spacing w:after="0" w:line="258" w:lineRule="auto"/>
        <w:rPr>
          <w:sz w:val="20"/>
          <w:szCs w:val="20"/>
          <w:color w:val="auto"/>
        </w:rPr>
      </w:pPr>
      <w:r>
        <w:rPr>
          <w:rFonts w:ascii="Arial" w:cs="Arial" w:eastAsia="Arial" w:hAnsi="Arial"/>
          <w:sz w:val="19"/>
          <w:szCs w:val="19"/>
          <w:b w:val="1"/>
          <w:bCs w:val="1"/>
          <w:i w:val="1"/>
          <w:iCs w:val="1"/>
          <w:color w:val="auto"/>
        </w:rPr>
        <w:t>CERTAIN IDENTIFIED INFORMATION HAS BEEN EXCLUDED FROM THE EXHIBIT BECAUSE IT IS BOTH NOT MATERIAL AND IS THE TYPE THAT THE REGISTRANT TREATS AS PRIVATE OR CONFIDENTIAL. SUCH EXCLUDED INFORMATION HAS BEEN MARKED WITH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2nd AMENDMENT TO CHINA CLINICAL TRIAL SERVICES AGREEMENT</w:t>
      </w:r>
    </w:p>
    <w:p>
      <w:pPr>
        <w:spacing w:after="0" w:line="200" w:lineRule="exact"/>
        <w:rPr>
          <w:sz w:val="20"/>
          <w:szCs w:val="20"/>
          <w:color w:val="auto"/>
        </w:rPr>
      </w:pPr>
    </w:p>
    <w:p>
      <w:pPr>
        <w:spacing w:after="0" w:line="23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9"/>
          <w:szCs w:val="19"/>
          <w:color w:val="auto"/>
        </w:rPr>
        <w:t>This 2nd Amendment to the China Clinical Trial Services Agreement (the “2nd Amendment”) is effective January 1, 2024, (the “Effective Date”), by and between BioAtla, Inc. (“</w:t>
      </w:r>
      <w:r>
        <w:rPr>
          <w:rFonts w:ascii="Times New Roman" w:cs="Times New Roman" w:eastAsia="Times New Roman" w:hAnsi="Times New Roman"/>
          <w:sz w:val="19"/>
          <w:szCs w:val="19"/>
          <w:b w:val="1"/>
          <w:bCs w:val="1"/>
          <w:color w:val="auto"/>
        </w:rPr>
        <w:t>BioAtla</w:t>
      </w:r>
      <w:r>
        <w:rPr>
          <w:rFonts w:ascii="Times New Roman" w:cs="Times New Roman" w:eastAsia="Times New Roman" w:hAnsi="Times New Roman"/>
          <w:sz w:val="19"/>
          <w:szCs w:val="19"/>
          <w:color w:val="auto"/>
        </w:rPr>
        <w:t>”), a Delaware corporation having a place of business at 11085 Torreyana Road, San Diego, CA 92121 and Himalaya Therapeutics Limited Company, a company organized under the laws of Shanghai, having a registered office 3rd Floor, Building 2, No. 200 Zhangheng Road, China (Shanghai) Pilot Free Trade Zone and Himalaya Therapeutics SEZC a Cayman entity with an address at Strathvale House, 90 N Church St, George Town, Cayman Islands (collectively “</w:t>
      </w:r>
      <w:r>
        <w:rPr>
          <w:rFonts w:ascii="Times New Roman" w:cs="Times New Roman" w:eastAsia="Times New Roman" w:hAnsi="Times New Roman"/>
          <w:sz w:val="19"/>
          <w:szCs w:val="19"/>
          <w:b w:val="1"/>
          <w:bCs w:val="1"/>
          <w:color w:val="auto"/>
        </w:rPr>
        <w:t>Sponsor</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ecitals</w:t>
      </w:r>
    </w:p>
    <w:p>
      <w:pPr>
        <w:spacing w:after="0" w:line="225" w:lineRule="exact"/>
        <w:rPr>
          <w:sz w:val="20"/>
          <w:szCs w:val="20"/>
          <w:color w:val="auto"/>
        </w:rPr>
      </w:pPr>
    </w:p>
    <w:p>
      <w:pPr>
        <w:ind w:firstLine="413"/>
        <w:spacing w:after="0" w:line="221" w:lineRule="auto"/>
        <w:tabs>
          <w:tab w:leader="none" w:pos="756"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On April 8 </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2022, BioAtla, and Sponsor entered into the Clinical Trial Services Agreement (“Services Agreement”) and thereafter amended the Services Agreement with the First Amendment dated December 31, 2022.</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parties desire to further amend the Services Agreement to extend the service period and change the Global Study, as provided herein.</w:t>
      </w: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greement</w:t>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19"/>
          <w:szCs w:val="19"/>
          <w:b w:val="1"/>
          <w:bCs w:val="1"/>
          <w:color w:val="auto"/>
        </w:rPr>
        <w:t>,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19"/>
          <w:szCs w:val="19"/>
          <w:b w:val="1"/>
          <w:bCs w:val="1"/>
          <w:color w:val="auto"/>
        </w:rPr>
        <w:t>, I</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3"/>
          <w:szCs w:val="13"/>
          <w:b w:val="1"/>
          <w:bCs w:val="1"/>
          <w:color w:val="auto"/>
        </w:rPr>
        <w:t>s</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greed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between the parties as follows: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b w:val="1"/>
          <w:bCs w:val="1"/>
          <w:color w:val="auto"/>
        </w:rPr>
        <w:t xml:space="preserve">1. </w:t>
      </w:r>
      <w:r>
        <w:rPr>
          <w:rFonts w:ascii="Times New Roman" w:cs="Times New Roman" w:eastAsia="Times New Roman" w:hAnsi="Times New Roman"/>
          <w:sz w:val="13"/>
          <w:szCs w:val="13"/>
          <w:b w:val="1"/>
          <w:bCs w:val="1"/>
          <w:color w:val="auto"/>
        </w:rPr>
        <w:t>replacement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b w:val="1"/>
          <w:bCs w:val="1"/>
          <w:color w:val="auto"/>
        </w:rPr>
        <w:t>BA3021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3"/>
          <w:szCs w:val="13"/>
          <w:b w:val="1"/>
          <w:bCs w:val="1"/>
          <w:color w:val="auto"/>
        </w:rPr>
        <w:t>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b w:val="1"/>
          <w:bCs w:val="1"/>
          <w:color w:val="auto"/>
        </w:rPr>
        <w:t>3071.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The Parties agree to replace ozuriftamab vedotin BA3021 throughout the Agreement with evalstotug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BA3071 and BA3071 shall be the “Product” under the Agreement.</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2. </w:t>
      </w:r>
      <w:r>
        <w:rPr>
          <w:rFonts w:ascii="Times New Roman" w:cs="Times New Roman" w:eastAsia="Times New Roman" w:hAnsi="Times New Roman"/>
          <w:sz w:val="13"/>
          <w:szCs w:val="13"/>
          <w:b w:val="1"/>
          <w:bCs w:val="1"/>
          <w:color w:val="auto"/>
        </w:rPr>
        <w:t>replacement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3"/>
          <w:szCs w:val="13"/>
          <w:b w:val="1"/>
          <w:bCs w:val="1"/>
          <w:color w:val="auto"/>
        </w:rPr>
        <w:t>rotocol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3"/>
          <w:szCs w:val="13"/>
          <w:b w:val="1"/>
          <w:bCs w:val="1"/>
          <w:color w:val="auto"/>
        </w:rPr>
        <w:t>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tudy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The Parties agree to replace the entire protocol of the Global Study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Annex A to the Agreement with the attached Annex A. Subject to Section 2.1, patients accepted for inclusion for the portion of the Global Initial Study performed in the PRC Territory under this Agreement shall in all circumstances, be subject to the Study Plan for such Global Study.</w:t>
      </w:r>
    </w:p>
    <w:p>
      <w:pPr>
        <w:spacing w:after="0" w:line="16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3.</w:t>
      </w:r>
      <w:r>
        <w:rPr>
          <w:sz w:val="20"/>
          <w:szCs w:val="20"/>
          <w:color w:val="auto"/>
        </w:rPr>
        <w:tab/>
      </w:r>
      <w:r>
        <w:rPr>
          <w:rFonts w:ascii="Times New Roman" w:cs="Times New Roman" w:eastAsia="Times New Roman" w:hAnsi="Times New Roman"/>
          <w:sz w:val="13"/>
          <w:szCs w:val="13"/>
          <w:b w:val="1"/>
          <w:bCs w:val="1"/>
          <w:color w:val="auto"/>
        </w:rPr>
        <w:t xml:space="preserve">replacement of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 xml:space="preserve">lause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The Parties agree to replace Clause 8 of the Agreement with the following:</w:t>
      </w:r>
    </w:p>
    <w:p>
      <w:pPr>
        <w:spacing w:after="0" w:line="216"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19"/>
          <w:szCs w:val="19"/>
          <w:color w:val="auto"/>
        </w:rPr>
        <w:t>Pursuant to each Study, BioAtla shall fund all costs for the new Global Study, including (a) all amounts owed to the applicable CROs, (b) all Product supply costs (including replacement for Non-Conformance prior to delivery of Product), and (c) funding for the equivalent of two (2) full time equivalent personnel (“FTE”s) of Sponsor for activities allocated to Sponsor (at an annual rate per FTE per year and for a period of time as mutually agreed by the Parties). For the new Global Study, BioAtla shall pay Sponsor for the full time use of two of its personnel (based upon the full-time equivalent costs of such personnel of [***]) for the period ending on the first anniversary of the Effective Date of the 2nd Amendment. All such payments are non-refundable. Payments are due and payable by BioAtla to Sponsor as follows, a) [***] by [***]; b) a payment of [***] by [***]; c) a payment of [***] by [***], and a final payment of [***] by [***].</w:t>
      </w:r>
    </w:p>
    <w:p>
      <w:pPr>
        <w:spacing w:after="0" w:line="39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18"/>
          <w:szCs w:val="18"/>
          <w:color w:val="auto"/>
        </w:rPr>
        <w:t>Except as modified by this 2nd Amendment, the Services Agreement shall remain in full force and effect in accordance with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terms.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7F7F7F"/>
        </w:rPr>
        <w:t>2nd AMENDMENT TO THE CLINICAL TRIAL SERVICES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7F7F7F"/>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78" w:name="page79"/>
    <w:bookmarkEnd w:id="78"/>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18"/>
          <w:szCs w:val="18"/>
          <w:color w:val="auto"/>
        </w:rPr>
        <w:t>This 2nd Amendment shall be governed by, and construed and enforced in accordance with, the laws of the United States of America,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excluding its conflicts of laws principles.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18"/>
          <w:szCs w:val="18"/>
          <w:color w:val="auto"/>
        </w:rPr>
        <w:t>This 2nd Amendment may be executed in any number of counterparts, each of which shall be an original, but all of which together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8"/>
          <w:szCs w:val="18"/>
          <w:color w:val="auto"/>
        </w:rPr>
        <w:t>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6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9"/>
          <w:szCs w:val="19"/>
          <w:i w:val="1"/>
          <w:iCs w:val="1"/>
          <w:color w:val="auto"/>
        </w:rPr>
        <w:t>[Signature Pages Follow]</w:t>
      </w:r>
    </w:p>
    <w:p>
      <w:pPr>
        <w:spacing w:after="0" w:line="22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i w:val="1"/>
          <w:iCs w:val="1"/>
          <w:color w:val="7F7F7F"/>
        </w:rPr>
        <w:t>2nd AMENDMENT TO THE CLINICAL TRIAL SERVICES AGREEMENT</w:t>
      </w:r>
    </w:p>
    <w:p>
      <w:pPr>
        <w:spacing w:after="0" w:line="3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i w:val="1"/>
          <w:iCs w:val="1"/>
          <w:color w:val="7F7F7F"/>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1280" w:top="1404" w:right="339" w:bottom="1440" w:gutter="0" w:footer="0" w:header="0"/>
        </w:sectPr>
      </w:pPr>
    </w:p>
    <w:bookmarkStart w:id="79" w:name="page80"/>
    <w:bookmarkEnd w:id="79"/>
    <w:p>
      <w:pPr>
        <w:ind w:left="760"/>
        <w:spacing w:after="0"/>
        <w:rPr>
          <w:sz w:val="20"/>
          <w:szCs w:val="20"/>
          <w:color w:val="auto"/>
        </w:rPr>
      </w:pPr>
      <w:r>
        <w:rPr>
          <w:rFonts w:ascii="Times New Roman" w:cs="Times New Roman" w:eastAsia="Times New Roman" w:hAnsi="Times New Roman"/>
          <w:sz w:val="19"/>
          <w:szCs w:val="19"/>
          <w:color w:val="auto"/>
        </w:rPr>
        <w:t>The parties have executed this 2nd Amendment to Services Agreement as of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3"/>
          <w:szCs w:val="13"/>
          <w:b w:val="1"/>
          <w:bCs w:val="1"/>
          <w:color w:val="auto"/>
        </w:rPr>
        <w:t>io</w:t>
      </w: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tla</w:t>
      </w:r>
      <w:r>
        <w:rPr>
          <w:rFonts w:ascii="Times New Roman" w:cs="Times New Roman" w:eastAsia="Times New Roman" w:hAnsi="Times New Roman"/>
          <w:sz w:val="19"/>
          <w:szCs w:val="19"/>
          <w:b w:val="1"/>
          <w:bCs w:val="1"/>
          <w:color w:val="auto"/>
        </w:rPr>
        <w:t>, I</w:t>
      </w:r>
      <w:r>
        <w:rPr>
          <w:rFonts w:ascii="Times New Roman" w:cs="Times New Roman" w:eastAsia="Times New Roman" w:hAnsi="Times New Roman"/>
          <w:sz w:val="13"/>
          <w:szCs w:val="13"/>
          <w:b w:val="1"/>
          <w:bCs w:val="1"/>
          <w:color w:val="auto"/>
        </w:rPr>
        <w:t>nc</w:t>
      </w:r>
    </w:p>
    <w:p>
      <w:pPr>
        <w:spacing w:after="0" w:line="200" w:lineRule="exact"/>
        <w:rPr>
          <w:sz w:val="20"/>
          <w:szCs w:val="20"/>
          <w:color w:val="auto"/>
        </w:rPr>
      </w:pP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/s/ Monica Sullivan</w:t>
      </w:r>
    </w:p>
    <w:p>
      <w:pPr>
        <w:spacing w:after="0" w:line="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Monica Sullivan</w:t>
      </w:r>
    </w:p>
    <w:p>
      <w:pPr>
        <w:ind w:left="4500"/>
        <w:spacing w:after="0" w:line="237" w:lineRule="auto"/>
        <w:rPr>
          <w:sz w:val="20"/>
          <w:szCs w:val="20"/>
          <w:color w:val="auto"/>
        </w:rPr>
      </w:pPr>
      <w:r>
        <w:rPr>
          <w:rFonts w:ascii="Times New Roman" w:cs="Times New Roman" w:eastAsia="Times New Roman" w:hAnsi="Times New Roman"/>
          <w:sz w:val="19"/>
          <w:szCs w:val="19"/>
          <w:color w:val="auto"/>
        </w:rPr>
        <w:t>Title: SVP, IP and Contracts</w:t>
      </w:r>
    </w:p>
    <w:p>
      <w:pPr>
        <w:ind w:left="4500"/>
        <w:spacing w:after="0" w:line="237" w:lineRule="auto"/>
        <w:rPr>
          <w:sz w:val="20"/>
          <w:szCs w:val="20"/>
          <w:color w:val="auto"/>
        </w:rPr>
      </w:pPr>
      <w:r>
        <w:rPr>
          <w:rFonts w:ascii="Times New Roman" w:cs="Times New Roman" w:eastAsia="Times New Roman" w:hAnsi="Times New Roman"/>
          <w:sz w:val="19"/>
          <w:szCs w:val="19"/>
          <w:color w:val="auto"/>
        </w:rPr>
        <w:t>Address:</w:t>
      </w:r>
    </w:p>
    <w:p>
      <w:pPr>
        <w:ind w:left="4500"/>
        <w:spacing w:after="0" w:line="237" w:lineRule="auto"/>
        <w:rPr>
          <w:sz w:val="20"/>
          <w:szCs w:val="20"/>
          <w:color w:val="auto"/>
        </w:rPr>
      </w:pPr>
      <w:r>
        <w:rPr>
          <w:rFonts w:ascii="Times New Roman" w:cs="Times New Roman" w:eastAsia="Times New Roman" w:hAnsi="Times New Roman"/>
          <w:sz w:val="19"/>
          <w:szCs w:val="19"/>
          <w:color w:val="auto"/>
        </w:rPr>
        <w:t>BioAtla, Inc.</w:t>
      </w:r>
    </w:p>
    <w:p>
      <w:pPr>
        <w:ind w:left="4500"/>
        <w:spacing w:after="0" w:line="238" w:lineRule="auto"/>
        <w:rPr>
          <w:sz w:val="20"/>
          <w:szCs w:val="20"/>
          <w:color w:val="auto"/>
        </w:rPr>
      </w:pPr>
      <w:r>
        <w:rPr>
          <w:rFonts w:ascii="Times New Roman" w:cs="Times New Roman" w:eastAsia="Times New Roman" w:hAnsi="Times New Roman"/>
          <w:sz w:val="19"/>
          <w:szCs w:val="19"/>
          <w:color w:val="auto"/>
        </w:rPr>
        <w:t>11085 Torreyana Road, Suite 100</w:t>
      </w:r>
    </w:p>
    <w:p>
      <w:pPr>
        <w:ind w:left="4500"/>
        <w:spacing w:after="0"/>
        <w:rPr>
          <w:sz w:val="20"/>
          <w:szCs w:val="20"/>
          <w:color w:val="auto"/>
        </w:rPr>
      </w:pPr>
      <w:r>
        <w:rPr>
          <w:rFonts w:ascii="Times New Roman" w:cs="Times New Roman" w:eastAsia="Times New Roman" w:hAnsi="Times New Roman"/>
          <w:sz w:val="19"/>
          <w:szCs w:val="19"/>
          <w:color w:val="auto"/>
        </w:rPr>
        <w:t>San Diego, CA 92121</w:t>
      </w:r>
    </w:p>
    <w:p>
      <w:pPr>
        <w:spacing w:after="0" w:line="1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Email: msullivan@bioatla.com</w:t>
      </w:r>
    </w:p>
    <w:p>
      <w:pPr>
        <w:spacing w:after="0" w:line="1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DATE: February 13, 2024</w:t>
      </w:r>
    </w:p>
    <w:p>
      <w:pPr>
        <w:spacing w:after="0" w:line="200" w:lineRule="exact"/>
        <w:rPr>
          <w:sz w:val="20"/>
          <w:szCs w:val="20"/>
          <w:color w:val="auto"/>
        </w:rPr>
      </w:pPr>
    </w:p>
    <w:p>
      <w:pPr>
        <w:spacing w:after="0" w:line="3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Himalaya Therapeutics Limited Company (China)</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/s/ Brian Zhang</w:t>
      </w:r>
    </w:p>
    <w:p>
      <w:pPr>
        <w:spacing w:after="0" w:line="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Brian Zhang</w:t>
      </w:r>
    </w:p>
    <w:p>
      <w:pPr>
        <w:ind w:left="4500"/>
        <w:spacing w:after="0" w:line="237" w:lineRule="auto"/>
        <w:rPr>
          <w:sz w:val="20"/>
          <w:szCs w:val="20"/>
          <w:color w:val="auto"/>
        </w:rPr>
      </w:pPr>
      <w:r>
        <w:rPr>
          <w:rFonts w:ascii="Times New Roman" w:cs="Times New Roman" w:eastAsia="Times New Roman" w:hAnsi="Times New Roman"/>
          <w:sz w:val="19"/>
          <w:szCs w:val="19"/>
          <w:color w:val="auto"/>
        </w:rPr>
        <w:t>Title: CEO</w:t>
      </w:r>
    </w:p>
    <w:p>
      <w:pPr>
        <w:ind w:left="4500"/>
        <w:spacing w:after="0"/>
        <w:rPr>
          <w:sz w:val="20"/>
          <w:szCs w:val="20"/>
          <w:color w:val="auto"/>
        </w:rPr>
      </w:pPr>
      <w:r>
        <w:rPr>
          <w:rFonts w:ascii="Times New Roman" w:cs="Times New Roman" w:eastAsia="Times New Roman" w:hAnsi="Times New Roman"/>
          <w:sz w:val="19"/>
          <w:szCs w:val="19"/>
          <w:color w:val="auto"/>
        </w:rPr>
        <w:t>Email: bzhang@himalayatherapeutics.com</w:t>
      </w:r>
    </w:p>
    <w:p>
      <w:pPr>
        <w:spacing w:after="0" w:line="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DATE: February 13, 2024</w:t>
      </w:r>
    </w:p>
    <w:p>
      <w:pPr>
        <w:spacing w:after="0" w:line="3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auto"/>
        </w:rPr>
        <w:t>Himalaya Therapeutics SEZC</w:t>
      </w:r>
    </w:p>
    <w:p>
      <w:pPr>
        <w:spacing w:after="0" w:line="200" w:lineRule="exact"/>
        <w:rPr>
          <w:sz w:val="20"/>
          <w:szCs w:val="20"/>
          <w:color w:val="auto"/>
        </w:rPr>
      </w:pP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By: /s/ Carolyn Short</w:t>
      </w:r>
    </w:p>
    <w:p>
      <w:pPr>
        <w:spacing w:after="0" w:line="1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Name: Carolyn Short</w:t>
      </w:r>
    </w:p>
    <w:p>
      <w:pPr>
        <w:ind w:left="4500"/>
        <w:spacing w:after="0" w:line="237" w:lineRule="auto"/>
        <w:rPr>
          <w:sz w:val="20"/>
          <w:szCs w:val="20"/>
          <w:color w:val="auto"/>
        </w:rPr>
      </w:pPr>
      <w:r>
        <w:rPr>
          <w:rFonts w:ascii="Times New Roman" w:cs="Times New Roman" w:eastAsia="Times New Roman" w:hAnsi="Times New Roman"/>
          <w:sz w:val="19"/>
          <w:szCs w:val="19"/>
          <w:color w:val="auto"/>
        </w:rPr>
        <w:t>Title: President &amp; COO</w:t>
      </w:r>
    </w:p>
    <w:p>
      <w:pPr>
        <w:ind w:left="4500"/>
        <w:spacing w:after="0"/>
        <w:rPr>
          <w:sz w:val="20"/>
          <w:szCs w:val="20"/>
          <w:color w:val="auto"/>
        </w:rPr>
      </w:pPr>
      <w:r>
        <w:rPr>
          <w:rFonts w:ascii="Times New Roman" w:cs="Times New Roman" w:eastAsia="Times New Roman" w:hAnsi="Times New Roman"/>
          <w:sz w:val="19"/>
          <w:szCs w:val="19"/>
          <w:color w:val="auto"/>
        </w:rPr>
        <w:t>Email: cshort@himalayatherapeutics.com</w:t>
      </w:r>
    </w:p>
    <w:p>
      <w:pPr>
        <w:spacing w:after="0" w:line="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color w:val="auto"/>
        </w:rPr>
        <w:t>DATE: 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19" w:lineRule="exact"/>
        <w:rPr>
          <w:sz w:val="20"/>
          <w:szCs w:val="20"/>
          <w:color w:val="auto"/>
        </w:rPr>
      </w:pPr>
    </w:p>
    <w:p>
      <w:pPr>
        <w:ind w:left="4940" w:right="1779" w:hanging="2382"/>
        <w:spacing w:after="0" w:line="258" w:lineRule="auto"/>
        <w:rPr>
          <w:sz w:val="20"/>
          <w:szCs w:val="20"/>
          <w:color w:val="auto"/>
        </w:rPr>
      </w:pPr>
      <w:r>
        <w:rPr>
          <w:rFonts w:ascii="Times New Roman" w:cs="Times New Roman" w:eastAsia="Times New Roman" w:hAnsi="Times New Roman"/>
          <w:sz w:val="18"/>
          <w:szCs w:val="18"/>
          <w:b w:val="1"/>
          <w:bCs w:val="1"/>
          <w:i w:val="1"/>
          <w:iCs w:val="1"/>
          <w:color w:val="7F7F7F"/>
        </w:rPr>
        <w:t>2nd AMENDMENT TO THE CLINICAL TRIAL SERVICES AGREEMENT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80" w:name="page81"/>
    <w:bookmarkEnd w:id="80"/>
    <w:p>
      <w:pPr>
        <w:jc w:val="center"/>
        <w:ind w:right="-1100"/>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Global Study Protocol for BA3071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i w:val="1"/>
          <w:iCs w:val="1"/>
          <w:color w:val="auto"/>
        </w:rPr>
        <w:t>[To be Provided by BioAtla]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ind w:left="4940" w:right="1779" w:hanging="2382"/>
        <w:spacing w:after="0" w:line="258" w:lineRule="auto"/>
        <w:rPr>
          <w:sz w:val="20"/>
          <w:szCs w:val="20"/>
          <w:color w:val="auto"/>
        </w:rPr>
      </w:pPr>
      <w:r>
        <w:rPr>
          <w:rFonts w:ascii="Times New Roman" w:cs="Times New Roman" w:eastAsia="Times New Roman" w:hAnsi="Times New Roman"/>
          <w:sz w:val="18"/>
          <w:szCs w:val="18"/>
          <w:b w:val="1"/>
          <w:bCs w:val="1"/>
          <w:i w:val="1"/>
          <w:iCs w:val="1"/>
          <w:color w:val="7F7F7F"/>
        </w:rPr>
        <w:t>2nd AMENDMENT TO THE CLINICAL TRIAL SERVICES AGREEMENT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RESTRICTED STOCK UNIT AGREEMENT</w:t>
      </w:r>
    </w:p>
    <w:p>
      <w:pPr>
        <w:spacing w:after="0" w:line="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UNDER THE BIOATLA, INC.</w:t>
      </w:r>
    </w:p>
    <w:p>
      <w:pPr>
        <w:ind w:left="4000"/>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0" w:lineRule="exact"/>
        <w:rPr>
          <w:sz w:val="20"/>
          <w:szCs w:val="20"/>
          <w:color w:val="auto"/>
        </w:rPr>
      </w:pPr>
    </w:p>
    <w:p>
      <w:pPr>
        <w:spacing w:after="0" w:line="21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THIS RESTRICTED STOCK UNIT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between BioAtla, Inc.,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i w:val="1"/>
          <w:iCs w:val="1"/>
          <w:color w:val="auto"/>
        </w:rPr>
        <w:t>See Third-Party Administrative Platform</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 xml:space="preserve">”) and is made as of </w:t>
      </w:r>
      <w:r>
        <w:rPr>
          <w:rFonts w:ascii="Times New Roman" w:cs="Times New Roman" w:eastAsia="Times New Roman" w:hAnsi="Times New Roman"/>
          <w:sz w:val="22"/>
          <w:szCs w:val="22"/>
          <w:b w:val="1"/>
          <w:bCs w:val="1"/>
          <w:i w:val="1"/>
          <w:iCs w:val="1"/>
          <w:color w:val="auto"/>
        </w:rPr>
        <w:t>See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Third-Party Administrative Platform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Grant Date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maintains the BioAtla, Inc. 2020 Equity Incentive Plan (as it may be amended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and/or restated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Plan permits the Company to award Restricted Stock Units with respect to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common stock, $0.0001 par value per share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subject to the terms of the Plan; and</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grant Restricted Stock Units to the Grantee in accordance with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award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these premises and the agreements set forth herein,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intending to be legally bound hereby, agree as follows:</w:t>
      </w:r>
    </w:p>
    <w:p>
      <w:pPr>
        <w:spacing w:after="0" w:line="148" w:lineRule="exact"/>
        <w:rPr>
          <w:sz w:val="20"/>
          <w:szCs w:val="20"/>
          <w:color w:val="auto"/>
        </w:rPr>
      </w:pPr>
    </w:p>
    <w:p>
      <w:pPr>
        <w:jc w:val="both"/>
        <w:ind w:firstLine="1505"/>
        <w:spacing w:after="0" w:line="237"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Restricted Stock Units</w:t>
      </w:r>
      <w:r>
        <w:rPr>
          <w:rFonts w:ascii="Times New Roman" w:cs="Times New Roman" w:eastAsia="Times New Roman" w:hAnsi="Times New Roman"/>
          <w:sz w:val="22"/>
          <w:szCs w:val="22"/>
          <w:color w:val="auto"/>
        </w:rPr>
        <w:t xml:space="preserve">. The Company hereby grants to the Grantee, as of the Grant Date, </w:t>
      </w:r>
      <w:r>
        <w:rPr>
          <w:rFonts w:ascii="Times New Roman" w:cs="Times New Roman" w:eastAsia="Times New Roman" w:hAnsi="Times New Roman"/>
          <w:sz w:val="22"/>
          <w:szCs w:val="22"/>
          <w:b w:val="1"/>
          <w:bCs w:val="1"/>
          <w:i w:val="1"/>
          <w:iCs w:val="1"/>
          <w:color w:val="auto"/>
        </w:rPr>
        <w:t>See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Third-Party Administrative Platform </w:t>
      </w:r>
      <w:r>
        <w:rPr>
          <w:rFonts w:ascii="Times New Roman" w:cs="Times New Roman" w:eastAsia="Times New Roman" w:hAnsi="Times New Roman"/>
          <w:sz w:val="22"/>
          <w:szCs w:val="22"/>
          <w:color w:val="auto"/>
        </w:rPr>
        <w:t>Restricted Stock Units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With respect to each RSU that becomes vested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accordance with the terms of this Agreement, the Grantee will be entitled to receive one Share upon the settlement of such RSU (the “</w:t>
      </w:r>
      <w:r>
        <w:rPr>
          <w:rFonts w:ascii="Times New Roman" w:cs="Times New Roman" w:eastAsia="Times New Roman" w:hAnsi="Times New Roman"/>
          <w:sz w:val="22"/>
          <w:szCs w:val="22"/>
          <w:b w:val="1"/>
          <w:bCs w:val="1"/>
          <w:i w:val="1"/>
          <w:iCs w:val="1"/>
          <w:color w:val="auto"/>
        </w:rPr>
        <w:t>RSU Shares</w:t>
      </w:r>
      <w:r>
        <w:rPr>
          <w:rFonts w:ascii="Times New Roman" w:cs="Times New Roman" w:eastAsia="Times New Roman" w:hAnsi="Times New Roman"/>
          <w:sz w:val="22"/>
          <w:szCs w:val="22"/>
          <w:color w:val="auto"/>
        </w:rPr>
        <w:t>”). The RSUs are subject to the terms set forth herein, and the terms of the Plan, which terms and provisions are incorporated herein by reference. Capitalized terms used but not otherwise defined herein shall have the meanings ascribed to such terms in the Plan.</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Settlement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Grant Date, the RSUs are unvested and shall become vested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380" w:type="dxa"/>
            <w:vAlign w:val="bottom"/>
            <w:tcBorders>
              <w:right w:val="single" w:sz="8" w:color="auto"/>
            </w:tcBorders>
          </w:tcPr>
          <w:p>
            <w:pPr>
              <w:spacing w:after="0"/>
              <w:rPr>
                <w:sz w:val="21"/>
                <w:szCs w:val="21"/>
                <w:color w:val="auto"/>
              </w:rPr>
            </w:pPr>
          </w:p>
        </w:tc>
        <w:tc>
          <w:tcPr>
            <w:tcW w:w="5400" w:type="dxa"/>
            <w:vAlign w:val="bottom"/>
            <w:tcBorders>
              <w:top w:val="single" w:sz="8" w:color="auto"/>
              <w:right w:val="single" w:sz="8" w:color="auto"/>
            </w:tcBorders>
          </w:tcPr>
          <w:p>
            <w:pPr>
              <w:ind w:left="2100"/>
              <w:spacing w:after="0" w:line="242" w:lineRule="exact"/>
              <w:rPr>
                <w:sz w:val="20"/>
                <w:szCs w:val="20"/>
                <w:color w:val="auto"/>
              </w:rPr>
            </w:pPr>
            <w:r>
              <w:rPr>
                <w:rFonts w:ascii="Times New Roman" w:cs="Times New Roman" w:eastAsia="Times New Roman" w:hAnsi="Times New Roman"/>
                <w:sz w:val="22"/>
                <w:szCs w:val="22"/>
                <w:b w:val="1"/>
                <w:bCs w:val="1"/>
                <w:color w:val="auto"/>
              </w:rPr>
              <w:t>Vesting Date</w:t>
            </w:r>
          </w:p>
        </w:tc>
        <w:tc>
          <w:tcPr>
            <w:tcW w:w="3120" w:type="dxa"/>
            <w:vAlign w:val="bottom"/>
            <w:tcBorders>
              <w:top w:val="single" w:sz="8" w:color="auto"/>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22"/>
                <w:szCs w:val="22"/>
                <w:b w:val="1"/>
                <w:bCs w:val="1"/>
                <w:color w:val="auto"/>
                <w:w w:val="96"/>
              </w:rPr>
              <w:t>Vesting Percentage on Vesting</w:t>
            </w:r>
          </w:p>
        </w:tc>
        <w:tc>
          <w:tcPr>
            <w:tcW w:w="1340" w:type="dxa"/>
            <w:vAlign w:val="bottom"/>
          </w:tcPr>
          <w:p>
            <w:pPr>
              <w:spacing w:after="0"/>
              <w:rPr>
                <w:sz w:val="21"/>
                <w:szCs w:val="21"/>
                <w:color w:val="auto"/>
              </w:rPr>
            </w:pPr>
          </w:p>
        </w:tc>
      </w:tr>
      <w:tr>
        <w:trPr>
          <w:trHeight w:val="286"/>
        </w:trPr>
        <w:tc>
          <w:tcPr>
            <w:tcW w:w="1380" w:type="dxa"/>
            <w:vAlign w:val="bottom"/>
            <w:tcBorders>
              <w:right w:val="single" w:sz="8" w:color="auto"/>
            </w:tcBorders>
          </w:tcPr>
          <w:p>
            <w:pPr>
              <w:spacing w:after="0"/>
              <w:rPr>
                <w:sz w:val="24"/>
                <w:szCs w:val="24"/>
                <w:color w:val="auto"/>
              </w:rPr>
            </w:pPr>
          </w:p>
        </w:tc>
        <w:tc>
          <w:tcPr>
            <w:tcW w:w="5400" w:type="dxa"/>
            <w:vAlign w:val="bottom"/>
            <w:tcBorders>
              <w:right w:val="single" w:sz="8" w:color="auto"/>
            </w:tcBorders>
          </w:tcPr>
          <w:p>
            <w:pPr>
              <w:spacing w:after="0"/>
              <w:rPr>
                <w:sz w:val="24"/>
                <w:szCs w:val="24"/>
                <w:color w:val="auto"/>
              </w:rPr>
            </w:pP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340" w:type="dxa"/>
            <w:vAlign w:val="bottom"/>
          </w:tcPr>
          <w:p>
            <w:pPr>
              <w:spacing w:after="0"/>
              <w:rPr>
                <w:sz w:val="24"/>
                <w:szCs w:val="24"/>
                <w:color w:val="auto"/>
              </w:rPr>
            </w:pPr>
          </w:p>
        </w:tc>
      </w:tr>
      <w:tr>
        <w:trPr>
          <w:trHeight w:val="234"/>
        </w:trPr>
        <w:tc>
          <w:tcPr>
            <w:tcW w:w="1380" w:type="dxa"/>
            <w:vAlign w:val="bottom"/>
            <w:tcBorders>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r>
      <w:tr>
        <w:trPr>
          <w:trHeight w:val="262"/>
        </w:trPr>
        <w:tc>
          <w:tcPr>
            <w:tcW w:w="1380" w:type="dxa"/>
            <w:vAlign w:val="bottom"/>
            <w:tcBorders>
              <w:right w:val="single" w:sz="8" w:color="auto"/>
            </w:tcBorders>
          </w:tcPr>
          <w:p>
            <w:pPr>
              <w:spacing w:after="0"/>
              <w:rPr>
                <w:sz w:val="22"/>
                <w:szCs w:val="22"/>
                <w:color w:val="auto"/>
              </w:rPr>
            </w:pPr>
          </w:p>
        </w:tc>
        <w:tc>
          <w:tcPr>
            <w:tcW w:w="54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First anniversary of the Vesting Commencement Date</w:t>
            </w:r>
          </w:p>
        </w:tc>
        <w:tc>
          <w:tcPr>
            <w:tcW w:w="3120" w:type="dxa"/>
            <w:vAlign w:val="bottom"/>
            <w:tcBorders>
              <w:right w:val="single" w:sz="8" w:color="auto"/>
            </w:tcBorders>
          </w:tcPr>
          <w:p>
            <w:pPr>
              <w:jc w:val="right"/>
              <w:ind w:right="1272"/>
              <w:spacing w:after="0"/>
              <w:rPr>
                <w:sz w:val="20"/>
                <w:szCs w:val="20"/>
                <w:color w:val="auto"/>
              </w:rPr>
            </w:pPr>
            <w:r>
              <w:rPr>
                <w:rFonts w:ascii="Times New Roman" w:cs="Times New Roman" w:eastAsia="Times New Roman" w:hAnsi="Times New Roman"/>
                <w:sz w:val="22"/>
                <w:szCs w:val="22"/>
                <w:color w:val="auto"/>
              </w:rPr>
              <w:t>25%</w:t>
            </w:r>
          </w:p>
        </w:tc>
        <w:tc>
          <w:tcPr>
            <w:tcW w:w="1340" w:type="dxa"/>
            <w:vAlign w:val="bottom"/>
          </w:tcPr>
          <w:p>
            <w:pPr>
              <w:spacing w:after="0"/>
              <w:rPr>
                <w:sz w:val="22"/>
                <w:szCs w:val="22"/>
                <w:color w:val="auto"/>
              </w:rPr>
            </w:pPr>
          </w:p>
        </w:tc>
      </w:tr>
      <w:tr>
        <w:trPr>
          <w:trHeight w:val="200"/>
        </w:trPr>
        <w:tc>
          <w:tcPr>
            <w:tcW w:w="1380" w:type="dxa"/>
            <w:vAlign w:val="bottom"/>
            <w:tcBorders>
              <w:right w:val="single" w:sz="8" w:color="auto"/>
            </w:tcBorders>
          </w:tcPr>
          <w:p>
            <w:pPr>
              <w:spacing w:after="0"/>
              <w:rPr>
                <w:sz w:val="17"/>
                <w:szCs w:val="17"/>
                <w:color w:val="auto"/>
              </w:rPr>
            </w:pPr>
          </w:p>
        </w:tc>
        <w:tc>
          <w:tcPr>
            <w:tcW w:w="5400" w:type="dxa"/>
            <w:vAlign w:val="bottom"/>
            <w:tcBorders>
              <w:bottom w:val="single" w:sz="8" w:color="auto"/>
              <w:right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1380" w:type="dxa"/>
            <w:vAlign w:val="bottom"/>
            <w:tcBorders>
              <w:right w:val="single" w:sz="8" w:color="auto"/>
            </w:tcBorders>
          </w:tcPr>
          <w:p>
            <w:pPr>
              <w:spacing w:after="0"/>
              <w:rPr>
                <w:sz w:val="19"/>
                <w:szCs w:val="19"/>
                <w:color w:val="auto"/>
              </w:rPr>
            </w:pPr>
          </w:p>
        </w:tc>
        <w:tc>
          <w:tcPr>
            <w:tcW w:w="540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The last day of each of the 3-month periods following the</w:t>
            </w:r>
          </w:p>
        </w:tc>
        <w:tc>
          <w:tcPr>
            <w:tcW w:w="3120" w:type="dxa"/>
            <w:vAlign w:val="bottom"/>
            <w:tcBorders>
              <w:right w:val="single" w:sz="8" w:color="auto"/>
            </w:tcBorders>
          </w:tcPr>
          <w:p>
            <w:pPr>
              <w:jc w:val="right"/>
              <w:ind w:right="1192"/>
              <w:spacing w:after="0" w:line="223" w:lineRule="exact"/>
              <w:rPr>
                <w:sz w:val="20"/>
                <w:szCs w:val="20"/>
                <w:color w:val="auto"/>
              </w:rPr>
            </w:pPr>
            <w:r>
              <w:rPr>
                <w:rFonts w:ascii="Times New Roman" w:cs="Times New Roman" w:eastAsia="Times New Roman" w:hAnsi="Times New Roman"/>
                <w:sz w:val="22"/>
                <w:szCs w:val="22"/>
                <w:color w:val="auto"/>
              </w:rPr>
              <w:t>6.25%</w:t>
            </w:r>
          </w:p>
        </w:tc>
        <w:tc>
          <w:tcPr>
            <w:tcW w:w="1340" w:type="dxa"/>
            <w:vAlign w:val="bottom"/>
          </w:tcPr>
          <w:p>
            <w:pPr>
              <w:spacing w:after="0"/>
              <w:rPr>
                <w:sz w:val="19"/>
                <w:szCs w:val="19"/>
                <w:color w:val="auto"/>
              </w:rPr>
            </w:pPr>
          </w:p>
        </w:tc>
      </w:tr>
      <w:tr>
        <w:trPr>
          <w:trHeight w:val="283"/>
        </w:trPr>
        <w:tc>
          <w:tcPr>
            <w:tcW w:w="1380" w:type="dxa"/>
            <w:vAlign w:val="bottom"/>
            <w:tcBorders>
              <w:right w:val="single" w:sz="8" w:color="auto"/>
            </w:tcBorders>
          </w:tcPr>
          <w:p>
            <w:pPr>
              <w:spacing w:after="0"/>
              <w:rPr>
                <w:sz w:val="24"/>
                <w:szCs w:val="24"/>
                <w:color w:val="auto"/>
              </w:rPr>
            </w:pPr>
          </w:p>
        </w:tc>
        <w:tc>
          <w:tcPr>
            <w:tcW w:w="5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month in which the first</w:t>
            </w:r>
          </w:p>
        </w:tc>
        <w:tc>
          <w:tcPr>
            <w:tcW w:w="3120" w:type="dxa"/>
            <w:vAlign w:val="bottom"/>
            <w:tcBorders>
              <w:bottom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r>
      <w:tr>
        <w:trPr>
          <w:trHeight w:val="1405"/>
        </w:trPr>
        <w:tc>
          <w:tcPr>
            <w:tcW w:w="13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2" w:name="page83"/>
    <w:bookmarkEnd w:id="82"/>
    <w:p>
      <w:pPr>
        <w:ind w:left="14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1063625</wp:posOffset>
            </wp:positionH>
            <wp:positionV relativeFrom="page">
              <wp:posOffset>909955</wp:posOffset>
            </wp:positionV>
            <wp:extent cx="5419725" cy="3302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419725" cy="330200"/>
                    </a:xfrm>
                    <a:prstGeom prst="rect">
                      <a:avLst/>
                    </a:prstGeom>
                    <a:noFill/>
                  </pic:spPr>
                </pic:pic>
              </a:graphicData>
            </a:graphic>
          </wp:anchor>
        </w:drawing>
        <w:t>anniversary of the Vesting Commencement Date occurs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Vesting Commencement Date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b w:val="1"/>
          <w:bCs w:val="1"/>
          <w:i w:val="1"/>
          <w:iCs w:val="1"/>
          <w:color w:val="auto"/>
        </w:rPr>
        <w:t>See Third-Party Administrative Platform</w:t>
      </w:r>
      <w:r>
        <w:rPr>
          <w:rFonts w:ascii="Times New Roman" w:cs="Times New Roman" w:eastAsia="Times New Roman" w:hAnsi="Times New Roman"/>
          <w:sz w:val="22"/>
          <w:szCs w:val="22"/>
          <w:color w:val="auto"/>
        </w:rPr>
        <w:t>. If the percentages above would result in a fraction of an RSU vesting on a vesting date, then the number of RSUs vesting on such vesting date shall be rounded up to the next whole number; provided, however, that in no event shall more than 100% of the RSUs become vested and settled.</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Vesting of any RSUs in all cases is subject to the Grantee’s continued Service (as defined below) with the Company or one of its Subsidiaries from the Grant Date through and including the applicable vesting date. Except as otherwise specifically provided in Section 7.2 of the Plan, if the Grantee’s Service with the Company or any of its Subsidiaries terminates for any reason prior to the date on which all of the RSUs have become vested, regardless of whether such termination is initiated by the Grantee, by the Company or by any of the Company’s Subsidiaries, then all RSUs which are unvested as of the date of such termination shall be forfeited immediately upon such termination with no compensation or other payment due to the Grantee or any other Person. In addition, if the Grantee’s Service with the Company or any of its Subsidiaries is terminated for Cause, then any RSUs which have not been settled as of such termination of Service (even if such RSUs are vested) shall be forfeited immediately upon such termination with no compensation or other payment due to the Grantee or any other Person. For purposes of this Agreement, “Service” shall mean continuous service as an employee, non-employee member of the Company’s Board of Directors or independent contractor.</w:t>
      </w:r>
    </w:p>
    <w:p>
      <w:pPr>
        <w:spacing w:after="0" w:line="18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contained in any offer letter, severance agreement, employment agreement, consulting agreement or similar agreement between the Grantee and the Company or any of its Affiliates, (i) the RSUs shall not vest upon or following Grantee’s termination of Service except as provided in Section 7.2 of the Plan and (ii) the RSUs shall not vest in connection with a Change in Control, a change in control, a change of control or any similar event except as provided in this Agreement or in the Plan.</w:t>
      </w:r>
    </w:p>
    <w:p>
      <w:pPr>
        <w:spacing w:after="0" w:line="177" w:lineRule="exact"/>
        <w:rPr>
          <w:sz w:val="20"/>
          <w:szCs w:val="20"/>
          <w:color w:val="auto"/>
        </w:rPr>
      </w:pPr>
    </w:p>
    <w:p>
      <w:pPr>
        <w:ind w:firstLine="2254"/>
        <w:spacing w:after="0" w:line="258" w:lineRule="auto"/>
        <w:tabs>
          <w:tab w:leader="none" w:pos="25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RSU that becomes vested shall be settled as soon as reasonably practicable following the date on which such RSU becomes vested, and in any event within 30 days after the vesting event.</w:t>
      </w:r>
    </w:p>
    <w:p>
      <w:pPr>
        <w:spacing w:after="0" w:line="158"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receipt by the Grantee of an RSU Share in settlement of an RSU, the Grantee shall have no rights of a stockholder with respect to such RSU or RSU Share, including, without limitation, the right to receive dividends with respect to such RSU or RSU Share or the right to vote such RSU or RSU Share. Notwithstanding the foregoing or anything contained in this Agreement to the contrary, if the Company declares a cash dividend on Shares with a record date during the period between the Grant Date and the date immediately preceding the date on which an RSU Share is delivered upon the settlement of a vested RSU, then the Grantee shall be entitled to receive with respect to the vested RSUs being settled on such date an amount in cash equal to the product of (i) the number of vested RSUs then being settled, multiplied by (ii) the amount of cash dividends declared per Share during the period between the Grant Date and the date immediately preceding the date on which such RSU Shares are delivered upon the settlement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83" w:name="page84"/>
    <w:bookmarkEnd w:id="83"/>
    <w:p>
      <w:pPr>
        <w:jc w:val="both"/>
        <w:spacing w:after="0" w:line="235" w:lineRule="auto"/>
        <w:rPr>
          <w:sz w:val="20"/>
          <w:szCs w:val="20"/>
          <w:color w:val="auto"/>
        </w:rPr>
      </w:pPr>
      <w:r>
        <w:rPr>
          <w:rFonts w:ascii="Times New Roman" w:cs="Times New Roman" w:eastAsia="Times New Roman" w:hAnsi="Times New Roman"/>
          <w:sz w:val="22"/>
          <w:szCs w:val="22"/>
          <w:color w:val="auto"/>
        </w:rPr>
        <w:t>of such vested RSUs, with such cash payment to be made to the Grantee at the same time as RSU Shares are issued upon the settlement of such vested RSUs; provided, however, that if any such cash dividends have been declared but not paid, such payment shall not be made in respect of such cash dividend until the first payroll date after such cash dividend is paid (and if such dividend equivalent described in this Section 2(c) is not paid to the Participant by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year immediately following the year in which the applicable RSU vested, then such dividend equivalent shall be forfeited). Any such amounts will be forfeited upon the forfeiture of the underlying RSU, with no compensation or other payment due to the Grantee or any other Person.</w:t>
      </w:r>
    </w:p>
    <w:p>
      <w:pPr>
        <w:spacing w:after="0" w:line="183" w:lineRule="exact"/>
        <w:rPr>
          <w:sz w:val="20"/>
          <w:szCs w:val="20"/>
          <w:color w:val="auto"/>
        </w:rPr>
      </w:pPr>
    </w:p>
    <w:p>
      <w:pPr>
        <w:jc w:val="both"/>
        <w:ind w:firstLine="1505"/>
        <w:spacing w:after="0" w:line="244"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RSUs</w:t>
      </w:r>
      <w:r>
        <w:rPr>
          <w:rFonts w:ascii="Times New Roman" w:cs="Times New Roman" w:eastAsia="Times New Roman" w:hAnsi="Times New Roman"/>
          <w:sz w:val="22"/>
          <w:szCs w:val="22"/>
          <w:color w:val="auto"/>
        </w:rPr>
        <w:t>. The RSUs may not be sold, pledged, assigned, hypothecated, gifted, transferred or disposed of in any manner either voluntarily or involuntarily by operation of law, other than by will or by the laws of descent and distribution.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on All Transfers of RSU Shares</w:t>
      </w:r>
      <w:r>
        <w:rPr>
          <w:rFonts w:ascii="Times New Roman" w:cs="Times New Roman" w:eastAsia="Times New Roman" w:hAnsi="Times New Roman"/>
          <w:sz w:val="22"/>
          <w:szCs w:val="22"/>
          <w:color w:val="auto"/>
        </w:rPr>
        <w:t xml:space="preserve">. Notwithstanding anything to the contrary contained in this Agreement or the Plan, no transfer of an RSU Share shall be made, or, if attempted or purported to be made, shall be effective, unless and until the Company is satisfied that the transfer will not violate any federal or state securities law or any other law or agreement (including this Agreement or the Plan) or the rules of any applicable stock exchange. If the transfer would violate any such law, agreement or rule and the Grantee nevertheless attempts or purports to engage in a transfer of RSU Shares, then the Company shall not recognize such transfer on the books and records of the Company and such transfer will be null and void </w:t>
      </w:r>
      <w:r>
        <w:rPr>
          <w:rFonts w:ascii="Times New Roman" w:cs="Times New Roman" w:eastAsia="Times New Roman" w:hAnsi="Times New Roman"/>
          <w:sz w:val="22"/>
          <w:szCs w:val="22"/>
          <w:i w:val="1"/>
          <w:iCs w:val="1"/>
          <w:color w:val="auto"/>
        </w:rPr>
        <w:t>ab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initio</w:t>
      </w:r>
      <w:r>
        <w:rPr>
          <w:rFonts w:ascii="Times New Roman" w:cs="Times New Roman" w:eastAsia="Times New Roman" w:hAnsi="Times New Roman"/>
          <w:sz w:val="22"/>
          <w:szCs w:val="22"/>
          <w:color w:val="auto"/>
        </w:rPr>
        <w:t>. In addition, the Grantee will be liable to the Company for damages, if any, which may result from such attempted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purported transfer.</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Promise of Employment or Other Service</w:t>
      </w:r>
      <w:r>
        <w:rPr>
          <w:rFonts w:ascii="Times New Roman" w:cs="Times New Roman" w:eastAsia="Times New Roman" w:hAnsi="Times New Roman"/>
          <w:sz w:val="22"/>
          <w:szCs w:val="22"/>
          <w:color w:val="auto"/>
        </w:rPr>
        <w:t>. Neither the Plan nor the granting or holding of the RSUs nor the holding of RSU Shares will confer upon the Grantee any right to continue in the employ or other service of the Company or any Subsidiary, or limit, in any respect, the right of the Company or any Subsidiary to discharge the Grantee at any time, for any reason and with or without notice.</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Grantee shall be responsible for making appropriate provision for all taxes required to be withheld in connection with the grant of RSUs and/or the settlement thereof (and the payment of any dividend equivalents). Such responsibility shall extend to all applicable federal, state, local and foreign withholding taxes. The Company or its Subsidiaries, in their sole discretion, shall have the right to retain the number of shares whose Fair Market Value equals the amount to be withheld in satisfaction of the applicable withholding taxes (or to withhold from any payroll or other amounts otherwise due to the Grantee the amount of withholding taxes due in connection with the RSUs or any dividend equivalents).</w:t>
      </w:r>
    </w:p>
    <w:p>
      <w:pPr>
        <w:spacing w:after="0" w:line="181"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Grantee has received a copy of the Plan, has read the Plan and is familiar with its terms, and hereby accepts the RSUs subject to all of the terms and provisions of the Plan and this Agreement. Pursuant to the Plan, the Committee is authorized to interpret the Plan and to adopt rules and regulations not inconsistent with the Plan as it deems appropriate. The Grantee hereby agrees to accept as binding, conclusive and final all decisions or interpretations of the Committee with respect to the Plan, this Agreement, the RSUs, the RSU Shares or any agreement relating to the RSUs or the RSU Shares. In the event of a conflict between the terms of the Plan and the terms of this Agreement, the terms of the Plan shall control.</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4" w:name="page85"/>
    <w:bookmarkEnd w:id="84"/>
    <w:p>
      <w:pPr>
        <w:jc w:val="both"/>
        <w:ind w:firstLine="1505"/>
        <w:spacing w:after="0" w:line="238"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Representation</w:t>
      </w:r>
      <w:r>
        <w:rPr>
          <w:rFonts w:ascii="Times New Roman" w:cs="Times New Roman" w:eastAsia="Times New Roman" w:hAnsi="Times New Roman"/>
          <w:sz w:val="22"/>
          <w:szCs w:val="22"/>
          <w:color w:val="auto"/>
        </w:rPr>
        <w:t>. The Grantee hereby represents and warrants to the Company that the Grantee, by reason of the Grantee’s business or financial experience (or the business or financial experience of the Grantee’s professional advisors who are unaffiliated with and who are not compensated by the Company or any affiliate or selling agent of the Company, directly or indirectly), has the capacity to protect the Grantee’s own interests in connection with the transactions contemplated under this Agreement.</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construed in accordance with the laws of the State of Delaware, without regard to the application of the principles of conflicts of laws of Delaware or any other jurisdiction.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All provisions of this Agreement are distinct and severable and if any clause shall be held to be invalid, illegal or against public policy, the validity or the legality of the remainder of this Agreement shall not be affected thereby, and the remainder of this Agreement shall be interpreted to give maximum effect to the original intention of the parties hereto.</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Subject to the provisions of the Plan, this Agreement may only be amended by a writing signed by each of the parties hereto.</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Plan, represents the entire agreement between the parties hereto relating to the subject matter hereof, and merges and supersedes all prior and contemporaneous discussions, agreements and understandings of every nature relating to the award of the RSUs to the Grantee by the Company.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5" w:name="page86"/>
    <w:bookmarkEnd w:id="85"/>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IN WITNESS WHEREOF, the Company has caused its duly authorized officer to execute this Agreement, and the Grantee has placed his or her signature hereon evidencing his or her agreement to the terms hereof, effective as of the Grant Date.</w:t>
      </w:r>
    </w:p>
    <w:p>
      <w:pPr>
        <w:spacing w:after="0" w:line="34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BIOATLA,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-13970</wp:posOffset>
            </wp:positionV>
            <wp:extent cx="14135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Name:</w:t>
      </w:r>
    </w:p>
    <w:p>
      <w:pPr>
        <w:ind w:left="29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725170</wp:posOffset>
            </wp:positionV>
            <wp:extent cx="16116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M. Short, Ph.D.,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14, 2024</w:t>
            </w:r>
          </w:p>
        </w:tc>
        <w:tc>
          <w:tcPr>
            <w:tcW w:w="24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205"/>
        </w:trPr>
        <w:tc>
          <w:tcPr>
            <w:tcW w:w="3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Jay M. Short, Ph.D.</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208"/>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 Waldron,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BioAtla,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80" w:hanging="512"/>
        <w:spacing w:after="0" w:line="276" w:lineRule="auto"/>
        <w:tabs>
          <w:tab w:leader="none" w:pos="5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jc w:val="both"/>
        <w:ind w:left="10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312" w:lineRule="auto"/>
        <w:tabs>
          <w:tab w:leader="none" w:pos="102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9" w:lineRule="exact"/>
        <w:rPr>
          <w:rFonts w:ascii="Times New Roman" w:cs="Times New Roman" w:eastAsia="Times New Roman" w:hAnsi="Times New Roman"/>
          <w:sz w:val="17"/>
          <w:szCs w:val="17"/>
          <w:color w:val="auto"/>
        </w:rPr>
      </w:pPr>
    </w:p>
    <w:p>
      <w:pPr>
        <w:ind w:left="520" w:right="24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14, 2024</w:t>
            </w:r>
          </w:p>
        </w:tc>
        <w:tc>
          <w:tcPr>
            <w:tcW w:w="24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A. Waldron</w:t>
            </w:r>
          </w:p>
        </w:tc>
      </w:tr>
      <w:tr>
        <w:trPr>
          <w:trHeight w:val="205"/>
        </w:trPr>
        <w:tc>
          <w:tcPr>
            <w:tcW w:w="3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Richard A. Waldron</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92"/>
        </w:trPr>
        <w:tc>
          <w:tcPr>
            <w:tcW w:w="35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BioAtla, Inc. (the “Company”) on Form 10-Q for the period ending March 31,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ectPr>
          <w:pgSz w:w="11900" w:h="16838" w:orient="portrait"/>
          <w:cols w:equalWidth="0" w:num="1">
            <w:col w:w="11240"/>
          </w:cols>
          <w:pgMar w:left="320" w:top="981" w:right="339" w:bottom="1440" w:gutter="0" w:footer="0" w:header="0"/>
        </w:sect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14, 2024</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Jay M. Short, Ph.D.</w:t>
            </w:r>
          </w:p>
        </w:tc>
      </w:tr>
      <w:tr>
        <w:trPr>
          <w:trHeight w:val="211"/>
        </w:trPr>
        <w:tc>
          <w:tcPr>
            <w:tcW w:w="3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Jay M. Short, Ph.D.</w:t>
            </w:r>
          </w:p>
        </w:tc>
      </w:tr>
      <w:tr>
        <w:trPr>
          <w:trHeight w:val="216"/>
        </w:trPr>
        <w:tc>
          <w:tcPr>
            <w:tcW w:w="320" w:type="dxa"/>
            <w:vAlign w:val="bottom"/>
          </w:tcPr>
          <w:p>
            <w:pPr>
              <w:spacing w:after="0"/>
              <w:rPr>
                <w:sz w:val="18"/>
                <w:szCs w:val="18"/>
                <w:color w:val="auto"/>
              </w:rPr>
            </w:pPr>
          </w:p>
        </w:tc>
        <w:tc>
          <w:tcPr>
            <w:tcW w:w="52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Richard A. Waldron</w:t>
            </w:r>
          </w:p>
        </w:tc>
      </w:tr>
      <w:tr>
        <w:trPr>
          <w:trHeight w:val="211"/>
        </w:trPr>
        <w:tc>
          <w:tcPr>
            <w:tcW w:w="3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Richard A. Waldron</w:t>
            </w:r>
          </w:p>
        </w:tc>
      </w:tr>
      <w:tr>
        <w:trPr>
          <w:trHeight w:val="216"/>
        </w:trPr>
        <w:tc>
          <w:tcPr>
            <w:tcW w:w="3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ectPr>
          <w:pgSz w:w="11900" w:h="16838" w:orient="portrait"/>
          <w:cols w:equalWidth="0" w:num="2">
            <w:col w:w="4980" w:space="720"/>
            <w:col w:w="5540"/>
          </w:cols>
          <w:pgMar w:left="320" w:top="981" w:right="339" w:bottom="1440" w:gutter="0" w:footer="0" w:header="0"/>
          <w:type w:val="continuous"/>
        </w:sectPr>
      </w:pPr>
    </w:p>
    <w:p>
      <w:pPr>
        <w:spacing w:after="0" w:line="1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89" w:name="page90"/>
    <w:bookmarkEnd w:id="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lvl w:ilvl="1">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3"/>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decimal"/>
      <w:start w:val="3"/>
    </w:lvl>
  </w:abstractNum>
  <w:abstractNum w:abstractNumId="37">
    <w:nsid w:val="2CD89A32"/>
    <w:multiLevelType w:val="hybridMultilevel"/>
    <w:lvl w:ilvl="0">
      <w:lvlJc w:val="left"/>
      <w:lvlText w:val="%1."/>
      <w:numFmt w:val="decimal"/>
      <w:start w:val="4"/>
    </w:lvl>
  </w:abstractNum>
  <w:abstractNum w:abstractNumId="38">
    <w:nsid w:val="57E4CCAF"/>
    <w:multiLevelType w:val="hybridMultilevel"/>
    <w:lvl w:ilvl="0">
      <w:lvlJc w:val="left"/>
      <w:lvlText w:val="%1."/>
      <w:numFmt w:val="decimal"/>
      <w:start w:val="5"/>
    </w:lvl>
  </w:abstractNum>
  <w:abstractNum w:abstractNumId="39">
    <w:nsid w:val="7A6D8D3C"/>
    <w:multiLevelType w:val="hybridMultilevel"/>
    <w:lvl w:ilvl="0">
      <w:lvlJc w:val="left"/>
      <w:lvlText w:val="%1."/>
      <w:numFmt w:val="decimal"/>
      <w:start w:val="14"/>
    </w:lvl>
  </w:abstractNum>
  <w:abstractNum w:abstractNumId="40">
    <w:nsid w:val="4B588F54"/>
    <w:multiLevelType w:val="hybridMultilevel"/>
    <w:lvl w:ilvl="0">
      <w:lvlJc w:val="left"/>
      <w:lvlText w:val="%1."/>
      <w:numFmt w:val="decimal"/>
      <w:start w:val="15"/>
    </w:lvl>
  </w:abstractNum>
  <w:abstractNum w:abstractNumId="41">
    <w:nsid w:val="542289EC"/>
    <w:multiLevelType w:val="hybridMultilevel"/>
    <w:lvl w:ilvl="0">
      <w:lvlJc w:val="left"/>
      <w:lvlText w:val="%1"/>
      <w:numFmt w:val="decimal"/>
      <w:start w:val="1"/>
    </w:lvl>
    <w:lvl w:ilvl="1">
      <w:lvlJc w:val="left"/>
      <w:lvlText w:val="%2."/>
      <w:numFmt w:val="upperLetter"/>
      <w:start w:val="1"/>
    </w:lvl>
  </w:abstractNum>
  <w:abstractNum w:abstractNumId="42">
    <w:nsid w:val="6DE91B18"/>
    <w:multiLevelType w:val="hybridMultilevel"/>
    <w:lvl w:ilvl="0">
      <w:lvlJc w:val="left"/>
      <w:lvlText w:val="%1."/>
      <w:numFmt w:val="decimal"/>
      <w:start w:val="1"/>
    </w:lvl>
    <w:lvl w:ilvl="1">
      <w:lvlJc w:val="left"/>
      <w:lvlText w:val="%2"/>
      <w:numFmt w:val="upperLetter"/>
      <w:start w:val="1"/>
    </w:lvl>
  </w:abstractNum>
  <w:abstractNum w:abstractNumId="43">
    <w:nsid w:val="38437FDB"/>
    <w:multiLevelType w:val="hybridMultilevel"/>
    <w:lvl w:ilvl="0">
      <w:lvlJc w:val="left"/>
      <w:lvlText w:val="%1."/>
      <w:numFmt w:val="upperLetter"/>
      <w:start w:val="1"/>
    </w:lvl>
  </w:abstractNum>
  <w:abstractNum w:abstractNumId="44">
    <w:nsid w:val="7644A45C"/>
    <w:multiLevelType w:val="hybridMultilevel"/>
    <w:lvl w:ilvl="0">
      <w:lvlJc w:val="left"/>
      <w:lvlText w:val="%1."/>
      <w:numFmt w:val="decimal"/>
      <w:start w:val="1"/>
    </w:lvl>
    <w:lvl w:ilvl="1">
      <w:lvlJc w:val="left"/>
      <w:lvlText w:val="(%2)"/>
      <w:numFmt w:val="lowerLetter"/>
      <w:start w:val="1"/>
    </w:lvl>
  </w:abstractNum>
  <w:abstractNum w:abstractNumId="45">
    <w:nsid w:val="32FFF902"/>
    <w:multiLevelType w:val="hybridMultilevel"/>
    <w:lvl w:ilvl="0">
      <w:lvlJc w:val="left"/>
      <w:lvlText w:val="(%1)"/>
      <w:numFmt w:val="lowerLetter"/>
      <w:start w:val="2"/>
    </w:lvl>
  </w:abstractNum>
  <w:abstractNum w:abstractNumId="46">
    <w:nsid w:val="684A481A"/>
    <w:multiLevelType w:val="hybridMultilevel"/>
    <w:lvl w:ilvl="0">
      <w:lvlJc w:val="left"/>
      <w:lvlText w:val="%1."/>
      <w:numFmt w:val="decimal"/>
      <w:start w:val="3"/>
    </w:lvl>
  </w:abstractNum>
  <w:abstractNum w:abstractNumId="47">
    <w:nsid w:val="579478FE"/>
    <w:multiLevelType w:val="hybridMultilevel"/>
    <w:lvl w:ilvl="0">
      <w:lvlJc w:val="left"/>
      <w:lvlText w:val="%1."/>
      <w:numFmt w:val="decimal"/>
      <w:start w:val="8"/>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181" Type="http://schemas.openxmlformats.org/officeDocument/2006/relationships/hyperlink" Target="https://www.sec.gov/Archives/edgar/data/1826892/000095017024047595/bcab-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2024-05-14T16:39:08Z</dcterms:created>
  <dcterms:modified xsi:type="dcterms:W3CDTF">2024-05-14T16:39:08Z</dcterms:modified>
</cp:coreProperties>
</file>