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40930.htm"/>
      <w:bookmarkStart w:id="1" w:name="ksbcab2024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001-39787</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877" w:type="dxa"/>
        <w:jc w:val="left"/>
        <w:tblInd w:w="0" w:type="dxa"/>
        <w:tblLayout w:type="fixed"/>
        <w:tblCellMar>
          <w:top w:w="28" w:type="dxa"/>
          <w:left w:w="28" w:type="dxa"/>
          <w:bottom w:w="28" w:type="dxa"/>
          <w:right w:w="28" w:type="dxa"/>
        </w:tblCellMar>
      </w:tblPr>
      <w:tblGrid>
        <w:gridCol w:w="3631"/>
        <w:gridCol w:w="1246"/>
      </w:tblGrid>
      <w:tr>
        <w:trPr/>
        <w:tc>
          <w:tcPr>
            <w:tcW w:w="36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3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6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11085 Torreyana Road, 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558-0708</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BCAB</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November 4, 2024, the number of shares of the registrant’s common stock outstanding was 48,345,573</w:t>
      </w:r>
      <w:r>
        <w:rPr>
          <w:rFonts w:ascii="Times New Roman" w:hAnsi="Times New Roman"/>
          <w:color w:val="000000"/>
          <w:sz w:val="20"/>
        </w:rPr>
        <w:t xml:space="preserve"> </w:t>
      </w:r>
      <w:r>
        <w:rPr>
          <w:rFonts w:ascii="Times New Roman" w:hAnsi="Times New Roman"/>
          <w:color w:val="000000"/>
          <w:sz w:val="18"/>
        </w:rPr>
        <w:t>and</w:t>
      </w:r>
      <w:r>
        <w:rPr>
          <w:rFonts w:ascii="Times New Roman" w:hAnsi="Times New Roman"/>
          <w:color w:val="000000"/>
          <w:sz w:val="20"/>
        </w:rPr>
        <w:t xml:space="preserve"> </w:t>
      </w:r>
      <w:r>
        <w:rPr>
          <w:rFonts w:ascii="Times New Roman" w:hAnsi="Times New Roman"/>
          <w:color w:val="000000"/>
          <w:sz w:val="18"/>
        </w:rPr>
        <w:t>the number of shares of the registrant’s Class B common stock outstanding was</w:t>
      </w:r>
      <w:r>
        <w:rPr>
          <w:rFonts w:ascii="Times New Roman" w:hAnsi="Times New Roman"/>
          <w:color w:val="000000"/>
          <w:sz w:val="20"/>
        </w:rPr>
        <w:t xml:space="preserve"> </w:t>
      </w:r>
      <w:r>
        <w:rPr>
          <w:rFonts w:ascii="Times New Roman" w:hAnsi="Times New Roman"/>
          <w:color w:val="000000"/>
          <w:sz w:val="18"/>
        </w:rPr>
        <w:t>0.</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8746"/>
        <w:gridCol w:w="649"/>
      </w:tblGrid>
      <w:tr>
        <w:trPr/>
        <w:tc>
          <w:tcPr>
            <w:tcW w:w="810" w:type="dxa"/>
            <w:tcBorders/>
            <w:vAlign w:val="center"/>
          </w:tcPr>
          <w:p>
            <w:pPr>
              <w:pStyle w:val="TableContents"/>
              <w:bidi w:val="0"/>
              <w:spacing w:before="0" w:after="283"/>
              <w:jc w:val="left"/>
              <w:rPr>
                <w:sz w:val="4"/>
                <w:szCs w:val="4"/>
              </w:rPr>
            </w:pPr>
            <w:r>
              <w:rPr>
                <w:sz w:val="4"/>
                <w:szCs w:val="4"/>
              </w:rPr>
            </w:r>
          </w:p>
        </w:tc>
        <w:tc>
          <w:tcPr>
            <w:tcW w:w="87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18"/>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18"/>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condensed_consolidated_balance_sheets">
              <w:r>
                <w:rPr>
                  <w:rStyle w:val="InternetLink"/>
                  <w:rFonts w:ascii="Times New Roman" w:hAnsi="Times New Roman"/>
                  <w:color w:val="0000FF"/>
                  <w:sz w:val="18"/>
                  <w:u w:val="single"/>
                </w:rPr>
                <w:t>Condensed Balance Sheets as of September 30, 2024 (unaudited) and December 31, 2023</w:t>
              </w:r>
            </w:hyperlink>
            <w:r>
              <w:rPr>
                <w:rFonts w:ascii="Times New Roman" w:hAnsi="Times New Roman"/>
                <w:color w:val="000000"/>
                <w:sz w:val="18"/>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bidi w:val="0"/>
              <w:spacing w:before="0" w:after="283"/>
              <w:ind w:left="259" w:right="0" w:firstLine="259"/>
              <w:jc w:val="left"/>
              <w:rPr/>
            </w:pPr>
            <w:hyperlink w:anchor="condensed_consolidated_statements_ops">
              <w:r>
                <w:rPr>
                  <w:rStyle w:val="InternetLink"/>
                  <w:rFonts w:ascii="Times New Roman" w:hAnsi="Times New Roman"/>
                  <w:color w:val="0000FF"/>
                  <w:sz w:val="18"/>
                  <w:u w:val="single"/>
                </w:rPr>
                <w:t>Condensed Statements of Operations and Comprehensive Loss (unaudited) for the three and nine months ended September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446"/>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pBdr/>
              <w:bidi w:val="0"/>
              <w:spacing w:before="0" w:after="283"/>
              <w:ind w:left="259" w:right="0" w:hanging="187"/>
              <w:jc w:val="left"/>
              <w:rPr/>
            </w:pPr>
            <w:hyperlink w:anchor="condensed_consolidated_soe">
              <w:r>
                <w:rPr>
                  <w:rStyle w:val="InternetLink"/>
                  <w:rFonts w:ascii="Times New Roman" w:hAnsi="Times New Roman"/>
                  <w:color w:val="0000FF"/>
                  <w:sz w:val="18"/>
                  <w:u w:val="single"/>
                </w:rPr>
                <w:t>Condensed Statements of Stockholders’ Equity (unaudited) for the three and nine months ended September 30, 2024 and 2023</w:t>
              </w:r>
            </w:hyperlink>
            <w:hyperlink w:anchor="condensed_consolidated_soe">
              <w:r>
                <w:rPr>
                  <w:rStyle w:val="InternetLink"/>
                  <w:rFonts w:ascii="Times New Roman" w:hAnsi="Times New Roman"/>
                  <w:color w:val="0000FF"/>
                  <w:sz w:val="18"/>
                </w:rPr>
                <w:t xml:space="preserve"> </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condensed_consolidated_statements_cf">
              <w:r>
                <w:rPr>
                  <w:rStyle w:val="InternetLink"/>
                  <w:rFonts w:ascii="Times New Roman" w:hAnsi="Times New Roman"/>
                  <w:color w:val="0000FF"/>
                  <w:sz w:val="18"/>
                  <w:u w:val="single"/>
                </w:rPr>
                <w:t>Condensed Statements of Cash Flows (unaudited) for the nine months ended September 30, 2024 and 2023</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ind w:left="0" w:right="0" w:firstLine="440"/>
              <w:jc w:val="left"/>
              <w:rPr>
                <w:sz w:val="4"/>
                <w:szCs w:val="4"/>
              </w:rPr>
            </w:pPr>
            <w:r>
              <w:rPr>
                <w:sz w:val="4"/>
                <w:szCs w:val="4"/>
              </w:rPr>
            </w:r>
          </w:p>
        </w:tc>
        <w:tc>
          <w:tcPr>
            <w:tcW w:w="8746" w:type="dxa"/>
            <w:tcBorders/>
            <w:shd w:fill="FFFFFF" w:val="clear"/>
            <w:tcMar>
              <w:top w:w="0" w:type="dxa"/>
              <w:left w:w="0" w:type="dxa"/>
              <w:bottom w:w="0" w:type="dxa"/>
              <w:right w:w="0" w:type="dxa"/>
            </w:tcMar>
            <w:vAlign w:val="center"/>
          </w:tcPr>
          <w:p>
            <w:pPr>
              <w:pStyle w:val="TableContents"/>
              <w:pBdr/>
              <w:bidi w:val="0"/>
              <w:spacing w:before="0" w:after="283"/>
              <w:ind w:left="260" w:right="0" w:hanging="180"/>
              <w:jc w:val="left"/>
              <w:rPr/>
            </w:pPr>
            <w:hyperlink w:anchor="notes_financial_statements">
              <w:r>
                <w:rPr>
                  <w:rStyle w:val="InternetLink"/>
                  <w:rFonts w:ascii="Times New Roman" w:hAnsi="Times New Roman"/>
                  <w:color w:val="0000FF"/>
                  <w:sz w:val="18"/>
                  <w:u w:val="single"/>
                </w:rPr>
                <w:t>Notes to Condensed 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18"/>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18"/>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18"/>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PART II.</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18"/>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1A.</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18"/>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2.</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18"/>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3.</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18"/>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4.</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18"/>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18"/>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8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18"/>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49"/>
        <w:gridCol w:w="146"/>
        <w:gridCol w:w="224"/>
        <w:gridCol w:w="896"/>
        <w:gridCol w:w="166"/>
        <w:gridCol w:w="146"/>
        <w:gridCol w:w="217"/>
        <w:gridCol w:w="868"/>
        <w:gridCol w:w="393"/>
      </w:tblGrid>
      <w:tr>
        <w:trPr/>
        <w:tc>
          <w:tcPr>
            <w:tcW w:w="7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center"/>
              <w:rPr/>
            </w:pPr>
            <w:r>
              <w:rPr/>
              <w:t> </w:t>
            </w:r>
          </w:p>
        </w:tc>
        <w:tc>
          <w:tcPr>
            <w:tcW w:w="393" w:type="dxa"/>
            <w:tcBorders/>
            <w:shd w:fill="FFFFFF" w:val="clear"/>
            <w:vAlign w:val="center"/>
          </w:tcPr>
          <w:p>
            <w:pPr>
              <w:pStyle w:val="TableContents"/>
              <w:bidi w:val="0"/>
              <w:spacing w:before="0" w:after="283"/>
              <w:jc w:val="center"/>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116,406</w:t>
            </w:r>
          </w:p>
        </w:tc>
        <w:tc>
          <w:tcPr>
            <w:tcW w:w="393" w:type="dxa"/>
            <w:tcBorders/>
            <w:shd w:fill="CFF0FC" w:val="cle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93" w:type="dxa"/>
            <w:tcBorders/>
            <w:shd w:fill="FFFFFF" w:val="cle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393" w:type="dxa"/>
            <w:tcBorders/>
            <w:shd w:fill="CFF0FC" w:val="cle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 (includes related party amounts of $1,775 and $0, respectively)</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26,720</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28,344</w:t>
            </w:r>
          </w:p>
        </w:tc>
        <w:tc>
          <w:tcPr>
            <w:tcW w:w="393" w:type="dxa"/>
            <w:tcBorders/>
            <w:shd w:fill="FFFFFF" w:val="cle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93" w:type="dxa"/>
            <w:tcBorders/>
            <w:shd w:fill="CFF0FC" w:val="cle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to licensor</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3" w:type="dxa"/>
            <w:tcBorders/>
            <w:shd w:fill="CFF0FC" w:val="cle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$0.0001 par value; 200,000,000 shares authorized at September 30, 2024</w:t>
              <w:br/>
              <w:t>   and December 31, 2023; 0 shares issued and outstanding at September 30, 2024</w:t>
              <w:br/>
              <w:t>   and December 31, 2023</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$0.0001 par value; 350,000,000 shares authorized at </w:t>
              <w:br/>
              <w:t>   September 30, 2024 and December 31, 2023; 48,345,533 and 48,077,599</w:t>
              <w:br/>
              <w:t>   shares issued and outstanding at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Class B common stock, $0.0001 par value; 15,368,569 shares authorized at </w:t>
              <w:br/>
              <w:t>   September 30, 2024 and December 31, 2023; 0 shares issued and outstanding at</w:t>
              <w:br/>
              <w: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4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486,930</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4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(416,263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4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119,658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ops"/>
      <w:bookmarkEnd w:id="5"/>
      <w:r>
        <w:rPr>
          <w:rFonts w:ascii="Times New Roman" w:hAnsi="Times New Roman"/>
          <w:b/>
          <w:color w:val="000000"/>
          <w:sz w:val="20"/>
        </w:rPr>
        <w:t>Unaudited 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348"/>
        <w:gridCol w:w="214"/>
        <w:gridCol w:w="1001"/>
        <w:gridCol w:w="181"/>
        <w:gridCol w:w="214"/>
        <w:gridCol w:w="1001"/>
        <w:gridCol w:w="166"/>
        <w:gridCol w:w="146"/>
        <w:gridCol w:w="208"/>
        <w:gridCol w:w="974"/>
        <w:gridCol w:w="176"/>
        <w:gridCol w:w="208"/>
        <w:gridCol w:w="974"/>
        <w:gridCol w:w="394"/>
      </w:tblGrid>
      <w:tr>
        <w:trPr/>
        <w:tc>
          <w:tcPr>
            <w:tcW w:w="43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348" w:type="dxa"/>
            <w:tcBorders/>
            <w:shd w:fill="FFFFFF" w:val="clear"/>
            <w:vAlign w:val="center"/>
          </w:tcPr>
          <w:p>
            <w:pPr>
              <w:pStyle w:val="TableContents"/>
              <w:bidi w:val="0"/>
              <w:spacing w:before="0" w:after="283"/>
              <w:jc w:val="center"/>
              <w:rPr/>
            </w:pPr>
            <w:r>
              <w:rPr/>
              <w:t> </w:t>
            </w:r>
          </w:p>
        </w:tc>
        <w:tc>
          <w:tcPr>
            <w:tcW w:w="261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8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7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43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215"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434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 xml:space="preserve">Research and development expense (includes related party amounts of </w:t>
              <w:br/>
              <w:t>  $1,775</w:t>
            </w:r>
            <w:r>
              <w:rPr>
                <w:rFonts w:ascii="Times New Roman" w:hAnsi="Times New Roman"/>
                <w:color w:val="000000"/>
                <w:sz w:val="20"/>
              </w:rPr>
              <w:t> </w:t>
            </w:r>
            <w:r>
              <w:rPr>
                <w:rFonts w:ascii="Times New Roman" w:hAnsi="Times New Roman"/>
                <w:color w:val="000000"/>
                <w:sz w:val="18"/>
              </w:rPr>
              <w:t>and $2,025</w:t>
            </w:r>
            <w:r>
              <w:rPr>
                <w:rFonts w:ascii="Times New Roman" w:hAnsi="Times New Roman"/>
                <w:color w:val="000000"/>
                <w:sz w:val="20"/>
              </w:rPr>
              <w:t> </w:t>
            </w:r>
            <w:r>
              <w:rPr>
                <w:rFonts w:ascii="Times New Roman" w:hAnsi="Times New Roman"/>
                <w:color w:val="000000"/>
                <w:sz w:val="18"/>
              </w:rPr>
              <w:t xml:space="preserve">for the three and nine months ended </w:t>
              <w:br/>
              <w:t>  September 30, 2024 and $0</w:t>
            </w:r>
            <w:r>
              <w:rPr>
                <w:rFonts w:ascii="Times New Roman" w:hAnsi="Times New Roman"/>
                <w:color w:val="000000"/>
                <w:sz w:val="20"/>
              </w:rPr>
              <w:t> </w:t>
            </w:r>
            <w:r>
              <w:rPr>
                <w:rFonts w:ascii="Times New Roman" w:hAnsi="Times New Roman"/>
                <w:color w:val="000000"/>
                <w:sz w:val="18"/>
              </w:rPr>
              <w:t>and $125</w:t>
            </w:r>
            <w:r>
              <w:rPr>
                <w:rFonts w:ascii="Times New Roman" w:hAnsi="Times New Roman"/>
                <w:color w:val="000000"/>
                <w:sz w:val="20"/>
              </w:rPr>
              <w:t> </w:t>
            </w:r>
            <w:r>
              <w:rPr>
                <w:rFonts w:ascii="Times New Roman" w:hAnsi="Times New Roman"/>
                <w:color w:val="000000"/>
                <w:sz w:val="18"/>
              </w:rPr>
              <w:t xml:space="preserve">for the three and nine months </w:t>
              <w:br/>
              <w:t>  ended September 30, 2023, respectively)</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16,395</w:t>
            </w:r>
          </w:p>
        </w:tc>
        <w:tc>
          <w:tcPr>
            <w:tcW w:w="181"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51,445</w:t>
            </w:r>
          </w:p>
        </w:tc>
        <w:tc>
          <w:tcPr>
            <w:tcW w:w="17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81,057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43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101,151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21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(11,270</w:t>
            </w:r>
          </w:p>
        </w:tc>
        <w:tc>
          <w:tcPr>
            <w:tcW w:w="1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(57,699</w:t>
            </w:r>
          </w:p>
        </w:tc>
        <w:tc>
          <w:tcPr>
            <w:tcW w:w="1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(101,151</w:t>
            </w:r>
          </w:p>
        </w:tc>
        <w:tc>
          <w:tcPr>
            <w:tcW w:w="39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215"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18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3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21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18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w:t>
            </w:r>
          </w:p>
        </w:tc>
        <w:tc>
          <w:tcPr>
            <w:tcW w:w="17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3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expense</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4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 and diluted</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48,335,847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47,834,122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48,213,183</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47,707,259</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bookmarkStart w:id="6" w:name="condensed_consolidated_soe"/>
      <w:bookmarkEnd w:id="6"/>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40"/>
        <w:gridCol w:w="817"/>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48,326,138</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31,370</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19,395</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48,345,533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pPr>
      <w:r>
        <w:rPr/>
        <w:t> </w:t>
      </w:r>
    </w:p>
    <w:p>
      <w:pPr>
        <w:pStyle w:val="TextBody"/>
        <w:bidi w:val="0"/>
        <w:spacing w:before="1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32"/>
        <w:gridCol w:w="825"/>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47,803,306</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480,524</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124,516</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3,517</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88,428</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15,661</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47,907,395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94,703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916"/>
        <w:gridCol w:w="146"/>
        <w:gridCol w:w="249"/>
        <w:gridCol w:w="442"/>
        <w:gridCol w:w="146"/>
        <w:gridCol w:w="173"/>
        <w:gridCol w:w="413"/>
        <w:gridCol w:w="147"/>
        <w:gridCol w:w="249"/>
        <w:gridCol w:w="442"/>
        <w:gridCol w:w="146"/>
        <w:gridCol w:w="196"/>
        <w:gridCol w:w="691"/>
        <w:gridCol w:w="166"/>
        <w:gridCol w:w="217"/>
        <w:gridCol w:w="834"/>
        <w:gridCol w:w="166"/>
        <w:gridCol w:w="240"/>
        <w:gridCol w:w="817"/>
        <w:gridCol w:w="21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50" w:type="dxa"/>
            <w:tcBorders/>
            <w:shd w:fill="FFFFFF" w:val="clear"/>
            <w:vAlign w:val="center"/>
          </w:tcPr>
          <w:p>
            <w:pPr>
              <w:pStyle w:val="TableContents"/>
              <w:bidi w:val="0"/>
              <w:spacing w:before="0" w:after="283"/>
              <w:jc w:val="left"/>
              <w:rPr/>
            </w:pPr>
            <w:r>
              <w:rPr/>
              <w:t> </w:t>
            </w:r>
          </w:p>
        </w:tc>
        <w:tc>
          <w:tcPr>
            <w:tcW w:w="694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30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6,990</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6,990</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76,914</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191,020</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(54,892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5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48,345,533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916"/>
        <w:gridCol w:w="146"/>
        <w:gridCol w:w="249"/>
        <w:gridCol w:w="442"/>
        <w:gridCol w:w="146"/>
        <w:gridCol w:w="146"/>
        <w:gridCol w:w="886"/>
        <w:gridCol w:w="166"/>
        <w:gridCol w:w="249"/>
        <w:gridCol w:w="442"/>
        <w:gridCol w:w="146"/>
        <w:gridCol w:w="196"/>
        <w:gridCol w:w="691"/>
        <w:gridCol w:w="166"/>
        <w:gridCol w:w="217"/>
        <w:gridCol w:w="834"/>
        <w:gridCol w:w="166"/>
        <w:gridCol w:w="231"/>
        <w:gridCol w:w="821"/>
        <w:gridCol w:w="212"/>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vAlign w:val="center"/>
          </w:tcPr>
          <w:p>
            <w:pPr>
              <w:pStyle w:val="TableContents"/>
              <w:bidi w:val="0"/>
              <w:spacing w:before="0" w:after="283"/>
              <w:jc w:val="left"/>
              <w:rPr/>
            </w:pPr>
            <w:r>
              <w:rPr/>
              <w:t> </w:t>
            </w:r>
          </w:p>
        </w:tc>
        <w:tc>
          <w:tcPr>
            <w:tcW w:w="7402" w:type="dxa"/>
            <w:gridSpan w:val="20"/>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Class B </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59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46,336,166</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473,135</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(292,801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180,339</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w:t>
            </w:r>
          </w:p>
        </w:tc>
        <w:tc>
          <w:tcPr>
            <w:tcW w:w="212" w:type="dxa"/>
            <w:tcBorders/>
            <w:shd w:fill="FFFFFF" w:val="clear"/>
            <w:vAlign w:val="center"/>
          </w:tcPr>
          <w:p>
            <w:pPr>
              <w:pStyle w:val="TableContents"/>
              <w:bidi w:val="0"/>
              <w:spacing w:before="0" w:after="283"/>
              <w:jc w:val="left"/>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268,009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56,793</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212" w:type="dxa"/>
            <w:tcBorders/>
            <w:shd w:fill="FFFFFF" w:val="clear"/>
            <w:vAlign w:val="center"/>
          </w:tcPr>
          <w:p>
            <w:pPr>
              <w:pStyle w:val="TableContents"/>
              <w:bidi w:val="0"/>
              <w:spacing w:before="0" w:after="283"/>
              <w:jc w:val="left"/>
              <w:rPr/>
            </w:pPr>
            <w:r>
              <w:rPr/>
              <w:t> </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34,468</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Conversion of Class B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(96,537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47,907,395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BioAtla,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f"/>
      <w:bookmarkEnd w:id="7"/>
      <w:r>
        <w:rPr>
          <w:rFonts w:ascii="Times New Roman" w:hAnsi="Times New Roman"/>
          <w:b/>
          <w:color w:val="000000"/>
          <w:sz w:val="20"/>
        </w:rPr>
        <w:t>Unaudited Condensed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982" w:type="dxa"/>
        <w:jc w:val="left"/>
        <w:tblInd w:w="0" w:type="dxa"/>
        <w:tblLayout w:type="fixed"/>
        <w:tblCellMar>
          <w:top w:w="28" w:type="dxa"/>
          <w:left w:w="28" w:type="dxa"/>
          <w:bottom w:w="28" w:type="dxa"/>
          <w:right w:w="28" w:type="dxa"/>
        </w:tblCellMar>
      </w:tblPr>
      <w:tblGrid>
        <w:gridCol w:w="6631"/>
        <w:gridCol w:w="146"/>
        <w:gridCol w:w="238"/>
        <w:gridCol w:w="883"/>
        <w:gridCol w:w="187"/>
        <w:gridCol w:w="165"/>
        <w:gridCol w:w="238"/>
        <w:gridCol w:w="883"/>
        <w:gridCol w:w="61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(54,892</w:t>
            </w:r>
          </w:p>
        </w:tc>
        <w:tc>
          <w:tcPr>
            <w:tcW w:w="1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6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(10,284</w:t>
            </w:r>
          </w:p>
        </w:tc>
        <w:tc>
          <w:tcPr>
            <w:tcW w:w="1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expenses - related parties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(55,153</w:t>
            </w:r>
          </w:p>
        </w:tc>
        <w:tc>
          <w:tcPr>
            <w:tcW w:w="1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(74,093</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color w:val="000000"/>
              </w:rPr>
            </w:pPr>
            <w:r>
              <w:rPr>
                <w:color w:val="000000"/>
              </w:rPr>
              <w:t>—</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187"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1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settlement of equity awards</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(54,955</w:t>
            </w:r>
          </w:p>
        </w:tc>
        <w:tc>
          <w:tcPr>
            <w:tcW w:w="1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56,516</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Tax related to net settlement of equity awards included in accounts payable and </w:t>
              <w:br/>
              <w:t>   accrued expenses</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sz w:val="20"/>
        </w:rPr>
      </w:pPr>
      <w:bookmarkStart w:id="8" w:name="notes_financial_statements"/>
      <w:bookmarkEnd w:id="8"/>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financial statements as of September 30, 2024, and for the three and nine months ended September 30, 2024 and 2023,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2023, included in its Annual Report on Form 10-K filed with the SEC on March 26,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September 30, 2024, the Company had</w:t>
      </w:r>
      <w:r>
        <w:rPr>
          <w:rFonts w:ascii="Times New Roman" w:hAnsi="Times New Roman"/>
          <w:color w:val="0000FF"/>
          <w:sz w:val="20"/>
        </w:rPr>
        <w:t xml:space="preserve"> </w:t>
      </w:r>
      <w:r>
        <w:rPr>
          <w:rFonts w:ascii="Times New Roman" w:hAnsi="Times New Roman"/>
          <w:color w:val="000000"/>
          <w:sz w:val="20"/>
        </w:rPr>
        <w:t>an accumulated deficit of $471.2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 million. The Company has not sold any shares of its common stock under the Sales Agreement as of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leases are included in operating lease right-of-use assets, operating lease liabilities, and operating lease liabilities, non-current on the Company’s balance sheets. The Company does not have any finance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not included in the calculation of diluted net loss per common share because to do so would be anti-dilutive are as follows (in common stock equivalents):</w:t>
      </w:r>
    </w:p>
    <w:tbl>
      <w:tblPr>
        <w:tblW w:w="4794" w:type="dxa"/>
        <w:jc w:val="left"/>
        <w:tblInd w:w="0" w:type="dxa"/>
        <w:tblLayout w:type="fixed"/>
        <w:tblCellMar>
          <w:top w:w="28" w:type="dxa"/>
          <w:left w:w="28" w:type="dxa"/>
          <w:bottom w:w="28" w:type="dxa"/>
          <w:right w:w="28" w:type="dxa"/>
        </w:tblCellMar>
      </w:tblPr>
      <w:tblGrid>
        <w:gridCol w:w="2011"/>
        <w:gridCol w:w="146"/>
        <w:gridCol w:w="146"/>
        <w:gridCol w:w="931"/>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6,217,492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6,362,386</w:t>
            </w:r>
          </w:p>
        </w:tc>
        <w:tc>
          <w:tcPr>
            <w:tcW w:w="191" w:type="dxa"/>
            <w:tcBorders/>
            <w:shd w:fill="CFF0FC"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161,219</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6,648,574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accounting standards that had a material impact on the Company’s financial statements during the nine months ended September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ASU 2023-09 requires disaggregated information about a reporting entity's effective tax rate reconciliation as well as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on income taxes paid. ASU 2023-09 is effective for public entities with annual periods beginning after December 15, 2024, with early adoption permitted. The Company is currently evaluating the impact of this guidance on its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 Update (ASU) No. 2023</w:t>
        <w:noBreakHyphen/>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is currently evaluating the impact of this guidance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Balance Sheet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6345" w:type="dxa"/>
        <w:jc w:val="left"/>
        <w:tblInd w:w="0" w:type="dxa"/>
        <w:tblLayout w:type="fixed"/>
        <w:tblCellMar>
          <w:top w:w="28" w:type="dxa"/>
          <w:left w:w="28" w:type="dxa"/>
          <w:bottom w:w="28" w:type="dxa"/>
          <w:right w:w="28" w:type="dxa"/>
        </w:tblCellMar>
      </w:tblPr>
      <w:tblGrid>
        <w:gridCol w:w="3481"/>
        <w:gridCol w:w="146"/>
        <w:gridCol w:w="307"/>
        <w:gridCol w:w="833"/>
        <w:gridCol w:w="146"/>
        <w:gridCol w:w="146"/>
        <w:gridCol w:w="294"/>
        <w:gridCol w:w="801"/>
        <w:gridCol w:w="1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9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current assets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Property and equipment consist of the following (in thousands):</w:t>
      </w:r>
    </w:p>
    <w:p>
      <w:pPr>
        <w:pStyle w:val="TextBody"/>
        <w:bidi w:val="0"/>
        <w:jc w:val="left"/>
        <w:rPr/>
      </w:pPr>
      <w:r>
        <w:rPr/>
        <w:t> </w:t>
      </w:r>
    </w:p>
    <w:tbl>
      <w:tblPr>
        <w:tblW w:w="7927" w:type="dxa"/>
        <w:jc w:val="left"/>
        <w:tblInd w:w="0" w:type="dxa"/>
        <w:tblLayout w:type="fixed"/>
        <w:tblCellMar>
          <w:top w:w="28" w:type="dxa"/>
          <w:left w:w="28" w:type="dxa"/>
          <w:bottom w:w="28" w:type="dxa"/>
          <w:right w:w="28" w:type="dxa"/>
        </w:tblCellMar>
      </w:tblPr>
      <w:tblGrid>
        <w:gridCol w:w="4051"/>
        <w:gridCol w:w="146"/>
        <w:gridCol w:w="826"/>
        <w:gridCol w:w="146"/>
        <w:gridCol w:w="285"/>
        <w:gridCol w:w="855"/>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3 - 7</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2 - 3</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2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Accounts payable and accrued expenses consist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9"/>
        <w:gridCol w:w="146"/>
        <w:gridCol w:w="264"/>
        <w:gridCol w:w="848"/>
        <w:gridCol w:w="146"/>
        <w:gridCol w:w="146"/>
        <w:gridCol w:w="254"/>
        <w:gridCol w:w="818"/>
        <w:gridCol w:w="194"/>
      </w:tblGrid>
      <w:tr>
        <w:trPr/>
        <w:tc>
          <w:tcPr>
            <w:tcW w:w="7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8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3,819</w:t>
            </w:r>
          </w:p>
        </w:tc>
        <w:tc>
          <w:tcPr>
            <w:tcW w:w="194" w:type="dxa"/>
            <w:tcBorders/>
            <w:shd w:fill="CFF0FC" w:val="clear"/>
            <w:vAlign w:val="center"/>
          </w:tcPr>
          <w:p>
            <w:pPr>
              <w:pStyle w:val="TableContents"/>
              <w:bidi w:val="0"/>
              <w:spacing w:before="0" w:after="283"/>
              <w:jc w:val="left"/>
              <w:rPr/>
            </w:pPr>
            <w:r>
              <w:rPr/>
              <w:t> </w:t>
            </w:r>
          </w:p>
        </w:tc>
      </w:tr>
      <w:tr>
        <w:trPr/>
        <w:tc>
          <w:tcPr>
            <w:tcW w:w="738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compensation</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3,790</w:t>
            </w:r>
          </w:p>
        </w:tc>
        <w:tc>
          <w:tcPr>
            <w:tcW w:w="194" w:type="dxa"/>
            <w:tcBorders/>
            <w:shd w:fill="FFFFFF" w:val="clear"/>
            <w:vAlign w:val="center"/>
          </w:tcPr>
          <w:p>
            <w:pPr>
              <w:pStyle w:val="TableContents"/>
              <w:bidi w:val="0"/>
              <w:spacing w:before="0" w:after="283"/>
              <w:jc w:val="left"/>
              <w:rPr/>
            </w:pPr>
            <w:r>
              <w:rPr/>
              <w:t> </w:t>
            </w:r>
          </w:p>
        </w:tc>
      </w:tr>
      <w:tr>
        <w:trPr/>
        <w:tc>
          <w:tcPr>
            <w:tcW w:w="73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Accrued research and development (includes related party amounts of $1,775</w:t>
            </w:r>
            <w:r>
              <w:rPr>
                <w:rFonts w:ascii="Times New Roman" w:hAnsi="Times New Roman"/>
                <w:color w:val="000000"/>
                <w:sz w:val="20"/>
              </w:rPr>
              <w:t> </w:t>
            </w:r>
            <w:r>
              <w:rPr>
                <w:rFonts w:ascii="Times New Roman" w:hAnsi="Times New Roman"/>
                <w:color w:val="000000"/>
                <w:sz w:val="19"/>
              </w:rPr>
              <w:t>and $0, respectively)</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18,246</w:t>
            </w:r>
          </w:p>
        </w:tc>
        <w:tc>
          <w:tcPr>
            <w:tcW w:w="194" w:type="dxa"/>
            <w:tcBorders/>
            <w:shd w:fill="CFF0FC" w:val="clear"/>
            <w:vAlign w:val="center"/>
          </w:tcPr>
          <w:p>
            <w:pPr>
              <w:pStyle w:val="TableContents"/>
              <w:bidi w:val="0"/>
              <w:spacing w:before="0" w:after="283"/>
              <w:jc w:val="left"/>
              <w:rPr/>
            </w:pPr>
            <w:r>
              <w:rPr/>
              <w:t> </w:t>
            </w:r>
          </w:p>
        </w:tc>
      </w:tr>
      <w:tr>
        <w:trPr/>
        <w:tc>
          <w:tcPr>
            <w:tcW w:w="738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accrued expenses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26,720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current financial assets and current financial liabilities are considered to be representative of their respective fair values because of the short-term nature of those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and December 31, 2023, the Company had $42.3 million and $50.4 million, respectively, invested in U.S. Government and U.S. Treasury money market funds which are recorded as cash equivalents and represent a Level 1 measurement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Company’s non-financial assets and liabilities are recorded at fair value on a non-recurring basis. No transfers between levels have occurred during the periods presented.</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4.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components of lease expense included in the Company’s statements of operations and loss include (in thousands):</w:t>
      </w:r>
    </w:p>
    <w:tbl>
      <w:tblPr>
        <w:tblW w:w="7993" w:type="dxa"/>
        <w:jc w:val="left"/>
        <w:tblInd w:w="0" w:type="dxa"/>
        <w:tblLayout w:type="fixed"/>
        <w:tblCellMar>
          <w:top w:w="28" w:type="dxa"/>
          <w:left w:w="28" w:type="dxa"/>
          <w:bottom w:w="28" w:type="dxa"/>
          <w:right w:w="28" w:type="dxa"/>
        </w:tblCellMar>
      </w:tblPr>
      <w:tblGrid>
        <w:gridCol w:w="2086"/>
        <w:gridCol w:w="146"/>
        <w:gridCol w:w="364"/>
        <w:gridCol w:w="726"/>
        <w:gridCol w:w="252"/>
        <w:gridCol w:w="252"/>
        <w:gridCol w:w="364"/>
        <w:gridCol w:w="726"/>
        <w:gridCol w:w="146"/>
        <w:gridCol w:w="146"/>
        <w:gridCol w:w="295"/>
        <w:gridCol w:w="798"/>
        <w:gridCol w:w="204"/>
        <w:gridCol w:w="204"/>
        <w:gridCol w:w="295"/>
        <w:gridCol w:w="798"/>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91"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 net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Variable lease costs are primarily related to payments made to lessors for common area maintenance, property taxes, insurance, and other operating expenses. The Company did not have any short-term leases or finance leases for the three and nine months ended September 30, 2024 and 2023, respectively. </w:t>
      </w:r>
    </w:p>
    <w:p>
      <w:pPr>
        <w:pStyle w:val="TextBody"/>
        <w:bidi w:val="0"/>
        <w:spacing w:before="216" w:after="216"/>
        <w:jc w:val="left"/>
        <w:rPr>
          <w:rFonts w:ascii="Times New Roman" w:hAnsi="Times New Roman"/>
          <w:color w:val="000000"/>
          <w:sz w:val="20"/>
        </w:rPr>
      </w:pPr>
      <w:r>
        <w:rPr>
          <w:rFonts w:ascii="Times New Roman" w:hAnsi="Times New Roman"/>
          <w:color w:val="000000"/>
          <w:sz w:val="20"/>
        </w:rPr>
        <w:t>The weighted average remaining lease term and weighted average discount rate for operating leases were as follows:</w:t>
      </w:r>
    </w:p>
    <w:tbl>
      <w:tblPr>
        <w:tblW w:w="6214" w:type="dxa"/>
        <w:jc w:val="left"/>
        <w:tblInd w:w="0" w:type="dxa"/>
        <w:tblLayout w:type="fixed"/>
        <w:tblCellMar>
          <w:top w:w="28" w:type="dxa"/>
          <w:left w:w="28" w:type="dxa"/>
          <w:bottom w:w="28" w:type="dxa"/>
          <w:right w:w="28" w:type="dxa"/>
        </w:tblCellMar>
      </w:tblPr>
      <w:tblGrid>
        <w:gridCol w:w="4111"/>
        <w:gridCol w:w="146"/>
        <w:gridCol w:w="146"/>
        <w:gridCol w:w="466"/>
        <w:gridCol w:w="271"/>
        <w:gridCol w:w="146"/>
        <w:gridCol w:w="146"/>
        <w:gridCol w:w="466"/>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16"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percentage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Supplemental cash flow information related to leases under which the Company is the lessee was as follows (amounts in thousands):</w:t>
      </w:r>
    </w:p>
    <w:tbl>
      <w:tblPr>
        <w:tblW w:w="10205" w:type="dxa"/>
        <w:jc w:val="left"/>
        <w:tblInd w:w="0" w:type="dxa"/>
        <w:tblLayout w:type="fixed"/>
        <w:tblCellMar>
          <w:top w:w="28" w:type="dxa"/>
          <w:left w:w="28" w:type="dxa"/>
          <w:bottom w:w="28" w:type="dxa"/>
          <w:right w:w="28" w:type="dxa"/>
        </w:tblCellMar>
      </w:tblPr>
      <w:tblGrid>
        <w:gridCol w:w="4748"/>
        <w:gridCol w:w="146"/>
        <w:gridCol w:w="327"/>
        <w:gridCol w:w="652"/>
        <w:gridCol w:w="226"/>
        <w:gridCol w:w="226"/>
        <w:gridCol w:w="327"/>
        <w:gridCol w:w="652"/>
        <w:gridCol w:w="146"/>
        <w:gridCol w:w="146"/>
        <w:gridCol w:w="274"/>
        <w:gridCol w:w="743"/>
        <w:gridCol w:w="190"/>
        <w:gridCol w:w="190"/>
        <w:gridCol w:w="274"/>
        <w:gridCol w:w="743"/>
        <w:gridCol w:w="195"/>
      </w:tblGrid>
      <w:tr>
        <w:trPr/>
        <w:tc>
          <w:tcPr>
            <w:tcW w:w="4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2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216" w:after="216"/>
        <w:jc w:val="left"/>
        <w:rPr>
          <w:rFonts w:ascii="Times New Roman" w:hAnsi="Times New Roman"/>
          <w:color w:val="000000"/>
          <w:sz w:val="20"/>
        </w:rPr>
      </w:pPr>
      <w:r>
        <w:rPr>
          <w:rFonts w:ascii="Times New Roman" w:hAnsi="Times New Roman"/>
          <w:color w:val="000000"/>
          <w:sz w:val="20"/>
        </w:rPr>
        <w:t xml:space="preserve">Maturities of operating lease liabilities as of September 30, 2024 were as follows (in thousands): </w:t>
      </w:r>
    </w:p>
    <w:tbl>
      <w:tblPr>
        <w:tblW w:w="4679" w:type="dxa"/>
        <w:jc w:val="left"/>
        <w:tblInd w:w="0" w:type="dxa"/>
        <w:tblLayout w:type="fixed"/>
        <w:tblCellMar>
          <w:top w:w="28" w:type="dxa"/>
          <w:left w:w="28" w:type="dxa"/>
          <w:bottom w:w="28" w:type="dxa"/>
          <w:right w:w="28" w:type="dxa"/>
        </w:tblCellMar>
      </w:tblPr>
      <w:tblGrid>
        <w:gridCol w:w="3466"/>
        <w:gridCol w:w="146"/>
        <w:gridCol w:w="230"/>
        <w:gridCol w:w="62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months ending December 31, 2024</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16"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September 30, 2024 and December 31, 2023, the total number of common shares authorized for issuance under the 2020 Plan was 10,735,431 and 9,196,970,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 shares and 574,244 unvested options, which would have been forfeited under the original terms of the 2020 Plan, continued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for the three and nine months ended September 30, 2024 and 2023 has been reported in the condensed statements of operations and comprehensive loss as follows (in thousands):</w:t>
      </w:r>
    </w:p>
    <w:p>
      <w:pPr>
        <w:pStyle w:val="TextBody"/>
        <w:bidi w:val="0"/>
        <w:jc w:val="left"/>
        <w:rPr/>
      </w:pPr>
      <w:r>
        <w:rPr/>
        <w:t> </w:t>
      </w:r>
    </w:p>
    <w:tbl>
      <w:tblPr>
        <w:tblW w:w="6757"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67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RSU activity under the 2020 Plan for the nine months ended September 30, 2024:</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2986"/>
        <w:gridCol w:w="146"/>
        <w:gridCol w:w="146"/>
        <w:gridCol w:w="931"/>
        <w:gridCol w:w="166"/>
        <w:gridCol w:w="146"/>
        <w:gridCol w:w="419"/>
        <w:gridCol w:w="1141"/>
        <w:gridCol w:w="3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As of September 30, 2024,</w:t>
      </w:r>
      <w:r>
        <w:rPr>
          <w:rFonts w:ascii="Times New Roman" w:hAnsi="Times New Roman"/>
          <w:color w:val="FF0000"/>
          <w:sz w:val="20"/>
        </w:rPr>
        <w:t xml:space="preserve"> </w:t>
      </w:r>
      <w:r>
        <w:rPr>
          <w:rFonts w:ascii="Times New Roman" w:hAnsi="Times New Roman"/>
          <w:color w:val="000000"/>
          <w:sz w:val="20"/>
        </w:rPr>
        <w:t xml:space="preserve">total unrecognized stock-based compensation expense for RSUs was $3.3 million, which is expected to be recognized over a remaining weighted-average period of approximately 3.2 years.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 option activity under the 2020 Plan for the nine months ended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8"/>
        <w:gridCol w:w="146"/>
        <w:gridCol w:w="146"/>
        <w:gridCol w:w="931"/>
        <w:gridCol w:w="166"/>
        <w:gridCol w:w="146"/>
        <w:gridCol w:w="458"/>
        <w:gridCol w:w="1016"/>
        <w:gridCol w:w="146"/>
        <w:gridCol w:w="146"/>
        <w:gridCol w:w="346"/>
        <w:gridCol w:w="1107"/>
        <w:gridCol w:w="146"/>
        <w:gridCol w:w="146"/>
        <w:gridCol w:w="211"/>
        <w:gridCol w:w="676"/>
        <w:gridCol w:w="394"/>
      </w:tblGrid>
      <w:tr>
        <w:trPr/>
        <w:tc>
          <w:tcPr>
            <w:tcW w:w="3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8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 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6,273,507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74,680</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8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38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8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38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394" w:type="dxa"/>
            <w:tcBorders/>
            <w:shd w:fill="CFF0FC" w:val="clear"/>
            <w:vAlign w:val="center"/>
          </w:tcPr>
          <w:p>
            <w:pPr>
              <w:pStyle w:val="TableContents"/>
              <w:bidi w:val="0"/>
              <w:spacing w:before="0" w:after="283"/>
              <w:jc w:val="left"/>
              <w:rPr/>
            </w:pPr>
            <w:r>
              <w:rPr/>
              <w:t> </w:t>
            </w:r>
          </w:p>
        </w:tc>
      </w:tr>
      <w:tr>
        <w:trPr/>
        <w:tc>
          <w:tcPr>
            <w:tcW w:w="38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394" w:type="dxa"/>
            <w:tcBorders/>
            <w:shd w:fill="FFFFFF" w:val="clear"/>
            <w:vAlign w:val="center"/>
          </w:tcPr>
          <w:p>
            <w:pPr>
              <w:pStyle w:val="TableContents"/>
              <w:bidi w:val="0"/>
              <w:spacing w:before="0" w:after="283"/>
              <w:jc w:val="left"/>
              <w:rPr/>
            </w:pPr>
            <w:r>
              <w:rPr/>
              <w:t> </w:t>
            </w:r>
          </w:p>
        </w:tc>
      </w:tr>
      <w:tr>
        <w:trPr/>
        <w:tc>
          <w:tcPr>
            <w:tcW w:w="38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2024, total unrecognized stock-based compensation cost for unvested common stock options was $9.7 million, which is expected to be recognized over a remaining weighted-average period of approximately 2.21 years. The weighted-average grant date fair value of stock options granted during the nine months ended September 30, 2024 was $2.04 per share. The total fair value of options vested during the nine months ended September 30, 2024 was $8.0 million. Upon option exercise, the Company issues new shares of its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assumptions used in the Black-Scholes option pricing model to determine the fair value of stock option grants were as follows:</w:t>
      </w:r>
    </w:p>
    <w:p>
      <w:pPr>
        <w:pStyle w:val="TextBody"/>
        <w:bidi w:val="0"/>
        <w:jc w:val="left"/>
        <w:rPr/>
      </w:pPr>
      <w:r>
        <w:rPr/>
        <w:t> </w:t>
      </w:r>
    </w:p>
    <w:tbl>
      <w:tblPr>
        <w:tblW w:w="4330" w:type="dxa"/>
        <w:jc w:val="left"/>
        <w:tblInd w:w="0" w:type="dxa"/>
        <w:tblLayout w:type="fixed"/>
        <w:tblCellMar>
          <w:top w:w="28" w:type="dxa"/>
          <w:left w:w="28" w:type="dxa"/>
          <w:bottom w:w="28" w:type="dxa"/>
          <w:right w:w="28" w:type="dxa"/>
        </w:tblCellMar>
      </w:tblPr>
      <w:tblGrid>
        <w:gridCol w:w="2131"/>
        <w:gridCol w:w="146"/>
        <w:gridCol w:w="931"/>
        <w:gridCol w:w="146"/>
        <w:gridCol w:w="97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 years</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 years</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Company bases the risk-free interest rate assumption on the U.S. Treasury’s rates for U.S. Treasury zero-coupon bonds with maturities similar to those of the expected term of the award being valued.</w:t>
      </w:r>
    </w:p>
    <w:p>
      <w:pPr>
        <w:pStyle w:val="TextBody"/>
        <w:bidi w:val="0"/>
        <w:spacing w:before="24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bases the expected dividend yield assumption on the fact that it has never paid cash dividends and has no present plans to pay cash dividends.</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ESPP permits participants to purchase common stock through payroll deductions of up to 15% of their eligible compensation. As of September 30, 2024 and December 31, 2023, a total of 2,281,600 shares and 1,737,098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issued 191,020 and 56,793 shares of common stock under the ESPP during the nine months ended September 30, 2024 and 2023, respectively. As of September 30, 2024, 1,766,284 shares of common stock remained available for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under the ESPP. Stock-based compensation expense related to the ESPP for the three and nine months ended September 30, 2024 and 2023 was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are as follows in common equivalent shares:</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8"/>
        <w:gridCol w:w="947"/>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6,372,611</w:t>
            </w:r>
          </w:p>
        </w:tc>
        <w:tc>
          <w:tcPr>
            <w:tcW w:w="1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2020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991,413</w:t>
            </w:r>
          </w:p>
        </w:tc>
        <w:tc>
          <w:tcPr>
            <w:tcW w:w="1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available for future issuance under the ESPP</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1,412,802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8,776,826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Collaboration, License and Option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Global Co-Development and Collaboration Agreement with BeiGene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2019, the Company entered into a Global Co-Development and Collaboration agreement (the “BeiGene Collaboration”) with BeiGene, Ltd. and BeiGene Switzerland GmbH (collectively “BeiGene”), for the development, manufacturing and commercialization of evalstotug (BA3071). The BeiGene Collaboration was amended several times between 2019 and 2021 and the Company received a total of $25.0 million in non-refundable payments from BeiGene during that time.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 xml:space="preserve">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 </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Company did not recognize any revenue related to the collaboration agreement with BeiGene during the three and nine months ended September 30, 2024 and 2023, respectively. The Company had a $19.8 million Liability to Licensor as of September 30, 2024 and December 31,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Supply Agreement with Bristol-Myers Squibb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mecbotamab vedotin and ozuriftamab vedotin combination study trials. There was no impact to the Company's financial results for the three and nine months ended September 30, 2024 and 2023 as a result of this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Context Therapeutics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8).</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Further, the Company determined that there were no significant financing components, noncash consideration, or amounts that may be refunded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determined that the transfer of the License did not meet any of the criteria for recognizing revenue over time, and therefore revenue was recognized at the point in time that the Context License Agrement was executed and the License was transferred to Context. Additional revenue will be recognized for development milestone payments, the sales milestone payments, and the royalty payments if and when the constraints are resolved.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nine months ended September 30, 2024, the Company recognized $11.0 million of revenue related to the Context License Agreement, included in Collaboration and Other Revenue.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Related Party Transactions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Himalaya Therapeutics SEZC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Trial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entered into an amended Clinical Trial Services Agreement (as so amended, the “Clinical Trial Services Agreement”) with Himalaya Therapeutics SEZC (“Himalaya”). Under the Clinical Trial Services Agreement, BioAtla will pay Himalaya for the full-time use of two of its personnel and provide services related to the initiation of clinical trials for evalstotug in China for a period of 12 months.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Global Transaction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7),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recognized $1.8 million and $2.0 million, respectively, in research and development expense related to the transactions with Himalaya, compared to $0 and $0.1 million for the three and nine months ended September 30, 2023, respectively. As of September 30, 2024, the Company had $1.8 million due to Himalaya.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401(k)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2023 included in the Annual Report on Form 10-K, filed with the Securities and Exchange Commission, or the SEC, on March 26, 2024.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and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Our net loss was $10.6 million and $54.9 million for the three and nine months ended September 30, 2024, respectively, compared to $33.3 million and $96.5 million for the three and nine months ended September 30, 2023, respectively. As of September 30, 2024, we had an accumulated deficit of $471.2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decrease in the near term as we complete enrollment and treatment of patients in certain of our trials, but may generally increase in the future as we progress our lead product candidates through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expenses and capital requirements could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mecbotamab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ozuriftamab vedotin;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evalstotug;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the clinical development of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pipeline of bispecific and other CAB antibody-based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invest in our CAB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including patents, trade secrets and know-how;</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approvals for any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additional product collaborations and commercial manufacturing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sales, marketing and distribution infrastructure and relationships with third parties to commercialize product candidates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expand our operational, financial and management information systems;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clinical, scientific, management, administrative and commercial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our cash and cash equivalents totaled approximately $56.5 million.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focuses on the clinical development of selected assets and indications, and includes completion of certain of our clinical trials. Our estimate as to how long we expect our existing cash and cash equivalents to be able to continue to fund our operations is based on assumptions that may prove to be wrong, and we could utilize our available capital resources sooner than we currently expect.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not generated any revenue from the sale of products and do not expect to generate meaningful revenue in the near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collaborations and licensing agreements with various third parties that, in some cases, may provide for potential future milestone and royalty payments to us (see Note 7 to our financial statements). In September 2024, the Company licensed BA3362, a Nectin-4 x CD3 T cell engaging bispecific antibody, to Context Therapeutics (“Context”). We recognized revenue of $11.0 million during the three and nine months ended September 30, 2024, respectively, related to the licensing agreement with Context.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developing our own programs, we received revenue from services performed under fixed price service contracts that, in some cases, provided for potential milestone and royalty payments to us. We did not recognize any revenue from our legacy service contracts during the three and nine months ended September 30, 2023 and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third parties such as contract manufacturing organizations (CMOs) and other vendors for manufacturing research and clinical trial materials; and</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equipment and facilities depreciation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decrease in the near term as we complete enrollment and treatment in certain of our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expect our general and administrative expenses to remain flat to moderately increasing in the future to support development of our prioritized CAB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earned on our cash and cash equivalent balances.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2024 and 2023</w:t>
      </w:r>
    </w:p>
    <w:p>
      <w:pPr>
        <w:pStyle w:val="TextBody"/>
        <w:bidi w:val="0"/>
        <w:spacing w:before="120" w:after="283"/>
        <w:jc w:val="left"/>
        <w:rPr/>
      </w:pPr>
      <w:r>
        <w:rPr/>
        <w:t> </w:t>
      </w:r>
    </w:p>
    <w:tbl>
      <w:tblPr>
        <w:tblW w:w="6783" w:type="dxa"/>
        <w:jc w:val="left"/>
        <w:tblInd w:w="0" w:type="dxa"/>
        <w:tblLayout w:type="fixed"/>
        <w:tblCellMar>
          <w:top w:w="28" w:type="dxa"/>
          <w:left w:w="28" w:type="dxa"/>
          <w:bottom w:w="28" w:type="dxa"/>
          <w:right w:w="28" w:type="dxa"/>
        </w:tblCellMar>
      </w:tblPr>
      <w:tblGrid>
        <w:gridCol w:w="2761"/>
        <w:gridCol w:w="146"/>
        <w:gridCol w:w="211"/>
        <w:gridCol w:w="736"/>
        <w:gridCol w:w="166"/>
        <w:gridCol w:w="146"/>
        <w:gridCol w:w="211"/>
        <w:gridCol w:w="736"/>
        <w:gridCol w:w="166"/>
        <w:gridCol w:w="146"/>
        <w:gridCol w:w="211"/>
        <w:gridCol w:w="736"/>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4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and other revenue for the three months ended September 30, 2024 was $11.0 million and consisted of revenue recognized under the Context License Agreement. There was no revenue recognized during the three months ended September 30, 2023. See Note 7 to our financial statements for further details regarding collaboration and licensing agreements.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8233"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736"/>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$16.4 million and $28.4 million for the three months ended September 30, 2024 and 2023, respectively. The decrease of approximately $12.0 million was primarily driven by a $5.4 million decrease in development costs for our pre-clinical programs primarily for BA3142, our CAB B7H3 x CD3 bispecific program, and BA3361, our CAB Nectin-4 ADC program, a $4.8 million decrease development costs for our clinical stage programs primarily due to completing Phase 2 enrollment for our ongoing ADC trials for mecbotamab vedotin and ozuriftamab vedotin, a $3.0 million decrease in manufacturing costs for evalstotug, a $0.3 million decrease in stock-based compensation related to awards issued under our 2020 Equity Incentive Plan, and a $0.2 million decrease in facility related costs. This was offset by $1.8 million in related party expense incurred in connection with the licensing agreement with Context Therapeutics in September 2024, which is further discussed in Note 7 and Note 8 to our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$5.9 million and $6.6 million for the three months ended September 30, 2024 and 2023, respectively. The decrease of approximately $0.7 million was primarily driven by a $1.0 million decrease in stock-based compensation related to awards issued under our 2020 Equity Incentive Plan, and a $0.2 million decrease in D&amp;O insurance premiums, offset by $0.5 million increase in professional and advisor fees related to the closing of our licensing agreement with Context Therapeutics in September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$0.7 million and $1.7 million for the three months ended September 30, 2024 and 2023, respectively. The decrease of $1.0 million was due to lower cash and cash equivalents compared to the same period in 2023.</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2024 and 2023</w:t>
      </w:r>
    </w:p>
    <w:p>
      <w:pPr>
        <w:pStyle w:val="TextBody"/>
        <w:bidi w:val="0"/>
        <w:spacing w:before="120" w:after="283"/>
        <w:jc w:val="left"/>
        <w:rPr/>
      </w:pPr>
      <w:r>
        <w:rPr/>
        <w:t> </w:t>
      </w:r>
    </w:p>
    <w:tbl>
      <w:tblPr>
        <w:tblW w:w="6888" w:type="dxa"/>
        <w:jc w:val="left"/>
        <w:tblInd w:w="0" w:type="dxa"/>
        <w:tblLayout w:type="fixed"/>
        <w:tblCellMar>
          <w:top w:w="28" w:type="dxa"/>
          <w:left w:w="28" w:type="dxa"/>
          <w:bottom w:w="28" w:type="dxa"/>
          <w:right w:w="28" w:type="dxa"/>
        </w:tblCellMar>
      </w:tblPr>
      <w:tblGrid>
        <w:gridCol w:w="2761"/>
        <w:gridCol w:w="146"/>
        <w:gridCol w:w="211"/>
        <w:gridCol w:w="736"/>
        <w:gridCol w:w="166"/>
        <w:gridCol w:w="146"/>
        <w:gridCol w:w="211"/>
        <w:gridCol w:w="841"/>
        <w:gridCol w:w="166"/>
        <w:gridCol w:w="146"/>
        <w:gridCol w:w="211"/>
        <w:gridCol w:w="736"/>
        <w:gridCol w:w="4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4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43,452</w:t>
            </w:r>
          </w:p>
        </w:tc>
        <w:tc>
          <w:tcPr>
            <w:tcW w:w="4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7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and other revenue for the nine months ended September 30, 2024 was $11.0 million and consisted of revenue recognized under the Context License Agreement. There was no revenue recognized during the nine months ended September 30, 2023. See Note 7 to our financial statements for further details regarding collaboration and licensing agreements.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allocated by CAB program for the periods indicated:</w:t>
      </w:r>
    </w:p>
    <w:p>
      <w:pPr>
        <w:pStyle w:val="TextBody"/>
        <w:bidi w:val="0"/>
        <w:spacing w:before="120" w:after="283"/>
        <w:jc w:val="left"/>
        <w:rPr/>
      </w:pPr>
      <w:r>
        <w:rPr/>
        <w:t> </w:t>
      </w:r>
    </w:p>
    <w:tbl>
      <w:tblPr>
        <w:tblW w:w="8233" w:type="dxa"/>
        <w:jc w:val="left"/>
        <w:tblInd w:w="0" w:type="dxa"/>
        <w:tblLayout w:type="fixed"/>
        <w:tblCellMar>
          <w:top w:w="28" w:type="dxa"/>
          <w:left w:w="28" w:type="dxa"/>
          <w:bottom w:w="28" w:type="dxa"/>
          <w:right w:w="28" w:type="dxa"/>
        </w:tblCellMar>
      </w:tblPr>
      <w:tblGrid>
        <w:gridCol w:w="4371"/>
        <w:gridCol w:w="146"/>
        <w:gridCol w:w="211"/>
        <w:gridCol w:w="676"/>
        <w:gridCol w:w="146"/>
        <w:gridCol w:w="146"/>
        <w:gridCol w:w="211"/>
        <w:gridCol w:w="676"/>
        <w:gridCol w:w="146"/>
        <w:gridCol w:w="146"/>
        <w:gridCol w:w="211"/>
        <w:gridCol w:w="736"/>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Mecbotamab vedotin, BA3011 (CAB AXL-ADC)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Ozuriftamab vedotin, BA3021 (CAB ROR2-ADC)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Evalstotug, BA3071 (CAB CTLA-4)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BA3182 (CAB EpCAM x CAB CD3)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CAB Programs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were $51.4 million and $81.1 million for the nine months ended September 30, 2024 and 2023, respectively. The decrease of approximately $29.6 million was primarily driven by a $15.2 million decrease in development costs for our pre-clinical programs primarily BA3142, our CAB B7H3 x CD3 bispecific program, and BA3361, our CAB Nectin-4 ADC program, a $7.8 million decrease in manufacturing costs for evalstotug, a $7.6 million decrease in development costs for our clinical stage programs primarily due to completing Phase 2 enrollment for our ongoing ADC trials for mecbotamab vedotin and ozuriftamab vedotin, a $1.0 million decrease in stock-based compensation related to awards issued under our 2020 Equity Incentive Plan, and a $0.3 million decrease in travel and other expenses. This was offset by $1.8 million in related party expense incurred in connection with the licensing agreement with Context Therapeutics in September 2024, which is further discussed in Note 7 and Note 8 to our financial statements, and by a $0.6 million increase in personnel related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$17.3 million and $20.1 million for the nine months ended September 30, 2024 and 2023, respectively. The decrease of approximately $2.8 million was primarily driven by a decrease of $2.8 million in stock-based compensation related to awards issued under our 2020 Equity Incentive Plan, a $0.5 million decrease in D&amp;O insurance premiums,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offset by a $0.5 million increase in professional and advisor fees related to the closing of our licensing agreement with Context Therapeutics in September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$2.8 million and $4.7 million for the nine months ended September 30, 2024 and 2023, respectively. The decrease of $1.9 million was due to lower cash and cash equivalents compared to the same period in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aggregate net losses and negative cash flows from operations since our inception and anticipate we will continue to incur net losses for the foreseeable future. Since July 2020, we have funded our operations primarily through the issuance of equity and via collaborations and licenses. As of September 30, 2024, we had cash and cash equivalents of $56.5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 We have not sold any shares of our common stock under the Sales Agreement as of September 30,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 although we have no commitments or agreements relating to any of these types of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 our current cash and cash equivalents are expected to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and the wars between Israel and the terrorist groups Hamas and Hezbollah,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cash flows for the periods indicated:</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496"/>
        <w:gridCol w:w="146"/>
        <w:gridCol w:w="211"/>
        <w:gridCol w:w="736"/>
        <w:gridCol w:w="166"/>
        <w:gridCol w:w="146"/>
        <w:gridCol w:w="211"/>
        <w:gridCol w:w="736"/>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2024 was $55.2 million, which consisted of a net loss of $54.9 million, a net change of $7.9 million in our operating assets and liabilities and $7.7 million of non-cash transactions. The net change in our operating assets and liabilities was primarily due to a decrease in accounts payable and accrued expenses of $8.5 million and a net decrease in operating lease right-of-use assets and lease liabilities of $0.5 million, partially offset by an increase in prepaid expenses and other assets of $1.0 million. The non-cash transactions primarily consisted of $7.0 million of stock-based compensation and non-cash charges of $0.7 million related to 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nine months ended September 30, 2023 was $74.1 million, which consisted of a net loss of $96.5 million, a net change of $10.8 million in our operating assets and liabilities and $11.7 million of non-cash transactions. The net change in our operating assets and liabilities was primarily due to an increase in accounts payable and accrued expenses of $12.5 million, partially offset by an increase in prepaid expenses and other assets of $1.3 million and a net decrease in operating lease right-of-use assets and lease liabilities of $0.4 million. The non-cash transactions primarily consisted of $10.8 million of stock-based compensation and non-cash charges of $0.9 million related to depreciation and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$0 for the nine months ended September 30, 2024. Cash used in investing activities for the nine months ended September 30, 2023 was $90,000, related to the purchase of property and equipment.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Provided by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was $0.2 million for the nine months ended September 30, 2024, consisting primarily of the proceeds from the issuance of common stock under the ESPP and the 2020 Plan, partially offset by the payment of taxes related to the net settlement of restricted stock units.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was immaterial for the nine months ended September 30, 2023, consisting primarily of the proceeds from the issuance of common stock under the ESPP and the 2020 Plan, offset by payment of taxes related to the net settlement of restricted stock units.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2023. There have not been any material changes to the critical accounting policies discussed therein during the nine months ended September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entered into any off-balance sheet arrangements, as defined in the rules and regulations of the SEC.</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 to a smaller reporting company.</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Rules 13a-15(b) and 15d-15(b) of the Exchange Act, our management, with the participation of our Chief Executive Officer and our Chief Financial Officer,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our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September 30, 2024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spacing w:before="360" w:after="283"/>
        <w:jc w:val="left"/>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fail in development or suffer delays that adversely affect their commercial viability.</w:t>
        <w:b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from early-stage clinical trials may not be predictive of results from late-stage or other clinical trials, and the results of our clinical trials may not satisfy the requirements of the U.S. Food and Drug Administration (the “FDA”), the European Medicine Agency ( the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regulatory approval for any of our product candidates, we will be subject to ongoing regulatory obligations and continued regulatory review, which may result in significant additional expense.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losses to date. Our ability to generate product revenue sufficient to achieve profitability will depend on the successful development and eventual commercialization of one or more of our current and future product candidates. Our net losses were $123.5 million and $106.5 million for the years ended December 31, 2023 and 2022, respectively. For the nine months ended September 30, 2024 and 2023, our net losses were $54.9 million and $96.5 million, respectively. As of September 30, 2024, we had an accumulated deficit of $471.2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expect that these expenses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we had approximately $56.5 million in cash and cash equivalents. Based on our current operating plan, our current cash and cash equivalents are expected to be sufficient to fund our ongoing operations for a period of at least twelve months from the date the financial statements included in this report are issued. Our current operating plan prioritizes and focuses clinical development of selected assets and indications, and includes completion of certain of our clinical trials.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our ongoing clinical trials for mecbotamab vedotin, ozuriftamab vedotin, evalstotug, and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milestone payments we may receive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regulatory approvals; and</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hire additional personnel, including personnel to support development of our product candidates and satisfy our obligations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invest a portion of our cash in a money market fund, which is vulnerable to market-specific risks that could adversely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products on the market and our product candidates are in various stages of development. We are currently conducting Phase 2 clinical trials of mecbotamab vedotin, ozuriftamab vedotin, and evalstotug; a Phase 1 trial of BA3182;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preclinical testing or clinical trials leading to a decision or requirement to conduct additional preclinical testing or clinical trials or abandon a program;</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product-related 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third-party contractors, investigators or contract research organizations, or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and similar foreign regulatory agencies, including the EMA.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substantially dependent on the success of our patented CAB technology platform, and our future success depends heavily on the successful development of this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our efforts to use and expand our patented CAB technology platform to continue to build a pipeline of product candidates and develop marketable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using our patented technology platform to develop CABs in oncology indications with our lead product candidates mecbotamab vedotin, ozuriftamab vedotin, evalstotug, and BA3182,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the market opportunities for any product that we develop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our product candidate development on therapeutic CAB antibodies for the treatment of various oncology indications, such as soft tissue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any labeling approved by the FDA or other regulatory authority, including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effective treatments for the disease indications our product candidates are intended to treat and the relative risks, benefits and costs of those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we commercialize fails to achieve market acceptance, it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the commencement and completion of clinical trials could increase costs and delay or prevent regulatory approval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preclinical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occurrence of treatment emergent adverse events, or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epidemics and outbreaks, including the COVID-19 pandemic, which in the past has resulted in, and in the future may result in, delays to patient enrollment, patients discontinuing their treatment or follow up visits or changes to trial protocols.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made more difficult or rendered impossible by multiple factors outside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 related adverse events. We may also observe undesirable side effects in clinical trials for our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clinical trials by their nature test product candidates in only samples of the potential patient populations. With a limited number of patients and limited duration of exposure in such trials, rare and severe side effects of our product candidates may not be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mecbotamab vedotin, ozuriftamab vedotin, and evalstotug are being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clinical trials may die or experience major clinical events either during the course of the clinical trials or after participating in such trials due mainly to the gravity of their illness, which has occurred in the past.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the particular product or the manufacturing processes for the product or any component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we are evaluating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developing our product candidates for use in combination. Any setbacks in these companies’ clinical trials, including the emergence of serious adverse effects, may delay or prevent the development and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biologic product candidates for which we intend to seek approval may face competition through an abbreviated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Biologics Price Competition and Innovation Act of 2009 (the “BPCIA”), enacted as part of the Affordable Care Act (the “ACA”),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regulatory approval, other legal compliance matters and taxation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obtain U.S. or foreign regulatory approval and, as a result, unable to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More recently, as part of the Food and Drug Omnibus Reform Act (FDORA), sponsors will be required to submit Diversity Action Plans (DAPs) for Phase 3 studies or other pivotal studies of new drugs. DAPs must include the sponsor’s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goals for enrollment for such studies, disaggregated by age group, sex, and racial and ethnic demographic characteristics of clinically relevant study populations; the sponsor’s rationale for such goals; and an explanation of how the sponsor intends to meet such goals. FDA is scheduled to issue final guidance on DAPs by late June 2025, and these requirements are scheduled to be implemented in late 2025. However, there remains significant uncertainty regarding the final details of these requirements and their impact on development programs. We are considering these and other policy changes as they relate to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pure and potent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sarcoma,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October 26, 2023, the FDA issued a draft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it determines it is appropriate based on mission needs and any travel limitations. Regulatory authorities outside the United States may adopt similar restrictions or other policy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prolonged government shutdown occurs, if global health concerns continue to prevent the FDA or other regulatory authorities from conducting their regular inspections, reviews, or other regulatory activities, or if the volume of applications to the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legislative reform measures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the United States, there have been and continue to be a number of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initiatives culminated in the enactment of the Inflation Reduction Act, or IRA, in August 2022, which, among other things, allows HHS to directly negotiate the selling price of a statutorily specified number of drugs and biologics each year that CMS reimburses under Medicare Part B and Part D. Only high-expenditure single-source biologics that have been approved for at least 11 years (7 years for drugs)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has announced the negotiated maximum fair prices, and these price caps,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drugs and biologics have been challenged in multiple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or the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research and development activities could be affected or delayed as a result of possible restrictions on animal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us or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on January 1, 2022, a provision of the Tax Cuts and Jobs Act of 2017 went into effect that eliminates the option to deduct domestic research and development costs in the year incurred and instead requires taxpayers to amortize such costs over five years. 2022 also saw the enactment of the Inflation Reduction Act of 2022 (IRA), which imposes, among others, a 1% excise tax on certain repurchases of stock and a 15% alternative minimum income tax on “adjusted financial statement income” of certain corporations.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attract and retain qualified senior management and key clinical and scientific personnel, our business may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and independent contractors, including principal investigators, CROs, consultants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passed by the House of Representatives on September 9, 2024 and is now subject to the full Senate vote along with the Senate’s own version of the BIOSECURE Act. If passed by the Senate and signed into law, this legislation would, among other things, prohibit U.S. federal procurement of biotechnology equipment or services produced or provided by certain named Chinese “biotechnology companies of concern” and loans and grants to, and federal contracts with any entity that uses biotechnology equipment or services from one of these entities in performance of the government contract, grant, or loan. On May 10, 2024, the House of Representatives released an updated version of the BIOSECURE Act bill which would delay the application of the BIOSECURE Act’s provisions (1) until January 1, 2032, with respect to biotechnology equipment and services provided or produced by a named biotechnology company of concern under a contract or agreement entered before the effective date of the legislation and (2) for a period of 5 years after the identification of new biotechnology companies of concern, with respect to biotechnology equipment and services provided or produced under a contract or agreement entered before the effective date of the legislation by an entity that the government identifies in the future as a biotechnology company of concern.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conducting business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February 2022, armed conflict escalated between Russia and Ukraine, and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currency exchange rates, supply chains and financial markets. These and other risks associated with our international operations may materially adversely affect our ability to attain or maintain profitable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related to health epidemics and outbreaks, including the COVID-19 pandemic, which could significantly disrupt our preclinical studies, affect enrollment of patients in our clinical trials or delay or prevent our receipt of necessary regulatory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Although the U.S. federal government has declared an end to the public health emergency related to the COVID-19 pandemic and many activities worldwide have returned to normal, the COVID-19 pandemic in the past has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following, and plan to continue to follow, recommendations from federal, state and local governments regarding workplace policies, practices and procedures. We are complying with all applicable guidelines for our clinical trials, including remote clinical monitoring. We are continuing to monitor the potential impact of the pandemic, but even though many restrictions aimed at minimizing the spread of COVID-19 have been eased or lifted in the U.S. and other countries, we cannot be certain what the overall impact will be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COVID-19 pandemic in the past has had, and in the future may have, a severe effect on the clinical trials of many drug candidates of several sponsors. The extent to which the COVID-19 pandemic may impact our preclinical and clinical trial operations is uncertain and will depend on future developments, including the severity and duration of any resurgence of COVID-19 and its variants. To date, we have experienced modest business disruptions, including with respect to the clinical trials we are conducting, and non-material impairments as a result of the pandemic. A resurgence of COVID-19 or any of its variants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and may in the future seek to enter, into collaborations with third parties for the development and commercialization of certain of our product candidates. For example, in September 2024 we entered into an agreement to license BA3361,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existing collaboration arrangements currently pose, and future collaborations involving our product candidates will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any intellectual property developed pursuant to our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sales and marketing activities or other operations may not be in compliance with applicable laws resulting in civil or criminal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establishing commercialization collaborations, which could adversely affect our ability to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termination or nonrenewal of arrangements or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misappropriation of our proprietary information, including our trade secrets and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future developments, including the severity and duration of any resurgence of COVID-19 and its variants.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obtain, maintain, protect and enforce intellectual property protection for our technologies and product candidates.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terms of our patents may not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patent reform legislation could increase the uncertainties and costs surrounding the prosecution of our patent applications and the enforcement or defense of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companies or organizations may challenge our or our licensors’ patent rights or may assert patent rights that prevent us from developing and commercializing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Times New Roman" w:hAnsi="Times New Roman"/>
          <w:i/>
          <w:color w:val="000000"/>
          <w:sz w:val="20"/>
        </w:rPr>
        <w:t>inter partes</w:t>
      </w:r>
      <w:r>
        <w:rPr>
          <w:rFonts w:ascii="Times New Roman" w:hAnsi="Times New Roman"/>
          <w:color w:val="000000"/>
          <w:sz w:val="20"/>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hAnsi="Times New Roman"/>
          <w:i/>
          <w:color w:val="000000"/>
          <w:sz w:val="20"/>
        </w:rPr>
        <w:t>inter alia</w:t>
      </w:r>
      <w:r>
        <w:rPr>
          <w:rFonts w:ascii="Times New Roman" w:hAnsi="Times New Roman"/>
          <w:color w:val="000000"/>
          <w:sz w:val="20"/>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could cause us to spend substantial resources and distract our personnel from their normal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product candidates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significantly or may fall below the expectations of investors or securities analysts, each of which may cause our stock price to fluctuate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annual and quarterly fluctuations. Our net loss and other operating results will be affected by numerous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current or future collaborators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natural disasters or public health emergencies, such as the COVID-19 pandemic;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future issuance of equity or of debt securities that are convertible into equity will dilute our share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executive officers and directors, together with holders of 5% or more of our outstanding common stock and their respective affiliates, beneficially own approximately 38.8% of our outstanding common stock. More specifically, Jay M. Short, Ph.D, our Chairman and Chief Executive Officer, together with his spouse, beneficially own approximately 7.6%, of our outstanding common stock, as of September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with such terms as the board of directors may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Company’s ability to attract and retain qualified members of our board of directors may be impacted due to new laws, including recently enacted diversity quotas.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our management’s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60" w:after="283"/>
        <w:jc w:val="left"/>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30, 2024, no director or officer of the Company adopted or terminated a “Rule 10b5-1 trading arrangement” or “non-Rule 10b5-1 trading arrangement,” as each term is defined in Item 408(a) of Regulation S-K.</w:t>
      </w:r>
    </w:p>
    <w:p>
      <w:pPr>
        <w:pStyle w:val="TextBody"/>
        <w:bidi w:val="0"/>
        <w:spacing w:before="360" w:after="240"/>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14"/>
        <w:gridCol w:w="146"/>
        <w:gridCol w:w="5811"/>
        <w:gridCol w:w="511"/>
        <w:gridCol w:w="673"/>
        <w:gridCol w:w="631"/>
        <w:gridCol w:w="728"/>
        <w:gridCol w:w="991"/>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714"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Filing Date</w:t>
            </w:r>
          </w:p>
        </w:tc>
        <w:tc>
          <w:tcPr>
            <w:tcW w:w="9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File/Furnished Herewith</w:t>
            </w:r>
          </w:p>
        </w:tc>
      </w:tr>
      <w:tr>
        <w:trPr/>
        <w:tc>
          <w:tcPr>
            <w:tcW w:w="7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center"/>
              <w:rPr/>
            </w:pPr>
            <w:r>
              <w:rPr/>
              <w:t> </w:t>
            </w:r>
          </w:p>
        </w:tc>
        <w:tc>
          <w:tcPr>
            <w:tcW w:w="673"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728"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5811" w:type="dxa"/>
            <w:tcBorders/>
            <w:shd w:fill="FFFFFF" w:val="clear"/>
            <w:vAlign w:val="center"/>
          </w:tcPr>
          <w:p>
            <w:pPr>
              <w:pStyle w:val="TableContents"/>
              <w:bidi w:val="0"/>
              <w:spacing w:before="0" w:after="283"/>
              <w:jc w:val="left"/>
              <w:rPr/>
            </w:pPr>
            <w:hyperlink r:id="rId2">
              <w:r>
                <w:rPr>
                  <w:rStyle w:val="InternetLink"/>
                  <w:rFonts w:ascii="Times New Roman" w:hAnsi="Times New Roman"/>
                  <w:color w:val="0000FF"/>
                  <w:sz w:val="20"/>
                  <w:u w:val="single"/>
                </w:rPr>
                <w:t>License Agreement between BioAtla, Inc. and Context Therapeutics Inc., dated as of September 23, 2024</w:t>
              </w:r>
            </w:hyperlink>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7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001-39787</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2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9/23/2024</w:t>
            </w:r>
          </w:p>
        </w:tc>
        <w:tc>
          <w:tcPr>
            <w:tcW w:w="991" w:type="dxa"/>
            <w:tcBorders/>
            <w:shd w:fill="FFFFFF" w:val="clear"/>
            <w:vAlign w:val="center"/>
          </w:tcPr>
          <w:p>
            <w:pPr>
              <w:pStyle w:val="TableContents"/>
              <w:bidi w:val="0"/>
              <w:spacing w:before="0" w:after="283"/>
              <w:jc w:val="center"/>
              <w:rPr/>
            </w:pPr>
            <w:r>
              <w:rPr/>
              <w:t> </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5811" w:type="dxa"/>
            <w:tcBorders/>
            <w:shd w:fill="FFFFFF" w:val="clear"/>
            <w:vAlign w:val="center"/>
          </w:tcPr>
          <w:p>
            <w:pPr>
              <w:pStyle w:val="TableContents"/>
              <w:bidi w:val="0"/>
              <w:spacing w:before="0" w:after="283"/>
              <w:jc w:val="left"/>
              <w:rPr/>
            </w:pPr>
            <w:hyperlink r:id="rId3">
              <w:r>
                <w:rPr>
                  <w:rStyle w:val="InternetLink"/>
                  <w:rFonts w:ascii="Times New Roman" w:hAnsi="Times New Roman"/>
                  <w:color w:val="0000FF"/>
                  <w:sz w:val="20"/>
                  <w:u w:val="single"/>
                </w:rPr>
                <w:t>Global Transaction Agreement between BioAtla, Inc. and Himalaya Therapeutics SEZC, dated as of September 23, 2024</w:t>
              </w:r>
            </w:hyperlink>
          </w:p>
        </w:tc>
        <w:tc>
          <w:tcPr>
            <w:tcW w:w="5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7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001-39787</w:t>
            </w:r>
          </w:p>
        </w:tc>
        <w:tc>
          <w:tcPr>
            <w:tcW w:w="6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2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9/23/2024</w:t>
            </w:r>
          </w:p>
        </w:tc>
        <w:tc>
          <w:tcPr>
            <w:tcW w:w="991" w:type="dxa"/>
            <w:tcBorders/>
            <w:shd w:fill="FFFFFF" w:val="clear"/>
            <w:vAlign w:val="center"/>
          </w:tcPr>
          <w:p>
            <w:pPr>
              <w:pStyle w:val="TableContents"/>
              <w:bidi w:val="0"/>
              <w:spacing w:before="0" w:after="283"/>
              <w:jc w:val="center"/>
              <w:rPr/>
            </w:pPr>
            <w:r>
              <w:rPr/>
              <w:t> </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11" w:type="dxa"/>
            <w:tcBorders/>
            <w:shd w:fill="FFFFFF" w:val="clear"/>
            <w:vAlign w:val="center"/>
          </w:tcPr>
          <w:p>
            <w:pPr>
              <w:pStyle w:val="TableContents"/>
              <w:bidi w:val="0"/>
              <w:spacing w:before="0" w:after="283"/>
              <w:jc w:val="left"/>
              <w:rPr/>
            </w:pPr>
            <w:hyperlink w:anchor="bcab-ex31_1.htm">
              <w:r>
                <w:rPr>
                  <w:rStyle w:val="InternetLink"/>
                  <w:rFonts w:ascii="Times New Roman" w:hAnsi="Times New Roman"/>
                  <w:color w:val="0000FF"/>
                  <w:sz w:val="20"/>
                  <w:u w:val="single"/>
                </w:rPr>
                <w:t>Certification of Chief Executive Officer Pursuant to Rules 13a-14(a) and 15d-14(a) as Adopted Pursuant to Section 302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11" w:type="dxa"/>
            <w:tcBorders/>
            <w:shd w:fill="FFFFFF" w:val="clear"/>
            <w:vAlign w:val="center"/>
          </w:tcPr>
          <w:p>
            <w:pPr>
              <w:pStyle w:val="TableContents"/>
              <w:bidi w:val="0"/>
              <w:spacing w:before="0" w:after="283"/>
              <w:jc w:val="left"/>
              <w:rPr/>
            </w:pPr>
            <w:hyperlink w:anchor="bcab-ex31_2.htm">
              <w:r>
                <w:rPr>
                  <w:rStyle w:val="InternetLink"/>
                  <w:rFonts w:ascii="Times New Roman" w:hAnsi="Times New Roman"/>
                  <w:color w:val="0000FF"/>
                  <w:sz w:val="20"/>
                  <w:u w:val="single"/>
                </w:rPr>
                <w:t>Certification of Chief Financial Officer Pursuant to Rules 13a-14(a) and 15d-14(a) as Adopted Pursuant to Section 302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11" w:type="dxa"/>
            <w:tcBorders/>
            <w:shd w:fill="FFFFFF" w:val="clear"/>
            <w:vAlign w:val="center"/>
          </w:tcPr>
          <w:p>
            <w:pPr>
              <w:pStyle w:val="TableContents"/>
              <w:bidi w:val="0"/>
              <w:spacing w:before="0" w:after="283"/>
              <w:jc w:val="left"/>
              <w:rPr/>
            </w:pPr>
            <w:hyperlink w:anchor="bcab-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center"/>
              <w:rPr/>
            </w:pPr>
            <w:r>
              <w:rPr/>
              <w:t> </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BioAtla’s Quarterly Report on Form 10-Q for the quarter ended September 30, 2024, formatted in iXBRL (inline eXtensible Business Reporting Language): (i) the Condensed Balance Sheets, (ii) the Condensed Statements of Operations and Comprehensive Loss, (iii) the Condensed Statements of Stockholders’ Equity (iv) the Condensed Statements of Cash Flows, and (v) Notes to Condensed Financial Statements, tagged as blocks of text and including detailed tags.</w:t>
            </w:r>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document and contained in exhibit 101).</w:t>
            </w:r>
          </w:p>
        </w:tc>
        <w:tc>
          <w:tcPr>
            <w:tcW w:w="511"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this exhibit have been redacted in accordance with Item 601(b)(10)(iv) of Regulation S-K.</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52" w:type="dxa"/>
        <w:jc w:val="left"/>
        <w:tblInd w:w="0" w:type="dxa"/>
        <w:tblLayout w:type="fixed"/>
        <w:tblCellMar>
          <w:top w:w="28" w:type="dxa"/>
          <w:left w:w="28" w:type="dxa"/>
          <w:bottom w:w="28" w:type="dxa"/>
          <w:right w:w="28" w:type="dxa"/>
        </w:tblCellMar>
      </w:tblPr>
      <w:tblGrid>
        <w:gridCol w:w="2101"/>
        <w:gridCol w:w="109"/>
        <w:gridCol w:w="406"/>
        <w:gridCol w:w="38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7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70" w:right="0" w:firstLine="7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3836" w:type="dxa"/>
            <w:tcBorders/>
            <w:shd w:fill="FFFFFF" w:val="clear"/>
            <w:tcMar>
              <w:top w:w="0" w:type="dxa"/>
              <w:left w:w="0" w:type="dxa"/>
              <w:bottom w:w="0" w:type="dxa"/>
              <w:right w:w="0" w:type="dxa"/>
            </w:tcMar>
            <w:vAlign w:val="center"/>
          </w:tcPr>
          <w:p>
            <w:pPr>
              <w:pStyle w:val="TableContents"/>
              <w:bidi w:val="0"/>
              <w:ind w:left="70" w:right="0" w:firstLine="7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70" w:right="0" w:firstLine="70"/>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bookmarkStart w:id="21" w:name="bcab-ex31_1.htm"/>
      <w:bookmarkStart w:id="22" w:name="ksbca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2101"/>
        <w:gridCol w:w="109"/>
        <w:gridCol w:w="406"/>
        <w:gridCol w:w="312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cab-ex31_2.htm"/>
      <w:bookmarkStart w:id="24" w:name="ksbcab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BioAtla,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2101"/>
        <w:gridCol w:w="109"/>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cab-ex32_1.htm"/>
      <w:bookmarkStart w:id="26" w:name="ksbcab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BioAtla, Inc. (the “Company”) on Form 10-Q for the period ending September 30, 2024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162" w:type="dxa"/>
        <w:jc w:val="left"/>
        <w:tblInd w:w="0" w:type="dxa"/>
        <w:tblLayout w:type="fixed"/>
        <w:tblCellMar>
          <w:top w:w="28" w:type="dxa"/>
          <w:left w:w="28" w:type="dxa"/>
          <w:bottom w:w="28" w:type="dxa"/>
          <w:right w:w="28" w:type="dxa"/>
        </w:tblCellMar>
      </w:tblPr>
      <w:tblGrid>
        <w:gridCol w:w="2101"/>
        <w:gridCol w:w="109"/>
        <w:gridCol w:w="406"/>
        <w:gridCol w:w="25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Jay M. Short,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70"/>
              <w:jc w:val="left"/>
              <w:rPr>
                <w:sz w:val="4"/>
                <w:szCs w:val="4"/>
              </w:rPr>
            </w:pPr>
            <w:r>
              <w:rPr>
                <w:sz w:val="4"/>
                <w:szCs w:val="4"/>
              </w:rPr>
            </w:r>
          </w:p>
        </w:tc>
        <w:tc>
          <w:tcPr>
            <w:tcW w:w="2546" w:type="dxa"/>
            <w:tcBorders/>
            <w:shd w:fill="FFFFFF" w:val="clear"/>
            <w:tcMar>
              <w:top w:w="0" w:type="dxa"/>
              <w:left w:w="0" w:type="dxa"/>
              <w:bottom w:w="0" w:type="dxa"/>
              <w:right w:w="0" w:type="dxa"/>
            </w:tcMar>
            <w:vAlign w:val="center"/>
          </w:tcPr>
          <w:p>
            <w:pPr>
              <w:pStyle w:val="TableContents"/>
              <w:bidi w:val="0"/>
              <w:ind w:left="0" w:right="0" w:firstLine="7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ind w:left="0" w:right="0" w:firstLine="7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2101"/>
        <w:gridCol w:w="109"/>
        <w:gridCol w:w="40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A. Waldron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892/000119312524223282/d845616dex101.htm" TargetMode="External"/><Relationship Id="rId3" Type="http://schemas.openxmlformats.org/officeDocument/2006/relationships/hyperlink" Target="https://www.sec.gov/Archives/edgar/data/1826892/000119312524223282/d845616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54901</Words>
  <Characters>306749</Characters>
  <CharactersWithSpaces>361311</CharactersWithSpaces>
  <Paragraphs>4334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