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cab-20250630.htm"/>
      <w:bookmarkStart w:id="1" w:name="ksbcab20250630"/>
      <w:bookmarkEnd w:id="0"/>
      <w:bookmarkEnd w:id="1"/>
      <w:r>
        <w:rPr/>
        <w:t> </w:t>
      </w:r>
    </w:p>
    <w:p>
      <w:pPr>
        <w:pStyle w:val="TextBody"/>
        <w:pBdr>
          <w:top w:val="double" w:sz="6"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001-39787</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sz w:val="20"/>
        </w:rPr>
      </w:pPr>
      <w:r>
        <w:rPr>
          <w:rFonts w:ascii="Times New Roman" w:hAnsi="Times New Roman"/>
          <w:b/>
          <w:color w:val="000000"/>
          <w:sz w:val="48"/>
        </w:rPr>
        <w:t>BIOATLA,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4877" w:type="dxa"/>
        <w:jc w:val="left"/>
        <w:tblInd w:w="0" w:type="dxa"/>
        <w:tblLayout w:type="fixed"/>
        <w:tblCellMar>
          <w:top w:w="28" w:type="dxa"/>
          <w:left w:w="28" w:type="dxa"/>
          <w:bottom w:w="28" w:type="dxa"/>
          <w:right w:w="28" w:type="dxa"/>
        </w:tblCellMar>
      </w:tblPr>
      <w:tblGrid>
        <w:gridCol w:w="3631"/>
        <w:gridCol w:w="1246"/>
      </w:tblGrid>
      <w:tr>
        <w:trPr/>
        <w:tc>
          <w:tcPr>
            <w:tcW w:w="36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85-1922320</w:t>
            </w:r>
          </w:p>
        </w:tc>
      </w:tr>
      <w:tr>
        <w:trPr/>
        <w:tc>
          <w:tcPr>
            <w:tcW w:w="36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6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18"/>
              </w:rPr>
            </w:pPr>
            <w:r>
              <w:rPr>
                <w:rFonts w:ascii="Times New Roman" w:hAnsi="Times New Roman"/>
                <w:b/>
                <w:color w:val="000000"/>
                <w:sz w:val="18"/>
              </w:rPr>
              <w:t>11085 Torreyana Road, San Diego,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3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(858) 558-0708</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BCAB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Market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August 5, 2025 the number of shares of the registrant’s common stock outstanding was 58,721,588</w:t>
      </w:r>
      <w:r>
        <w:rPr>
          <w:rFonts w:ascii="Times New Roman" w:hAnsi="Times New Roman"/>
          <w:color w:val="000000"/>
          <w:sz w:val="20"/>
        </w:rPr>
        <w:t xml:space="preserve"> </w:t>
      </w:r>
      <w:r>
        <w:rPr>
          <w:rFonts w:ascii="Times New Roman" w:hAnsi="Times New Roman"/>
          <w:color w:val="000000"/>
          <w:sz w:val="18"/>
        </w:rPr>
        <w:t>and</w:t>
      </w:r>
      <w:r>
        <w:rPr>
          <w:rFonts w:ascii="Times New Roman" w:hAnsi="Times New Roman"/>
          <w:color w:val="000000"/>
          <w:sz w:val="20"/>
        </w:rPr>
        <w:t xml:space="preserve"> </w:t>
      </w:r>
      <w:r>
        <w:rPr>
          <w:rFonts w:ascii="Times New Roman" w:hAnsi="Times New Roman"/>
          <w:color w:val="000000"/>
          <w:sz w:val="18"/>
        </w:rPr>
        <w:t>the number of shares of the registrant’s Class B common stock outstanding was</w:t>
      </w:r>
      <w:r>
        <w:rPr>
          <w:rFonts w:ascii="Times New Roman" w:hAnsi="Times New Roman"/>
          <w:color w:val="000000"/>
          <w:sz w:val="20"/>
        </w:rPr>
        <w:t xml:space="preserve"> </w:t>
      </w:r>
      <w:r>
        <w:rPr>
          <w:rFonts w:ascii="Times New Roman" w:hAnsi="Times New Roman"/>
          <w:color w:val="000000"/>
          <w:sz w:val="18"/>
        </w:rPr>
        <w:t>0.</w:t>
      </w:r>
    </w:p>
    <w:p>
      <w:pPr>
        <w:pStyle w:val="TextBody"/>
        <w:pBdr>
          <w:bottom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BIOATLA, INC.</w:t>
      </w:r>
    </w:p>
    <w:p>
      <w:pPr>
        <w:pStyle w:val="TextBody"/>
        <w:bidi w:val="0"/>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1"/>
        <w:gridCol w:w="8735"/>
        <w:gridCol w:w="649"/>
      </w:tblGrid>
      <w:tr>
        <w:trPr/>
        <w:tc>
          <w:tcPr>
            <w:tcW w:w="821" w:type="dxa"/>
            <w:tcBorders/>
            <w:vAlign w:val="center"/>
          </w:tcPr>
          <w:p>
            <w:pPr>
              <w:pStyle w:val="TableContents"/>
              <w:bidi w:val="0"/>
              <w:spacing w:before="0" w:after="283"/>
              <w:jc w:val="left"/>
              <w:rPr>
                <w:sz w:val="4"/>
                <w:szCs w:val="4"/>
              </w:rPr>
            </w:pPr>
            <w:r>
              <w:rPr>
                <w:sz w:val="4"/>
                <w:szCs w:val="4"/>
              </w:rPr>
            </w:r>
          </w:p>
        </w:tc>
        <w:tc>
          <w:tcPr>
            <w:tcW w:w="873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3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9"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left"/>
              <w:rPr>
                <w:rFonts w:ascii="Times New Roman" w:hAnsi="Times New Roman"/>
                <w:b/>
                <w:color w:val="000000"/>
                <w:sz w:val="16"/>
              </w:rPr>
            </w:pPr>
            <w:r>
              <w:rPr>
                <w:rFonts w:ascii="Times New Roman" w:hAnsi="Times New Roman"/>
                <w:b/>
                <w:color w:val="000000"/>
                <w:sz w:val="16"/>
              </w:rPr>
              <w:t>Page</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PART I.</w:t>
            </w:r>
          </w:p>
        </w:tc>
        <w:tc>
          <w:tcPr>
            <w:tcW w:w="87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color w:val="0000FF"/>
                  <w:sz w:val="18"/>
                  <w:u w:val="single"/>
                </w:rPr>
                <w:t>FINANCIAL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w:t>
            </w:r>
          </w:p>
        </w:tc>
        <w:tc>
          <w:tcPr>
            <w:tcW w:w="87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color w:val="0000FF"/>
                  <w:sz w:val="18"/>
                  <w:u w:val="single"/>
                </w:rPr>
                <w:t>Financial Statements: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440"/>
              <w:jc w:val="left"/>
              <w:rPr>
                <w:sz w:val="4"/>
                <w:szCs w:val="4"/>
              </w:rPr>
            </w:pPr>
            <w:r>
              <w:rPr>
                <w:sz w:val="4"/>
                <w:szCs w:val="4"/>
              </w:rPr>
            </w:r>
          </w:p>
        </w:tc>
        <w:tc>
          <w:tcPr>
            <w:tcW w:w="8735" w:type="dxa"/>
            <w:tcBorders/>
            <w:shd w:fill="FFFFFF" w:val="clear"/>
            <w:tcMar>
              <w:top w:w="0" w:type="dxa"/>
              <w:left w:w="0" w:type="dxa"/>
              <w:bottom w:w="0" w:type="dxa"/>
              <w:right w:w="0" w:type="dxa"/>
            </w:tcMar>
            <w:vAlign w:val="center"/>
          </w:tcPr>
          <w:p>
            <w:pPr>
              <w:pStyle w:val="TableContents"/>
              <w:bidi w:val="0"/>
              <w:spacing w:before="0" w:after="283"/>
              <w:ind w:left="0" w:right="0" w:firstLine="440"/>
              <w:jc w:val="left"/>
              <w:rPr/>
            </w:pPr>
            <w:hyperlink w:anchor="condensed_consolidated_balance_sheets">
              <w:r>
                <w:rPr>
                  <w:rStyle w:val="InternetLink"/>
                  <w:rFonts w:ascii="Times New Roman" w:hAnsi="Times New Roman"/>
                  <w:color w:val="0000FF"/>
                  <w:sz w:val="18"/>
                  <w:u w:val="single"/>
                </w:rPr>
                <w:t>Condensed Balance Sheets as of June 30, 2025 (unaudited) and December 31, 2024</w:t>
              </w:r>
            </w:hyperlink>
            <w:r>
              <w:rPr>
                <w:rFonts w:ascii="Times New Roman" w:hAnsi="Times New Roman"/>
                <w:color w:val="000000"/>
                <w:sz w:val="18"/>
              </w:rPr>
              <w:t xml:space="preserve">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259"/>
              <w:jc w:val="left"/>
              <w:rPr>
                <w:sz w:val="4"/>
                <w:szCs w:val="4"/>
              </w:rPr>
            </w:pPr>
            <w:r>
              <w:rPr>
                <w:sz w:val="4"/>
                <w:szCs w:val="4"/>
              </w:rPr>
            </w:r>
          </w:p>
        </w:tc>
        <w:tc>
          <w:tcPr>
            <w:tcW w:w="8735" w:type="dxa"/>
            <w:tcBorders/>
            <w:shd w:fill="FFFFFF" w:val="clear"/>
            <w:tcMar>
              <w:top w:w="0" w:type="dxa"/>
              <w:left w:w="0" w:type="dxa"/>
              <w:bottom w:w="0" w:type="dxa"/>
              <w:right w:w="0" w:type="dxa"/>
            </w:tcMar>
            <w:vAlign w:val="center"/>
          </w:tcPr>
          <w:p>
            <w:pPr>
              <w:pStyle w:val="TableContents"/>
              <w:bidi w:val="0"/>
              <w:spacing w:before="0" w:after="283"/>
              <w:ind w:left="0" w:right="0" w:firstLine="259"/>
              <w:jc w:val="left"/>
              <w:rPr/>
            </w:pPr>
            <w:hyperlink w:anchor="condensed_consolidated_statements_ops">
              <w:r>
                <w:rPr>
                  <w:rStyle w:val="InternetLink"/>
                  <w:rFonts w:ascii="Times New Roman" w:hAnsi="Times New Roman"/>
                  <w:color w:val="0000FF"/>
                  <w:sz w:val="18"/>
                  <w:u w:val="single"/>
                </w:rPr>
                <w:t>Condensed Statements of Operations and Comprehensive Loss (unaudited) for the three and six months ended June 30, 2025 and 2024</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446"/>
              <w:jc w:val="left"/>
              <w:rPr>
                <w:sz w:val="4"/>
                <w:szCs w:val="4"/>
              </w:rPr>
            </w:pPr>
            <w:r>
              <w:rPr>
                <w:sz w:val="4"/>
                <w:szCs w:val="4"/>
              </w:rPr>
            </w:r>
          </w:p>
        </w:tc>
        <w:tc>
          <w:tcPr>
            <w:tcW w:w="8735" w:type="dxa"/>
            <w:tcBorders/>
            <w:shd w:fill="FFFFFF" w:val="clear"/>
            <w:tcMar>
              <w:top w:w="0" w:type="dxa"/>
              <w:left w:w="0" w:type="dxa"/>
              <w:bottom w:w="0" w:type="dxa"/>
              <w:right w:w="0" w:type="dxa"/>
            </w:tcMar>
            <w:vAlign w:val="center"/>
          </w:tcPr>
          <w:p>
            <w:pPr>
              <w:pStyle w:val="TableContents"/>
              <w:bidi w:val="0"/>
              <w:spacing w:before="0" w:after="283"/>
              <w:ind w:left="0" w:right="0" w:firstLine="446"/>
              <w:jc w:val="left"/>
              <w:rPr/>
            </w:pPr>
            <w:hyperlink w:anchor="condensed_consolidated_soe">
              <w:r>
                <w:rPr>
                  <w:rStyle w:val="InternetLink"/>
                  <w:rFonts w:ascii="Times New Roman" w:hAnsi="Times New Roman"/>
                  <w:color w:val="0000FF"/>
                  <w:sz w:val="18"/>
                  <w:u w:val="single"/>
                </w:rPr>
                <w:t>Condensed Statements of Stockholders’ Equity (Deficit) (unaudited) for the three and six months ended June 30, 2025 and 2024</w:t>
              </w:r>
            </w:hyperlink>
            <w:hyperlink w:anchor="condensed_consolidated_soe">
              <w:r>
                <w:rPr>
                  <w:rStyle w:val="InternetLink"/>
                  <w:rFonts w:ascii="Times New Roman" w:hAnsi="Times New Roman"/>
                  <w:color w:val="0000FF"/>
                  <w:sz w:val="18"/>
                </w:rPr>
                <w:t xml:space="preserve"> </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440"/>
              <w:jc w:val="left"/>
              <w:rPr>
                <w:sz w:val="4"/>
                <w:szCs w:val="4"/>
              </w:rPr>
            </w:pPr>
            <w:r>
              <w:rPr>
                <w:sz w:val="4"/>
                <w:szCs w:val="4"/>
              </w:rPr>
            </w:r>
          </w:p>
        </w:tc>
        <w:tc>
          <w:tcPr>
            <w:tcW w:w="8735" w:type="dxa"/>
            <w:tcBorders/>
            <w:shd w:fill="FFFFFF" w:val="clear"/>
            <w:tcMar>
              <w:top w:w="0" w:type="dxa"/>
              <w:left w:w="0" w:type="dxa"/>
              <w:bottom w:w="0" w:type="dxa"/>
              <w:right w:w="0" w:type="dxa"/>
            </w:tcMar>
            <w:vAlign w:val="center"/>
          </w:tcPr>
          <w:p>
            <w:pPr>
              <w:pStyle w:val="TableContents"/>
              <w:bidi w:val="0"/>
              <w:spacing w:before="0" w:after="283"/>
              <w:ind w:left="0" w:right="0" w:firstLine="440"/>
              <w:jc w:val="left"/>
              <w:rPr/>
            </w:pPr>
            <w:hyperlink w:anchor="condensed_consolidated_statements_cf">
              <w:r>
                <w:rPr>
                  <w:rStyle w:val="InternetLink"/>
                  <w:rFonts w:ascii="Times New Roman" w:hAnsi="Times New Roman"/>
                  <w:color w:val="0000FF"/>
                  <w:sz w:val="18"/>
                  <w:u w:val="single"/>
                </w:rPr>
                <w:t>Condensed Statements of Cash Flows (unaudited) for the six months ended June 30, 2025 and 2024</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440"/>
              <w:jc w:val="left"/>
              <w:rPr>
                <w:sz w:val="4"/>
                <w:szCs w:val="4"/>
              </w:rPr>
            </w:pPr>
            <w:r>
              <w:rPr>
                <w:sz w:val="4"/>
                <w:szCs w:val="4"/>
              </w:rPr>
            </w:r>
          </w:p>
        </w:tc>
        <w:tc>
          <w:tcPr>
            <w:tcW w:w="8735" w:type="dxa"/>
            <w:tcBorders/>
            <w:shd w:fill="FFFFFF" w:val="clear"/>
            <w:tcMar>
              <w:top w:w="0" w:type="dxa"/>
              <w:left w:w="0" w:type="dxa"/>
              <w:bottom w:w="0" w:type="dxa"/>
              <w:right w:w="0" w:type="dxa"/>
            </w:tcMar>
            <w:vAlign w:val="center"/>
          </w:tcPr>
          <w:p>
            <w:pPr>
              <w:pStyle w:val="TableContents"/>
              <w:bidi w:val="0"/>
              <w:spacing w:before="0" w:after="283"/>
              <w:ind w:left="0" w:right="0" w:firstLine="440"/>
              <w:jc w:val="left"/>
              <w:rPr/>
            </w:pPr>
            <w:hyperlink w:anchor="notes_financial_statements">
              <w:r>
                <w:rPr>
                  <w:rStyle w:val="InternetLink"/>
                  <w:rFonts w:ascii="Times New Roman" w:hAnsi="Times New Roman"/>
                  <w:color w:val="0000FF"/>
                  <w:sz w:val="18"/>
                  <w:u w:val="single"/>
                </w:rPr>
                <w:t>Notes to Condensed Financial Statements (unaudited)</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2.</w:t>
            </w:r>
          </w:p>
        </w:tc>
        <w:tc>
          <w:tcPr>
            <w:tcW w:w="87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2">
              <w:r>
                <w:rPr>
                  <w:rStyle w:val="InternetLink"/>
                  <w:rFonts w:ascii="Times New Roman" w:hAnsi="Times New Roman"/>
                  <w:color w:val="0000FF"/>
                  <w:sz w:val="18"/>
                  <w:u w:val="single"/>
                </w:rPr>
                <w:t>Management’s Discussion and Analysis of Financial Condition and Results of Operations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3.</w:t>
            </w:r>
          </w:p>
        </w:tc>
        <w:tc>
          <w:tcPr>
            <w:tcW w:w="87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Times New Roman" w:hAnsi="Times New Roman"/>
                  <w:color w:val="0000FF"/>
                  <w:sz w:val="18"/>
                  <w:u w:val="single"/>
                </w:rPr>
                <w:t>Quantitative and Qualitative Disclosures About Market Risk</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4.</w:t>
            </w:r>
          </w:p>
        </w:tc>
        <w:tc>
          <w:tcPr>
            <w:tcW w:w="87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color w:val="0000FF"/>
                  <w:sz w:val="18"/>
                  <w:u w:val="single"/>
                </w:rPr>
                <w:t>Controls and Procedures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PART II.</w:t>
            </w:r>
          </w:p>
        </w:tc>
        <w:tc>
          <w:tcPr>
            <w:tcW w:w="87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color w:val="0000FF"/>
                  <w:sz w:val="18"/>
                  <w:u w:val="single"/>
                </w:rPr>
                <w:t>OTHER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w:t>
            </w:r>
          </w:p>
        </w:tc>
        <w:tc>
          <w:tcPr>
            <w:tcW w:w="87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18"/>
                  <w:u w:val="single"/>
                </w:rPr>
                <w:t>Legal Proceedings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1A.</w:t>
            </w:r>
          </w:p>
        </w:tc>
        <w:tc>
          <w:tcPr>
            <w:tcW w:w="87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Times New Roman" w:hAnsi="Times New Roman"/>
                  <w:color w:val="0000FF"/>
                  <w:sz w:val="18"/>
                  <w:u w:val="single"/>
                </w:rPr>
                <w:t>Risk Factors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2.</w:t>
            </w:r>
          </w:p>
        </w:tc>
        <w:tc>
          <w:tcPr>
            <w:tcW w:w="87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18"/>
                  <w:u w:val="single"/>
                </w:rPr>
                <w:t>Unregistered Sales of Equity Securities and Use of Proceeds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3.</w:t>
            </w:r>
          </w:p>
        </w:tc>
        <w:tc>
          <w:tcPr>
            <w:tcW w:w="87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color w:val="0000FF"/>
                  <w:sz w:val="18"/>
                  <w:u w:val="single"/>
                </w:rPr>
                <w:t>Defaults Upon Senior Securities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4.</w:t>
            </w:r>
          </w:p>
        </w:tc>
        <w:tc>
          <w:tcPr>
            <w:tcW w:w="87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color w:val="0000FF"/>
                  <w:sz w:val="18"/>
                  <w:u w:val="single"/>
                </w:rPr>
                <w:t>Mine Safety Disclosures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5.</w:t>
            </w:r>
          </w:p>
        </w:tc>
        <w:tc>
          <w:tcPr>
            <w:tcW w:w="87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18"/>
                  <w:u w:val="single"/>
                </w:rPr>
                <w:t>Other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6.</w:t>
            </w:r>
          </w:p>
        </w:tc>
        <w:tc>
          <w:tcPr>
            <w:tcW w:w="87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color w:val="0000FF"/>
                  <w:sz w:val="18"/>
                  <w:u w:val="single"/>
                </w:rPr>
                <w:t>Exhibits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95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18"/>
                  <w:u w:val="single"/>
                </w:rPr>
                <w:t>SIGNATURES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3" w:name="i_item1"/>
      <w:bookmarkEnd w:id="3"/>
      <w:r>
        <w:rPr>
          <w:rFonts w:ascii="Times New Roman" w:hAnsi="Times New Roman"/>
          <w:b/>
          <w:color w:val="000000"/>
          <w:sz w:val="20"/>
        </w:rPr>
        <w:t>Item 1. Financial Statements.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BioAtla,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par value and share amounts)</w:t>
      </w:r>
    </w:p>
    <w:p>
      <w:pPr>
        <w:pStyle w:val="TextBody"/>
        <w:bidi w:val="0"/>
        <w:jc w:val="center"/>
        <w:rPr/>
      </w:pPr>
      <w:r>
        <w:rPr/>
        <w:t> </w:t>
      </w:r>
    </w:p>
    <w:tbl>
      <w:tblPr>
        <w:tblW w:w="10052" w:type="dxa"/>
        <w:jc w:val="left"/>
        <w:tblInd w:w="0" w:type="dxa"/>
        <w:tblLayout w:type="fixed"/>
        <w:tblCellMar>
          <w:top w:w="28" w:type="dxa"/>
          <w:left w:w="28" w:type="dxa"/>
          <w:bottom w:w="28" w:type="dxa"/>
          <w:right w:w="28" w:type="dxa"/>
        </w:tblCellMar>
      </w:tblPr>
      <w:tblGrid>
        <w:gridCol w:w="7056"/>
        <w:gridCol w:w="146"/>
        <w:gridCol w:w="211"/>
        <w:gridCol w:w="841"/>
        <w:gridCol w:w="166"/>
        <w:gridCol w:w="146"/>
        <w:gridCol w:w="219"/>
        <w:gridCol w:w="876"/>
        <w:gridCol w:w="391"/>
      </w:tblGrid>
      <w:tr>
        <w:trPr/>
        <w:tc>
          <w:tcPr>
            <w:tcW w:w="7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52,422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to licensor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200,000,000 shares authorized at June 30, 2025</w:t>
              <w:br/>
              <w:t>   and December 31, 2024; 0 shares issued and outstanding at June 30, 2025</w:t>
              <w:br/>
              <w:t>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stock, $0.0001 par value; 350,000,000 shares authorized at </w:t>
              <w:br/>
              <w:t>   June 30, 2025 and December 31, 2024; 58,721,588 and 58,099,164</w:t>
              <w:br/>
              <w:t>   shares issued and outstanding at June 30,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Class B common stock, $0.0001 par value; 15,368,569 shares authorized at </w:t>
              <w:br/>
              <w:t>   June 30, 2025 and December 31, 2024; 0 shares issued and outstanding at</w:t>
              <w:br/>
              <w:t>   June 30,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500,298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(486,039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52,422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BioAtla,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 w:name="condensed_consolidated_statements_ops"/>
      <w:bookmarkEnd w:id="5"/>
      <w:r>
        <w:rPr>
          <w:rFonts w:ascii="Times New Roman" w:hAnsi="Times New Roman"/>
          <w:b/>
          <w:color w:val="000000"/>
          <w:sz w:val="20"/>
        </w:rPr>
        <w:t>Unaudited Condensed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4722"/>
        <w:gridCol w:w="196"/>
        <w:gridCol w:w="916"/>
        <w:gridCol w:w="166"/>
        <w:gridCol w:w="196"/>
        <w:gridCol w:w="916"/>
        <w:gridCol w:w="166"/>
        <w:gridCol w:w="146"/>
        <w:gridCol w:w="196"/>
        <w:gridCol w:w="916"/>
        <w:gridCol w:w="166"/>
        <w:gridCol w:w="196"/>
        <w:gridCol w:w="916"/>
        <w:gridCol w:w="391"/>
      </w:tblGrid>
      <w:tr>
        <w:trPr/>
        <w:tc>
          <w:tcPr>
            <w:tcW w:w="47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 expense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11,379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(loss):</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(loss) on warrant liability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income (loss)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and comprehensive loss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(44,306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common share, basic and diluted</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shares of common stock outstanding, basic and diluted</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58,504,396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48,214,893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58,377,516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48,151,176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center"/>
        <w:rPr>
          <w:rFonts w:ascii="Times New Roman" w:hAnsi="Times New Roman"/>
          <w:sz w:val="20"/>
        </w:rPr>
      </w:pPr>
      <w:bookmarkStart w:id="6" w:name="condensed_consolidated_soe"/>
      <w:bookmarkEnd w:id="6"/>
      <w:r>
        <w:rPr>
          <w:rFonts w:ascii="Times New Roman" w:hAnsi="Times New Roman"/>
          <w:b/>
          <w:color w:val="000000"/>
          <w:sz w:val="20"/>
        </w:rPr>
        <w:t>BioAtla,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 Condensed Statements of Stockholders’ Equity (Deficit)</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516"/>
        <w:gridCol w:w="146"/>
        <w:gridCol w:w="916"/>
        <w:gridCol w:w="146"/>
        <w:gridCol w:w="249"/>
        <w:gridCol w:w="442"/>
        <w:gridCol w:w="146"/>
        <w:gridCol w:w="196"/>
        <w:gridCol w:w="691"/>
        <w:gridCol w:w="166"/>
        <w:gridCol w:w="217"/>
        <w:gridCol w:w="834"/>
        <w:gridCol w:w="166"/>
        <w:gridCol w:w="264"/>
        <w:gridCol w:w="898"/>
        <w:gridCol w:w="212"/>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7" w:type="dxa"/>
            <w:gridSpan w:val="14"/>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21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(Deficit)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58,401,147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501,914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equity incentive plans, net of shares withheld for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for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Taxes related to net share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(18,711</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58,721,588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503,333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(520,084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(16,745</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80" w:after="283"/>
        <w:jc w:val="center"/>
        <w:rPr/>
      </w:pPr>
      <w:r>
        <w:rPr/>
        <w:t> </w:t>
      </w:r>
    </w:p>
    <w:p>
      <w:pPr>
        <w:pStyle w:val="TextBody"/>
        <w:bidi w:val="0"/>
        <w:spacing w:before="18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4516"/>
        <w:gridCol w:w="146"/>
        <w:gridCol w:w="916"/>
        <w:gridCol w:w="146"/>
        <w:gridCol w:w="249"/>
        <w:gridCol w:w="442"/>
        <w:gridCol w:w="146"/>
        <w:gridCol w:w="196"/>
        <w:gridCol w:w="691"/>
        <w:gridCol w:w="166"/>
        <w:gridCol w:w="217"/>
        <w:gridCol w:w="834"/>
        <w:gridCol w:w="166"/>
        <w:gridCol w:w="264"/>
        <w:gridCol w:w="898"/>
        <w:gridCol w:w="212"/>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7" w:type="dxa"/>
            <w:gridSpan w:val="14"/>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2024</w:t>
            </w:r>
          </w:p>
        </w:tc>
        <w:tc>
          <w:tcPr>
            <w:tcW w:w="21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(Deficit)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48,106,317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49,716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equity incentive plans, net of shares withheld for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for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Taxes related to net share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(21,072</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48,326,138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491,934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(460,569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31,370</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center"/>
        <w:rPr>
          <w:rFonts w:ascii="Times New Roman" w:hAnsi="Times New Roman"/>
          <w:sz w:val="20"/>
        </w:rPr>
      </w:pPr>
      <w:r>
        <w:rPr>
          <w:rFonts w:ascii="Times New Roman" w:hAnsi="Times New Roman"/>
          <w:b/>
          <w:color w:val="000000"/>
          <w:sz w:val="20"/>
        </w:rPr>
        <w:t>BioAtla,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Statements of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516"/>
        <w:gridCol w:w="146"/>
        <w:gridCol w:w="916"/>
        <w:gridCol w:w="146"/>
        <w:gridCol w:w="249"/>
        <w:gridCol w:w="442"/>
        <w:gridCol w:w="146"/>
        <w:gridCol w:w="196"/>
        <w:gridCol w:w="691"/>
        <w:gridCol w:w="166"/>
        <w:gridCol w:w="217"/>
        <w:gridCol w:w="834"/>
        <w:gridCol w:w="166"/>
        <w:gridCol w:w="264"/>
        <w:gridCol w:w="898"/>
        <w:gridCol w:w="212"/>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7" w:type="dxa"/>
            <w:gridSpan w:val="14"/>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21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(Deficit)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58,099,164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14,265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equity incentive plans, net of shares withheld for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for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Taxes related to net share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(34,045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58,721,588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503,333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(520,084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(16,745</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8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4516"/>
        <w:gridCol w:w="146"/>
        <w:gridCol w:w="916"/>
        <w:gridCol w:w="146"/>
        <w:gridCol w:w="249"/>
        <w:gridCol w:w="442"/>
        <w:gridCol w:w="146"/>
        <w:gridCol w:w="196"/>
        <w:gridCol w:w="691"/>
        <w:gridCol w:w="166"/>
        <w:gridCol w:w="217"/>
        <w:gridCol w:w="834"/>
        <w:gridCol w:w="166"/>
        <w:gridCol w:w="264"/>
        <w:gridCol w:w="898"/>
        <w:gridCol w:w="212"/>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7" w:type="dxa"/>
            <w:gridSpan w:val="14"/>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2024</w:t>
            </w:r>
          </w:p>
        </w:tc>
        <w:tc>
          <w:tcPr>
            <w:tcW w:w="21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(Deficit)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48,077,599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70,672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equity incentive plans, net of shares withheld for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for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Taxes related to net share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(44,306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48,326,138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491,934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(460,569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31,370</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0"/>
        </w:rPr>
        <w:t>BioAtla,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densed_consolidated_statements_cf"/>
      <w:bookmarkEnd w:id="7"/>
      <w:r>
        <w:rPr>
          <w:rFonts w:ascii="Times New Roman" w:hAnsi="Times New Roman"/>
          <w:b/>
          <w:color w:val="000000"/>
          <w:sz w:val="20"/>
        </w:rPr>
        <w:t>Unaudited Condensed</w:t>
      </w:r>
      <w:r>
        <w:rPr>
          <w:rFonts w:ascii="Times New Roman" w:hAnsi="Times New Roman"/>
          <w:color w:val="000000"/>
          <w:sz w:val="20"/>
        </w:rPr>
        <w:t xml:space="preserve"> </w:t>
      </w:r>
      <w:r>
        <w:rPr>
          <w:rFonts w:ascii="Times New Roman" w:hAnsi="Times New Roman"/>
          <w:b/>
          <w:color w:val="000000"/>
          <w:sz w:val="20"/>
        </w:rPr>
        <w:t>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197"/>
        <w:gridCol w:w="146"/>
        <w:gridCol w:w="211"/>
        <w:gridCol w:w="736"/>
        <w:gridCol w:w="166"/>
        <w:gridCol w:w="146"/>
        <w:gridCol w:w="211"/>
        <w:gridCol w:w="781"/>
        <w:gridCol w:w="611"/>
      </w:tblGrid>
      <w:tr>
        <w:trPr/>
        <w:tc>
          <w:tcPr>
            <w:tcW w:w="7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Right-of-use assets and lease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for taxes related to net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(49,809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111,471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61,662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right-of-use assets and operating lease liabilities resulting from contract modification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Tax related to net settlement of equity awards included in accounts payable and </w:t>
              <w:br/>
              <w:t>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BioAtla, Inc.</w:t>
      </w:r>
    </w:p>
    <w:p>
      <w:pPr>
        <w:pStyle w:val="TextBody"/>
        <w:bidi w:val="0"/>
        <w:jc w:val="center"/>
        <w:rPr>
          <w:rFonts w:ascii="Times New Roman" w:hAnsi="Times New Roman"/>
          <w:sz w:val="20"/>
        </w:rPr>
      </w:pPr>
      <w:bookmarkStart w:id="8" w:name="notes_financial_statements"/>
      <w:bookmarkEnd w:id="8"/>
      <w:r>
        <w:rPr>
          <w:rFonts w:ascii="Times New Roman" w:hAnsi="Times New Roman"/>
          <w:b/>
          <w:color w:val="000000"/>
          <w:sz w:val="20"/>
        </w:rPr>
        <w:t>Notes to Unaudited Condensed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Organization and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BioAtla, LLC was formed in Delaware in March 2007 and was converted to a Delaware corporation in July 2020 and renamed BioAtla, Inc. (the “Company”). The Company has a proprietary platform for creating biologics, including its conditionally active biologics (“CAB” or “CABs”). CABs have been designed to be active only under certain conditions found in diseased tissue, while remaining inactive in normal tissue. The Company is currently in clinical development of several CAB drug candidates including: its two lead CAB antibody drug conjugates (“CAB ADC”), mecbotamab vedotin (BA3011), a CAB ADC targeting AXL and ozuriftamab vedotin (BA3021), a CAB ADC targeting ROR2; evalstotug (BA3071), a CAB anti-CTLA-4 antibody; and BA3182 (CAB-EpCAM x CAB-CD3), a CAB bispecific antibody targeting EpCAM.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unaudited condensed financial statements as of June 30, 2025, and for the three and six months ended June 30, 2025 and 2024, have been prepared in accordance with the rules and regulations of the Securities and Exchange Commission (“SEC”), and with accounting principles generally accepted in the United States (“GAAP”) applicable to interim financial statements. These unaudited condensed financial statements have been prepared on the same basis as the audited financial statements and include all adjustments, consisting of only normal recurring accruals, which in the opinion of management are necessary to present fairly the Company’s financial position as of the interim date and results of operations for the interim periods presented. Interim results are not necessarily indicative of results for a full year or future periods. These unaudited condensed financial statements should be read in conjunction with the Company’s audited financial statements for the year ended December 31, 2024, included in its Annual Report on Form 10-K filed with the SEC on March 28,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 and Going Concern</w:t>
      </w:r>
    </w:p>
    <w:p>
      <w:pPr>
        <w:pStyle w:val="TextBody"/>
        <w:bidi w:val="0"/>
        <w:spacing w:before="120" w:after="283"/>
        <w:jc w:val="left"/>
        <w:rPr>
          <w:rFonts w:ascii="Times New Roman" w:hAnsi="Times New Roman"/>
          <w:sz w:val="20"/>
        </w:rPr>
      </w:pPr>
      <w:r>
        <w:rPr>
          <w:rFonts w:ascii="Times New Roman" w:hAnsi="Times New Roman"/>
          <w:color w:val="000000"/>
          <w:sz w:val="20"/>
        </w:rPr>
        <w:t>The Company has incurred cumulative operating losses and negative cash flows from operations since its inception and expects to continue to incur significant expenses and operating losses for the foreseeable future as it continues development of its product candidates. As of June 30, 2025, the Company had</w:t>
      </w:r>
      <w:r>
        <w:rPr>
          <w:rFonts w:ascii="Times New Roman" w:hAnsi="Times New Roman"/>
          <w:color w:val="0000FF"/>
          <w:sz w:val="20"/>
        </w:rPr>
        <w:t xml:space="preserve"> </w:t>
      </w:r>
      <w:r>
        <w:rPr>
          <w:rFonts w:ascii="Times New Roman" w:hAnsi="Times New Roman"/>
          <w:color w:val="000000"/>
          <w:sz w:val="20"/>
        </w:rPr>
        <w:t>an accumulated deficit of $520.1 million. The Company plans to continue to fund its losses from operations and capital funding needs through public or private equity or debt financings, or other sources. If the Company is not able to secure adequate additional funding, the Company may be forced to make reductions in spending, extend payment terms with suppliers, liquidate assets where possible, or suspend or curtail planned programs. Any of these actions could materially harm the Company’s business, results of operations and future prospects.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Management is required to perform a two-step analysis of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 Management’s assessment concluded that there is substantial doubt about the Company’s ability to continue as a going concern for a period of at least one year from the issuance date of these financial statements.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Company has prepared its financial statements on a going concern basis, which assumes that the Company will realize its assets and satisfy its liabilities in the normal course of business. The accompanying financial statements do not include any adjustments to reflect the possible future effects on the recoverability and classification of assets or the amounts and classifications of liabilities that may result from the outcome of the uncertainty concerning the Company’s ability to continue as a going concern.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Company’s financial statements requires it to make estimates and assumptions that impact the reported amounts of assets, liabilities, revenues and expenses and the disclosure of contingent assets and liabilities in the Company’s condensed financial statements and accompanying notes. The most significant estimates in the Company’s financial statements relate to revenue recognition, accruals for research and development costs, and equity-based compensation.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revenue and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highly liquid investments with original maturities of 90 days or less at the date of purchase to be cash equivalents. Cash equivalents consist of highly rated securities including U.S. Government and U.S. Treasury money market funds, which are unrestricted as to withdrawal or use.</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Financial instruments that potentially subject the Company to a significant concentration of credit risk consist primarily of cash and cash equivalents. The Company maintains deposits in federally insured financial institutions in excess of federally insured limits and may invest cash that is not required for immediate operating needs in highly liquid instruments that bear minimal risk. The Company has not experienced any losses in such accounts and management believes that the Company is not exposed to significant credit risk due to the financial position of the depository institutions in which those deposits are held.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expense represents the grant date fair value of equity awards, consisting of stock options, restricted stock units (“RSUs”) and employee stock purchase plan rights, over the requisite service period of the awards (usually the vesting period) on a straight-line basis. The Company estimates the fair value of stock option grants and employee stock purchase plan rights using the Black-Scholes option pricing model. The fair value of RSUs is based on the closing sales price of the Company’s common stock on the date of grant. Equity award forfeitures are recognized as they occur.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if an arrangement is a lease at inception. An arrangement is or contains a lease if it conveys the right to control the use of an identified asset for a period of time in exchange for consideration. If a lease is identified, classification is determined at lease commencement. Operating lease liabilities are recognized at the present value of the future lease payments at the lease commencement date. The Company’s leases do not provide an implicit interest rate and therefore the Company estimates its incremental borrowing rate to discount lease payments. The incremental borrowing rate reflects the interest rate that the Company would have to pay to borrow on a collateralized basis an amount equal to the lease payments in a similar economic environment over a similar term. Operating lease right-of-use (“ROU”) assets are based on the corresponding lease liability adjusted for any lease payments made at or before commencement, initial direct costs, and lease incentives. Renewals or early terminations are not accounted for unless the Company is reasonably certain to exercise these options. Operating lease expense is recognized and the ROU asset is amortized on a straight-line basis over the lease term. Variable lease costs are recognized as incurred and are not included in the calculation of the ROU asset or the related lease liability.</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Company has a single lease agreement with lease and non-lease components, which are accounted for as a single lease component. Payments for short-term leases, defined as leases with a term of twelve months or less, are expensed on a straight-line basis over the lease term. The Company does not currently have any short-term leases.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Operating leases are included in operating lease right-of-use assets, and operating lease liabilities on the Company’s balance sheets. The Company does not have any finance leases.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Comprehensive loss is defined as a change in equity during a period from transactions and other events and circumstances from non-owner sources, and consists of net loss and other comprehensive gain (loss). There have been no items qualifying as other comprehensive loss and, therefore, for all periods presented, the Company’s comprehensive loss was the same as its reported net loss.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common share is computed by dividing the net loss by the weighted-average number of common shares outstanding for the period, without consideration for potentially dilutive securities. Diluted net loss per share is computed by dividing the net loss by the weighted-average number of common shares and dilutive common stock equivalents outstanding for the period determined using the treasury-stock method. Dilutive common stock equivalents are comprised of common stock warrants, RSUs, common stock options outstanding under the Company’s stock option plan, and contingently issuable shares under the BioAtla, Inc. Employee Stock Purchase Plan (the “ESPP”).</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Potentially dilutive securities not included in the calculation of diluted net loss per common share because to do so would be anti-dilutive are as follows (in common stock equivalents):</w:t>
      </w:r>
    </w:p>
    <w:tbl>
      <w:tblPr>
        <w:tblW w:w="4959" w:type="dxa"/>
        <w:jc w:val="left"/>
        <w:tblInd w:w="0" w:type="dxa"/>
        <w:tblLayout w:type="fixed"/>
        <w:tblCellMar>
          <w:top w:w="28" w:type="dxa"/>
          <w:left w:w="28" w:type="dxa"/>
          <w:bottom w:w="28" w:type="dxa"/>
          <w:right w:w="28" w:type="dxa"/>
        </w:tblCellMar>
      </w:tblPr>
      <w:tblGrid>
        <w:gridCol w:w="2071"/>
        <w:gridCol w:w="146"/>
        <w:gridCol w:w="146"/>
        <w:gridCol w:w="1036"/>
        <w:gridCol w:w="146"/>
        <w:gridCol w:w="146"/>
        <w:gridCol w:w="146"/>
        <w:gridCol w:w="931"/>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9,679,158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5,912,471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6,265,480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1,605,982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18,266,869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7,929,145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new accounting standards that had a material impact on the Company’s financial statements during the six months ended June 30, 2025.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December 2023, the Financial Accounting Standards Board (FASB) issued Accounting Standards Update (“ASU”) No. 2023-09, “Income Taxes (Topic 740): Improvements to Income Tax Disclosures.” ASU 2023-09 requires disaggregated information about a reporting entity's effective tax rate reconciliation as well as information on income taxes paid. ASU 2023-09 is effective for public entities with annual periods beginning after December 15, 2024, with early adoption permitted. The Company is currently evaluating the impact of this guidance on its financial statements.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November 2024, the FASB issued ASU No. 2024-03, “Income Statement - Reporting Comprehensive Income - Expense Disaggregation Disclosures (Subtopic 220-40): Disaggregation of Income Statement Expenses,” which requires public entities, at annual and interim reporting periods, to disclose in a tabular format additional information about specific expense categories in the notes to the financial statements. ASU 2024-03 is effective for annual reporting periods beginning after December 15, 2026, and interim reporting periods beginning after December 15, 2027, with early adoption permitted. The Company is currently evaluating the impact of this guidance on its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Balance Sheet Details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consist of the following (in thousands):</w:t>
      </w:r>
    </w:p>
    <w:p>
      <w:pPr>
        <w:pStyle w:val="TextBody"/>
        <w:bidi w:val="0"/>
        <w:jc w:val="left"/>
        <w:rPr/>
      </w:pPr>
      <w:r>
        <w:rPr/>
        <w:t> </w:t>
      </w:r>
    </w:p>
    <w:tbl>
      <w:tblPr>
        <w:tblW w:w="5987" w:type="dxa"/>
        <w:jc w:val="left"/>
        <w:tblInd w:w="0" w:type="dxa"/>
        <w:tblLayout w:type="fixed"/>
        <w:tblCellMar>
          <w:top w:w="28" w:type="dxa"/>
          <w:left w:w="28" w:type="dxa"/>
          <w:bottom w:w="28" w:type="dxa"/>
          <w:right w:w="28" w:type="dxa"/>
        </w:tblCellMar>
      </w:tblPr>
      <w:tblGrid>
        <w:gridCol w:w="3481"/>
        <w:gridCol w:w="146"/>
        <w:gridCol w:w="211"/>
        <w:gridCol w:w="571"/>
        <w:gridCol w:w="146"/>
        <w:gridCol w:w="146"/>
        <w:gridCol w:w="294"/>
        <w:gridCol w:w="801"/>
        <w:gridCol w:w="1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 and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Property and equipment consist of the following (in thousands):</w:t>
      </w:r>
    </w:p>
    <w:p>
      <w:pPr>
        <w:pStyle w:val="TextBody"/>
        <w:bidi w:val="0"/>
        <w:jc w:val="left"/>
        <w:rPr/>
      </w:pPr>
      <w:r>
        <w:rPr/>
        <w:t> </w:t>
      </w:r>
    </w:p>
    <w:tbl>
      <w:tblPr>
        <w:tblW w:w="7629" w:type="dxa"/>
        <w:jc w:val="left"/>
        <w:tblInd w:w="0" w:type="dxa"/>
        <w:tblLayout w:type="fixed"/>
        <w:tblCellMar>
          <w:top w:w="28" w:type="dxa"/>
          <w:left w:w="28" w:type="dxa"/>
          <w:bottom w:w="28" w:type="dxa"/>
          <w:right w:w="28" w:type="dxa"/>
        </w:tblCellMar>
      </w:tblPr>
      <w:tblGrid>
        <w:gridCol w:w="4051"/>
        <w:gridCol w:w="146"/>
        <w:gridCol w:w="826"/>
        <w:gridCol w:w="146"/>
        <w:gridCol w:w="211"/>
        <w:gridCol w:w="631"/>
        <w:gridCol w:w="166"/>
        <w:gridCol w:w="146"/>
        <w:gridCol w:w="274"/>
        <w:gridCol w:w="821"/>
        <w:gridCol w:w="2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fixtures and office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2 - 3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Accounts payable and accrued expenses consist of the following (in thousands):</w:t>
      </w:r>
    </w:p>
    <w:p>
      <w:pPr>
        <w:pStyle w:val="TextBody"/>
        <w:bidi w:val="0"/>
        <w:jc w:val="left"/>
        <w:rPr/>
      </w:pPr>
      <w:r>
        <w:rPr/>
        <w:t> </w:t>
      </w:r>
    </w:p>
    <w:tbl>
      <w:tblPr>
        <w:tblW w:w="5567" w:type="dxa"/>
        <w:jc w:val="left"/>
        <w:tblInd w:w="0" w:type="dxa"/>
        <w:tblLayout w:type="fixed"/>
        <w:tblCellMar>
          <w:top w:w="28" w:type="dxa"/>
          <w:left w:w="28" w:type="dxa"/>
          <w:bottom w:w="28" w:type="dxa"/>
          <w:right w:w="28" w:type="dxa"/>
        </w:tblCellMar>
      </w:tblPr>
      <w:tblGrid>
        <w:gridCol w:w="2956"/>
        <w:gridCol w:w="146"/>
        <w:gridCol w:w="211"/>
        <w:gridCol w:w="676"/>
        <w:gridCol w:w="146"/>
        <w:gridCol w:w="146"/>
        <w:gridCol w:w="260"/>
        <w:gridCol w:w="835"/>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Accrued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1,043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15,795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13,704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24" w:after="283"/>
        <w:jc w:val="left"/>
        <w:rPr>
          <w:rFonts w:ascii="Times New Roman" w:hAnsi="Times New Roman"/>
          <w:b/>
          <w:color w:val="000000"/>
          <w:sz w:val="20"/>
        </w:rPr>
      </w:pPr>
      <w:r>
        <w:rPr>
          <w:rFonts w:ascii="Times New Roman" w:hAnsi="Times New Roman"/>
          <w:b/>
          <w:color w:val="000000"/>
          <w:sz w:val="20"/>
        </w:rPr>
        <w:t>3. Restructuring</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In March 2025, the Company implemented a corporate restructuring, which included a reduction in force, designed to improve the Company’s operating model and cost structure.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restructuring, the Company implemented a reduction in workforce of approximately 30%, which was initiated in the first quarter of 2025. The Company recorded restructuring costs of $0 and $0.6 million, during the three and six months ended June 30, 2025, respectively, of which $0.5 million is included in research and development expense and $0.1 million is included in general administrative expense for the six months ended June 30, 2025 in the condensed statements of operations and comprehensive loss. Restructuring costs primarily consisted of employee severance, continuing healthcare benefits and other employee-related costs. These benefits were fully paid out during the second quarter of 2025.</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following table presents the changes in the Company's restructuring liability (in thousands):</w:t>
      </w:r>
    </w:p>
    <w:p>
      <w:pPr>
        <w:pStyle w:val="TextBody"/>
        <w:bidi w:val="0"/>
        <w:spacing w:before="216" w:after="283"/>
        <w:jc w:val="left"/>
        <w:rPr/>
      </w:pPr>
      <w:r>
        <w:rPr/>
        <w:t> </w:t>
      </w:r>
    </w:p>
    <w:tbl>
      <w:tblPr>
        <w:tblW w:w="5008" w:type="dxa"/>
        <w:jc w:val="left"/>
        <w:tblInd w:w="0" w:type="dxa"/>
        <w:tblLayout w:type="fixed"/>
        <w:tblCellMar>
          <w:top w:w="28" w:type="dxa"/>
          <w:left w:w="28" w:type="dxa"/>
          <w:bottom w:w="28" w:type="dxa"/>
          <w:right w:w="28" w:type="dxa"/>
        </w:tblCellMar>
      </w:tblPr>
      <w:tblGrid>
        <w:gridCol w:w="2596"/>
        <w:gridCol w:w="146"/>
        <w:gridCol w:w="571"/>
        <w:gridCol w:w="1304"/>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Restructuring Liability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24" w:after="283"/>
        <w:jc w:val="left"/>
        <w:rPr>
          <w:rFonts w:ascii="Times New Roman" w:hAnsi="Times New Roman"/>
          <w:b/>
          <w:color w:val="000000"/>
          <w:sz w:val="20"/>
        </w:rPr>
      </w:pPr>
      <w:r>
        <w:rPr>
          <w:rFonts w:ascii="Times New Roman" w:hAnsi="Times New Roman"/>
          <w:b/>
          <w:color w:val="000000"/>
          <w:sz w:val="20"/>
        </w:rPr>
        <w:t>4. Fair Value Measurements</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The Company’s financial instruments consist of cash and cash equivalents, accounts payable and accrued expenses, and warrants to purchase common stock. The carrying amounts of the Company’s cash and cash equivalents and accounts payable and accrued expenses are considered to be representative of their respective fair values due to their short-term nature.</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Level 1: Observable inputs such as quoted prices in active markets. </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 xml:space="preserve">Level 2: Inputs, other than the quoted prices in active markets that are observable either directly or indirectly. </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 xml:space="preserve">Level 3: Unobservable inputs in which there is little or no market data, which require the reporting entity to develop its own assumptions.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When quoted market prices are available in active markets, the fair value of assets and liabilities is estimated within Level 1 of the valuation hierarchy. If quoted prices are not available, then fair values are estimated by using pricing models, quoted prices of assets and liabilities with similar characteristics, or discounted cash flows within Level 2 of the valuation hierarchy. In cases where Level 1 or Level 2 inputs are not available, the fair values are estimated by using inputs within Level 3 of the hierarchy.</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The Company has determined the estimated fair value of its financial instruments based on appropriate valuation methodologies; however, considerable judgment is required to develop these estimates. Accordingly, these estimated fair values are not necessarily indicative of the amounts the Company could realize in a current market exchange. The estimated fair values can be materially affected by using different assumptions or methodologies. The methods and assumptions used in estimating the fair values of financial instruments are based on carrying values and future cash flows.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following tables present information about the Company’s financial assets and liabilities measured at fair value on a recurring basis and indicate the level of the fair value hierarchy utilized to determine such fair values (in thousands):</w:t>
      </w:r>
    </w:p>
    <w:p>
      <w:pPr>
        <w:pStyle w:val="TextBody"/>
        <w:bidi w:val="0"/>
        <w:spacing w:before="108" w:after="283"/>
        <w:jc w:val="left"/>
        <w:rPr/>
      </w:pPr>
      <w:r>
        <w:rPr/>
        <w:t> </w:t>
      </w:r>
    </w:p>
    <w:tbl>
      <w:tblPr>
        <w:tblW w:w="6330" w:type="dxa"/>
        <w:jc w:val="left"/>
        <w:tblInd w:w="0" w:type="dxa"/>
        <w:tblLayout w:type="fixed"/>
        <w:tblCellMar>
          <w:top w:w="28" w:type="dxa"/>
          <w:left w:w="28" w:type="dxa"/>
          <w:bottom w:w="28" w:type="dxa"/>
          <w:right w:w="28" w:type="dxa"/>
        </w:tblCellMar>
      </w:tblPr>
      <w:tblGrid>
        <w:gridCol w:w="1716"/>
        <w:gridCol w:w="146"/>
        <w:gridCol w:w="211"/>
        <w:gridCol w:w="676"/>
        <w:gridCol w:w="146"/>
        <w:gridCol w:w="146"/>
        <w:gridCol w:w="244"/>
        <w:gridCol w:w="401"/>
        <w:gridCol w:w="146"/>
        <w:gridCol w:w="146"/>
        <w:gridCol w:w="211"/>
        <w:gridCol w:w="571"/>
        <w:gridCol w:w="146"/>
        <w:gridCol w:w="146"/>
        <w:gridCol w:w="211"/>
        <w:gridCol w:w="676"/>
        <w:gridCol w:w="391"/>
      </w:tblGrid>
      <w:tr>
        <w:trPr/>
        <w:tc>
          <w:tcPr>
            <w:tcW w:w="1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08" w:after="283"/>
        <w:jc w:val="left"/>
        <w:rPr/>
      </w:pPr>
      <w:r>
        <w:rPr/>
        <w:t> </w:t>
      </w:r>
    </w:p>
    <w:tbl>
      <w:tblPr>
        <w:tblW w:w="6330" w:type="dxa"/>
        <w:jc w:val="left"/>
        <w:tblInd w:w="0" w:type="dxa"/>
        <w:tblLayout w:type="fixed"/>
        <w:tblCellMar>
          <w:top w:w="28" w:type="dxa"/>
          <w:left w:w="28" w:type="dxa"/>
          <w:bottom w:w="28" w:type="dxa"/>
          <w:right w:w="28" w:type="dxa"/>
        </w:tblCellMar>
      </w:tblPr>
      <w:tblGrid>
        <w:gridCol w:w="1716"/>
        <w:gridCol w:w="146"/>
        <w:gridCol w:w="211"/>
        <w:gridCol w:w="676"/>
        <w:gridCol w:w="146"/>
        <w:gridCol w:w="146"/>
        <w:gridCol w:w="244"/>
        <w:gridCol w:w="401"/>
        <w:gridCol w:w="146"/>
        <w:gridCol w:w="146"/>
        <w:gridCol w:w="211"/>
        <w:gridCol w:w="571"/>
        <w:gridCol w:w="146"/>
        <w:gridCol w:w="146"/>
        <w:gridCol w:w="211"/>
        <w:gridCol w:w="676"/>
        <w:gridCol w:w="391"/>
      </w:tblGrid>
      <w:tr>
        <w:trPr/>
        <w:tc>
          <w:tcPr>
            <w:tcW w:w="1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Cash Equivalents</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Cash equivalents are comprised of money market funds, which are classified within Level 1 of the fair value hierarchy because they are valued using quoted market prices in active markets.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Warrant Liability</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As of June 30, 2025, Level 3 liabilities include the warrant liability which resulted from warrants being issued on December 20, 2024 (as further described in Note 7), which did not meet the criteria for equity classification in accordance with Accounting Standards Codification (“ASC”) Subtopic 815-40, Derivatives and Hedging - Contracts in Entity’s Own Equity (“ASC 815-40”), and are therefore accounted for as liabilities at fair value.</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Company estimates the fair value of its warrants using significant unobservable inputs, which represent Level 3 measurements within the fair value hierarchy. The Company estimated the fair value of the warrants using the Black-Scholes option pricing model.</w:t>
      </w:r>
    </w:p>
    <w:p>
      <w:pPr>
        <w:pStyle w:val="TextBody"/>
        <w:bidi w:val="0"/>
        <w:spacing w:before="216" w:after="108"/>
        <w:jc w:val="left"/>
        <w:rPr>
          <w:rFonts w:ascii="Times New Roman" w:hAnsi="Times New Roman"/>
          <w:color w:val="000000"/>
          <w:sz w:val="20"/>
        </w:rPr>
      </w:pPr>
      <w:r>
        <w:rPr>
          <w:rFonts w:ascii="Times New Roman" w:hAnsi="Times New Roman"/>
          <w:color w:val="000000"/>
          <w:sz w:val="20"/>
        </w:rPr>
        <w:t>The significant inputs used in the valuation models to measure the fair value of the warrants are as follows:</w:t>
      </w:r>
    </w:p>
    <w:tbl>
      <w:tblPr>
        <w:tblW w:w="4855" w:type="dxa"/>
        <w:jc w:val="left"/>
        <w:tblInd w:w="0" w:type="dxa"/>
        <w:tblLayout w:type="fixed"/>
        <w:tblCellMar>
          <w:top w:w="28" w:type="dxa"/>
          <w:left w:w="28" w:type="dxa"/>
          <w:bottom w:w="28" w:type="dxa"/>
          <w:right w:w="28" w:type="dxa"/>
        </w:tblCellMar>
      </w:tblPr>
      <w:tblGrid>
        <w:gridCol w:w="2086"/>
        <w:gridCol w:w="146"/>
        <w:gridCol w:w="234"/>
        <w:gridCol w:w="516"/>
        <w:gridCol w:w="271"/>
        <w:gridCol w:w="146"/>
        <w:gridCol w:w="355"/>
        <w:gridCol w:w="785"/>
        <w:gridCol w:w="31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Valuation Date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16" w:after="108"/>
        <w:jc w:val="left"/>
        <w:rPr>
          <w:rFonts w:ascii="Times New Roman" w:hAnsi="Times New Roman"/>
          <w:color w:val="000000"/>
          <w:sz w:val="20"/>
        </w:rPr>
      </w:pPr>
      <w:r>
        <w:rPr>
          <w:rFonts w:ascii="Times New Roman" w:hAnsi="Times New Roman"/>
          <w:color w:val="000000"/>
          <w:sz w:val="20"/>
        </w:rPr>
        <w:t>The following table presents the changes in the fair value of Level 3 liabilities for the year ended June 30, 2025 (in thousands):</w:t>
      </w:r>
    </w:p>
    <w:tbl>
      <w:tblPr>
        <w:tblW w:w="5538" w:type="dxa"/>
        <w:jc w:val="left"/>
        <w:tblInd w:w="0" w:type="dxa"/>
        <w:tblLayout w:type="fixed"/>
        <w:tblCellMar>
          <w:top w:w="28" w:type="dxa"/>
          <w:left w:w="28" w:type="dxa"/>
          <w:bottom w:w="28" w:type="dxa"/>
          <w:right w:w="28" w:type="dxa"/>
        </w:tblCellMar>
      </w:tblPr>
      <w:tblGrid>
        <w:gridCol w:w="3531"/>
        <w:gridCol w:w="146"/>
        <w:gridCol w:w="368"/>
        <w:gridCol w:w="1102"/>
        <w:gridCol w:w="391"/>
      </w:tblGrid>
      <w:tr>
        <w:trPr/>
        <w:tc>
          <w:tcPr>
            <w:tcW w:w="3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Warrant Liability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Changes in the fair value of the liability-classified warrants are recognized as a component of other income (loss) in the statement of operations. No transfers between levels have occurred during the periods presented.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24" w:after="283"/>
        <w:jc w:val="left"/>
        <w:rPr>
          <w:rFonts w:ascii="Times New Roman" w:hAnsi="Times New Roman"/>
          <w:b/>
          <w:color w:val="000000"/>
          <w:sz w:val="20"/>
        </w:rPr>
      </w:pPr>
      <w:r>
        <w:rPr>
          <w:rFonts w:ascii="Times New Roman" w:hAnsi="Times New Roman"/>
          <w:b/>
          <w:color w:val="000000"/>
          <w:sz w:val="20"/>
        </w:rPr>
        <w:t>5. Leases</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The Company has a single operating lease for its corporate headquarters and laboratory space in San Diego, California. In June 2025, the Company entered into an amendment to the lease which reduced the leased space and extended the lease term for the remaining space through November 2030. Pursuant to the amended lease, the Company also has the option to re-lease the vacated space and also has a one-time option to extend the lease term by an additional three years. The amended lease includes certain rent abatement, rent escalations, tenant improvement allowances and additional charges for common area maintenance and other costs.</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Under the relevant guidance, the Company reassessed the lease classification and remeasured the lease liability as of the effective date of modification and recognized a lease liability and ROU asset of approximately $6.0 million on the Company’s condensed balance sheets.</w:t>
      </w:r>
    </w:p>
    <w:p>
      <w:pPr>
        <w:pStyle w:val="TextBody"/>
        <w:bidi w:val="0"/>
        <w:spacing w:before="216" w:after="216"/>
        <w:jc w:val="left"/>
        <w:rPr>
          <w:rFonts w:ascii="Times New Roman" w:hAnsi="Times New Roman"/>
          <w:color w:val="000000"/>
          <w:sz w:val="20"/>
        </w:rPr>
      </w:pPr>
      <w:r>
        <w:rPr>
          <w:rFonts w:ascii="Times New Roman" w:hAnsi="Times New Roman"/>
          <w:color w:val="000000"/>
          <w:sz w:val="20"/>
        </w:rPr>
        <w:t>The components of lease expense included in the Company’s condensed statements of operations and comprehensive loss include (in thousands):</w:t>
      </w:r>
    </w:p>
    <w:tbl>
      <w:tblPr>
        <w:tblW w:w="7225" w:type="dxa"/>
        <w:jc w:val="left"/>
        <w:tblInd w:w="0" w:type="dxa"/>
        <w:tblLayout w:type="fixed"/>
        <w:tblCellMar>
          <w:top w:w="28" w:type="dxa"/>
          <w:left w:w="28" w:type="dxa"/>
          <w:bottom w:w="28" w:type="dxa"/>
          <w:right w:w="28" w:type="dxa"/>
        </w:tblCellMar>
      </w:tblPr>
      <w:tblGrid>
        <w:gridCol w:w="2086"/>
        <w:gridCol w:w="146"/>
        <w:gridCol w:w="331"/>
        <w:gridCol w:w="661"/>
        <w:gridCol w:w="229"/>
        <w:gridCol w:w="229"/>
        <w:gridCol w:w="331"/>
        <w:gridCol w:w="661"/>
        <w:gridCol w:w="146"/>
        <w:gridCol w:w="146"/>
        <w:gridCol w:w="280"/>
        <w:gridCol w:w="560"/>
        <w:gridCol w:w="194"/>
        <w:gridCol w:w="194"/>
        <w:gridCol w:w="280"/>
        <w:gridCol w:w="560"/>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Variable lease costs are primarily related to payments made to lessors for common area maintenance, property taxes, insurance, and other operating expenses. The Company did not have any short-term leases or finance leases for the three and six months ended June 30, 2025 and 2024. </w:t>
      </w:r>
    </w:p>
    <w:p>
      <w:pPr>
        <w:pStyle w:val="TextBody"/>
        <w:bidi w:val="0"/>
        <w:spacing w:before="216" w:after="216"/>
        <w:jc w:val="left"/>
        <w:rPr>
          <w:rFonts w:ascii="Times New Roman" w:hAnsi="Times New Roman"/>
          <w:color w:val="000000"/>
          <w:sz w:val="20"/>
        </w:rPr>
      </w:pPr>
      <w:r>
        <w:rPr>
          <w:rFonts w:ascii="Times New Roman" w:hAnsi="Times New Roman"/>
          <w:color w:val="000000"/>
          <w:sz w:val="20"/>
        </w:rPr>
        <w:t>The weighted average remaining lease term and weighted average discount rate for operating leases were as follows:</w:t>
      </w:r>
    </w:p>
    <w:tbl>
      <w:tblPr>
        <w:tblW w:w="6214" w:type="dxa"/>
        <w:jc w:val="left"/>
        <w:tblInd w:w="0" w:type="dxa"/>
        <w:tblLayout w:type="fixed"/>
        <w:tblCellMar>
          <w:top w:w="28" w:type="dxa"/>
          <w:left w:w="28" w:type="dxa"/>
          <w:bottom w:w="28" w:type="dxa"/>
          <w:right w:w="28" w:type="dxa"/>
        </w:tblCellMar>
      </w:tblPr>
      <w:tblGrid>
        <w:gridCol w:w="4111"/>
        <w:gridCol w:w="146"/>
        <w:gridCol w:w="146"/>
        <w:gridCol w:w="466"/>
        <w:gridCol w:w="271"/>
        <w:gridCol w:w="146"/>
        <w:gridCol w:w="146"/>
        <w:gridCol w:w="466"/>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16" w:after="216"/>
        <w:jc w:val="left"/>
        <w:rPr>
          <w:rFonts w:ascii="Times New Roman" w:hAnsi="Times New Roman"/>
          <w:color w:val="000000"/>
          <w:sz w:val="20"/>
        </w:rPr>
      </w:pPr>
      <w:r>
        <w:rPr>
          <w:rFonts w:ascii="Times New Roman" w:hAnsi="Times New Roman"/>
          <w:color w:val="000000"/>
          <w:sz w:val="20"/>
        </w:rPr>
        <w:t>Supplemental cash flow information related to leases under which the Company is the lessee was as follows (amounts in thousands):</w:t>
      </w:r>
    </w:p>
    <w:tbl>
      <w:tblPr>
        <w:tblW w:w="10205" w:type="dxa"/>
        <w:jc w:val="left"/>
        <w:tblInd w:w="0" w:type="dxa"/>
        <w:tblLayout w:type="fixed"/>
        <w:tblCellMar>
          <w:top w:w="28" w:type="dxa"/>
          <w:left w:w="28" w:type="dxa"/>
          <w:bottom w:w="28" w:type="dxa"/>
          <w:right w:w="28" w:type="dxa"/>
        </w:tblCellMar>
      </w:tblPr>
      <w:tblGrid>
        <w:gridCol w:w="5375"/>
        <w:gridCol w:w="146"/>
        <w:gridCol w:w="296"/>
        <w:gridCol w:w="592"/>
        <w:gridCol w:w="204"/>
        <w:gridCol w:w="204"/>
        <w:gridCol w:w="296"/>
        <w:gridCol w:w="592"/>
        <w:gridCol w:w="146"/>
        <w:gridCol w:w="146"/>
        <w:gridCol w:w="272"/>
        <w:gridCol w:w="545"/>
        <w:gridCol w:w="188"/>
        <w:gridCol w:w="188"/>
        <w:gridCol w:w="272"/>
        <w:gridCol w:w="545"/>
        <w:gridCol w:w="198"/>
      </w:tblGrid>
      <w:tr>
        <w:trPr/>
        <w:tc>
          <w:tcPr>
            <w:tcW w:w="5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5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16" w:after="216"/>
        <w:jc w:val="left"/>
        <w:rPr>
          <w:rFonts w:ascii="Times New Roman" w:hAnsi="Times New Roman"/>
          <w:color w:val="000000"/>
          <w:sz w:val="20"/>
        </w:rPr>
      </w:pPr>
      <w:r>
        <w:rPr>
          <w:rFonts w:ascii="Times New Roman" w:hAnsi="Times New Roman"/>
          <w:color w:val="000000"/>
          <w:sz w:val="20"/>
        </w:rPr>
        <w:t xml:space="preserve">Maturities of operating lease liabilities as of June 30, 2025 were as follows (in thousands): </w:t>
      </w:r>
    </w:p>
    <w:tbl>
      <w:tblPr>
        <w:tblW w:w="4484" w:type="dxa"/>
        <w:jc w:val="left"/>
        <w:tblInd w:w="0" w:type="dxa"/>
        <w:tblLayout w:type="fixed"/>
        <w:tblCellMar>
          <w:top w:w="28" w:type="dxa"/>
          <w:left w:w="28" w:type="dxa"/>
          <w:bottom w:w="28" w:type="dxa"/>
          <w:right w:w="28" w:type="dxa"/>
        </w:tblCellMar>
      </w:tblPr>
      <w:tblGrid>
        <w:gridCol w:w="3271"/>
        <w:gridCol w:w="146"/>
        <w:gridCol w:w="214"/>
        <w:gridCol w:w="642"/>
        <w:gridCol w:w="21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br/>
              <w:t>lease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Six months ending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6. Commitments and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 subject to various claims and suits arising in the ordinary course of business. The Company is not currently a party to any legal proceedings the outcome of which the Company believes, if determined adversely to the Company, would individually or in the aggregate have a material adverse effect on the Company’s business, operating results or financial condition.</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Stockholders’ Equity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December 2024 Offering and Warrant Issuance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2024, the Company closed on an offering (the “December 2024 Offering”) of 9,679,158 shares of common stock at a price of $0.9520 per share with accompanying warrants to purchase up to 9,679,158 shares of common stock, which have an exercise price of $1.19 per share (the “Warrants”). The gross proceeds from the December 2024 Offering were approximately $9.2 million, before deducting $0.7 million of placement agent fees and other offering expenses payable by the Company. As discussed in Note 4, the Company recorded a liability at fair value related to the issuance of the Warrants, with changes in fair value each reporting period recognized as a component of other income (loss) in the Company’s unaudited condensed statements of operations and comprehensive loss. The accompanying Warrants became exercisable on June 20, 2025 and will expire five years from the date of initial exercisability. There were 9,679,158 Warrants outstanding and exercisable at June 30,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2020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grant awards of common stock under the 2020 Equity Incentive Plan (the “2020 Plan”) to the Company’s employees, consultants and non-employee directors pursuant to option awards, stock appreciation rights awards, restricted stock awards, restricted stock unit awards, performance stock awards, performance stock unit awards and other stock-based awards. As of June 30, 2025 and December 31, 2024, the total number of common shares authorized for issuance under the 2020 Plan was 12,273,892 and 10,735,431, respectively. On January 1st of each year, commencing with the first January 1st following the effective date of the 2020 Plan, the shares authorized for issuance under the 2020 Plan shall be increased by a number of shares equal to the lesser of 4% of the total number of shares outstanding on the immediately preceding December 31 and such lesser number of shares determined by the Company’s board of directors. The maximum term of the options granted under the 2020 Plan is no more than ten years. Awards under the 2020 Plan generally vest at 25% one year from the vesting commencement date and ratably each month thereafter for a period of 36 months, subject to continuous service.</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Stock-based compensation expense for the three and six months ended June 30, 2025 and 2024 has been reported in the condensed statements of operations and comprehensive loss as follows (in thousands):</w:t>
      </w:r>
    </w:p>
    <w:p>
      <w:pPr>
        <w:pStyle w:val="TextBody"/>
        <w:bidi w:val="0"/>
        <w:jc w:val="left"/>
        <w:rPr/>
      </w:pPr>
      <w:r>
        <w:rPr/>
        <w:t> </w:t>
      </w:r>
    </w:p>
    <w:tbl>
      <w:tblPr>
        <w:tblW w:w="6652" w:type="dxa"/>
        <w:jc w:val="left"/>
        <w:tblInd w:w="0" w:type="dxa"/>
        <w:tblLayout w:type="fixed"/>
        <w:tblCellMar>
          <w:top w:w="28" w:type="dxa"/>
          <w:left w:w="28" w:type="dxa"/>
          <w:bottom w:w="28" w:type="dxa"/>
          <w:right w:w="28" w:type="dxa"/>
        </w:tblCellMar>
      </w:tblPr>
      <w:tblGrid>
        <w:gridCol w:w="2311"/>
        <w:gridCol w:w="146"/>
        <w:gridCol w:w="211"/>
        <w:gridCol w:w="571"/>
        <w:gridCol w:w="146"/>
        <w:gridCol w:w="146"/>
        <w:gridCol w:w="211"/>
        <w:gridCol w:w="571"/>
        <w:gridCol w:w="146"/>
        <w:gridCol w:w="146"/>
        <w:gridCol w:w="211"/>
        <w:gridCol w:w="571"/>
        <w:gridCol w:w="146"/>
        <w:gridCol w:w="146"/>
        <w:gridCol w:w="211"/>
        <w:gridCol w:w="57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RSU activity under the 2020 Plan for the six months ended June 30, 2025:</w:t>
      </w:r>
    </w:p>
    <w:p>
      <w:pPr>
        <w:pStyle w:val="TextBody"/>
        <w:bidi w:val="0"/>
        <w:jc w:val="left"/>
        <w:rPr/>
      </w:pPr>
      <w:r>
        <w:rPr/>
        <w:t> </w:t>
      </w:r>
    </w:p>
    <w:tbl>
      <w:tblPr>
        <w:tblW w:w="6427" w:type="dxa"/>
        <w:jc w:val="left"/>
        <w:tblInd w:w="0" w:type="dxa"/>
        <w:tblLayout w:type="fixed"/>
        <w:tblCellMar>
          <w:top w:w="28" w:type="dxa"/>
          <w:left w:w="28" w:type="dxa"/>
          <w:bottom w:w="28" w:type="dxa"/>
          <w:right w:w="28" w:type="dxa"/>
        </w:tblCellMar>
      </w:tblPr>
      <w:tblGrid>
        <w:gridCol w:w="2941"/>
        <w:gridCol w:w="146"/>
        <w:gridCol w:w="146"/>
        <w:gridCol w:w="931"/>
        <w:gridCol w:w="166"/>
        <w:gridCol w:w="146"/>
        <w:gridCol w:w="485"/>
        <w:gridCol w:w="1075"/>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 Average</w:t>
              <w:br/>
              <w:t>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2,606,513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As of June 30, 2025,</w:t>
      </w:r>
      <w:r>
        <w:rPr>
          <w:rFonts w:ascii="Times New Roman" w:hAnsi="Times New Roman"/>
          <w:color w:val="FF0000"/>
          <w:sz w:val="20"/>
        </w:rPr>
        <w:t xml:space="preserve"> </w:t>
      </w:r>
      <w:r>
        <w:rPr>
          <w:rFonts w:ascii="Times New Roman" w:hAnsi="Times New Roman"/>
          <w:color w:val="000000"/>
          <w:sz w:val="20"/>
        </w:rPr>
        <w:t xml:space="preserve">total unrecognized stock-based compensation expense for RSUs was $2.8 million, which is expected to be recognized over a remaining weighted-average period of approximately 3.2 years.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stock option activity under the 2020 Plan for the six months ended June 30,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54"/>
        <w:gridCol w:w="146"/>
        <w:gridCol w:w="146"/>
        <w:gridCol w:w="931"/>
        <w:gridCol w:w="166"/>
        <w:gridCol w:w="146"/>
        <w:gridCol w:w="484"/>
        <w:gridCol w:w="1072"/>
        <w:gridCol w:w="146"/>
        <w:gridCol w:w="146"/>
        <w:gridCol w:w="360"/>
        <w:gridCol w:w="1152"/>
        <w:gridCol w:w="146"/>
        <w:gridCol w:w="146"/>
        <w:gridCol w:w="329"/>
        <w:gridCol w:w="542"/>
        <w:gridCol w:w="393"/>
      </w:tblGrid>
      <w:tr>
        <w:trPr/>
        <w:tc>
          <w:tcPr>
            <w:tcW w:w="3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 Average</w:t>
              <w:br/>
              <w:t>Exercise</w:t>
              <w:b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6,096,046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5,912,471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5,912,471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4,372,552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June 30, 2025, total unrecognized stock-based compensation cost for unvested common stock options was $4.7 million, which is expected to be recognized over a remaining weighted-average period of approximately 1.53 years. There were no stock options granted during the six months ended June 30, 2025. The total fair value of options vested during the six months ended June 30, 2025 was $2.4 million. Upon option exercise, the Company issues new shares of its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Employee Stock Purchase Plan (“ESPP”)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ESPP permits participants to purchase common stock through payroll deductions of up to 15% of their eligible compensation. As of June 30, 2025 and December 31, 2024, a total of 3,035,873 shares and 2,281,600 shares, respectively, of common stock were authorized for issuance under the ESPP. The number of shares of common stock authorized for issuance will automatically increase on January 1 of each calendar year, from January 1, 2021 through January 1, 2030 by the least of (i) 1.0% of the total number of common shares of our common stock outstanding on December 31 of the preceding calendar year (calculated on a fully diluted basis), (ii) 929,658 common shares or (iii) a number determined by the Company’s board of directors that is less than (i) and (ii). The Company issued 135,472 and 191,020 shares of common stock under the ESPP during the six months ended June 30, 2025 and 2024, respectively. As of June 30, 2025, 2,310,693 shares of common stock remained available for issuance under the ESPP. Stock-based compensation expense related to the ESPP for the three and six months ended June 30, 2025 and 2024 was immaterial.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Common Stock Reserved for Future Issuance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Common stock reserved for future issuance are as follows in common equivalent shares:</w:t>
      </w:r>
    </w:p>
    <w:p>
      <w:pPr>
        <w:pStyle w:val="TextBody"/>
        <w:bidi w:val="0"/>
        <w:jc w:val="left"/>
        <w:rPr/>
      </w:pPr>
      <w:r>
        <w:rPr/>
        <w:t> </w:t>
      </w:r>
    </w:p>
    <w:tbl>
      <w:tblPr>
        <w:tblW w:w="8994" w:type="dxa"/>
        <w:jc w:val="left"/>
        <w:tblInd w:w="0" w:type="dxa"/>
        <w:tblLayout w:type="fixed"/>
        <w:tblCellMar>
          <w:top w:w="28" w:type="dxa"/>
          <w:left w:w="28" w:type="dxa"/>
          <w:bottom w:w="28" w:type="dxa"/>
          <w:right w:w="28" w:type="dxa"/>
        </w:tblCellMar>
      </w:tblPr>
      <w:tblGrid>
        <w:gridCol w:w="6001"/>
        <w:gridCol w:w="146"/>
        <w:gridCol w:w="146"/>
        <w:gridCol w:w="1036"/>
        <w:gridCol w:w="146"/>
        <w:gridCol w:w="146"/>
        <w:gridCol w:w="146"/>
        <w:gridCol w:w="1036"/>
        <w:gridCol w:w="191"/>
      </w:tblGrid>
      <w:tr>
        <w:trPr/>
        <w:tc>
          <w:tcPr>
            <w:tcW w:w="6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for the 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9,679,158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9,679,158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and restricted stock units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8,518,984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7,649,046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available for future issuance under the 2020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1,154,335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available for future issuance under the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2,310,693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1,691,892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common stock reserved for future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21,770,211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20,174,431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8. Collaboration, License and Option Agreements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Global Co-Development and Collaboration Agreement with BeiGene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2019, the Company entered into a Global Co-Development and Collaboration agreement (the “BeiGene Collaboration”) with BeiGene, Ltd. and BeiGene Switzerland GmbH (collectively “BeiGene”), for the development, manufacturing and commercialization of evalstotug (BA3071). The BeiGene Collaboration was amended several times between 2019 and 2021 and the Company received a total of $25.0 million in non-refundable payments from BeiGene during that time.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In November 2021, the BeiGene Collaboration was terminated, subject to survival of certain provisions, and BeiGene handed back rights to know-how and materials received under the amended BeiGene Collaboration. As a result, the Company is responsible for the global development and commercialization of evalstotug. As consideration for this amendment, the Company agreed to pay BeiGene mid-single digit royalties on sales worldwide and on a limited basis will share in any upfront and milestone payments received through a sublicense of evalstotug. The Company reclassified its then remaining $19.8 million of deferred revenue as a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long-term liability which is expected to settle as licensing payments are made to BeiGene in accordance with the resulting amendment. In the event the license is terminated, the liability will be extinguished with no further payment to BeiGene.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Company did not recognize any revenue related to the collaboration agreement with BeiGene during the three and six months ended June 30, 2025 and 2024. The Company had a $19.8 million liability to licensor as of June 30, 2025 and December 31, 2024.</w:t>
      </w:r>
    </w:p>
    <w:p>
      <w:pPr>
        <w:pStyle w:val="TextBody"/>
        <w:bidi w:val="0"/>
        <w:spacing w:before="360" w:after="283"/>
        <w:jc w:val="left"/>
        <w:rPr>
          <w:rFonts w:ascii="Times New Roman" w:hAnsi="Times New Roman"/>
          <w:sz w:val="20"/>
        </w:rPr>
      </w:pPr>
      <w:r>
        <w:rPr>
          <w:rFonts w:ascii="Times New Roman" w:hAnsi="Times New Roman"/>
          <w:b/>
          <w:i/>
          <w:color w:val="000000"/>
          <w:sz w:val="20"/>
        </w:rPr>
        <w:t>License Agreement with Context Therapeutics Inc.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2024, the Company entered into a License Agreement (the “Context License Agreement”) with Context Therapeutics Inc. (“Context”). Under the terms of the Context License Agreement, BioAtla granted Context an exclusive, worldwide license to develop, manufacture and commercialize two licensed antibodies, including BA3362 (renamed by Context as CT-202), the Company’s Nectin-4 x CD3 T cell engaging (“TCE”) bispecific antibody (the “License”). The Company also transferred know-how, including any necessary materials Context would need to perform research and development. In exchange for the License, the Company is eligible to receive up to $133.5 million in aggregate payments, including an upfront cash payment and potential development, regulatory and commercial milestones, as well as tiered mid-single digit to low double-digit royalties on future net sales of the products. In connection with the execution of the Context License Agreement, the Company also entered into an agreement with Himalaya Therapeutics SECZ, a related party (See Note 9).</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A single performance obligation was identified under the Context License Agreement comprised of BioAtla’s promise to transfer the License. Context is responsible for developing BA3362 and for global regulatory filings and commercialization. Context will bear all costs associated with the research, development, and commercialization of any products.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accordance with Topic 606, the Company determined the transaction price of the agreement is limited to the up-front payment received, and excluded the variable consideration of development and sale milestone payments and royalties as they are fully constrained. As part of the Company’s evaluation of the milestone constraints, the Company determined the achievement of such milestones are contingent upon success in future developments, regulatory approvals and commercial activities, which are not within its control and are uncertain at this stage. Variable consideration related to royalties will be recognized when the related sales occur. All variable consideration remains fully constrained as of June 30, 2025. Further, the Company determined that there were no significant financing components, noncash consideration, or amounts that may be refunded to the customer.</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Management determined that the transfer of the License did not meet any of the criteria for recognizing revenue over time, and therefore revenue was recognized at the point in time that the Context License Agreement was executed and the License was transferred to Context. Additional revenue will be recognized for development milestone payments, the sales milestone payments, and the royalty payments if and when the constraints are resolved.</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Company did not recognize any revenue related to the Context License Agreement for the three and six months ended June 30, 2025 and 2024.</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Related Party Transactions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Himalaya Therapeutics SEZC</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Clinical Trial Services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2024, the Company entered into an amended Clinical Trial Services Agreement (as so amended, the “Clinical Trial Services Agreement”) with Himalaya Therapeutics SEZC (“Himalaya”). Under the Clinical Trial Services Agreement, BioAtla paid Himalaya for the services related to the initiation of clinical trials for evalstotug in China for a period of 12 months. All payments have been made under the Clinical Trial Services Agreement as of December 31, 2024.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Global Transaction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2024, the Company entered into a Global Transaction Agreement (the “Himalaya Agreement”) with Himalaya. BioAtla and Himalaya had previously entered into an Amended and Restated Exclusive Rights Agreement (the “Amended Rights Agreement”) in January of 2020. Pursuant to the Amended Rights Agreement, Himalaya controls rights to develop, manufacture and commercialize certain assets, including BA3362 which was licensed to Context (see Note 8), in certain territories as further specified in the Amended Rights Agreement. Pursuant to the Himalaya Agreement, Himalaya consented to BioAtla’s execution and performance of the Agreement, and granted to BioAtla an exclusive, worldwide, sublicensable license for those impacted products and intellectual property. Further, as set forth in the Amended Rights Agreement and further clarified in the Himalaya Agreement, BioAtla agreed to pay, subject to any applicable tax withholdings, to Himalaya (i) a mid-teens percentage of all upfront payments and development milestones received by BioAtla from Context under the Context License Agreement; and (ii) a specified percentage of any and all sales milestones and/or royalties based upon Net Sales (as defined in the Context License Agreement) in the People’s Republic of China and the Special Administrative Regions of Hong Kong, Macao and Taiwan that BioAtla receives from Context under the Context License Agreement.</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Company is the principal in the Context License Agreement and in the Himalaya Agreement, and will record revenues and expenses on a gross basis given that the Company had full discretion in setting consideration pricing in the Context License Agreement, the Company will be primarily responsible for providing the License, and Himalaya has no obligation to be a part of any of the fulfillment activities.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For the three and six months ended June 30, 2025, the Company did not recognize any expense related to the transactions with Himalaya, compared to $0.1 million and $0.3 million for the three and six months ended June 30, 2024. The Company did not have any amounts due to Himalaya as of June 30,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401(k)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a defined contribution 401(k) plan available to eligible employees. Employee contributions are voluntary and are determined on an individual basis, limited to the maximum amount allowable under federal tax regulations. The Company, at its discretion, may make certain matching contributions to the 401(k) plan. To date, the Company has not made any matching contributions.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identified as components of an enterprise about which separate discrete financial information is available for evaluation by the chief operating decision-maker in making decisions regarding resource allocation and assessing performance. The Company is a clinical-stage biopharmaceutical company and has not generated any product revenue from its CAB antibody-based products. The Company’s operations are organized and reported as a single reportable segment, which includes all activities related to the discovery, development, and commercialization of its CAB products. The Company’s CODM, its chief executive officer, reviews operating results on an aggregate basis and manages the operations as a single operating segment. The measure of segment assets is reported on the balance sheets as total assets. The CODM evaluates performance and allocates resources based on net income or loss that also is reported on the condensed statements of operations and comprehensive loss as net loss, and cash used in operations.</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120"/>
        <w:jc w:val="left"/>
        <w:rPr>
          <w:rFonts w:ascii="Times New Roman" w:hAnsi="Times New Roman"/>
          <w:color w:val="000000"/>
          <w:sz w:val="20"/>
        </w:rPr>
      </w:pPr>
      <w:r>
        <w:rPr>
          <w:rFonts w:ascii="Times New Roman" w:hAnsi="Times New Roman"/>
          <w:color w:val="000000"/>
          <w:sz w:val="20"/>
        </w:rPr>
        <w:t>The following table provides R&amp;D expenses by program with a reconciliation to net loss for the periods indicated, which are regularly reviewed by the CODM:</w:t>
      </w:r>
    </w:p>
    <w:tbl>
      <w:tblPr>
        <w:tblW w:w="8736" w:type="dxa"/>
        <w:jc w:val="left"/>
        <w:tblInd w:w="0" w:type="dxa"/>
        <w:tblLayout w:type="fixed"/>
        <w:tblCellMar>
          <w:top w:w="28" w:type="dxa"/>
          <w:left w:w="28" w:type="dxa"/>
          <w:bottom w:w="28" w:type="dxa"/>
          <w:right w:w="28" w:type="dxa"/>
        </w:tblCellMar>
      </w:tblPr>
      <w:tblGrid>
        <w:gridCol w:w="3981"/>
        <w:gridCol w:w="196"/>
        <w:gridCol w:w="661"/>
        <w:gridCol w:w="166"/>
        <w:gridCol w:w="146"/>
        <w:gridCol w:w="196"/>
        <w:gridCol w:w="661"/>
        <w:gridCol w:w="166"/>
        <w:gridCol w:w="146"/>
        <w:gridCol w:w="196"/>
        <w:gridCol w:w="661"/>
        <w:gridCol w:w="166"/>
        <w:gridCol w:w="146"/>
        <w:gridCol w:w="196"/>
        <w:gridCol w:w="661"/>
        <w:gridCol w:w="391"/>
      </w:tblGrid>
      <w:tr>
        <w:trPr/>
        <w:tc>
          <w:tcPr>
            <w:tcW w:w="39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Program expenses:</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Mecbotamab vedotin, BA3011 (CAB AXL-ADC)</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8,833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Ozuriftamab vedotin, BA3021 (CAB ROR2-ADC)</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Evalstotug, BA3071 (CAB CTLA-4)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BA3182 (CAB EpCAM x CAB CD3)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CAB Programs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program expenses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24,087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Personnel and related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Equity-based compensation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Facilities and other</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research and development expenses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Personnel and related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Equity-based compensation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Facilities and other</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general and administrative expenses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11,379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and other income (loss)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and comprehensive loss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(44,306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Subsequent Events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4, 2025, the One Big Beautiful Bill Act (“OBBBA”) was enacted by the U.S. The OBBBA includes significant provisions, such as the permanent extension of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is currently assessing the impact of the OBBBA on its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_item2"/>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together with our unaudited condensed financial statements and notes thereto included in “Item 1. Financial Statements” of this Quarterly Report on Form 10-Q and the audited financial statements and notes thereto as of and for the year ended December 31, 2024 included in the Annual Report on Form 10-K, filed with the Securities and Exchange Commission, or the SEC, on March 28, 2025. In addition to historical information, this Quarterly Report contains forward-looking statements that involve risks, uncertainties, and assumptions. Our actual results may differ materially from those anticipated in these forward-looking statements as a result of certain factors, including but not limited to those set forth under the caption “Risk Factors” in the Annual Report on form 10-K, and the caption “Risk Factors” in this Quarterly Report, as updated by our subsequent filings under the Securities Exchange Act of 1934, as amended, or the Exchange Act. Furthermore, past operating results are not necessarily indicative of results that may occur in future periods.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biopharmaceutical company developing our novel class of highly specific and selective antibody-based therapeutics for the treatment of solid tumor cancer. Our CABs capitalize on our proprietary discoveries with respect to tumor biology, enabling us to target known and widely validated tumor antigens that have previously been difficult or impossible to target. Our novel CAB therapeutic candidates exploit characteristic pH differences between the tumor microenvironment and healthy tissue. Unlike healthy tissue, the tumor microenvironment is acidic, and we have designed our antibodies to selectively bind to their targets on tumor cells under acidic pH conditions but not on targets in normal tissues. Our approach is to identify the necessary targeting and potency required for cancer cell destruction, while aiming to eliminate or greatly reduce on-target, off-tumor toxicity—one of the fundamental challenges of existing cancer therapies.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We are a United States-based company with facilities in San Diego, California.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(BA3011), ozuriftamab vedotin (BA3021), evalstotug (BA3071), and our Phase 1 clinical trial of BA3182 (CAB-EpCAM x CAB-CD3),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Since 2014, such research and development activities have exclusively related to the research, development, manufacture and Phase 1 and Phase 2 clinical testing of our CAB antibody-based product candidates and the strengthening of our proprietary CAB technology platform and pipeline.</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We have incurred significant losses to date. Our ability to generate product revenue sufficient to achieve profitability will depend on the successful development and eventual commercialization of one or more of our current and future product candidates. Our net loss was $18.7 million and $34.0 million for the three and six months ended June 30, 2025, respectively, compared to $21.1 million and $44.3 million for the three and six months ended June 30, 2024, respectively. As of June 30, 2025, we had an accumulated deficit of $520.1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conducting clinical trials and the regulatory approval process for our product candidates, as well as identifying and designing product candidates and conducting preclinical studies. We expect our expenses, and the potential for losses, to be variable as we focus development efforts on selected assets and indications. We expect research and development expenses to decrease in the near term as we complete our Phase 2 trials for certain indications. We have recently implemented certain initiatives to lower cost and extend our cash runway, including a restructuring in March 2025 that included a 30% workforce reduction, and a reduction in our lease footprint by almost half in June 2025.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Over the long-term, we expect our expenses to increase substantially in connection with the development of our clinical programs beyond our existing Phase 1 and Phase 2 clinical trials and through the commercialization of our product candidates. As a result, we will require substantial additional capital to develop and commercialize our product candidates and fund operations for the foreseeable future. Until such time as we can generate significant revenue from product sales, if ever, we expect to finance our operations through a combination of public or private equity offerings, debt financings, collaborations and other similar arrangements. The amount and timing of our future funding requirements will depend on many factors, including the pace and results of our development efforts. We cannot assure you that we will ever be profitable or generate positive cash flow from operating activities.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As of June 30, 2025, our cash and cash equivalents totaled approximately $18.2 million. Accordingly, based on our current operating plan, and along with our history of operating losses, our current cash and cash equivalents may not to be sufficient to fund our ongoing operations for a period of at least twelve months from the date the financial statements included in this report are issued, and these circumstances raise substantial doubt about our ability to continue as a going concern.</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not generated any revenue from the sale of products and do not expect to generate meaningful revenue in the near future.</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Company has entered into collaborations and licensing agreements with various third parties that, in some cases, may provide for potential future milestone and royalty payments to us (see Note 8 to our financial statements). In September 2024, the Company licensed BA3362, a Nectin-4 x CD3 T cell engaging bispecific antibody, to Context Therapeutics (“Context”). We did not recognize any revenue during the three and six months ended June 30, 2025 and 2024, related to the licensing agreement with Context.</w:t>
      </w:r>
    </w:p>
    <w:p>
      <w:pPr>
        <w:pStyle w:val="TextBody"/>
        <w:bidi w:val="0"/>
        <w:spacing w:before="216"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primarily of costs incurred in the discovery and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External expenses consist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Fees paid to third parties such as contractors, clinical research organizations (“CROs”) and consultants, and other costs related to preclinical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Fees paid to third parties such as contract manufacturing organizations (“CMOs”) and other vendors for manufacturing research and clinical trial materials;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related to laboratory supplies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Unallocated expenses consist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Personnel-related expenses, including salaries, benefits and equity-based compensation expenses, for personnel in our research and development functions;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Related equipment and facilities depreciation expense.</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We expense research and development costs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services are performed.</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We expect our research and development expenses to decrease in the near term as we complete certain of our Phase 2 clinical trials and focus development on selected high potential indications. However, research and development could increase upon initiation of new clinical trials, including registrational trials for our lead product candidates. The process of conducting the necessary preclinical and clinical research to obtain regulatory approval is costly and time-consuming. Successful product candidates in later stages of clinical development generally have higher development costs than those in earlier stages of clinical development, primarily due to the increased size and duration of later-stage clinical trials. Accordingly, to the extent that our product candidates continue to advance into clinical trials, including larger and later-stage clinical trials, our expenses will increase substantially and may become more variable. The actual probability of success for our product candidates may be affected by a variety of factors, including the safety and efficacy of our product candidates, the quality and consistency in their manufacture, investment in our clinical programs and competition with other products. As a result of these variables, we are unable to determine the duration and completion costs of our research and development projects and programs or when and to what extent we will generate revenue from the commercialization and sale of our product candidates. We may never succeed in achieving regulatory approval for any of our product candidates.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general and administrative expenses include personnel-related expenses for personnel in our executive, finance, corporate and other administrative functions, intellectual property and patent costs, facilities and other allocated expenses, other expenses for outside professional services, including legal, human resources, investor relations, audit and accounting services and insurance costs. Personnel-related expenses consist of salaries, benefits and equity-based compensation.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consists primarily of interest earned on our cash and cash equivalent balances.</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Gain (loss) on warrant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Gain (loss) on warrant liability relates to the changes in the fair value of our liability-classified warrants to purchase common stock.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June 30, 2025 and 2024</w:t>
      </w:r>
    </w:p>
    <w:p>
      <w:pPr>
        <w:pStyle w:val="TextBody"/>
        <w:bidi w:val="0"/>
        <w:spacing w:before="120" w:after="283"/>
        <w:jc w:val="left"/>
        <w:rPr/>
      </w:pPr>
      <w:r>
        <w:rPr/>
        <w:t> </w:t>
      </w:r>
    </w:p>
    <w:tbl>
      <w:tblPr>
        <w:tblW w:w="6663" w:type="dxa"/>
        <w:jc w:val="left"/>
        <w:tblInd w:w="0" w:type="dxa"/>
        <w:tblLayout w:type="fixed"/>
        <w:tblCellMar>
          <w:top w:w="28" w:type="dxa"/>
          <w:left w:w="28" w:type="dxa"/>
          <w:bottom w:w="28" w:type="dxa"/>
          <w:right w:w="28" w:type="dxa"/>
        </w:tblCellMar>
      </w:tblPr>
      <w:tblGrid>
        <w:gridCol w:w="2746"/>
        <w:gridCol w:w="146"/>
        <w:gridCol w:w="211"/>
        <w:gridCol w:w="736"/>
        <w:gridCol w:w="166"/>
        <w:gridCol w:w="146"/>
        <w:gridCol w:w="211"/>
        <w:gridCol w:w="736"/>
        <w:gridCol w:w="166"/>
        <w:gridCol w:w="146"/>
        <w:gridCol w:w="211"/>
        <w:gridCol w:w="631"/>
        <w:gridCol w:w="41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Research and Development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allocated by CAB program for the periods indicated:</w:t>
      </w:r>
    </w:p>
    <w:p>
      <w:pPr>
        <w:pStyle w:val="TextBody"/>
        <w:bidi w:val="0"/>
        <w:spacing w:before="120" w:after="283"/>
        <w:jc w:val="left"/>
        <w:rPr/>
      </w:pPr>
      <w:r>
        <w:rPr/>
        <w:t> </w:t>
      </w:r>
    </w:p>
    <w:tbl>
      <w:tblPr>
        <w:tblW w:w="8128" w:type="dxa"/>
        <w:jc w:val="left"/>
        <w:tblInd w:w="0" w:type="dxa"/>
        <w:tblLayout w:type="fixed"/>
        <w:tblCellMar>
          <w:top w:w="28" w:type="dxa"/>
          <w:left w:w="28" w:type="dxa"/>
          <w:bottom w:w="28" w:type="dxa"/>
          <w:right w:w="28" w:type="dxa"/>
        </w:tblCellMar>
      </w:tblPr>
      <w:tblGrid>
        <w:gridCol w:w="4371"/>
        <w:gridCol w:w="146"/>
        <w:gridCol w:w="211"/>
        <w:gridCol w:w="676"/>
        <w:gridCol w:w="146"/>
        <w:gridCol w:w="146"/>
        <w:gridCol w:w="211"/>
        <w:gridCol w:w="676"/>
        <w:gridCol w:w="146"/>
        <w:gridCol w:w="146"/>
        <w:gridCol w:w="211"/>
        <w:gridCol w:w="631"/>
        <w:gridCol w:w="411"/>
      </w:tblGrid>
      <w:tr>
        <w:trPr/>
        <w:tc>
          <w:tcPr>
            <w:tcW w:w="4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Mecbotamab vedotin, BA3011 (CAB AXL-ADC)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Ozuriftamab vedotin, BA3021 (CAB ROR2-ADC)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Evalstotug, BA3071 (CAB CTLA-4)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BA3182 (CAB EpCAM x CAB CD3)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CAB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external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Research and development expenses were $13.7 million and $16.2 million for the three months ended June 30, 2025 and 2024, respectively. The decrease of approximately $2.5 million was primarily driven by a $0.9 million decrease in development costs for our pre-clinical programs primarily for BA3142, our CAB B7H3 x CD3 bispecific program, and BA3361, our CAB Nectin-4 ADC program due to previous prioritization of our programs, a $1.2 decrease in headcount related expenses due to the reduction in force announced in March 2025, and a $0.6 million decrease in stock-based compensation related to awards issued under our 2020 Equity Incentive Plan. This was offset by a $0.3 million increase in development costs for our clinical stage programs, primarily driven by higher enrollment in our EpCAM Phase 1 trial.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were $5.0 million and $5.8 million for the three months ended June 30, 2025 and 2024, respectively. The decrease of approximately $0.8 million was primarily driven by a $0.5 million decrease in stock-based compensation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related to awards issued under our 2020 Equity Incentive Plan and a $0.3 million decrease headcount related costs related to our reduction in force announced in March 2025.</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was $0.2 million and $0.9 million for the three months ended June 30, 2025 and 2024, respectively. The decrease of $0.7 million was due to lower cash and cash equivalents and lower interest rates during same period in 2024.</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Loss on warrant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on warrant liability was $0.3 million and $0 for the three months ended June 30, 2025 and 2024, respectively. The $0.3 million loss was due to the change in fair value of the warrants we issued in December 2024.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Six Months Ended June 30, 2025 and 2024</w:t>
      </w:r>
    </w:p>
    <w:p>
      <w:pPr>
        <w:pStyle w:val="TextBody"/>
        <w:bidi w:val="0"/>
        <w:jc w:val="left"/>
        <w:rPr/>
      </w:pPr>
      <w:r>
        <w:rPr/>
        <w:t> </w:t>
      </w:r>
    </w:p>
    <w:tbl>
      <w:tblPr>
        <w:tblW w:w="6768" w:type="dxa"/>
        <w:jc w:val="left"/>
        <w:tblInd w:w="0" w:type="dxa"/>
        <w:tblLayout w:type="fixed"/>
        <w:tblCellMar>
          <w:top w:w="28" w:type="dxa"/>
          <w:left w:w="28" w:type="dxa"/>
          <w:bottom w:w="28" w:type="dxa"/>
          <w:right w:w="28" w:type="dxa"/>
        </w:tblCellMar>
      </w:tblPr>
      <w:tblGrid>
        <w:gridCol w:w="2746"/>
        <w:gridCol w:w="146"/>
        <w:gridCol w:w="211"/>
        <w:gridCol w:w="736"/>
        <w:gridCol w:w="166"/>
        <w:gridCol w:w="146"/>
        <w:gridCol w:w="211"/>
        <w:gridCol w:w="736"/>
        <w:gridCol w:w="166"/>
        <w:gridCol w:w="146"/>
        <w:gridCol w:w="211"/>
        <w:gridCol w:w="736"/>
        <w:gridCol w:w="41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Research and Development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allocated by CAB program for the periods indicated:</w:t>
      </w:r>
    </w:p>
    <w:p>
      <w:pPr>
        <w:pStyle w:val="TextBody"/>
        <w:bidi w:val="0"/>
        <w:jc w:val="left"/>
        <w:rPr/>
      </w:pPr>
      <w:r>
        <w:rPr/>
        <w:t> </w:t>
      </w:r>
    </w:p>
    <w:tbl>
      <w:tblPr>
        <w:tblW w:w="8128" w:type="dxa"/>
        <w:jc w:val="left"/>
        <w:tblInd w:w="0" w:type="dxa"/>
        <w:tblLayout w:type="fixed"/>
        <w:tblCellMar>
          <w:top w:w="28" w:type="dxa"/>
          <w:left w:w="28" w:type="dxa"/>
          <w:bottom w:w="28" w:type="dxa"/>
          <w:right w:w="28" w:type="dxa"/>
        </w:tblCellMar>
      </w:tblPr>
      <w:tblGrid>
        <w:gridCol w:w="4371"/>
        <w:gridCol w:w="146"/>
        <w:gridCol w:w="211"/>
        <w:gridCol w:w="676"/>
        <w:gridCol w:w="146"/>
        <w:gridCol w:w="146"/>
        <w:gridCol w:w="211"/>
        <w:gridCol w:w="676"/>
        <w:gridCol w:w="146"/>
        <w:gridCol w:w="146"/>
        <w:gridCol w:w="211"/>
        <w:gridCol w:w="631"/>
        <w:gridCol w:w="411"/>
      </w:tblGrid>
      <w:tr>
        <w:trPr/>
        <w:tc>
          <w:tcPr>
            <w:tcW w:w="4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Mecbotamab vedotin, BA3011 (CAB AXL-ADC)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Ozuriftamab vedotin, BA3021 (CAB ROR2-ADC)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Evalstotug, BA3071 (CAB CTLA-4)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BA3182 (CAB EpCAM x CAB CD3)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CAB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external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Research and development expenses were $26.0 million and $35.1 million for the six months ended June 30, 2025 and 2024, respectively. The decrease of approximately $9.0 million was primarily driven by a $5.3 million decrease in program development costs for our clinical programs due to lower enrollment and lower overall expense as we complete Phase 2 trials for mecbotamab vedotin, ozuriftamab vedotin, and evalstotug, a $1.5 million decrease in development costs for our pre-clinical programs primarily for BA3142, our CAB B7H3 x CD3 bispecific program, and BA3361, our CAB Nectin-4 ADC program due to previous prioritization of our programs, a $1.2 million decrease in personnel-related expense due to lower headcount including the impact of the reduction in force announced in March 2025, and a $0.9 million decrease in stock-based compensation related to awards issued under our 2020 Equity Incentive Plan.</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$10.2 million and $11.4 million for the six months ended June 30, 2025 and 2024, respectively. The decrease of approximately $1.2 million was primarily driven by a $0.9 million decrease in stock-based compensation related to awards issued under our 2020 Equity Incentive Plan, a $0.2 million decrease in insurance primarily due to lower D&amp;O insurance premiums, and a $0.2 million decrease in headcount related to the reduction in force announced in March 2025.</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was $0.6 million and $2.1 million for the six months ended June 30, 2025 and 2024, respectively. The decrease of $1.5 million was due to lower cash and cash equivalents and lower interest rates during same period in 2024.</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Gain on warrant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Gain on warrant liability was $1.6 million and $0 million for the six months ended June 30, 2025 and 2024, respectively. The $1.6 million gain was due to the change in fair value of the warrants we issued in December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aggregate net losses and negative cash flows from operations since our inception and anticipate we will continue to incur net losses for the foreseeable future. Since July 2020, we have funded our operations primarily through the issuance of equity. As of June 30, 2025, we had cash and cash equivalents of $18.2 million.</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December 2024, the Company closed on an offering (the “December 2024 Offering”) of 9,679,158 shares of common stock at a price of $0.9520 per share with accompanying warrants to purchase up to 9,679,158 shares of common stock, which have an exercise price of $1.19 per share (the “Warrants”). The gross proceeds from the December 2024 Offering were approximately $9.2 million, before deducting $0.7 million of placement agent fees and other offering expenses payable by the Company. The accompanying Warrants became exercisable on June 20, 2025 and will expire five years from the date of initial exercisability. There were 9,679,158 Warrants outstanding and exercisable at June 30,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uses of cash are to fund operating expenses, which consist primarily of research and development expenses related to our programs and related personnel costs. The timing and amount of future funding requirements depends on many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and advancement, scope, rate of progress, completion of enrollment, results and costs of our preclinical studies, clinical trials and other related activities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manufacturing our product candidates and establishing commercial supplies and sales, marketing and distribution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costs of capital expenditures to support our research and development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characteristics of other product candidates that we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receipt and amount of sales from our potential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and ability to hire additional management, scientific and medical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products that may limit market penetration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to implement additional internal systems and infrastructure, including financial and reporting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economic and other terms, timing and success of any collaboration, licensing, or other arrangements into which we may enter in the future, including the timing of receipt of any milestone or royalty payments under these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compliance and administrative costs associated with being a public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invest in businesses, products or technologies, although we have no commitments or agreements relating to any of these types of transactions.</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Based on our current operating plan, our current cash and cash equivalents may not be sufficient to fund our ongoing operations for a period of at least twelve months from the date the financial statements included in this report are issued. We have based this estimate on assumptions that may prove to be wrong, and we could utilize our available capital resources sooner than we currently expect. These circumstances raise substantial doubt about our ability to continue as a going concern. While management believes additional funds can be raised through equity or debt financings, strategic collaborations transactions, or a combination of these approaches, which will alleviate the conditions that raise substantial doubt, these plans are not entirely within our control and cannot be assessed as being probable of occurring. We may not be able to secure additional financing in a timely manner or on favorable terms, if at all.</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Failure to generate sufficient cash flows from operations, raise additional capital, and reduce discretionary spending should additional capital not become available could have a material adverse effect on our ability to achieve our intended business objectives. Because of the numerous risks and uncertainties associated with the development and commercialization of our product candidates, we are unable to estimate the amounts of increased capital outlays and operating expenditures associated with our current and anticipated preclinical studies and clinical trials.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For example, market volatility resulting from a variety of causes, including tariffs and trade disputes with other countries, inflation, high interest rates, growing recession risks, supply chain disruptions, and geopolitical tensions and disruptions, including the ongoing conflict between Russia and Ukraine, the wars between Israel and the terrorist groups Hamas and Hezbollah and escalating conflict and tensions with Iran, could adversely impact our ability to access capital as and when needed. We may choose to raise additional capital through the issuance of equity or convertible debt securities due to market conditions or strategic considerations even if we believe we have sufficient funds for our current or future operating plans. To the extent we issue additional shares of common stock or other equity or convertible debt securities in the future, there will be further dilution to our investors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acquiring other businesses, products or technology, or declaring dividends. If we are unable to obtain additional funding from these or other sources, it may be necessary to significantly reduce our rate of spending through additional reductions in staff and delay, scale back or stop certain research and development programs.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summarizes our cash flows for the periods indicated:</w:t>
      </w:r>
    </w:p>
    <w:p>
      <w:pPr>
        <w:pStyle w:val="TextBody"/>
        <w:bidi w:val="0"/>
        <w:jc w:val="left"/>
        <w:rPr/>
      </w:pPr>
      <w:r>
        <w:rPr/>
        <w:t> </w:t>
      </w:r>
    </w:p>
    <w:tbl>
      <w:tblPr>
        <w:tblW w:w="6259" w:type="dxa"/>
        <w:jc w:val="left"/>
        <w:tblInd w:w="0" w:type="dxa"/>
        <w:tblLayout w:type="fixed"/>
        <w:tblCellMar>
          <w:top w:w="28" w:type="dxa"/>
          <w:left w:w="28" w:type="dxa"/>
          <w:bottom w:w="28" w:type="dxa"/>
          <w:right w:w="28" w:type="dxa"/>
        </w:tblCellMar>
      </w:tblPr>
      <w:tblGrid>
        <w:gridCol w:w="3496"/>
        <w:gridCol w:w="146"/>
        <w:gridCol w:w="211"/>
        <w:gridCol w:w="736"/>
        <w:gridCol w:w="166"/>
        <w:gridCol w:w="146"/>
        <w:gridCol w:w="211"/>
        <w:gridCol w:w="736"/>
        <w:gridCol w:w="4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(49,809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Cash Used in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for the six months ended June 30, 2025 was $30.4 million, which consisted of a net loss of $34.0 million, a net change of $1.9 million in our operating assets and liabilities and $1.7 million of non-cash transactions. The net change in our operating assets and liabilities was primarily due to an increase in accounts payable and accrued expenses of $2.5 million, offset by an increase in prepaid expenses and other assets of $0.4 million and a net decrease in operating lease right-of-use assets and lease liabilities of $0.3 million. The non-cash transactions primarily consisted of $3.0 million of stock-based compensation and non-cash charges of $0.3 million related to depreciation and amortization, offset by $1.6 million related to the change in fair value of the warrant liability.</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Net cash used in operating activities for the six months ended June 30, 2024 was $50 million, which consisted of a net loss of $44.3 million, a net change of $11.0 million in our operating assets and liabilities and $5.3 million of non-cash transactions. The net change in our operating assets and liabilities was primarily due to a decrease in accounts payable and accrued expenses of $10.9 million, a net decrease in operating lease right-of-use assets and lease liabilities of $0.3 million, partially offset by a decrease in prepaid expenses and other assets of $0.3 million. The non-cash transactions primarily consisted of $4.8 million of stock-based compensation and non-cash charges of $0.5 million related to depreciation and amortization.</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Provided by (Used in)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financing activities was $0.4 million for the six months ended June 30, 2025, consisting primarily of the payment of financing costs in connection with the December 2024 offering and the payment of taxes related to the net settlement of restricted stock units, partially offset by the proceeds from the issuance of common stock under the ESPP and the 2020 Plan.</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Net cash provided by financing activities was $0.2 million for the six months ended June 30, 2024, consisting primarily of the proceeds from the issuance of common stock under the ESPP and the 2020 Plan, partially offset by the payment of taxes related to the net settlement of restricted stock units.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and conditions.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Our critical accounting policies are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For a description of our critical accounting policies, see the section entitled “Management’s Discussion and Analysis of Financial Condition and Results of Operations — Critical Accounting Policies and Estimates” contained in our Annual Report on Form 10-K for the year ended December 31, 2024. There have not been any material changes to the critical accounting policies discussed therein during the six months ended June 30,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entered into any off-balance sheet arrangements, as defined in the rules and regulations of the SEC.</w:t>
      </w:r>
    </w:p>
    <w:p>
      <w:pPr>
        <w:pStyle w:val="TextBody"/>
        <w:bidi w:val="0"/>
        <w:spacing w:before="360" w:after="283"/>
        <w:jc w:val="left"/>
        <w:rPr>
          <w:rFonts w:ascii="Times New Roman" w:hAnsi="Times New Roman"/>
          <w:b/>
          <w:color w:val="000000"/>
          <w:sz w:val="20"/>
        </w:rPr>
      </w:pPr>
      <w:bookmarkStart w:id="10" w:name="i_item3"/>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 to a smaller reporting company.</w:t>
      </w:r>
    </w:p>
    <w:p>
      <w:pPr>
        <w:pStyle w:val="TextBody"/>
        <w:bidi w:val="0"/>
        <w:spacing w:before="360" w:after="283"/>
        <w:jc w:val="left"/>
        <w:rPr>
          <w:rFonts w:ascii="Times New Roman" w:hAnsi="Times New Roman"/>
          <w:b/>
          <w:color w:val="000000"/>
          <w:sz w:val="20"/>
        </w:rPr>
      </w:pPr>
      <w:bookmarkStart w:id="11" w:name="i_item4"/>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required by Rules 13a-15(b) and 15d-15(b) of the Exchange Act, our management, with the participation of our Chief Executive Officer and our Chief Financial Officer, evaluated the effectiveness of our disclosure controls and procedures as of June 30,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2025, our Chief Executive Officer and our Chief Financial Officer concluded that, as of such date, our disclosure controls and procedures were effective at the reasonable assurance level.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that occurred during the quarter ended June 30, 2025 that have materially affected, or are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bookmarkStart w:id="12" w:name="part_ii"/>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3" w:name="ii_item1"/>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 subject to various claims and suits arising in the ordinary course of business. We are not currently a party to any legal proceedings the outcome of which we believe, if determined adversely to us, would individually or in the aggregate have a material adverse effect on our business, operating results or financial condition.</w:t>
      </w:r>
    </w:p>
    <w:p>
      <w:pPr>
        <w:pStyle w:val="TextBody"/>
        <w:bidi w:val="0"/>
        <w:spacing w:before="360" w:after="283"/>
        <w:jc w:val="left"/>
        <w:rPr>
          <w:rFonts w:ascii="Times New Roman" w:hAnsi="Times New Roman"/>
          <w:b/>
          <w:color w:val="000000"/>
          <w:sz w:val="20"/>
        </w:rPr>
      </w:pPr>
      <w:bookmarkStart w:id="14" w:name="ii_item1a"/>
      <w:bookmarkEnd w:id="14"/>
      <w:r>
        <w:rPr>
          <w:rFonts w:ascii="Times New Roman" w:hAnsi="Times New Roman"/>
          <w:b/>
          <w:color w:val="000000"/>
          <w:sz w:val="20"/>
        </w:rPr>
        <w:t>Item 1A. Risk Factors.</w:t>
      </w:r>
    </w:p>
    <w:p>
      <w:pPr>
        <w:pStyle w:val="TextBody"/>
        <w:bidi w:val="0"/>
        <w:spacing w:before="108" w:after="283"/>
        <w:jc w:val="left"/>
        <w:rPr>
          <w:rFonts w:ascii="Times New Roman" w:hAnsi="Times New Roman"/>
          <w:b/>
          <w:color w:val="000000"/>
          <w:sz w:val="20"/>
        </w:rPr>
      </w:pPr>
      <w:r>
        <w:rPr>
          <w:rFonts w:ascii="Times New Roman" w:hAnsi="Times New Roman"/>
          <w:b/>
          <w:color w:val="000000"/>
          <w:sz w:val="20"/>
        </w:rPr>
        <w:t>Risk Factor Summary</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Investing in our common stock involves a high degree of risk. You should carefully consider all information in this Quarterly Report on Form 10-Q, including our condensed financial statements and related notes appearing elsewhere in this report and “Management’s Discussion and Analysis of Financial Condition and Results of Operations,” before purchasing our common stock. These risks and uncertainties include, but are not limited to, the following: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are a clinical-stage biopharmaceutical company with a limited operating history and no products approved for commercial sale, and we have a history of significant losses and expect to continue to incur significant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substantial additional capital to finance our operations, and if we fail to raise such capital when needed, or on acceptable terms, we may be forced to delay, reduce or eliminate one or more of our research and drug development programs or future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losses and negative cash flows from operations since our inception. We may incur losses over the next several years and may never achieve or maintain profitability. These factors raise substantial doubt about our ability to continue as a going concern and we will need additional funding to continue development of our CAB technology platform and our CAB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fail in development or suffer delays that adversely affect their commercial viability.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substantially dependent on the success of our patented CAB technology platform, and our future success depends heavily on the successful development of this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expend our resources to pursue particular product candidates and fail to capitalize on product candidates that may be more profitable or for which there is a greater likelihood of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may not be receptive to our product candidates because they are based on our novel therapeutic modality, and we may not generate any future revenue from the sale or licensing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from early-stage clinical trials may not be predictive of results from late-stage or other clinical trials, and the results of our clinical trials may not satisfy the requirements of the U.S. Food and Drug Administration (“FDA”), the European Medicine Agency (“EMA”) or other comparable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the commencement and completion of clinical trials could increase costs and delay or prevent regulatory approval and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competition from entities that have developed or may develop product candidates for cancer, including companies developing novel treatments and technology platforms.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currently not in compliance with Nasdaq’s continued listing requirements. If our appeal of Nasdaq’s delisting determination is unsuccessful, our common stock could be delisted.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obtain U.S. or foreign regulatory approval and, as a result, unable to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seek approval from the FDA or comparable foreign regulatory authorities through the use of accelerated approval pathways, if available, and if we are unable to obtain such approval, we may be required to conduct additional preclinical studies or clinical trials beyond those that we contemplate, which could increase the expense of obtaining, and delay the receipt of, necessary marketing approvals.</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Fast Track designation granted for ozuriftamab vedotin in recurrent or metastatic squamous cell carcinoma of the head and neck (“SCCHN”) and, if granted, for any of our other product candidates by the FDA may not lead to a faster development or regulatory review or approval process and does not increase the likelihood that our product candidates will receive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receive regulatory approval for any of our product candidates, we will be subject to ongoing regulatory obligations and continued regulatory review, which may result in significant additional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attract and retain qualified senior management and key scientific personnel, our business may be materially and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portion of our research and development activities take place in China, and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risks related to health epidemics and outbreaks which could significantly disrupt our preclinical studies and could affect enrollment of patients in our clinical trials. Continuation and increasing severity of these conditions could delay or prevent our receipt of necessary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enter into collaborations with third parties for the development and commercialization of certain of our product candidates, or if our current and future collaborations are not successful, we may not be able to capitalize on the market potential of our patented technology platform and resulting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future issuance of equity or of debt securities that are convertible into equity will dilute our share capital.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 Factors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financial position and need for additional capital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a clinical-stage biopharmaceutical company with a limited operating history and no products approved for commercial sale. We have a history of significant losses and we expect to continue to incur significant losses for the foreseeable future, which together with our limited operating history, makes it difficult to assess our future viability.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Phase 2 clinical-stage biopharmaceutical company with a limited operating history upon which you can evaluate our business and prospects. We have no products approved for commercial sale and have not generated any revenue from product sales.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(BA3011), ozuriftamab vedotin (BA3021), evalstotug (BA3071), and the ongoing Phase 1 clinical trial of BA3182 (CAB-EpCAM x CAB-CD3),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We have not yet demonstrated our ability to successfully obtain marketing approvals, manufacture a commercial-scale product or arrange for a third party to do so on our behalf or conduct sales and marketing activities necessary for successful product commercialization. As a result, it may be more difficult for you to assess our future viability than it could be if we had a longer operating history.</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We have incurred significant losses to date. Our ability to generate product revenue sufficient to achieve profitability will depend on the successful development and eventual commercialization of one or more of our current and future product candidates.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Our net losses were $69.8 million and $123.5 million for the years ended December 31, 2024 and 2023, respectively. For the six months ended June 30, 2025 and 2024, our net losses were $34.0 million and $44.3 million, respectively. As of June 30, 2025, we had an accumulated deficit of $520.1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and conducting preclinical studies and clinical trials, and the regulatory approval process for our product candidates. In the near term, we expect that these expenses will begin to decrease as we complete enrollment for certain clinical trials, however, these expenses, and the potential for losses, may generally increase as we progress our lead product candidates through the regulatory approval process. We also expect that our expenses will vary as a result of macroeconomic factors, including inflation. For example, recently, several of our vendors have passed along price increases they have experienced in their own business as a result of inflation.</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However, the amount of our future expenses and potential losses is uncertain. Our ability to achieve profitability, if ever, will depend on, among other things, our successfully developing product candidates, obtaining regulatory approvals to market and commercialize product candidates, manufacturing any approved products on commercially reasonable terms and potentially establishing a sales and marketing organization or suitable third-party alternatives to commercialize any approved product. If we, or our existing or future collaborators, are unable to develop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require substantial additional capital to finance our operations. If we are unable to raise such capital when needed, or on acceptable terms, we may be forced to delay, reduce or eliminate one or more of our research and drug development programs or future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of biopharmaceutical products, including conducting preclinical studies and clinical trials, is a very time-consuming, expensive and uncertain process that takes years to complete. Our operations have consumed substantial amounts of cash since inception, and we will continue to incur significant expenses in connection with our ongoing activities, particularly as we conduct clinical trials of, and seek marketing approval for mecbotamab vedotin, ozuriftamab vedotin, evalstotug, and BA3182.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comparable foreign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Accordingly, we will need to obtain substantial additional funding in order to continue our operations.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We plan to use our existing cash and cash equivalents to fund the research and development of our product candidates and development programs and to fund working capital and other general corporate purposes. Advancing the development of our product candidates will require a significant amount of capital. Our existing cash and cash equivalents may not be sufficient to fund any of our product candidates through regulatory approval. Because the length of time and activities associated with successful research and development of any individual product candidate are highly uncertain, we are unable to estimate the actual funds we will require for development, marketing approval and commercialization activities. The timing and amount of our operating expenditures will depend largely 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progress of our ongoing clinical trials for mecbotamab vedotin, ozuriftamab vedotin, evalstotug, and BA3182;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scope of preclinical and clinical programs we decide to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of our collaborators with whom we have entered, or may in the future enter, into collaboration agreements and research and development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amount of milestone payments we may receive under our collaboration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current licenses, collaboration and research and development programs or possibly establish new collaboration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involved in prosecuting and enforcing patent and other intellectual property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and timing of regulatory approvals;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enhance operational systems and attract and retain personnel, including personnel to support development of our product candidates and satisfy our obligations as a public company.</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If we are unable to obtain funding on a timely basis, including under our current or future collaborations, or on acceptable terms, we may have to delay, reduce or terminate our research and development programs and preclinical studies or clinical trials, limit strategic opportunities or undergo reductions in our workforce or other corporate restructuring activities. We may seek to raise any necessary additional capital through a combination of public or private equity offerings, debt financings, collaborations, strategic alliances, licensing arrangements and other marketing and distribution arrangements. We cannot assure you that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Our financial condition could be adversely affected by general conditions in the global economy and in the global financial markets. For example, global financial crises have caused extreme volatility and disruptions in the capital and credit markets. If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A severe or prolonged economic downturn, such as a global financial crisis, could result in a variety of risks to our business, including our ability to raise additional capital when needed on acceptable terms, if at all. There can be no assurance that further deterioration in credit and financial markets and confidence in economic conditions will not occur.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financings, we may be subject to covenants limiting or restricting our ability to take specific actions, such as incurring additional debt, making capital expenditures, licensing product rights, entering into product development collaborations,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incurred significant losses and negative cash flows from operations since our inception. We may incur losses over the next several years and may never achieve or maintain profitability. Without taking other actions, these factors raise substantial doubt about our ability to continue as a going concern and we will need additional funding to continue development of our CAB technology platform and our CAB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operating losses to date and expect to continue to incur significant expenses and operating losses for the foreseeable future as we continue the development of our CAB technology platform and our CAB product candidates. Our recurring losses from operations raise substantial doubt about our ability to continue as a going concern for the 12 months from the date that our financial statements included elsewhere in this Annual Report are issued. As a result, our independent public accounting firm included an explanatory paragraph regarding the same in its report on our Annual Report. Our financial statements as of June 30, 2025 do not include any adjustments that might result from the outcome of this uncertainty.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2025, we had approximately $18.2 million in cash and cash equivalents. Based upon our current operating plan and assumptions, we estimate that our cash and cash equivalents will enable us to fund our operations into the first half of 2026. Our estimate as to how long we expect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We expect to finance our future cash needs through equity or debt financings, strategic collaborations transactions, or a combination of these approaches. We believe that data from our ongoing clinical trials will enable us to raise additional capital which will address this doubt and enable us to continue as a going concern. However, there can be no assurance that we will be successful in acquiring additional funding at levels sufficient to fund our operations or on terms favorable or acceptable to us, if at all. In addition, our ability to raise additional funds may be adversely impacted by negative global economic conditions and any disruptions to and volatility in the credit and financial markets in the United States and worldwide or other factors. If we are unable to obtain adequate financing when needed or on terms favorable or acceptable to us, we may be forced to delay, reduce the scope of or eliminate one or more of our research and development programs. Moreover, the terms of any financing may adversely affect the holdings or the rights of our stockholders and the issuance of additional securities by us, whether equity or debt, or the market perception that such issuances are likely to occur, could cause the market price of our common stock to decline. If we are unable to raise sufficient capital when needed, our business, financial condition and results of operations will be harmed, and we will need to significantly modify our operational plans to continue as a going concern. If we are unable to continue as a going concern, we might have to liquidate our assets and the values we receive for our assets in liquidation or dissolution could be significantly lower than the values reflected in our financial statements.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Any additional capital raising efforts may divert our management from their day-to-day activities, which may adversely affect our ability to develop and commercialize our current and future product candidates, if approved. The perception that we might be unable to continue as a going concern may also make it more difficult to obtain financing for the continuation of our operations on terms that are favorable to us, or at all, and could result in the loss of confidence by investors and employees.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invest a portion of our cash in a money market fund, which is vulnerable to market-specific risks that could adversely affect our business and financial condition.</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We invest a portion of our cash in a money market fund backed by U.S. government securities. All securities are subject to risk, including fluctuations in interest rates, credit risk, market risk and systemic economic risk. Changes or movements in any of these investment-related risk items may result in a loss or impairment to our invested cash and may have a material adverse effect on our business and financial condition.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the discovery, development and commercialization of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current product candidates are in various stages of development. Our product candidates may fail in development or suffer delays that adversely affect their commercial viability. If we or our existing or future collaborators are unable to complete development of, obtain regulatory approval for or commercialize our product candidates or experience significant delays in doing so, our business will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 products on the market and our product candidates are in various stages of development. We are currently conducting Phase 2 clinical trials of mecbotamab vedotin, ozuriftamab vedotin, and evalstotug, and a Phase 1 trial of BA3182. Various other product candidates are in earlier stages of development. Our ability to achieve and sustain profitability depends on obtaining regulatory approvals for and, if approved, successfully commercializing our product candidates, either alone or with third parties. Before obtaining regulatory approval for the commercial distribution of our product candidates, we or an existing or future collaborator must conduct extensive preclinical tests and clinical trials to demonstrate the safety, efficacy, purity and potency of our product candidates. Any product candidate can unexpectedly fail at any stage of preclinical or clinical development and the historical failure rate for product candidates is high. The results from preclinical testing of a product candidate may not predict the results that will be obtained in later clinical trials of the product candidate. We or our existing or future collaborators may experience issues that delay or prevent clinical testing and regulatory approval of, or our ability to commercialize, product candidates,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our clinical trials resulting from external factors including global conflicts and health epidemics;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or inconclusive results from preclinical testing or clinical trials leading to a decision or requirement to conduct additional preclinical testing or clinical trials or abandon a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product-related side effects experienced by participants in clinical trials or by individuals using therapeutic biologics that share characteristics with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submitting INDs or comparable foreign applications or delays or failure in obtaining the necessary approvals from regulators or institutional review boards (“IRBs”), to commence a clinical trial, or a suspension or termination of a clinical trial once commenced;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conditions imposed by the FDA or comparable foreign authorities, including the EMA, regarding the scope or design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enrolling patients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 drop-out rates of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inadequate drug materials or other supplies necessary for the conduct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than anticipated clinical trial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poor effectiveness of our product candidates during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FDA or other regulatory agency inspection and review of a clinical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deficiencies in our third-party manufacturers’ manufacturing processes or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 or further approval of competitor products approved in indications in which we undertake development of our product candidates, which may change the standard of care or change the standard for approval of our product candidates in our proposed indications;</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any third-party contractors, investigators or contract research organizations (“CROs”), to comply with regulatory requirements or otherwise meet their contractual obligations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and changes in regulatory requirements, policy and guidelines, including the imposition of additional regulatory oversight around clinical testing generally or with respect to our technology or product candidates in particular;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varying interpretations of data by the FDA and similar foreign regulatory agencies, including the EMA.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CABs represent a new generation of antibodies, a delay or failure in development of any CAB product candidate could represent a major set-back for our patented technology platform and for our company generally.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Results from early-stage clinical trials may not be predictive of results from late-stage or other clinical trials, and the results of our clinical trials may not satisfy the requirements of the FDA, EMA or other comparable foreign regulatory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Positive and promising results from preclinical studies and early-stage clinical trials may not be predictive of results from late-stage clinical trials or from clinical trials of the same product candidates for the treatment of other indications. Product candidates in later stages of clinical trials may fail to show the desired safety and efficacy traits despite having progressed through preclinical studies and initial clinical trials. Late-stage clinical trials could differ in significant ways from early-stage clinical trials, including changes to inclusion and exclusion criteria, efficacy endpoints, dosing regimen and statistical design. Moreover, success in clinical trials in a particular indication does not guarantee that a product candidate will be successful for the treatment of other indications. Many companies in the biopharmaceutical industry have suffered significant setbacks in late-stage clinical trials after achieving encouraging or positive results in early-stage development. We cannot assure you that we will not face similar setbacks in our ongoing or planned clinical trials or in any subsequent or post-marketing confirmatory clinical trials.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Moreover, preclinical and clinical data are often susceptible to varying interpretations and analyses and many companies that believed their product candidates performed satisfactorily in preclinical studies and clinical trials nonetheless failed to obtain FDA, EMA or comparable foreign regulatory authority approval. We cannot guarantee that the FDA will agree with our clinical trial plans, and we cannot assure you that the FDA will agree that the results from our trials will be sufficient to support approval of any of our product candidates. For example, the objective response rates on our primary endpoints may not be sufficient, we may not demonstrate a sufficient duration of response, or there may be limitations with the total sample size of our studies and dose selection strategy. Recently, the FDA has increasingly scrutinized oncology clinical trial results where a substantial portion of the enrollment took place outside the U.S. on the basis that the results from these sites are not applicable to the U.S. population due at least in part to choice of comparator. While we intend to enroll sufficient numbers of U.S. patients to address these concerns, the FDA may disagree and question the applicability of the clinical trial results to the U.S. population.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EMA or comparable foreign regulatory authorities may significantly change in a manner rendering our clinical data insufficient for approval, which may lead to the FDA, EMA or comparable foreign regulatory authorities delaying, limiting or denying approval of our product candidates.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Furthermore, there have been in the past, and may be in the future, investigator-initiated clinical trials using our investigational products. We do not control the design or administration of these or any other investigator-initiated trials that may be conducted, nor the submission or approval of any IND or foreign equivalent required to conduct any such trials. Any investigator-initiated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these or other investigator-initiated trials are inconsistent with, or different from, the results of our ongoing or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investigator-initiated trials could be useful to inform our own clinical development efforts, there is no guarantee that we will be able to use the data from these trials to form the basis for regulatory approval of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substantially dependent on the success of our patented CAB technology platform, and our future success depends heavily on the successful development of this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our CAB technology platform to develop product candidates for cancer therapies. Any failures or setbacks involving our CAB technology platform, including adverse events, could have a detrimental impact on all of our product candidates and our research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pipeline. For example, we may uncover a previously unknown risk associated with CABs or other issues that may be more problematic than we currently believe, which may prolong the period of observation required for obtaining, necessitate additional clinical testing or result in the failure to obtain, regulatory approval. If our CAB technology is not safe in certain product candidates, we could be required to abandon or redesign all of our current product candidates, which could have a material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successful in our efforts to use and expand our patented CAB technology platform to continue to build a pipeline of product candidates and develop marketable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used our patented technology platform to develop CABs in oncology indications with our lead product candidates mecbotamab vedotin, ozuriftamab vedotin, evalstotug, BA3182, and other preclinical product candidates. We may also in the future continue to build our pipeline of CAB product candidates. Our business depends not only on our ability to successfully develop, obtain regulatory approval for, and commercialize the product candidates we currently have in clinical and preclinical development, but to continue to generate new product candidates through our platform. Even if we are successful in continuing to build our pipeline and further progress the clinical development of our current product candidates, any additional product candidates may not be suitable for clinical development, including as a result of harmful side effects, manufacturing issues, limited efficacy or other characteristics that indicate that they are unlikely to be products that will succeed in clinical development, receive marketing approval or achieve market acceptance. If we cannot validate our technology platform by successfully commercializing CAB product candidates, we may not be able to obtain product, licensing or collaboration revenue in future periods, which would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expend our resources to pursue particular product candidates and fail to capitalize on product candidates that may be more profitable or for which there is a greater likelihood of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our limited financial and managerial resources, we must make strategic decisions as to which targets and product candidates to pursue and may forego or delay pursuit of opportunities with other targets or product candidates or for other indications that later prove to have greater commercial potential. For example, we are exploring potential strategic collaboration with third parties to accelerate development of certain assets. In addition, we may decide to further prioritize development of certain programs and certain indications. Our resource allocation decisions may cause us to fail to capitalize on viable commercial products or profitable market opportunities. Failure to properly assess potential product candidates could result in our focus on product candidates with low market potential, which would harm our business, financial condition, results of operations and prospects. Our spending on current and future research and development programs and product candidates for specific targets or indications may not yield any commercially viable products. Our understanding and evaluation of biological targets for the discovery and development of new CAB product candidates may fail to identify challenges encountered in subsequent preclinical and clinical development. If we do not accurately evaluate the likelihood of clinical trial success,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the market opportunities for any product that we develop are smaller than we believe they are, our revenue may be adversely affected and our business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focus our product candidate development on therapeutic CAB antibodies for the treatment of various oncology indications, such as sarcoma, NSCLC, melanoma, and head and neck cancer among others. Our projections of addressable patient populations that may benefit from treatment with our product candidates are based on our estimates. These estimates, which have been derived from a variety of sources, including scientific literature, surveys of clinics, physician interviews,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market may not be receptive to our product candidates because they are based on our novel therapeutic modality, and we may not generate any future revenue from the sale or licensing of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candidates that we are developing are primarily based on our patented CAB technology platform, which uses new technologies to create our novel therapeutic approach. Market participants with significant influence over acceptance of new treatments, such as physicians and third-party payors, may not adopt a product or treatment based on our patented technology platform, and we may not be able to convince patients, the medical community and third-party payors to accept and use, or to provide favorable reimbursement for, any product candidates developed by us or our existing or future collaborators. Market acceptance of our product candidates will depend on, among other factors:</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our receipt of any marketing and commercialization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of any approvals and the countries in which approvals are obtained;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safety and efficacy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adverse side effects associated with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or warnings contained in any labeling approved by the FDA or other regulatory authority, including the EMA;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patients to obtain new biopsies or consent to provide existing tumor tissue specimens;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relative convenience and ease of administration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patients to accept any new methods of administration;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any physician education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adequate government and third-party payor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pricing of our products, particularly as compared to alternative treatments;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of alternative effective treatments for the disease indications our product candidates are intended to treat and the relative risks, benefits and costs of those treatments.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product candidate we commercialize fails to achieve market acceptance, it could have a material and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Preliminary, preplanned interim and topline data from our clinical trials that we announce or publish from time to time may change as more patient data become available and/or are subject to audit and verification procedures that could result in material changes in the final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publicly disclose preliminary, preplanned interim or topline data from our clinical trials. These data and related findings and conclusions may only reflect certain endpoints rather than all endpoints and are subject to change.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preliminary results that we report may differ from future results of the same studies, or different conclusions or considerations may qualify such results, once additional data have been received and fully evaluated. Topline data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preplanned interim analyses of the clinical trials we may complete, which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preplanned interim or topline data that we report differ from later,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Delays in the commencement and completion of clinical trials could increase costs and delay or prevent regulatory approval and commercialization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guarantee that clinical trials of our product candidates will be conducted as planned or completed on schedule, if at all. A failure of one or more clinical trials can occur at any stage of the clinical trial process, and other events may cause us to temporarily or permanently stop a clinical trial. Events that may prevent successful or timely commencement and completion of clinical development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preclinical data;</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receiving the required regulatory clearance from the appropriate regulatory authorities to commence clinical trials or amend clinical trial protocols, including any objections to our INDs or protocol amendments from the FDA;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or a failure to reach, a consensus with regulatory authorities on study design;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or failure to reach, agreement on acceptable terms with prospective CROs and clinical trial sites, the terms of which can be subject to extensive negotiation and may vary significantly among different CROs and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obtaining IRB approval at each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in recruiting suitable patients to participate in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enroll a sufficient number of patients in clinical trials to ensure adequate statistical power to detect statistically significant treatment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having patients complete a trial or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CROs or clinical trial sites failing to comply with regulatory requirements or meet their contractual obligations to us in a timely manner, or at all, deviating from the protocol or dropping out of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safety issues, including occurrence of treatment emergent adverse events (“TEAEs”) associated with the product candidate that are viewed to outweigh the product candidate’s potential benefits;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adding new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ambiguous or negative interim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adequate funding to continue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manufacturing sufficient quantities of product candidate acceptable for use in clinical trials in a timely manner, or at all;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 epidemics and outbreaks, which in the past has resulted in, and in the future may result in, delays to patient enrollment, patients discontinuing their treatment or follow up visits or changes to trial protocols.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We could encounter delays if a clinical trial is suspended or terminated by us, by the IRBs of the institutions in which such trials are being conducted, by a Data Safety Monitoring Board (“DSMB”), for such trial or by the FDA or other regulatory authorities. Such authorities may impose such a suspension or termination due to several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revenues from any of these product candidates will be delayed or lost.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results of operations and prospects significantly. In addition, many of the factors that cause, or lead to, a delay in the commencement or completion of clinical trials may also ultimately lead to the denial of regulatory approval of our product candidates.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addition, data obtained from trials and studies are susceptible to varying interpretations, and regulators may not interpret our data as favorably as we do, which may delay, limit or prevent regulatory approval. Our clinical trial results may not be successful, or even if successful, may not lead to regulatory approval.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Enrollment and retention of patients in clinical trials is an expensive and time-consuming process and could be made more difficult or rendered impossible by multiple factors outside our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encounter delays or difficulties in enrolling, or be unable to enroll, a sufficient number of patients to complete any of our clinical trials on our current timelines, or at all, and even once enrolled, we may be unable to retain a sufficient number of patients to complete any of our trials. Enrollment in our clinical trials may be slower than we anticipate, leading to delays in our development timelines.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Patient enrollment and retention in clinical trials depends on many factors, including the size and nature of the patient population, the nature of the trial protocol, our ability to recruit clinical trial investigators with the appropriate competencies and experience, delays in enrollment due to travel or quarantine policies, or other factors related to health epidemics or pandemics, the existing body of safety and efficacy data with respect to the study drug, the number and nature of competing treatments and ongoing clinical trials of competing drugs for the same indication, the proximity of patients to clinical sites, the eligibility criteria for the trial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and the proportion of patients screened that meets those criteria, including criteria related to biomarkers, our ability to obtain and maintain patient consents, including any additional consents necessary for enrollment of adolescent patients, and our ability to successfully complete prerequisite studies before enrolling certain patient populations. Furthermore, any negative results or new safety signals we may report in clinical trials of our product candidates may make it difficult or impossible to recruit and retain patients in other clinical trials we are conducting. Similarly, results reported by our competitors about their drug candidates may negatively affect patient recruitment in our clinical trials. Also, marketing authorization of competitors in this same class of drugs may impair our ability to enroll patients into our clinical trials, delaying or potentially preventing us from completing recruitment of one or more of our trials.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Delays or failures in planned patient enrollment or retention may result in increased costs, program delays or both, which could have a harmful effect on our ability to develop our product candidates or could render further development impossible. In addition, we rely on clinical trial sites to ensure timely conduct of our clinical trials and, while we have entered into agreements governing their services, we are limited in our ability to compel their actual performance.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may cause undesirable and unforeseen side effects or have other properties impacting safety that could halt their clinical development, delay or prevent their regulatory approval, limit their commercial potential or result in significant negative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Undesirable side effects caused by our product candidates could cause us or regulatory authorities to interrupt, delay or halt clinical trials and could result in a more restrictive label or the delay or denial of regulatory approval by the FDA or other regulatory authorities and potential product liability claims. Such side effects could also affect patient recruitment or the ability of enrolled patients to complete the trial. Many compounds developed in the biopharmaceutical industry that initially showed promise in early-stage testing for treating cancer have later been found to cause side effects that prevented their further development. Any of these occurrences may materially and adversely affect our business, financial condition, results of operations and prospects.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our clinical trials for our antibody-drug conjugates mecbotamab vedotin and ozuriftamab vedotin, we have observed adverse events such as reversible myelosuppression, transient liver enzyme elevations, pyrexia, or fever, metabolic disturbances and peripheral neuropathy. In our clinical trial for evalstotug, we have observed infusion-related reactions, cytokine release syndrome, and immune-related adverse events. We may also observe undesirable side effects in clinical trials for our other product candidates.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For our current and future clinical trials, we have contracted with and expect to continue to contract with CROs experienced in the assessment and management of toxicities arising during clinical trials. Nonetheless, they may have difficulty observing patients and treating toxicities, which may be more challenging due to personnel changes, shift changes, house staff coverage or related issues. This could lead to more severe or prolonged toxicities or even patient deaths, which could result in us or the FDA delaying, suspending or terminating one or more of our clinical trials and which could jeopardize regulatory approval.</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Further, clinical trials by their nature test product candidates in only samples of the potential patient populations. With a limited number of patients and limited duration of exposure in such trials, rare and severe side effects of our product candidates may not be uncovered until a significantly larger number of patients are exposed to the product candidate. For example, while we believe that mecbotamab vedotin, ozuriftamab vedotin, and evalstotug have demonstrated manageable tolerability profiles thus far, we cannot assure you that these and our other product candidates will not cause more severe side effects in a greater proportion of patients.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addition, mecbotamab vedotin, ozuriftamab vedotin, and evalstotug have been studied in combination with other therapies, which may exacerbate adverse events associated with the therapy. Patients treated with these or our other product candidates may have recently received surgical, radiation or chemotherapy treatments, which can cause side effects or adverse events that are unrelated to our product candidate but may still impact the success of our clinical trials.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inclusion of critically ill patients in our clinical trials may result in deaths or other adverse medical events due to other therapies or medications that such patients may be using or due to the gravity of such patients’ illnesses. For example, some of the late-stage patients enrolled in the clinical trials may die or experience major clinical events either during the course of our clinical trials or after participating in such trials due mainly to the gravity of their illness, which has occurred in the past.</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the event that any of our product candidates receive regulatory approval, and we or others later identify undesirable and unforeseen side effects caused by such product, negative consequences, including any of the following, could occur: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suspend, limit or withdraw their approval of such product, or seek an injunction against its manufacture or distribution;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conduct additional clinical trials or post-approval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requested or required to recall a product or change the way such product is administered to patients;</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restrictions may be imposed on the marketing of the particular product or the manufacturing processes for the product or any component thereof;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the addition of labeling statements, such as a boxed warning or a contraindication, or issue safety alerts, Dear Healthcare Provider letters, press releases or other communications containing warnings or other safety information about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implement a Risk Evaluation and Mitigation Strategy (“REMS”) and/or create a Medication Guide outlining the risks of such side effects for distribution to patients, a communication plan for healthcare providers and/or other elements to assure safe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sued and held liable for harm caused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fines, injunctions or the imposition of civil or criminal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may become less competitive;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may suffer.</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Any of these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prove to be unsafe, our business, financial condition, results of operations and prospects may be materially and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developing certain of our product candidates in combination with other therapies, and regulatory approval, safety or supply issues with these other therapies may delay or prevent the development and approval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investigated the use of each of mecbotamab vedotin, ozuriftamab vedotin, and evalstotug in combination with an anti-PD-1 antibody. In the future, we may explore the use of these or our other product candidates in combination with other therapies. If we choose to develop a product candidate for use in combination with an approved therapy, we are subject to the risk that the FDA, EMA or comparable foreign regulatory authorities in other jurisdictions could revoke approval of, or that safety, efficacy, manufacturing or supply issues could arise with, the therapy used in combination with our product candidate. If the therapies we use in combination with our product candidates are replaced as the standard of care, the FDA, EMA or comparable foreign regulatory authorities in other jurisdictions may require us to conduct additional clinical trials. The occurrence of any of these risks could result in our product candidates, if approved, being removed from the market or being less successful commercially.</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Where we develop a product candidate for use in combination with a therapy that has not been approved by the FDA, EMA or comparable foreign regulatory authorities in other jurisdictions, we will not be able to market our product candidate for use in combination with such an unapproved therapy, unless and until the unapproved therapy receives regulatory approval.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If the FDA, EMA or comparable foreign regulatory authorities in other jurisdictions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safe and effective use of any of our product candidates, such as mecbotamab vedotin and ozuriftamab vedotin, depends on a companion diagnostic test, then the FDA generally will require approval or clearance of that companion diagnostic before or at the same time that the FDA approves our product candidates, if at all. If we are unable to successfully develop companion diagnostic tests for our product candidates, experience significant delays in doing so, rely on third parties in the development of such companion diagnostic tests, or do not obtain or face delays in obtaining FDA approval of a companion diagnostic test, the full commercial potential of our product candidates and our ability to generate revenue will be materially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use of a companion diagnostic test is determined to be essential for the safe and effective use of any of our product candidates, such as mecbotamab vedotin and ozuriftamab vedotin, then the FDA generally will require approval or clearance of that companion diagnostic before or at the same time that the FDA approves our product candidates, if at all. The FDA has generally required in vitro companion diagnostics intended to select the patients who will respond to cancer treatment to obtain a PMA for that diagnostic simultaneously with approval of the therapeutic. The process of obtaining or creating such diagnostic and obtaining PMA approval is time-consuming and costly and a delay in diagnostic approval could delay drug approval.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also approved or cleared for that indication. If a satisfactory companion diagnostic is not commercially available, we may be required to create or obtain one that would be subject to regulatory approval requirements. For example, we have in the past explored predictive biomarkers, such as the Tumor Membrane Percent Score (“TmPS”), which measures AXL and ROR2 expression levels on the tumor membrane, to help inform which patients may be most suitable for treatment with mecbotamab vedotin and ozuriftamab vedotin. Currently, patients with negative or only 1% TmPS scores appear to have experienced clinical benefit in our ongoing clinical trials. However, if the AXL and/or ROR2 TmPS scores predict those most likely to experience clinical benefit, we may be required to pursue the further use of a companion diagnostic in our mecbotamab vedotin or ozuriftamab vedotin clinical trials, and the available market for mecbotamab vedotin or ozuriftamab vedotin, both in patient numbers and patient acceptance of the protocol, could be limited. In addition, we expect to rely on third parties for the design, development and manufacture of companion diagnostic tests for any of our product candidates that require such tests.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policies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adversely affect our business, financial condition, results of operations and prospects.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If the FDA, EMA or a comparable foreign regulatory authority requires approval of a companion diagnostic for any of our product candidates, whether before or after it obtains marketing approval, we, and/or future collaborators, may encounter difficulties in developing and obtaining approval for such product candidate. If we or our third-party collaborators experience any delay in developing or obtaining regulatory approval of a companion diagnostic, we may be unable to enroll enough patients for our current and planned clinical trials, the development of our product candidates may be adversely affected or we may not obtain marketing approval, and we may not realize the full commercial potential of our product candidates, including mecbotamab vedotin and ozuriftamab vedotin.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and will develop product candidates and processes competitive with our product candidates. We believe that a significant number of products are currently under development, and may become commercially available in the future, for the treatment of conditions for which we are developing product candidates. We believe that while our patented CAB technology platform, its associated intellectual property and our scientific and technical know-how give us a competitive advantage in this space, competition from many sources remains. Our success will partially depend on our ability to develop and protect therapeutics that are safer and more effective than competing products. Our commercial opportunity and success will be reduced or eliminated if competing products are safer, more effective or less expensive than the therapeutics we develop.</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Although we do not believe competing companies have selective CAB technology, there is a wide array of activity in several areas of immune-based cellular therapies for oncology including CAR-T and T-cell receptor therapies. Certain companies are also pursuing antibody therapies in immuno-oncology, ADCs and various prodrug biologic products designed to be preferentially activated at tumor sites. There are several FDA approved ADC products and several companies in various stages of clinical development of ADCs mostly directed at oncology indications, a key feature of our product candidates mecbotamab vedotin and ozuriftamab vedotin. There are also companies developing technologies designed to deliver biologics and chemotherapeutic agents with some targeting capabilities. In addition, if any of our product candidates are approved in oncology indications, they may compete with existing biologics and small molecule therapies, or may be used in combination with existing therapies. There are also many other therapies under development that are intended to treat the same cancers that we are targeting or may target with our CAB platform, including through approaches that could prove to be more effective, have fewer side effects, be cheaper to manufacture, be more convenient to administer or have other advantages over any products resulting from our technologies.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Many of our competitors, either alone or with strategic partners, have significantly greater financial, technical, manufacturing, marketing, sales and supply resources or experience than we do. Accordingly, our competitors may be more successful than us in obtaining approval for treatments and achieving widespread market acceptance, rendering our treatments obsolete or non-competitive.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Accelerated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 The level of generic competition and the availability of reimbursement from government and other third-party payors will also significantly affect the pricing and competitiveness of our products. In addition, our competitors also may obtain FDA or other regulatory approval for their products more rapidly than we may obtain approval for ours, which could result in our competitors establishing a strong market position before we are able to enter the market.</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of our programs.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Our commercial opportunity could be substantially limited in the event that our competitors develop and commercialize products that are more effective, safer, less toxic or more convenient than products we may develop. In geographies that are critical to our commercial success, competitors may also obtain regulatory approvals before us, resulting in our competitors building a strong market position in advance of our products’ entry. Such competitors could also recruit our employees, which could negatively impact our level of expertise and our ability to execute our business plan.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biologic product candidates for which we intend to seek approval may face competition through an abbreviated pathway.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Biologics Price Competition and Innovation Act of 2009 (the “BPCIA”), enacted as part of the Affordable Care Act (the “ACA”), which created an abbreviated approval pathway for biological products that are biosimilar to or interchangeable with an FDA-licensed reference biological product. Under the BPCIA, an application for a biosimilar product referencing an exclusivity-protected product may not be submitted to the FDA until four years following the date that the reference product was first licensed by the FDA. In addition, the approval of a biosimilar product referencing an exclusivity-protected biological product may not be made effective by the FDA until 12 years from the date on which the reference product was first licensed. During this 12-year period of exclusivity, another company may still market a competing version of the reference product if the FDA approves a full Biologics License Application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product candidates.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There is a risk that any product candidates we may develop that are approved as a biological product under a BLA would not qualify for the 12-year period of exclusivity or that this exclusivity could be shortened due to congressional action or otherwise, potentially creating the opportunity for generic competition sooner than anticipated.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entails a significant risk of product liability, and if we are unable to obtain sufficient insurance coverage, such failure could have a material and adverse effect on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be exposed to significant product liability risks inherent in the development, testing and manufacturing of our product candidates and products, if approved. Product liability claims could delay or prevent completion of our development programs. If we succeed in marketing products, such claims could result in an FDA investigation of the safety and effectiveness of our products, our third-party manufacturer’s manufacturing processes and facilities or our marketing programs and potentially a recall of our products or more serious enforcement action, including limitations on the approved indications for which our product candidates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In addition, we may be subject to liability based on the actions of our existing or future collaborators in connection with their development of products using our CAB technology. Furthermore, clinical trial and product liability insurance is becoming increasingly expensive. As a result, we may be unable to maintain sufficient insurance at a reasonable cost to protect us against losses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caused by product liability claims that could have a material and adverse effect on our business, financial condition, results of operations and prospects.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regulatory approval, other legal compliance matters and taxation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currently not in compliance with Nasdaq’s continued listing requirements. If we are unable to comply with Nasdaq’s continued listing requirements, our common stock could be delisted, which could affect the price of our common stock and liquidity and reduce our ability to raise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is currently listed on The Nasdaq Global Market. The Nasdaq Global Market has established certain quantitative criteria and qualitative standards that companies must meet to remain listed for trading on this market.</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On February 6, 2025, the Company received written notice (the “Minimum Bid Price Deficiency Notice”) from the Listing Qualifications Department of The Nasdaq Stock Market LLC (“Nasdaq”) stating that the Company is not in compliance with Nasdaq Listing Rule 5550(a)(2) (the “Minimum Bid Price Requirement”) because the Company has not maintained a minimum closing bid price of the Company’s common stock of at least $1.00 per share for the last 30 consecutive business days and that it had 180 calendar days from the date of the Minimum Bid Price Deficiency Notice, or until August 5, 2025 (the “Compliance Date”), to regain compliance. Because the Company does not meet the applicable market value of publicly held shares requirement for continued listing and all other applicable standards for initial listing on The Nasdaq Capital Market (other than the Minimum Bid Price Requirement), the Company was unable to transfer to The Nasdaq Capital Market and was not afforded an additional 180-day compliance period.</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In addition, on May 12, 2025, the Company received a written notice (the “Minimum Stockholders’ Equity Deficiency Notice”) from the Listing Qualifications Staff of Nasdaq (the “Staff”) notifying the Company that because the Company’s stockholders’ equity was $547,000 as of March 31, 2025, as reported in the Company’s Quarterly Report on Form 10-Q for the quarter ended March 31, 2025, it was no longer in compliance with the $10,000,000 minimum stockholders’ equity requirement for continued listing on The Nasdaq Global Market under Nasdaq Listing Rule 5450(b)(1)(A) (the “Minimum Stockholders’ Equity Requirement”), and the Company, as of the date of the Minimum Stockholders’ Equity Deficiency Notice, also did not meet the alternative compliance standards relating to the market value of the listed securities or the Company’s total assets and revenue. The Company timely submitted a plan to regain compliance of the Minimum Stockholders’ Equity Requirement on June 26, 2025.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On August 6, 2025, the Staff issued a delist determination to the Company (the “Delisting Notice”), indicating that the Company did not satisfy the Minimum Bid Price Requirement by the Compliance Date. Although on June 26, 2025, the Company submitted its plan to regain compliance with the Minimum Stockholders’ Equity Requirement, pursuant to Listing Rule 5810(d)(2), this deficiency became an additional basis for delisting, and as a result, the Company was not eligible for a second 180-day extension. The Company intends to request a hearing (the “Hearing”) before the Nasdaq Listing Qualifications Panel (the “Panel”) to appeal (the “Appeal”) the determination by the Staff, and to present its plan to regain and sustain compliance with both the Minimum Bid Price Requirement and the Minimum Stockholders’ Equity Requirement. The Appeal will stay any delisting or suspension action of the Company’s listed shares contemplated by the Delisting Notice.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While we believe we have a reasonable plan to regain compliance, there is no guarantee that the Panel will grant an extension of the compliance period or that the outcome of the Hearing or the Appeal will be favorable to the Company.] Any delisting of our common stock could adversely affect the market liquidity of our common stock, and the market price of our common stock could decrease. In addition, delisting of our common stock could result in the loss of confidence by investors and adversely affect our ability to raise capital on terms acceptable to us, or at all.</w:t>
      </w:r>
    </w:p>
    <w:p>
      <w:pPr>
        <w:pStyle w:val="TextBody"/>
        <w:bidi w:val="0"/>
        <w:spacing w:before="320" w:after="283"/>
        <w:jc w:val="left"/>
        <w:rPr>
          <w:rFonts w:ascii="Times New Roman" w:hAnsi="Times New Roman"/>
          <w:b/>
          <w:i/>
          <w:color w:val="000000"/>
          <w:sz w:val="20"/>
        </w:rPr>
      </w:pPr>
      <w:r>
        <w:rPr>
          <w:rFonts w:ascii="Times New Roman" w:hAnsi="Times New Roman"/>
          <w:b/>
          <w:i/>
          <w:color w:val="000000"/>
          <w:sz w:val="20"/>
        </w:rPr>
        <w:t>We may be unable to obtain U.S. or foreign regulatory approval and, as a result, unable to commercialize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are subject to extensive governmental regulations relating to, among other things, the research, development, testing, manufacture, quality control, import, export, safety, effectiveness, labeling, packaging, storage, distribution, record keeping, approval, advertising, promotion, marketing, post-approval monitoring and post-approval reporting of drugs and therapeutic biologics. Rigorous preclinical testing and clinical trials and an extensive regulatory approval process are required to be successfully completed in the United States and in many foreign jurisdictions before a new drug or therapeutic biologic can be marketed. Satisfaction of these and other regulatory requirements is costly, lengthy, time-consuming, uncertain and subject to unanticipated delays. We have not previously submitted a BLA to the FDA, or similar drug approval filings to comparable foreign regulatory authorities, for any product candidate, and it is possible that none of the product candidates we may develop will obtain the regulatory approvals necessary for us or our existing or future collaborators to begin selling them.</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We have not completed any large-scale or pivotal clinical trials nor managed the regulatory approval process with the FDA or any other regulatory authority. The time required to obtain FDA and other approvals is unpredictable but typically takes many years following the commencement of clinical trials, depending upon the type, complexity and novelty of the product candidate, and numerous other factors including the substantial discretion of regulatory authorities. The standards that the FDA and its foreign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counterparts, including the EMA, use when regulating us and our existing or future collaborators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 For example, the Oncology Center of Excellence within the FDA has advanced Project Optimus, which is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Oncology Center of Excellence initiatives have included Project FrontRunner, an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 and Project Equity, which is an initiative to ensure that the data submitted to the FDA for approval of oncology medical products adequately reflects the demographic representation of patients for whom the medical products are intended. More recently, as part of the Food and Drug Omnibus Reform Act (“FDORA”), sponsors will be required to submit Diversity Action Plans (“DAPs”) for Phase 3 studies or other pivotal studies of new drugs. DAPs must include the sponsor’s goals for enrollment for such studies, disaggregated by age group, sex, and racial and ethnic demographic characteristics of clinically relevant study populations; the sponsor’s rationale for such goals; and an explanation of how the sponsor intends to meet such goals. Actions taken in the early days of the new presidential administration have created significant uncertainty as to whether Project Equity will continue and whether the statutory requirements related to DAPs will be implemented by FDA in the near future. We are considering these and other policy changes as they relate to our programs.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addition, our product candidates could fail to receive regulatory approval for many reasons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disagree with the design or implementation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satisfaction of the FDA or comparable foreign regulatory authorities that a product candidate is safe, pure and potent for its proposed 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clinical trials may fail to achieve the level of statistical significance required by the FDA or comparable foreign regulatory authorities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that a product candidate’s clinical and other benefits outweigh its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that the dose for the product candidate has been optimized;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a sufficient response rate or duration of response for a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disagree with our interpretation of data submitted in support of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data collected from preclinical studies and clinical trials of our product candidates may not be sufficient to support the submission of a BLA or other regulatory submission necessary to obtain regulatory approval in the United States or elsewhere;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contractors may not meet the current Good Manufacturing Practices (“cGMPs”) and other applicable requirements for manufacturing processes, procedures, documentation and facilities necessary for approval by the FDA or comparable foreign regulatory authorities.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Any delay or failure in obtaining required approvals could have a material and adverse effect on our ability to generate revenues from the particular product candidate for which we are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BLA,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intend to seek approval from the FDA or comparable foreign regulatory authorities through the use of accelerated approval pathways, if available.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seek accelerated approval for one or more of our product candidates. Under the accelerated approval program, the FDA may grant accelerated approval to a product candidate designed to treat a serious or life-threatening condition that provides meaningful advantage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We intend to seek accelerated approval for some of our product candidates on the basis of objective response rate, a surrogate endpoint that we believe is reasonably likely to predict clinical benefit. For products granted accelerated approval, sponsors are required to verify and describe the product’s clinical benefit generally in the form of confirmatory trials. These confirmatory trials must be completed with due diligence, and the FDA may require that the trial be designed, initiated, and/or fully enrolled prior to approval. If we were to pursue accelerated approval for a product candidate for a disease or condition, we would likely do so on the basis that there is no available therapy for that disease or condition. If any of our competitors were to receive full approval on the basis of a confirmatory trial for a drug for a disease or condition for which we are seeking accelerated approval before we receive accelerated approval, the disease or condition would no longer qualify as one for which there is no available therapy, and accelerated approval of our product candidate would not occur, unless we were able to demonstrate a meaningful advantage over the approved product. Many cancer therapies rely on accelerated approval, and the treatment landscape can change quickly as the FDA converts accelerated approvals to full approvals on the basis of successful confirmatory trials.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Prior to seeking accelerated approval for any of our product candidates, we intend to seek feedback from the FDA and will otherwise evaluate our ability to seek and receive accelerated approval. We cannot assure you that after our evaluation of the feedback and other factors we will decide to pursue or submit a BLA for accelerated approval or any other form of expedited development, review or approval. Similarly, we cannot assure you that after subsequent FDA feedback we will continue to pursue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we cannot assure you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Recently, the accelerated approval pathway has come under scrutiny within the FDA and by Congress. The FDA has put increased focus on ensuring that confirmatory studies are conducted with diligence and, ultimately, that such studies confirm the benefit. For example, the FDA has convened its Oncologic Drugs Advisory Committee to review what the FDA has called dangling or delinquent accelerated approvals where confirmatory studies have not been completed or where results did not confirm benefit.</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enactment of FDORA included provisions related to the accelerated approval pathway. Pursuant to FDORA, the FDA is authorized to require a post-approval study to be underway prior to approval or within a specified time period following approval. FDORA also requires the FDA to specify conditions of any required post-approval study and requires sponsors to submit progress reports for required post-approval studies and any conditions required by the FDA. FDORA enables the FDA to initiate enforcement action for the failure to conduct with due diligence a required post-approval study, including a failure to meet any required conditions specified by the FDA or to submit timely reports. In addition, the Oncology Center of Excellence has announced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 of access and verification of benefit for therapies available to patients with cancer and hematologic malignancies.</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Fast Track designation granted for ozuriftamab vedotin in recurrent or metastatic squamous cell carcinoma of the head and neck (SCCHN) and potential future Fast Track designation for any of our other product candidates by the FDA may not lead to a faster development or regulatory review or approval process and does not increase the likelihood that our product candidates will receive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2024, the FDA granted Fast Track designation for ozuriftamab vedotin in recurrent or metastatic SCCHN, and we may seek Fast Track designation in the future for other product candidates. If a drug is intended for the treatment of a serious or life-threatening disease and the drug demonstrates the potential to address unmet medical needs for this disease, the drug may qualify for Fast Track designation. The FDA has broad discretion whether or not to grant this designation. Even if we believe a particular product candidate is eligible for this designation, we cannot assure you that the FDA would decide to grant it. Even if product candidates do receive Fast Track designation, as ozuriftamab vedotin has in recurrent or metastatic SCCHN, we may not experience a faster development process, review or approval compared to conventional FDA procedures. The FDA may withdraw Fast Track designation if it believes that the designation is no longer supported by data from its clinical development programs. Many drugs that have received Fast Track designation have failed to obtain approval, and there can be no assurance that such Fast Track designation would lead to a faster development or regulatory review or approval process, or to regulatory approval.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regulatory approvals that we or our existing or future collaborators obtain for our product candidates may also be subject to limitations on the approved indicated uses for which a product may be marketed or to conditions of approval, or contain requirements for potentially costly post-marketing testing, including “Phase 4” clinical trials, and surveillance to monitor the safety and efficacy of the product candidate. Furthermore, any regulatory approval to market a product may be subject to limitations on the labeling of the product or may require safety warnings or other restrictions. In addition, the FDA has the authority to require a REMS plan as part of a BLA or after approval, which may impose further requirements or restrictions on the distribution or use of an approved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The manufacturer and manufacturing facilities we use to make a future product, if any, will also be subject to periodic review and inspection by the FDA and other regulatory agencies, including for continued compliance with cGMP requirements. Any product promotion and advertising will also be subject to regulatory requirements and continuing regulatory review.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marketing or manufacturing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the product from the market or voluntary or mandatory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warning or untitled letters or holds on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of approval or refusal by the FDA or comparable regulatory authorities in other jurisdictions to approve pending applications or supplements to approved applications filed by us, our current collaborator or any future strategic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or revocation of product license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 detention or refusal to permit the import or export of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FDA’s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If these regulations impose constraints on the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results of operations and prospects.</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we are able to commercialize any product candidate, such product candidate may become subject to unfavorable pricing regulations or third-party coverage and reimbursement policies, which would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Our ability to commercialize any products successfully also will depend in part on the extent to which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At our programs’ current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There is significant uncertainty related to third-party payor coverage and reimbursement of newly approved products. For example, in the United States,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On May 12, 2025, President Trump issued an Executive Order that, among other things, required HHS, within 30 days, to establish and communicate to drug manufacturers most-favored-nation (“MFN”) price targets designed to bring drug prices for American patients in line with those in comparably developed nations. If significant progress towards MFN pricing is not achieved, the Executive Order requires HHS to propose a rulemaking to implement MFN pricing. It is uncertain what HHS will consider significant progress toward MFN pricing, or when that determination will be made. If HHS issues and finalizes a rule to implement MFN pricing, the rule is likely to mandate reduced prices of drugs in the United States, if they are also sold in comparator countries. Even if we do not market drugs in such countries, we will be indirectly affected if our drugs competed with drugs that were reduced by MFN pricing.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some countries, particularly member states of the European Union (EU),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In some countries, we or our existing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There may be significant delays in obtaining reimbursement for newly 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be insufficient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United States. Third-party payors often rely upon Medicare coverage policy and payment limitations in setting their own reimbursement rates. If reimbursement of any product candidate approved for marketing is unavailable or limited in scope or amount, or if pricing is set at unsatisfactory levels, our business, financial condition, results of operations or prospects could be materially and adversely affected, and our ability to commercialize such products, once approved, could be materially impaired.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FDA and other regulatory agencies actively enforce the laws and regulations prohibiting the promotion of off-label uses.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For example, if we receive marketing approval for mecbotamab vedotin as a treatment for mKRAS NSCLC, and we are found to have promoted off-label uses, we may become subject to significant liability. Physicians may nevertheless use our product for their patients in a manner that is inconsistent with the approved labeling. Moreover, although we believe that our product candidates may be safer or more effective than other therapies, unless we conduct head-to-head comparative studies, we will not be able to make any claims of superiority.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Disruptions at the FDA, the SEC and other government agencies caused by, among other factors,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ability to perform routine functions. In addition, government funding of the Securities and Exchange Commission (“SEC”) and other government agencies on which our operations may rely, including those that fund research and development activities, is subject to the political process, which is inherently fluid and unpredictable.</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Disruptions at the FDA and other agencies may also slow the time necessary for new drugs to be reviewed or approved by necessary government agencies, which would adversely affect our business. Furthermore, the application of newly developed artificial intelligence (“AI”) and other technologies may have the impact of reducing the development time to bring new products to market, which may materially increase the volume of applications for product approval to the FDA compared to historical application levels. If this increased application volume materializes and funding for additional staff and resources are not allocated to the FDA, the FDA may not be able to continue its current pace of application reviews and review timelines could be extended. Regulatory authorities outside the U.S. facing similar increases in application volume may also experience delays in their regulatory activities.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If a prolonged government shutdown occurs, if global health concerns prevent the FDA or other regulatory authorities from conducting their regular inspections, reviews, or other regulatory activities, or if the volume of applications to the FDA for new product candidates increases materially,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There is substantial uncertainty regarding the new Administration’s initiatives and how these might impact the FDA, its implementation of laws, regulations, policies and guidance and its personnel. Similar initiatives may also be directed toward other government agencies. These initiatives could prevent, limit or delay development and regulatory approval of our product candidates, which would impact our business.</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FDA-regulated industries, such as ours, face substantial uncertainty in regard to the regulatory environment we will face as we proceed with research and development, and possibly in the future commercialization, efforts following the inauguration of President Trump in January 2025. Some of these efforts have manifested to date as efforts to reduce the size of the federal government, including large-scale reductions in force at FDA. The loss of key personnel at the FDA, including those in leadership positions, is likely to impact operations at the FDA, which could result in, among other things, delays or limitations on our ability to obtain guidance from the FDA on our product candidates in development, longer review times, and delays in obtaining regulatory approvals for our product candidates. Moreover, the new Administration has proposed action to freeze or reduce the budget of the National Institutes of Health (“NIH”) as related to its funding for medical research, which could decrease the ability of facilities that rely on NIH funding to enroll and conduct clinical trials. There remains general uncertainty regarding future activities. The new Administration could issue or promulgate executive orders, regulations, policies or guidance that adversely affects us or create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or our collaborators become negatively impacted by future governmental orders, regulations, policies or guidance as a result of the new Administration, there could be a material adverse effect on us and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FDA, EMA and other comparable foreign regulatory authorities may not accept data from trials conducted in locations outside of their jurisdiction.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to conduct international clinical trials in the future. The acceptance of study data by the FDA, EMA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current GCP requirements; and (iii)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We cannot assure you that the FDA, EMA or any applicable foreign regulatory authority will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Healthcare legislative reform measures may have a material adverse effect on our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In addition, in the United States, there have been and continue to be several legislative initiatives to contain healthcare costs. Previously, in March 2010, the ACA was enacted, which was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Healthcare reform initiatives culminated in the enactment of the Inflation Reduction Act (“IRA”) in August 2022, which, among other things, allows HHS to directly negotiate the selling price of a statutorily specified number of drugs and biologics each year that CMS reimburses under Medicare Part B and Part D. The negotiated price may not exceed a statutory ceiling price. Only high-expenditure single-source biologics that have been approved for at least 11 years (7 years for drugs) are eligible to be selected by CMS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for negotiation, with the negotiated price taking effect two years after the selection year. For 2026, the first year in which negotiated prices become effective, CMS selected 10 high-cost Medicare Part D products in 2023, negotiations began in 2024, and the negotiated maximum fair price for each product has been announced. These negotiations resulted in significant price reductions for the products from their 2023 list prices, ranging from 38 to 79 percent, with an average price reduction of 59.4 percent. CMS has selected 15 additional Medicare Part D drugs for negotiated maximum fair pricing in 2027. For 2028, an additional 15 drugs, which may be covered under either Medicare Part B or Part D, will be selected, and for 2029 and subsequent years, 20 Part B or Part D drugs will be selected. Currently, a drug or biological product that has an orphan drug designation for only one rare disease or condition is excluded from the IRA’s price negotiation requirements, as long as it is approved only for an indication within that disease or condition. However, as a result of a statutory amendment enacted in July 2025, beginning with the 2028 negotiated price applicability year, a drug may be designated for more than one rare disease or condition and still be excluded from price negotiation, as long as the only approved indications are for such rare diseases or conditions. The negotiated prices have represented, and will continue to represent, a significant discount from average prices to wholesalers and direct purchasers. The law also imposes rebates on Medicare Part D and Part B drugs whose prices have increased at a rate greater than the rate of inflation. The IRA also extends enhanced subsidies for individuals purchasing health insurance coverage in ACA marketplaces through plan year 2025. Manufacturers that fail to comply with the IRA may be subject to various penalties, including civil monetary penalties. The IRA permits the Secretary of HHS to implement many of these provisions through guidance, as opposed to regulation, for the initial years. These provisions may be subject to legal challenges. For example, the provisions related to the negotiation of selling prices of high-expenditure single-source drugs and biologics have been challenged in several lawsuits. Thus, while it is unclear how certain provisions of the IRA will be implemented, the IRA will likely have a significant impact on the pharmaceutical industry. It is unclear to what extent other statutory, regulatory, and administrative initiatives will be enacted and implemented, and to what extent these or any future legislation or regulations by the current administration or subsequent administrations will have on our business, including market acceptance, and sales, of our products and product candidates.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Further, on May 30, 2018, the Trickett Wendler, Frank Mongiello, Jordan McLinn, and Matthew Beilina Right to Try Act of 2017, or the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Only July 4, 2025, President Trump signed into law the One Beautiful Bill Act (“OBBBA”), which, among other things, contains a number of provisions designed to reduce the number of Americans insured under Medicaid and health exchange plans established under the 2010 Affordable Care Act. The provisions intended to reduce Medicaid enrollment include a work requirement, under which applicants and current beneficiaries will be required to demonstrate that they are engaged for at least 80 hours per month in work, community service, an educational program, or some combination of these. Parents and caregivers of dependent children 13 years old or less and certain other beneficiaries are exempted. In addition, the OBBBA establishes more frequent eligibility verification requirements, restrictions on how states can finance their share of Medicaid, elimination of coverage for undocumented immigrants, and elimination of coverage for gender affirming care and certain family planning clinics. A Congressional Budget Office (“CBO”) analysis of the Act estimates that 7.8 million adults will lose Medicaid coverage by 2034, of which 5.2 million will be due the work requirement. In addition, the OBBBA makes changes to the ACA insurance marketplaces, including, among other measures, greater limitations on enrollment periods, which will result in an additional 3.6 million Americans being uninsured by 2034 according to CBO’s estimate. These significant decreases in the numbers of insured Americans will reduce the ability of patients, especially those of modest means, to afford medications, which could reduce the demand for our products.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FDA released a final rule in September 2020 providing guidance for states to build and submit plans for importing drugs from Canada, and the FDA authorized the first such plan in Florida in January 2024, which has been extended until November 2025. It is unclear how this program will be implemented, including which drugs will be chosen, and whether it will be subject to legal challenges in the United States or Canada. Other states have also submitted proposals that are pending review by the FDA.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 products that we successfully commercialize or put pressure on our product pricing.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product candidates and any future product candidates or additional pricing pressures.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Healthcare providers, physicians and third-party payors will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federal false claims and civil monetary penalties laws, including 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HITECH, which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and state consumer protection and unfair competition laws, which broadly regulate marketplace activities and activities that potentially harm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Physician Payments Sunshine Act created under the ACA, and its implementing regulations, which require that certain manufacturers of drugs, devices, medical supplies and therapeutic biologics that are reimbursable under Medicare, Medicaid, and Children’s Health Insurance Programs report annually to the Department of Health and Human Services information related to certain payments and other transfers of value to physicians, as defined by such law, physician assistants, certain types of advance practice nurses and teaching hospitals, as well as ownership and investment interests held by the physicians described above and their immediate family members;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analogous state laws and regulations, such as state anti-kickback and false claims laws that may apply to sales or marketing arrangements and claims involving healthcare items or services reimbursed by non-governmental third-party payors, including private insurers; some state laws require that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information related to drug pricing, including price increases. State and local laws require the registration of pharmaceutical sales representatives.</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Foreign and state laws also govern the privacy and security of health information in some circumstances, many of which differ from each other in significant ways and often are not preempted by HIPAA, thus complicating compliance efforts. For instance, the collection and use of health data in the EU is governed by the General Data Protection Regulation (“GDPR”) which extends the geographical scope of EU data protection law to non-EU entities under certain conditions, tightens existing EU data protection principles and creates new obligations for companies and new rights for individuals. Failure to comply with the GDPR may result in substantial fines and other administrative penalties. The GDPR may increase our responsibility and liability in relation to personal data that we possess and we may be required to put in place additional mechanisms ensuring compliance with the GDPR. We comply with the GDPR and the UK GDPR, which, together with the amended UK Data Protection Act 2018, retains the GDPR in United Kingdom national law, the latter regime having the ability to separately fine and penalize violations.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Ongoing developments in the United Kingdom have created additional uncertainty regarding personal data transfers from the European Economic Area (EEA) to the United Kingdom following the termination of the personal data transfer grace period set out in the EU and United Kingdom Trade and Cooperation Agreement, which ended on June 30, 2021. It is not clear whether (and when) an adequacy decision may be granted by the European Commission enabling data transfers from EU member states to the United Kingdom long term without additional measures. Moreover, in July 2020 the Court of Justice of the European Union (“CJEU”) invalidated the EU-US Privacy Shield Framework (“Privacy Shield”) under which personal data could be transferred from the EEA and the United Kingdom to entities in the United States who had self-certified under the Privacy Shield scheme. This has led to uncertainty about the adequate transfer mechanisms for other personal data transfers from the EEA and the United Kingdom to the United States or interruption of such transfers. In the event that any court of law orders the suspension of personal data transfers to or from a particular jurisdiction this could give rise to operational interruption in the performance of services for customers, greater costs to implement alternative data transfer mechanisms that are still permitted, regulatory liabilities or reputational harm.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addition, state laws govern the privacy and security of health information in specified circumstances, many of which differ from each other in significant ways and may not have the same effect, thus complicating compliance efforts. Certain state laws may be more stringent or broader in scope, or offer greater individual rights, with respect to personal information, and such laws may differ from each other, all of which may complicate compliance efforts. For example, the CCPA, as modified by the CPRA,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and CPRA may increase our compliance costs and potential liability, and similar laws have been proposed at the federal level and in other states. In addition, Virginia’s Consumer Data Protection Act, which took effect on January 1, 2023, requires businesses subject to the legislation to conduct data protection assessments in certain circumstances and requires opt-in consent from consumers to acquire and process their sensitive personal information, which includes information revealing a consumer’s physical and mental health diagnosis and genetic and biometric information that can identify a consumer. Colorado enacted the Colorado Privacy Act, and Connecticut enacted the Connecticut Data Privacy Act, each of which took effect on July 1, 2023, and Utah enacted the Consumer Privacy Act, which became effective on December 31, 2023, and each of these laws may increase the complexity, variation in requirements, restrictions, and potential legal risks, and could require increased compliance costs and changes in business practices and policies. Other states have also enacted, proposed, or are considering proposing, data privacy laws, which could further complicate compliance efforts, increase our potential liability and adversely affect our business.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Ensuring that our internal operations and future business arrangements with third parties comply with applicable healthcare, privacy and securities laws and regulations worldwide will involve substantial costs. If our operations are found to be in violation of any of the laws described above or any other governmental laws and regulations that may apply to us, we may be subject to regulatory investigations and enforcement actions, as well as civil private plaintiff litigation, which could mean significant penalties, including civil, criminal and administrative penalties, damages, fines, exclusion from participation in government-funded healthcare programs such as Medicare and Medicaid or similar programs in other countries or jurisdictions, disgorgement, imprisonment, reputational harm and diminished profits. Responding to regulatory inquiries and defending against any such actions can be costly, time-consuming and may require significant financial and personnel resources. Therefore, even if we are successful in defending against any such actions that may be brought against us, our business may be impaired.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U.S. and foreign regulatory requirements, regulatory authorities could limit or withdraw any marketing or commercialization approvals we may receive and subject us to other penalties that could materially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United States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from the market. The FDA also 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We rely, and expect we will continue to rely, on third-party manufacturers, and we will not have control over compliance with applicable rules and regulations by such manufacturers. Any product promotion and advertising will also be subject to regulatory requirements and continuing regulatory review. If we or our existing or future collaborators, manufacturers or service providers fail to comply with applicable continuing regulatory requirements in the United States or foreign jurisdictions in which we seek to market our products, we or they may be subject to, among other things, fines, warning or untitled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injunctions, civil penalties and criminal prosecution.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research and development activities could be affected or delayed as a result of possible restrictions on animal testing.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laws and regulations may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April 2025, the FDA announced a plan to phase out animal testing requirements for monoclonal antibodies and other drugs. This plan involves replacing animal testing with scientifically validated new approach methodologies (“NAMs”), including computational modeling and </w:t>
      </w:r>
      <w:r>
        <w:rPr>
          <w:rFonts w:ascii="Times New Roman" w:hAnsi="Times New Roman"/>
          <w:i/>
          <w:color w:val="000000"/>
          <w:sz w:val="20"/>
        </w:rPr>
        <w:t>in vitro</w:t>
      </w:r>
      <w:r>
        <w:rPr>
          <w:rFonts w:ascii="Times New Roman" w:hAnsi="Times New Roman"/>
          <w:color w:val="000000"/>
          <w:sz w:val="20"/>
        </w:rPr>
        <w:t xml:space="preserve"> human-based systems. A roadmap published at the time of the announcement lays out an implementation plan over the next three years, which includes encouraging sponsors to submit NAM data in parallel with animal data, efforts to encourage the reduction and duration of animal testing, and exploration of the feasibility of replacing animal testing with NAMs. This roadmap also identified a long-term goal (3-5 years) to make animal studies the exception, rather than the norm. There is substantial uncertainty regarding the steps the FDA may ultimately take to encourage or require companies to reduce the use of animal testing for any type of investigational product, when such steps might be taken, and what consequences these might have for development programs such as ours. Furthermore, animal testing may still be required for drug approval outside of the U.S. which could impact our development timelines and cost.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and our third-party contractors must comply with environmental, health and safety laws and regulations. A failure to comply with these laws and regulations could expose us to significant costs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our third-party contractors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distribution, storage, handling, treatment or disposal of hazardous materials and wastes. In the event of contamination or injury, or failure to comply with environmental, health and safety laws and regulations, we could be held liable for any resulting damages, fines and penalties associated with such liability which could exceed our assets and resources.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Although we maintain workers’ compensation insurance to cover us for costs and expenses we may incur due to injuries to our employees resulting from the use of biological or hazardous materials or wastes arising out of and in the course of employment, this insurance may not provide adequate coverage against potential liabilities. We do not maintain insurance for environmental liability that may be asserted against us in connection with our storage or disposal of biological, hazardous or radioactive materials.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tax laws or in their implementation or interpretation may adversely affect us or our investors.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rules dealing with the U.S. federal, state and local income taxation are constantly under review by persons involved in the legislative process and by the Internal Revenue Service (“IRS”) and the U.S. Treasury Department. Changes to tax laws (which changes may have retroactive application) could adversely affect us or holders of our common stock. In recent years, many changes have been made and changes are likely to continue to occur in the future. For example, the OBBBA was signed into law on July 4, 2025, and extends many of the tax law provisions that were set to expire in 2025, allows for the immediate expensing of domestic U.S. research and development expenses, and makes changes to the U.S. taxation of profits derived from foreign operations. The impact of this newly enacted law on our tax position is currently under review and will depend on how the provision is implemented and interpreted by the IRS and other regulatory authorities. 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employee matters, managing our growth and other risks related to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attract and retain qualified senior management and key clinical and scientific personnel, our business may be materially and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in part on our continued ability to attract, retain and motivate highly qualified management and clinical and scientific personnel. We are highly dependent upon members of our senior management, including Jay M. Short, Ph.D., our Chairman and Chief Executive Officer, as well as our clinical development leaders, senior scientists, and other members of our senior management team. The loss of services of any of these individuals could delay or prevent the successful development of our product pipeline, the initiation and completion of our planned clinical trials or the commercialization of product candidates or any future product candidates.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There is competition for qualified personnel in the pharmaceutical, biopharmaceutical and biotechnology field due to the limited number of individuals who possess the skills and experience required by our industry. We will need to hire additional personnel as we expand our clinical development and if we initiate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currently have no sales organization. 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do not have a marketing or sales organization. In order to commercialize our product candidates in the United States and foreign jurisdictions on our own, we must build our marketing, sales, distribution, managerial and other non-technical capabilities or make arrangements with third parties to perform these services, and we may not be successful in doing so. If any of our product candidates receives regulatory approval, we will need to develop internal sales, marketing and distribution capabilities to commercialize such products, which would be expensive and time-consuming, or make arrangements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existing or future collaborators, we will need to establish and maintain marketing and distribution arrangements with third parties, and we cannot assure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that we will be able to enter into such arrangements on acceptable terms, or at all. In entering into third-party marketing or distribution arrangements, any revenue we receive will depend upon the efforts of the third parties, and we cannot assure you that such third parties will establish adequate sales and distribution capabilities or be successful in gaining market acceptance of any approved product. If we are not successful in commercializing any product approved in the future, either on our own or through arrangements with one or more third parties, we may not be able to generate any future product revenue and we would incur significant additional losses.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 order to successfully implement our plans and strategies, we will need to grow the size of our organization, and we may experience difficulties in managing this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successfully implement our development and commercialization plans and strategies, and operate as a public company, we expect to need additional development, managerial, operational, financial, sales, marketing and other personnel. Future growth would impose significant added responsibilities on members of management,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recruiting, integrating, maintaining and motivating additional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our internal development efforts effectively, including the clinical and regulatory review process for mecbotamab vedotin, ozuriftamab vedotin, evalstotug, BA3182 and any other product candidates, while complying with our contractual obligations to contractors and other third parties;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improving our operational, financial and management controls, reporting systems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financial performance and our ability to successfully develop and, if approved, commercialize mecbotamab vedotin, ozuriftamab vedotin, evalstotug, BA3182, and any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To date, we have used the services of outside vendors to augment our capabilities in performing certain tasks, including preclinical and clinical trial management, manufacturing, statistics and analysis and research and development functions. Our growth strategy may also entail expanding our group of such contractors or consultants to assist in implementing these tasks going forward. Because we rely on numerous consultants,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mecbotamab vedotin, ozuriftamab vedotin, evalstotug, BA3182, and any future product candidates or otherwise advance our business. We may not be able to manage our existing outside contractors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mecbotamab vedotin, ozuriftamab vedotin, evalstotug, BA3182, and any future product candidates and, accordingly, may not achieve our research, development and commercialization goals.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employees and independent contractors, including principal investigators, CROs, consultants and vendors, may engage in misconduct or other improper activities, including noncompliance with regulatory standards and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that our employees and independent contractors, including principal investigators, CROs, consultants and vendors may violate (intentionally or unintentionally) our internal processes and procedures, or engage in misconduct or other illegal activity. Such actions could include intentional, reckless and/or negligent conduct or disclosure of unauthorized activities to us that violate: (1) the laws and regulations of the FDA and other similar regulatory requirements, including those laws that require the reporting of true, complete and accurate information to such authorities, (2) manufacturing standards, including cGMP requirements, (3) data privacy, security, fraud and abuse and other healthcare laws and regulations in the United States and abroad or (4)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prevent and deter these activities and/or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actions, including fraud or other misconduct, even if none occurred. If any such actions are instituted against us, we may incur significant costs to respond, and if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federal healthcare programs, individual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depend on our information technology systems and those of our CROs, manufacturers, contractors and consultants. Our internal computer systems, such as our enterprise resource planning (“ERP”) system, or those of any of our CROs, manufacturers, other contractors, consultants, existing or future collaborators, may fail or suffer security or data privacy breaches or other unauthorized or improper access to, use or acquisition of or destruction of our proprietary and confidential data, employee data or personal data, which could result in additional costs, loss of revenue, significant liabilities, harm to our reputation and material disruption of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our business, we collect, store and transmit large amounts of confidential information, including intellectual property, proprietary business information and personal information. Despite the implementation of security measures, our internal computer systems and infrastructure and those of our current and any future CROs, manufacturers, other contractors, consultants, existing or future collaborators and other third-party service providers are vulnerable to unauthorized access, impairment, or damage from various methods, including cybersecurity attacks, ransomware attacks, breaches, intentional or accidental mistakes or errors, or other technological failures, which can include, among other things, computer viruses, malware, exploit of unpatched product or service vulnerabilities, unauthorized access attempts (including third parties gaining access to systems using stolen or inferred credentials), denial-of-service attacks, phishing attempts, service disruptions, natural disasters, fire, terrorism, war, telecommunication and electrical failures, and attacks enhanced or facilitated by AI. As the cyber-threat landscape evolves, these attacks are growing in frequency, levels of persistence, sophistication and intensity, are becoming increasingly difficult to detect, and are being conducted by sophisticated groups and individuals with a wide range of motives and expertise.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If such an event were to occur and cause interruptions in our operations, impact to critical data or systems, or result in the unauthorized acquisition of or access to personally identifiable information or individually identifiable health information (violating certain privacy, cybersecurity or data protection laws such as HIPAA, HITECH, the CCPA and GDPR), it could result in a material disruption of our product candidate development programs and our business operations and we could incur significant liabilities. There also could be requirements that we notify individuals and regulators in the event of unauthorized access to, acquisition, destruction, alteration, or misuse of, personal or health information, which could result from breaches experienced by us or by our vendors, contractors or organizations with which we have formed strategic relationships. Notifications and follow-up actions related to a security breach could impact our reputation and cause us to incur significant costs, including legal expenses and remediation costs, and result in the loss of confidence by our partners, customers, and stakeholders, and thereby have longer term adverse impact on our business operations and revenue. For example, the loss of clinical trial data from completed, ongoing or future clinical trials involving our product candidates could result in delays in our regulatory approval efforts and significantly increase our costs to recover or reproduce the lost data. In addition, because of our approach of running multiple clinical trials in parallel, any breach of our computer systems may result in a loss of data or compromised data integrity across many of our programs in various stages of development.</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or international privacy and security laws.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We operate our ERP system and other key business systems on SaaS platforms. Accordingly, we depend on these systems, and the third-party providers of these services, for several aspects of our operations. If these service providers or these systems fail, or if we are unable to continue to have access to these systems on commercially reasonable terms, or at all, operations could be severely disrupted until an equivalent system(s) could be identified, licensed or developed, and integrated into our operations. This disruption could have a material adverse effect on our business.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addition to experiencing a security incident, third parties may gather, collect, or infer sensitive data about us from public sources, data brokers, or other means that reveal competitively sensitive details about our organization and could be used to undermine our competitive advantage or market position. Additionally, sensitive data of the Company could be leaked, disclosed, or revealed as a result of or in connection with our employees’, personnel’s, or vendors’ use of generative AI technologies.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portion of our research and development activities take place in China.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 preclinical research and development activities in China through BioDuro-Sundia, which is U.S. owned, but governed by Chinese laws, rules and regulations. Additionally, our agreement with Himalaya Therapeutics Limited Company is for the initiation of clinical trials of evalstotug in the People’s Republic of China. The Chinese legal system is a civil law system based on written statutes. Unlike the common law system, prior court decisions may be cited for reference but have limited precedential value. In addition, the Chinese legal system is based in part on government policies and internal rules, some of which are not published on a timely basis or not published at all, and which may have a retroactive effect. As a result, we may not be aware of our violation of these policies and rules until after the occurrence of the violation. Any administrative and court proceedings in China may be protracted, resulting in substantial costs and diversion of resources and management attention. Since Chinese administrative and court authorities have significant discretion in interpreting and implementing statutory and contractual terms, it may be more difficult to evaluate the outcome of administrative and court proceedings and the level of legal protection we enjoy than in U.S. or EU legal systems.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We do some business with companies in China and it is possible some of our contractual counterparties could be impacted by the legislation targeting China. One particular executive order titled Advancing Biotechnology and Biomanufacturing Innovation for a Sustainable, Safe, and Secure American Bioeconomy signed on September 12, 2022 will likely impact the pharmaceutical industry to encourage U.S. domestic manufacturing of pharmaceutical products. Moreover, there have been Congressional legislative proposals, such as the bill titled the BIOSECURE Act, a version of which was introduced in Congress in 2024 and passed by the House of Representatives but was not passed by the Senate. A substantially similar bill could be reintroduced in Congress in the future, which could, among other things, prohibit U.S. federal procurement of biotechnology equipment or services produced or provided by certain named Chinese “biotechnology companies of concern” and loans and grants to, and federal contracts with any entity that uses biotechnology equipment or services from one of these entities in performance of the government contract, grant, or loan. There is significant uncertainty regarding the ultimate form and impact of such initiatives.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Furthermore, we are exposed to the possibility of disruption of our research and development activities in the event of changes in the policies of the United States or Chinese governments, political unrest or unstable economic conditions in China, including the escalation of tensions between China and Taiwan. In addition, disagreements between the United States and China with respect to their political, military or economic policies toward Taiwan may contribute to further controversies. For example, a trade war could lead to increased costs for clinical materials that are manufactured in China. These interruptions or failures and any restrictive measures resulting from a deterioration of U.S.- China relations could also result in impeding the commercialization of our product candidates and impair our competitive position. Further, we may be exposed to fluctuations in the value of the local currency in China. Future appreciation of the local currency could increase our costs. These uncertainties may impede our ability to enforce the contracts we have entered into and our ability to continue our research and development activities and could materially and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current operations are concentrated in two locations. We or the third parties upon whom we depend may be adversely affected by earthquakes, wildfires or other natural disasters, and our business continuity and disaster recovery plans may not adequately protect us from a serious disaster.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portion of our current operations are located in our facilities in San Diego, California, and we conduct a portion of our research and development activities in China through our arrangement with BioDuro-Sundia. Any unplanned event, such as flood, fire, explosion, earthquake, extreme weather condition, medical epidemics or pandemics,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us from using all or a significant portion of our headquarters, damaged critical infrastructure, such as our research facilities or the manufacturing facilities of our third-party contract manufacturers, or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 In addition, all of our therapeutic antibodies are manufactured by starting with cells from a master cell bank which are stored in multiple locations to reduce the risk of loss. While we believe we will have adequate backup should any cell bank be lost in a catastrophic event, and we take precautions when transporting our cell banks, it is possible that we could lose several cell banks and have our manufacturing severely impacted by the need to replace the cell banks.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is subject to economic, political, regulatory and other risks associated with conducting business internationally.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our collaborators or licensees may seek regulatory approval of our product candidates outside of the United States including in China, the EU, Australia, New Zealand, and Japan. Additionally, pursuant to our agreement with Himalaya Therapeutics Limited Company, we conduct clinical trials in the People’s Republic of China. Accordingly, we expect that we will be subject to additional risks related to operating in foreign countries if we obtain the necessary approvals,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regulatory requirements and reimbursement regimes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tariffs, trade barriers, price and exchange controls and other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taxes, including withholding of payroll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 and other obligations incident to doing business in another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staffing and managing foreign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workforce uncertainty in countries where labor unrest is more common than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liability under the FCPA or comparable foreign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abroad;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and terrorism.</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Furthermore, changes in laws or policies governing the terms of trade, and in particular increased trade restrictions, tariffs or taxes on imports from countries where we manufacture products, such as China, could have a material adverse effect on our business and financial results. The impact of these tariffs is subject to several factors, including the effective date and duration of such tariffs, changes in the amount, scope and nature of the tariffs in the future, any retaliatory responses to such actions that the target countries may take and any mitigating actions that may become available. Under the current U.S. administration, there is significant and increasing uncertainty about the future relationship between the United States, China, and other exporting countries, including with respect to trade policies, treaties, government regulations, and tariffs. On April 9, 2025, President Trump announced a pause to previously announced tariffs on most countries for 90 days while the United States works with its trade partners to negotiate new trade agreements. On May 12, 2025, a new executive order was issued by President Trump to (i) suspend the previously imposed 34% reciprocal tariff on imports from China for a period of 90 days, through approximately August 12, 2025; (ii) eliminate the retaliatory tariff increases imposed on April 8 and April 9, which had raised the reciprocal tariff rate from 34% to 125%; and (iii) reinstate the 10% baseline tariff on imports originating from China, Hong Kong, and Macau for the duration of the 90-day period. On July 7, 2025, President Trump delayed imposition of new tariff rates until August 1, 2025, and sent letters to leaders of 14 countries with warnings that new higher tariff rates will come into effect unless they reach a trade agreement with the United States by August 1, 2025. Effective as of August 7, 2025, most imports to the U.S. will be subject to additional duties ranging from 15% to 40%. Notably with respect to China, the pause at 10% is due to expire on August 12, 2025.</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Despite recent trade negotiations between the U.S. and the Mexican, Canadian and Chinese governments, given the uncertainty regarding the scope and duration of any new tariffs, as well as the potential for additional tariffs or trade barriers by the U.S., Mexico, Canada, China or other countries, we can provide no assurance that any strategies we implement to mitigate the impact of such tariffs or other trade actions will be successful.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Additionally, geopolitical tensions and disruptions, such as the ongoing conflict between Russia and Ukraine, the wars between Israel and the terrorist groups Hamas and Hezbollah and escalating conflict and tensions with Iran, could impact our current and future international operations or our ability to seek approval of our product candidates outside of the United States. It is not possible to predict the broader consequences of these conflicts, which could include further sanctions, embargoes, greater regional instability, geopolitical shifts and other adverse effects on macroeconomic conditions, such as tariffs and trade disputes with other countries, inflation, rising interest rates, currency exchange rates, supply chain challenges and financial market conditions. These and other risks associated with our international operations may materially adversely affect our ability to attain or maintain profitable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face risks related to health epidemics and outbreaks, which could significantly disrupt our preclinical studies, affect enrollment of patients in our clinical trials or delay or prevent our receipt of necessary regulatory approvals.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risks related to health epidemics or outbreaks of communicable diseases. The outbreak of communicable diseases could result in a widespread health crisis that could adversely affect general commercial activity and the economies and financial markets of many countries. Health pandemics in the past have resulted in, and in the future may result in, governments implementing numerous containment measures, such as travel bans and restrictions, particularly quarantines, shelter-in-place or total lock-down orders and business limitations and shutdowns.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We are following, and plan to continue to follow, recommendations from federal, state and local governments regarding workplace policies, practices and procedures. We are complying with all applicable guidelines for our clinical trials, including remote clinical monitoring.</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In addition, health epidemics in the past have had, and in the future may have, a severe effect on the clinical trials of many drug candidates of several sponsors. The extent to which any future health epidemics may impact our preclinical and clinical trial operations is uncertain and will depend on future developments. Disruptions or restrictions on our ability to travel to monitor data from our clinical trials, or to conduct clinical trials, or the ability of patients enrolled in our studies to travel, or the ability of staff at study sites to travel, as well as temporary closures of our facilities or the facilities of our clinical trial partners and their contract manufacturers, would negatively impact our clinical trial activities. In addition, we rely on independent clinical investigators, CROs and other third-party service providers to assist us in managing, monitoring and otherwise carrying out our preclinical studies and clinical trials, including the collection of data from our clinical trials, and an outbreak may affect their ability to devote sufficient time and resources to our programs or to travel to sites to perform work for us. Similarly, the expected timeline for data readouts of our preclinical studies and clinical trials and certain regulatory filings may be negatively impacted, which would adversely affect our ability to obtain regulatory approval for and to commercialize our product candidates, increase our operating expenses and have a material adverse effect on our business, financial condition, results of operations and prospects.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dependence on third parties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entered, and may in the future seek to enter, into collaborations with third parties for the development and commercialization of certain of our product candidates. If we fail to enter into such collaborations, or such collaborations are not successful, we may not be able to capitalize on the market potential of our patented technology platform and resulting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and may in the future seek to enter, into collaborations with third parties for the development and commercialization of certain of our product candidates. For example, in September 2024 we entered into an agreement to license BA3361, a Nectin-4 x CD3 T cell engaging (“TCE”) bispecific CAB antibody to Context Therapeutics. In addition, we are currently exploring potential third-party collaborators for development and commercialization of select CAB product candidates. With respect to our collaborations, and what we expect will be the case with any future license or collaboration agreements, we have, and would expect to have, limited control over the amount and timing of resources that our existing or future collaborators dedicate to the development or commercialization of our product candidates. Our ability to generate revenues from these arrangements will depend on our existing or future collaborators’ willingness to select additional product candidates to license and their abilities and willingness to fulfill their payment obligations and successfully perform the functions assigned to them in these arrangements.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Our existing collaboration arrangements currently pose, and future collaborations involving our product candidates will pose, the following risks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these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pursue development and commercialization of our product candidates or may elect not to continue or renew development or commercialization programs based on preclinical or clinical trial results, changes in the collaborators’ strategic focus due to their acquisition of competitive products or their internal development of competitive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products, available funding or other external factors, such as a business combination that diverts resources or creates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and other alliances could independently develop, or develop with third parties, products that compete directly or indirectly with our product candidate, particularly if the collaborators believe that competitive products are more likely to be successfully developed or can be commercialized under terms that are more economically attractive than ours;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with marketing, manufacturing and distribution rights to one or more products may not commit sufficient resources to or otherwise not perform satisfactorily in carrying out these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grant exclusive rights to our collaborators that would prevent us from collaborating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infringe the intellectual property rights of third parties, which may expose us to litigation and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the collaborators and us that result in the delay or termination of the research, development or commercialization of our product candidate or that result in costly litigation or arbitration that diverts management attention and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with respect to the ownership of any intellectual property developed pursuant to our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provide us with timely and accurate information regarding development, regulatory or commercialization status or results, which could adversely impact our ability to manage our own development efforts, accurately forecast financial results or provide timely information to our stockholders regarding our out-licensed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this may result in a need for additional capital to pursue further development or commercialization of the applicable current or future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sales and marketing activities or other operations may not be in compliance with applicable laws resulting in civil or criminal proceedings.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existing or future collaborators cease development efforts under our existing or future collaboration agreements, or if any of those agreements are terminated, we may lose committed funding under those agreements and these collaborations may fail to lead to commercial products and the reputation of our patented CAB technology platform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from research and development collaborations depend upon continuation of the collaborations, initiation and expansion of the number of programs subject to the collaborations, the achievement of milestones and royalties, if any, derived from future products developed from our research. If we are unable to successfully advance the development of our product candidates or achieve milestones, revenue and cash resources from milestone payments under our existing or future collaboration agreements will be substantially less than expected.</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Our ability to advance our product candidates may be limited by third parties on which we rely for certain technologies which we use in certain of our programs. If any third party developing our product candidates or other candidates based on our patented CAB technology platform experiences a delay or failure in development, regulatory approval or commercialization, even if such failure is not due to our CAB technology, it could reflect negatively on us, our other product candidates and our patented CAB technology platform. In addition, if one of our current or future collaborators terminates its agreement with us, we may find it more difficult to attract new collaborators and our perception in the business and financial communities and our stock price could be adversely affected.</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successful in establishing commercialization collaborations, which could adversely affect our ability to commercialize our product candidates,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evaluate and, if strategically attractive, seek to enter into additional collaborations, including with major biotechnology or biopharmaceutical companies. The competition for collaborators is intense, and such arrangements are complex and time-consuming to negotiate, document, and implement and they may require substantial resources to maintain.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addition, it is possible that a collaborator may not devote sufficient resources to the commercialization of our product candidates or may otherwise fail in its commercialization efforts, in which event the commercialization of such product candidates could be delayed or terminated and our business could be substantially harmed. In addition, the terms of any collaboration or other arrangement that we establish may not be favorable to us or may not be perceived as favorable, which may negatively impact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third parties on which we rely to conduct our preclinical and clinical trials,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and expect we will continue to rely, on third-party investigators, CROs, data management organizations and consultants to conduct, supervise and monitor our ongoing clinical trials and preclinical studies. Because we rely on these third parties and do not have the ability to conduct preclinical studies or clinical trials independently, we have less control over the timing, quality and other aspects of preclinical studies and clinical trials than we would have had we conducted them on our own. These investigators, CROs and consultants are not our employees and we will have limited control over the amount of time and resources that they dedicate to our development programs. These third parties may have contractual relationships with other entities, some of which may be our competitors, which may draw time and resources from our development programs. The third parties with whom we contract might not be diligent, careful or timely in conducting our preclinical studies or clinical trials, resulting in the preclinical studies or clinical trials being delayed or unsuccessful.</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If we do 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development programs could be delayed and otherwise adversely affected. Furthermore, we depend on the availability of various animals to conduct certain preclinical studies that we are required to complete prior to submitting an IND and initiating clinical development or to continue clinical development, including pharmacological and toxicology evaluations. The availability of suitable animals can vary and impact our development timeline and cost. In all events, we are responsible for ensuring that each of our preclinical studies and clinical trials are conducted in accordance with the general investigational plan, protocols for the trial and regulatory requirements. The FDA requires preclinical studies to be conducted in accordance with GLPs and clinical trials to be conducted in accordance with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does not relieve us of these responsibilities and requirements. Any adverse development or delay in our preclinical studies and clinical trials could have a material and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third parties for the manufacture of our product candidates for preclinical studies and our ongoing clinical trials, and we expect to continue to do so for additional clinical trials and ultimately commercialization. This reliance on third parties increases the risk that we will not have sufficient quantities of our product candidates or products, if approved, or such quantities at an acceptable cost, which could delay, prevent or impair our development or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and expect we will continue to rely, on third-party contract manufacturers to manufacture our preclinical and clinical trial product supplies and the raw materials used to create our product candidates. We do not own manufacturing facilities for producing such supplies, and we do not have long-term manufacturing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We cannot assure you that our preclinical and clinical development product supplies or raw materials will not be limited, interrupted, or be of satisfactory quality or continue to be available at acceptable prices. In particular, any replacement of a manufacturer could require significant effort and expertise because there are a limited number of qualified replacements. The technical skills or technology required to manufacture our product candidates may be unique or proprietary to the original manufacturer and we may have difficulty transferring such skills or technology to another third party and a feasible alternative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not exist. These factors would increase our reliance on such manufacturer or require us to obtain a license from such manufacturer in order to have another third-party manufacture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submit an application for regulatory approval of any of our product candidates, the facilities used by our contract manufacturers to manufacture our product candidates will be subject to inspection by the FDA or other regulatory authorities. If our contract manufacturers cannot successfully manufacture material that conforms to our specifications and the strict regulatory requirements of the FDA or others or if they are unable to maintain a compliance status acceptable to the FDA or other regulatory authorities, approval of our product candidates may be delayed or we may need to find alternative manufacturing facilities, which would significantly impact our ability to develop, obtain regulatory approval for or market our product candidates, if approved.</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We expect to continue to rely on third-party manufacturers if we receive regulatory approval for any product candidate. If we are unable to obtain or maintain third-party manufacturing for product candidates, or to do so on commercially reasonable terms, we may not be able to develop and commercialize our product candidates successfully. Even if we are able to establish agreements with third-party manufacturers, reliance on third-party manufacturers entails additional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reduction or termination of production or deliveries by suppliers, or the raising of prices or renegotiation of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termination or nonrenewal of arrangements or agreements by our third-party contractors at a time that is costly or inconvenient for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breach by the third-party contractors of our agreements with them;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third-party contractors to comply with applicable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the third party to manufacture our product candidates according to our specifications;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mislabeling of clinical supplies, potentially resulting in the wrong dose amounts being supplied or active drug not being properly identified;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misappropriation of our proprietary information, including our trade secrets and know-how.</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addition, we have no material long-term contracts with our suppliers, and we compete with other companies for raw materials and production. We may experience a significant disruption in the supply of raw materials from current sources or, in the event of a disruption, we may be unable to locate alternative materials suppliers of comparable quality at an acceptable price, or at all. In addition, if we experience significant increased demand, or if we need to replace an existing supplier, we may be unable to locate additional supplies of raw materials on terms that are acceptable to us, or at all, or we may be unable to locate any supplier with sufficient capacity to meet our requirements or to fill our orders in a timely manner. Identifying a suitable supplier is an involved process that requires us to become satisfied with their quality control, responsiveness and service, financial stability and labor and other ethical practices. Even if we are able to expand existing sources, we may encounter delays in production and added costs as a result of the time it takes to train suppliers in our methods, products and quality control standards.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manufacture of biotechnology products is complex, and manufacturers often encounter difficulties in production. If we or any of our third-party manufacturers encounter any loss of materials or if any of our third-party manufacturers encounter other difficulties, or otherwise fail to comply with their contractual or regulatory obligations, our ability to provide product candidates for clinical trials or our products to patients, once approved, the development or commercialization of our product candidates could be delayed or stopped.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manufacture of biotechnology products is complex and requires significant expertise and capital investment, including the development of advanced manufacturing techniques and process controls. We and our contract manufacturers must comply with cGMPs, regulations and guidelines for the manufacturing of biologics used in clinical trials and, if approved, marketed products. In order to conduct clinical trials of our product candidates, we and existing and future collaborators will need to manufacture them in large quantities and in accordance with cGMPs. Manufacturers of biotechnology products often encounter difficulties in production, particularly in scaling up and validating initial production. In addition,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 Furthermore, changes in our manufacturing methods may require comparability studies, including clinical bridging studies, which may result in delays to the approval process for our product candidates.</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All of our therapeutic antibodies are manufactured by starting with cells from a cell bank. In accordance with cGMPs, we produce one master cell bank for each antibody manufactured, which is then stored in multiple locations to reduce the risk of loss. We have also created a working cell bank for certain manufactured antibodies.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or enforcement actions by regulatory authorities.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financial condition, results of operations and prospects.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in part on our ability to obtain and maintain patents and other forms of intellectual property rights, including in-licenses of intellectual property rights of others, for our product candidates, methods used to develop and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The patent process is expensive and time-consuming, and we may not be able to apply for patents on certain aspects of our product candidates in a timely fashion, at a reasonable cost, in all jurisdictions,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Moreover, the patent position of biotechnology and biopharmaceutical companies can be highly uncertain because it involves complex legal and factual issues.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 Furthermore, even if they are unchallenged, our patents and patent applications may not adequately protect our intellectual property, provide exclusivity for our product candidates, or prevent others from designing around our patent claims.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granted patents. In the course of such proceedings, which may continue for a protracted period of time, the patent owner may be compelled to limit the scope of the allowed or granted patent claims thus attacked, or may lose the allowed or granted claims altogether. In the past we have been party to a patent opposition proceeding at the European Patent Office, or EPO, and we may in the future become party to patent opposition proceedings in the EPO or similar proceedings in other foreign patent offices. In addition, we cannot assure you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obtain, maintain, protect and enforce intellectual property protection for our technologies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will not or may not be able to make, use or sell compounds that are the same as or similar to our product candidates but that are not covered by the claims of the patents that we own or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or our existing or future collaborators are the first to make the inventions covered by each of our issued patents and pending patent applications that we own or license.</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or our existing or future collaborators are the first to file patent applications covering certain aspects of our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will not independently develop similar or alternative technologies or duplicate any of our technologies without infringing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third party may not challenge our patents and, if challenged, that a court would hold that our patents are valid, enforceable and infringed.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issued patents that we own or have licensed will provide us with any competitive advantage, or will not be challenged by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develop or in-license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Pending patent applications that we own or may license will lead to issued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will not have a material or adverse effect on our business, financial condition, results of operations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do not conduct research and development activities in countries where we do not have enforceable patent rights and then use the information learned from such activities to develop competitive products for sale in our commercial markets.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If the breadth or strength of protection provided by the patents and patent applications we hold, obtain or pursue with respect to our product candidates is challenged, or if they fail to provide meaningful exclusivity for our product candidates, it could threaten our ability to practice our technologies or commercialize our product candidates. We cannot offer any assurances about which, if any, patents will issue, the breadth of any such patent, or whether any issued patents will be found invalid and unenforceable or will be threatened by third parties. Furthermore, an interference or derivation proceeding can be provoked by a third party or instituted by a patent office or in a court proceeding, to determine who was the first to invent any of the subject matter covered by the patent claims of our applications.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Where we obtain licenses from third parties,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seeking patent protection for certain aspects of our product candidates, we also consider trade secrets, including confidential and unpatented know-how important to the maintenance of our competitive position. We seek to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could be harmed.</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we would have no right to prevent such competitor from using that technology or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information to compete with us, which could harm our competitive position.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 Even if we are able to adequately protect our trade secrets and proprietary information, our trade secrets could otherwise become known or could be independently discovered by our competitors. Competitors could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in the absence of patent protection, we would have no right to prevent them, or those to whom they communicate, from using that technology or information to compete with us. If our trade secrets are not adequately protected so as to protect our market against competitors’ products, others may be able to exploit our product candidates and discovery technologies to identify and develop competing product candidates, and thus our competitive position could be adversely affected, as could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terms of our patents may not protect our competitive position on our product candidates for an adequate amount of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have a limited lifespan. In the United States, if all maintenance fees are timely paid, the natural expiration of a patent is generally 20 years after its earliest U.S. non-provisional effective filing date. Although various extensions may be available, the life of a patent, and the protection it affords, is limited. Even if patents covering our technologies or product candidates are obtained, once the patent life has expired, we may be open to competition. Our issued patents will expire on dates ranging from 2030 to 2040, subject to any additional patent extensions that may be available for such patents. If patents are issued on our pending patent applications, the resulting patents are projected to expire on dates ranging from 2030 to 2044 plus any potential patent extensions that may be available for such patents. Due to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do not obtain patent term extension for our product candidates, our business may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Depending upon the timing, duration and specifics of FDA marketing approval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patent reform legislation could increase the uncertainties and costs surrounding the prosecution of our patent applications and the enforcement or defense of our issued patents.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2011, the Leahy-Smith America Invents Act, or Leahy-Smith Act, was signed into law. The Leahy-Smith Act includes several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another party was first to invent the claimed invention. A third party that filed or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render our technology to be patentable over the prior art. Since patent applications in the United States and most other countries are confidential for a period of time after filing or until issuance, we cannot be certain that we were the first to either (i) file any patent application related to our product candidates or (ii) invent any of the inventions claimed in our patents or patent applications.</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Leahy-Smith Act also includes several significant changes that affect the way patent applications will be prosecuted and also may affect patent litigation. These include allowing third-party submission of prior art to the USPTO during patent prosecution and the provision of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Because of the application of a lower evidentiary standard in USPTO proceedings compared to the evidentiary standard applied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patent claims that would not have been invalidated if first challenged by the third party as a defendant in a district court action. Thus, the Leahy-Smith Act and its implementation could increase the uncertainties and costs surrounding the prosecution and defense of our or our licensors’ patent applications and the enforcement or defense of our issued patents, all of which could have a material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U.S. patent law or laws in other countries could diminish the value of patents in general, thereby impairing our ability to protect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For example, the U.S. Supreme Court has ruled on several patent cases in recent years, sometimes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companies or organizations may challenge our or our licensors’ patent rights or may assert patent rights that prevent us from developing and commercializing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CAB therapeutics are a new scientific field. We have obtained grants and issuances of CAB therapeutic patents and the various technologies used in discovering and producing CAB therapeutic proteins.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 portfolio of patents, patent applications and other intellectual property covering CAB compositions of matter as well as their development and methods of use.</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There are many issued and pending patents that claim aspects of our product candidates and modifications that we may need to apply to our product candidates. There are also many issued patents that claim antibodies or portions of antibodies that may be relevant for CAB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 Such litigation or licenses could be costly or not available on commercially reasonable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part on our ability to develop, manufacture, market and sell our product candidates and use our proprietary technologies without infringing or otherwise violating the patents and proprietary rights of third parties. There is a substantial amount of litigation involving patent and other intellectual property rights in the biotechnology and pharmaceutical industries, including patent infringement lawsuits, interferences, derivation proceedings, post grant reviews, inter partes reviews, and reexamination proceedings before the USPTO or oppositions and other comparable proceedings in foreign jurisdictions. Given the vast number of patents in our field of technology, we cannot assure you that marketing of our product candidates or practice of our technologies will not infringe existing patents or patents that may be granted in the future. Because the antibody landscape is still evolving and the CAB antibody landscape is a new field, it is difficult to conclusively assess our freedom to operate without infringing on third-party rights. There are numerous companies that have pending patent applications and issued patents broadly covering many aspects of antibodies generally or covering antibodies directed against the same targets as, or targets similar to, those we are pursuing. Our competitive position may suffer if patents issued to third parties or other third-party intellectual property rights cover our products or product candidates or elements thereof, or our manufacture or uses relevant to our development plans. If any third-party patents were held by a court of competent jurisdiction to cover the manufacturing process of any of our product candidates, any molecules formed during the manufacturing process or any final product or formulation itself, the holders of any such patents may be able to block our ability to commercialize such product candidate.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Parties making claims against us may obtain injunctive or other equitable relief, which could effectively block our ability to further practice our technologies or develop and commercialize one or more of our product candidates. There may be issued patents of which we are not aware, held by third parties that, if found to be valid and enforceable, could be alleged to be infringed by our CAB technologies. There also may be pending patent applications of which we are not aware that may result in issued patents, which could be alleged to be infringed by our CAB technologies. If such an infringement claim should be brought and be successful, we may be required to pay substantial damages, be forced to abandon our product candidates or seek a license from any patent holders, and would most likely be required to pay license fees or royalties or both, each of which could be substantial. No assurances can be given that a license will be available on commercially reasonable terms, if at all. Even if we were able to obtain a license, the rights we obtain may be nonexclusive, which would provide our competitors access to the same intellectual property rights upon which we are forced to rely. As the biotechnology and pharmaceutical industries expand and more patents are issued, the risk increases that our product candidates or technologies may give rise to claims of infringement of the patent rights of others.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We or our collaboration partner, or any future strategic partners may be subject to third-party claims for infringement or misappropriation of patent or other proprietary rights. 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existing or future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 candidates or technologies could have been filed by others without our knowledge. Additionally, pending patent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even if we have received patent protection for our technologies and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If we fail to identify and correctly interpret relevant patents, we may be subject to infringement claims.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or our technologies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claims challenging the inventorship or ownership of our patents and other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be subject to claims that former employees, collaborators or other third parties have an ownership interest in our patents or other intellectual property. We may have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involved in lawsuits to protect or enforce our patents or the patents of our licensors, which could be expensive, time-consuming and unsuccessful, and issued patents covering our product candidates could be found invalid or unenforceable if challenged in court in the United States or abroad.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Competitors may infringe our patents or the patents of our licensors. If we were to initiate legal proceedings against a third party to enforce a patent covering one of our products or our technology, the defendant could counterclaim that our patent is invalid or unenforceable, or the court may refuse to stop the defendant in such infringement proceeding from using the technology at issue on the grounds that our patents do not cover the technology in question. In patent litigation in the United States,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our patents or other intellectual property rights.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Interference or derivation proceedings provoked by third parties or brought by us, the USPTO or any foreign patent authority may be necessary to determine the priority and/or ownership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if any license is offered at all. Our defense of litigation or interference proceedings may fail and, even if successful, may result in substantial costs and distract our management and other employees.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We may not be able to prevent, alone or with our licensors, misappropriation of our intellectual property, trade secrets or confidential information, particularly in countries where the laws may not protect those rights as fully as in the United States. Furthermore, because of the substantial amount of discovery required in connection with intellectual property litigation, there is a risk that some of our confidential information could be compromised by disclosure during this type of litigation. In addition, there could be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 valid and enforceable issued or granted patent covering our technology in the United States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United States.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in certain jurisdictions. Proceedings to enforce our patent rights in foreign jurisdictions, regardless of whether they are successful, could result in substantial cost and divert our efforts and attention from other aspects of our business.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w:t>
      </w:r>
    </w:p>
    <w:p>
      <w:pPr>
        <w:pStyle w:val="TextBody"/>
        <w:bidi w:val="0"/>
        <w:spacing w:before="216" w:after="283"/>
        <w:jc w:val="left"/>
        <w:rPr>
          <w:rFonts w:ascii="Times New Roman" w:hAnsi="Times New Roman"/>
          <w:sz w:val="20"/>
        </w:rPr>
      </w:pPr>
      <w:r>
        <w:rPr>
          <w:rFonts w:ascii="Times New Roman" w:hAnsi="Times New Roman"/>
          <w:color w:val="000000"/>
          <w:sz w:val="20"/>
        </w:rPr>
        <w:t xml:space="preserve">We generally file a provisional patent application first (a priority filing) at the USPTO. An international application under the Patent Cooperation Treaty (“PCT”) is usually filed within 12 months after the priority filing. Based on the PCT filing, national and regional patent applications may be filed in the United States, Europe, Japan, Australia and Canada and, depending on the individual case, also in any or all of, </w:t>
      </w:r>
      <w:r>
        <w:rPr>
          <w:rFonts w:ascii="Times New Roman" w:hAnsi="Times New Roman"/>
          <w:i/>
          <w:color w:val="000000"/>
          <w:sz w:val="20"/>
        </w:rPr>
        <w:t>inter alia</w:t>
      </w:r>
      <w:r>
        <w:rPr>
          <w:rFonts w:ascii="Times New Roman" w:hAnsi="Times New Roman"/>
          <w:color w:val="000000"/>
          <w:sz w:val="20"/>
        </w:rPr>
        <w:t>, Brazil, China, Hong Kong, India, Israel, Mexico, New Zealand, Russia,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in other jurisdictions. It is also quite common that depending on the country, various scopes of patent protection may be granted on the same product candidate or technology.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laws of some jurisdictions do not protect intellectual property rights to the same extent as the laws in the United States, and many companies have encountered significant difficulties in protecting and defending such rights in such jurisdictions. The requirements for patentability differ, in varying degrees, from country to country, and the laws of some foreign countries do not protect intellectual property rights, including trade secrets, to the same extent as federal and state laws of the United States.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litigation could cause us to spend substantial resources and distract our personnel from their normal responsibilities.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our obligations under any license, collaboration or other agreements, we may be required to pay damages and could lose intellectual property rights that are necessary for developing and protecting our product candidates or we could lose certain rights to grant sublicenses.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and any future collaboration agreements or license agreements we enter into are likely to impose various development, commercialization, funding, milestone, royalty, diligence, sublicensing, insurance, patent prosecution and enforcement and/or other obligations on us.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successful in obtaining or maintaining necessary rights to our product candidates through acquisitions and in-licenses.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find that our programs require the use of proprietary rights held by third parties, and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choose to enter into such arrangements. We also may be unable to license or acquire third-party intellectual property rights on terms that that would be favorable to us or would allow us to make an appropriate return on our investment. Even if we are able to obtain a license to intellectual property of interest, we may not be able to secure exclusive rights, in which case others could use the same rights and compete with 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USPTO and various foreign governmental patent agencies require compliance with several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reputable law firms and other professionals and rely on such third parties to help us comply with these requirements and effect payment of these fees with respect to the patents and patent applications that we own, and if we in-license intellectual property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technologies and product candidates. While we will endeavor to try to protect our technologies and product candidates with intellectual property rights such as patents, as appropriate, the process of obtaining patents is time-consuming, expensive and sometimes unpredictable.</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trademarks or trade names may be challenged, infringed, circumvented, declared generic or determined to be infringing on other marks. We only have one currently registered trademark and rely on common law protection for the rest of our trademarks.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operating results may fluctuate significantly or may fall below the expectations of investors or securities analysts, each of which may cause our stock price to fluctuate or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operating results to be subject to annual and quarterly fluctuations. Our net loss and other operating results will be affected by numerous factors,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the level of expense related to the ongoing development of our product candidates or future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preclinical studies and clinical trials, or the addition or termination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existing collaborations and any potential additional collaborations, licensing or similar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intellectual property infringement lawsuit or opposition, interference or cancellation proceeding in which we may become involved;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and departures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strategic decisions by us or our competitors, such as acquisitions, divestitures, spin-offs, joint ventures, strategic investments or changes in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product candidates receives regulatory approval, the terms of such approval and market acceptance and demand for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 affecting our product candidates or those of our competitors;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general market and economic conditions.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If our operating results fall below the expectations of investors or securities analysts, the price of our common stock could decline substantially. Furthermore, any fluctuations in our operating results may, in turn, cause the price of our stock to fluctuate substantially.</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stock price may be volatile, and you could lose all or part of your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our common stock has been and is likely to continue to be highly volatile. The market price for our common stock may be influenced by many factors, including the other risks described in this section and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results of our clinical trials or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or legal developments in the United States and other countries, especially changes in laws or regulations applicable to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competitive products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introductions and announcements of new products by us, our current or future collaborators or our competitors, and the timing of these introductions or announcements;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new collaboration agreements, or the restructuring or termination of current collaboration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actions taken by regulatory agencies with respect to our products, preclinical studies, clinical trials, manufacturing process or sales and marketing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variations in our financial results or those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efforts to acquire or in-license additional technologies, products 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concerning any future collaborations, including those regarding manufacturing, supply and commercialization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the pharmaceutical and biotechnology sectors;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acquisitions, strategic collaborations, joint ventures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patents or other proprietary rights, including patents, litigation matters and our ability to obtain patent protection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or inability to raise additional capital and the terms on which we raise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earnings estimates or changes in stock market analysts’ recommendations regarding our common stock, other comparable companies or our industry generally;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or the failure of our competitors to meet analysts’ projections or guidance that we or our competitors may give to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the valuation of companies perceived by investors to be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 and expectation of additional financing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speculation in the press or investment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our insiders or our other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expiration of market stand-off or lock-up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concentrated ownership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accounting principles;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terrorist acts, acts of war or periods of widespread civil unrest;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any natural disasters or public health emergencies;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future issuance of equity or of debt securities that are convertible into equity will dilute our share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to raise additional capital in the future. To the extent we raise additional capital through the issuance of equity or convertible debt securities in the future, there will be further dilution to investors and the terms of these securities may include liquidation or other preferences that adversely affect our stockholders’ rights.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On December 19, 2024, we completed a registered direct offering with certain institutional investors, where we issued an aggregate of (a) 9,679,158 shares of our common stock and (b) Warrants to purchase 9,679,158 shares of our common stock. The Warrants became exercisable on June 20, 2025 at an exercise price of $1.19 per share. Once the Warrants are exercised, the issuance of additional shares of our common stock would cause immediate and substantial dilution to our existing shareholders and could cause a significant reduction in the market price of our common stock.</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Future issuances of our common stock or other equity securities, or the perception that such sales may occur, could adversely affect the trading price of our common stock and impair our ability to raise capital through future offerings of shares or equity securities. We may choose to raise additional capital through the issuance of equity or convertible debt securities due to market conditions or strategic considerations even if we believe we have sufficient funds for our current or future operating plans. No prediction can be made as to the effect, if any, that future sales of common stock or the availability of common stock for future sales will have on the trading price of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reports about our business, or if they issue adverse or misleading research or reports regarding us, our business or our market, our stock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is influenced by the research and reports that industry or securities analysts publish about us, our business or our market. If no or few securities or industry analysts commence or maintain coverage of us, the trading price for our stock would be negatively impacted.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2025, executive officers and directors, together with holders of 5% or more of our outstanding common stock and their respective affiliates, beneficially own approximately 42.2% of our outstanding common stock. More specifically, Jay M. Short, Ph.D, our Chairman and Chief Executive Officer, together with his spouse, beneficially own approximately 6.8%, of our outstanding common stock, as of June 30, 2025.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As a result, Dr. Short and our other principal stockholders will continue to have significant influence over the outcome of corporate actions requiring stockholder approval, including the election of directors,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addition, we have entered into certain related party transactions with Himalaya Therapeutics SEZC, Inversagen, LLC and BioAtla Holdings, LLC, including various licensing arrangements with respect to certain CAB antibodies. Dr. Short and his spouse are each a manager of Inversagen, LLC and BioAtla Holdings, LLC and a director of Himalaya Therapeutics SEZC. In addition, Dr. Short’s spouse is also an officer of Himalaya Therapeutics SEZC. These related party transactions, and any future related party transactions, create the possibility of actual conflicts of interest with regard to Dr. Short.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Sales of a substantial number of shares of our common stock in the public market could cause our stock price to fall.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All of our outstanding shares of common stock are freely tradable without restriction or further registration under the Securities Act unless held by our “affiliates” as defined in Rule 144 under the Securities Act, or Rule 144. Shares issued upon the exercise of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stock options and warrants outstanding under our equity incentive plans or pursuant to future awards granted under those plans will become available for sale in the public market to the extent permitted by Rules 144 and 701 under the Securities Act.</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We registered the offer and sale of all shares of common stock that we may issue under our equity compensation plans, which shares will be able to be sold in the public market upon issuance, subject to applicable securities laws.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Anti-takeover provisions in our charter documents and under Delaware law could make an acquisition of us, which may be beneficial to our stockholders, more difficult and may prevent attempts by our stockholders to replace or remove our current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the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prohibition on actions by our stockholders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that special meetings of stockholders be called only by the chairman of our board of directors, our chief executive officer, or our board of directors pursuant to a resolution adopted by a majority of the total number of authorized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notice requirements for election to our board of directors and for proposing matters that can be acted upon at stockholder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that directors may only be removed “for cause” and only with 66 2/3% voting stock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that only the board of directors may change the number of directors and fill vacancies on the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division of our board of directors into three classes, serving staggered terms of three years each;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authority of the board of directors to issue preferred stock with such terms as the board of directors may determine.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because we are incorporated in Delaware, we are governed by the provisions of Section 203 of the Delaware General Corporation Law, as amended,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These provisions would apply even if the proposed merger or acquisition could be considered beneficial by some stockholders.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Company’s ability to attract and retain qualified members of our board of directors may be impacted due to new laws, including recently enacted diversity quotas.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2018, California enacted SB 826 (“SB 826”) requiring public companies headquartered in California with a board of directors having five members to have at least two female directors, and public company boards with six or more members to have at least three female directors. SB 826 has been challenged in legal proceedings and on May 13, 2022, the Superior Court of California for the County of Los Angeles entered an order striking down SB 826, holding that the statute violates the Equal Protection Clause of the California Constitution. The California Secretary of State has appealed the order and such appeal is currently pending. On September 16, 2022, the appellate court ruled to temporarily stay enforcement of the trial court’s order, which prevented the California Secretary of State from collecting diversity data on corporate disclosure forms pursuant to SB 826, pending a further order of the appellate court. On December 1, 2022, the appellate court vacated the temporary stay order and on February 3, 2023, a record on appeal was filed and such appeal is currently pending. To the extent that this ruling of the appellate court permits the Secretary of State of California to collect and report diversity data, we may be required to comply with additional disclosure requirements. However, ultimate enforceability of SB 826 remains uncertain.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In September 2020, California enacted AB 979 (“AB 979”), which requires that by the end of 2021 California-headquartered public companies have at least one director on their boards who is from an underrepresented community, defined as “an individual who self-identifies as Black, African American, Hispanic, Latino, Asian, Pacific Islander, Native American, Native Hawaiian, or Alaska Native, or who self-identifies as gay, lesbian, bisexual, or transgender.” On April 1, 2022, the Superior Court of California for the County of Los Angeles entered an order striking down AB 979, holding that the statute violates the Equal Protection Clause of the California Constitution. On June 6, 2022, a notice of appeal was filed. On September 16, 2022, the appellate court ruled to temporarily stay enforcement of the trial court’s order, which prevented the California Secretary of State from collecting diversity data on corporate disclosure forms pursuant to AB 979, pending a further order of the appellate court. On December 1, 2022, the appellate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court vacated the temporary stay order and on February 3, 2023, a record on appeal was filed and such appeal is currently pending. To the extent that this ruling of the appellate court permits the Secretary of State of California to collect and report diversity data, we may be required to comply with additional disclosure requirements. In June 2023, the federal district court for the Eastern District of California granted the plaintiffs a summary judgment and determined that AB 979 was unconstitutional on its face. The Eastern District of California’s decision is currently on appeal. Litigation regarding AB 979 will continue.</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Failure to achieve designated minimum gender and diversity levels in a timely manner exposes such companies to financial penalties and reputational harm. While we are currently in compliance with these regulations, we cannot assure that we can recruit, attract and/or retain qualified members of the board and meet gender and diversity quotas as a result of evolving state laws or Nasdaq rules, which may expose us to penalties and/or reputational harm.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incurred, and will continue to incur, significant costs as a result of operating as a public company, and our management is required to devote substantial time to compliance initiatives and corporate governance practices. Additionally, if we fail to maintain proper and effective internal controls, our ability to produce accurate financial statements on a timely basis could be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we have incurred and will continue to incur significant legal, accounting and other expenses that we did not incur as a private company. The Sarbanes-Oxley Act,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Also, the Exchange Act requires, among other things, that we file annual, quarterly and current reports with respect to our business and operating results. Our management and other personnel need to devote a substantial amount of time to these compliance initiatives. Moreover, these rules and regulations increase our legal and financial compliance costs and make some activities, including obtaining director and officer liability insurance and maintaining such coverage, more time-consuming and costly. These rules and regulations could also make it more difficult for us to attract and retain qualified members of our board of directors or our board committees or as executive officers.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addition, as a public company, we are required to incur costs and obligations in order to comply with SEC rules that implement Section 404 of the Sarbanes-Oxley Act. Currently, as a smaller reporting company and a non-accelerated filer, we can take advantage of exemptions from various reporting requirements, including not being required to comply with the auditor attestation requirements of Section 404 of the Sarbanes-Oxley Act, reduced disclosure obligations regarding executive compensation in our annual report, periodic reports and proxy statements and providing only two years of audited financial statements in our annual report and periodic reports. Under the SEC rules, we are required to make a formal assessment of the effectiveness of our internal control over financial reporting, and if we cease to be a smaller reporting company, we will be required to include an attestation report on internal control over financial reporting issued by our independent registered public accounting firm. We engaged outside consultants to assist in a process to document and evaluate our internal control over financial reporting, which is both costly and challenging. In this regard, we have dedicated, and will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 As a result of the complexity involved in complying with the rules and regulations applicable to public companies, our management’s attention may be diverted from other business concerns, which could harm our business, operating results, and financial condition. Since becoming a public company, we increased, and may in the future further increase, the number of employees dedicated to finance and reporting, and the services of outside consultants to meet requirements, which has increased our operating expenses.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may not prevent or detect all errors and all fraud.</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 In addition, if we are not able to continue to meet these requirements, we may not be able to remain listed on The Nasdaq Global Market.</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Because we do not anticipate paying any cash dividends on our capital stock in the foreseeable future, your ability to achieve a return on your investment will depend on appreciation of the value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cash dividends on our capital stock. We currently intend to retain all of our future earnings, if any, to finance the growth and development of our business and do not anticipate declaring or paying any cash dividends for the foreseeable future. Any return to stockholders will therefore be limited to any appreciation in the value of our common stock, which is not certain.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securities litigation, which is expensive and could divert our management’s attention.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companies that have experienced volatility in the market price of their securities have been subject to securities class action litigation. We may be the target of this type of litigation in the future. Regardless of the merits or the ultimate results of such litigation, securities litigation brought against us could result in substantial costs and divert our management’s attention from other business concerns.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certificate of incorporation and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the following types of proceedings: (i) any derivative action or proceeding brought on behalf of our company, (ii) any action asserting a claim of breach of a fiduciary duty owed by any of our directors, officers, employees or stockholders to our company or our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 asserting a claim arising pursuant to any provision of our amended and restated certificate of incorporation or amended and restated bylaws (in each case, as they may be amended from time to time) or governed by the internal affairs doctrine. This provision would not apply to suits brought to enforce a duty or liability created by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Our amended and restated bylaws further provide that the federal district courts of the United States of America will be the exclusive forum, to the fullest extent permitted by law, for resolving any complaint asserting a cause of action arising under the Securities Act.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and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shares of our capital stock shall be deemed to have notice of and to have consented to the provisions of our amended and restated certificate of incorporation and amended and restated bylaws described above.</w:t>
      </w:r>
    </w:p>
    <w:p>
      <w:pPr>
        <w:pStyle w:val="TextBody"/>
        <w:bidi w:val="0"/>
        <w:spacing w:before="360" w:after="283"/>
        <w:jc w:val="left"/>
        <w:rPr>
          <w:rFonts w:ascii="Times New Roman" w:hAnsi="Times New Roman"/>
          <w:b/>
          <w:color w:val="000000"/>
          <w:sz w:val="20"/>
        </w:rPr>
      </w:pPr>
      <w:bookmarkStart w:id="15" w:name="ii_item2"/>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6" w:name="ii_item3"/>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7" w:name="ii_item4"/>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i_item5"/>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2025, no director or officer of the Company adopted or terminated a “Rule 10b5-1 trading arrangement” or “non-Rule 10b5-1 trading arrangement,” as each term is defined in Item 408(a) of Regulation S-K.</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Notice of Delisting or Failure to Satisfy a Continued Listing Rule or Standard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previously reported by the Company on its Current Report on Form 8-K filed on February 7, 2025, the Company received written notice from the Listing Qualifications Department of Nasdaq stating that the Company is not in compliance with Nasdaq Listing Rule 5550(a)(2) because the Company has not maintained a minimum closing bid price of the Company’s common stock of at least $1.00 per share for the last 30 consecutive business days. In accordance with Nasdaq Listing Rule 5810(c)(3)(A), the Company had a period of 180 calendar days from February 6, 2025, or until August 5, 2025, to regain compliance with the Minimum Bid Price Requirement.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also previously disclosed by the Company on its Current Report on Form 8-K filed on May 16, 2025, the Company received a written notice (the “Notice”) from the Listing Qualifications Staff of Nasdaq notifying the Company that because the Company’s stockholders’ equity was $547,000 as of March 31, 2025, as reported in the Company’s Quarterly Report on Form 10-Q for the quarter ended March 31, 2025, it was no longer in compliance with the $10,000,000 minimum stockholders’ equity requirement for continued listing on the Nasdaq Global Market under Nasdaq Listing Rule 5450(b)(1)(A), and the Company, as of the date of the Notice, also did not meet the alternative compliance standards relating to the market value of the listed securities or the Company’s total assets and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August 6, 2025, the Staff issued the Delisting Notice, indicating that the Company did not satisfy the Minimum Bid Price Requirement by the Compliance Date. Although on June 26, 2025, the Company submitted its plan to regain compliance with the Minimum Stockholders’ Equity Requirement, pursuant to Listing Rule 5810(d)(2), this deficiency became an additional basis for delisting, and as a result, the Company was not eligible for a second 180-day extension. The Company intends to request a hearing (the “Hearing”) before the Panel to appeal the determination by the Staff, and to present its plan to regain and sustain compliance with both the Minimum Bid Price Requirement and the Minimum Stockholders’ Equity Requirement. The Appeal will stay any delisting or suspension action of the Company’s listed shares contemplated by the Delisting Notice.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no guarantee that the Panel will grant an extension of the compliance period or that the outcome of the Hearing or the Appeal will be favorable to the Company.</w:t>
      </w:r>
    </w:p>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Forward-Looking Statements</w:t>
      </w:r>
    </w:p>
    <w:p>
      <w:pPr>
        <w:pStyle w:val="TextBody"/>
        <w:bidi w:val="0"/>
        <w:jc w:val="both"/>
        <w:rPr>
          <w:rFonts w:ascii="Times New Roman" w:hAnsi="Times New Roman"/>
          <w:color w:val="000000"/>
          <w:sz w:val="20"/>
        </w:rPr>
      </w:pPr>
      <w:r>
        <w:rPr>
          <w:rFonts w:ascii="Times New Roman" w:hAnsi="Times New Roman"/>
          <w:color w:val="000000"/>
          <w:sz w:val="20"/>
        </w:rPr>
        <w:t>Certain of the statements made in this report are forward looking, such as those, among others, relating to the Company’s ability to regain compliance with the Minimum Bid Price Requirement and the Minimum Stockholders’ Equity Requirement and the Company’s intentions to submit an Appeal to the Panel within the required time period. Actual results or developments may differ materially from those projected or implied in these forward-looking statements. More information about the risks and uncertainties faced by the Company is contained under the caption “Risk Factors” in this Quarterly Report on Form 10-Q. You are cautioned not to place undue reliance on forward-looking statements which are current only as of the date hereof. Except as required by applicable law, the Company undertakes no obligation to revise or update any forward-looking statement, or to make any other forward-looking statements, whether as a result of new information, future events or otherwise.</w:t>
      </w:r>
    </w:p>
    <w:p>
      <w:pPr>
        <w:pStyle w:val="TextBody"/>
        <w:bidi w:val="0"/>
        <w:jc w:val="left"/>
        <w:rPr/>
      </w:pPr>
      <w:r>
        <w:rPr/>
        <w:t> </w:t>
      </w:r>
    </w:p>
    <w:p>
      <w:pPr>
        <w:pStyle w:val="TextBody"/>
        <w:bidi w:val="0"/>
        <w:spacing w:before="360" w:after="240"/>
        <w:jc w:val="left"/>
        <w:rPr>
          <w:rFonts w:ascii="Times New Roman" w:hAnsi="Times New Roman"/>
          <w:b/>
          <w:color w:val="000000"/>
          <w:sz w:val="20"/>
        </w:rPr>
      </w:pPr>
      <w:bookmarkStart w:id="19" w:name="ii_item6"/>
      <w:bookmarkEnd w:id="19"/>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706"/>
        <w:gridCol w:w="146"/>
        <w:gridCol w:w="5525"/>
        <w:gridCol w:w="511"/>
        <w:gridCol w:w="486"/>
        <w:gridCol w:w="631"/>
        <w:gridCol w:w="946"/>
        <w:gridCol w:w="1254"/>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2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2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4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9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Filing Date</w:t>
            </w:r>
          </w:p>
        </w:tc>
        <w:tc>
          <w:tcPr>
            <w:tcW w:w="125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File/Furnished Herewith</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cab-ex10_1.htm">
              <w:r>
                <w:rPr>
                  <w:rStyle w:val="InternetLink"/>
                  <w:rFonts w:ascii="Times New Roman" w:hAnsi="Times New Roman"/>
                  <w:color w:val="0000FF"/>
                  <w:sz w:val="20"/>
                  <w:u w:val="single"/>
                </w:rPr>
                <w:t>Lease Agreement between BioAtla, Inc. and HCP Torreyana, LLC, as amended.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cab-ex31_1.htm">
              <w:r>
                <w:rPr>
                  <w:rStyle w:val="InternetLink"/>
                  <w:rFonts w:ascii="Times New Roman" w:hAnsi="Times New Roman"/>
                  <w:color w:val="0000FF"/>
                  <w:sz w:val="20"/>
                  <w:u w:val="single"/>
                </w:rPr>
                <w:t>Certification of Chief Executive Officer Pursuant to Rules 13a-14(a) and 15d-14(a) as Adopted Pursuant to Section 302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7"/>
        <w:gridCol w:w="146"/>
        <w:gridCol w:w="8651"/>
        <w:gridCol w:w="146"/>
        <w:gridCol w:w="146"/>
        <w:gridCol w:w="146"/>
        <w:gridCol w:w="146"/>
        <w:gridCol w:w="287"/>
      </w:tblGrid>
      <w:tr>
        <w:trPr/>
        <w:tc>
          <w:tcPr>
            <w:tcW w:w="5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5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cab-ex31_2.htm">
              <w:r>
                <w:rPr>
                  <w:rStyle w:val="InternetLink"/>
                  <w:rFonts w:ascii="Times New Roman" w:hAnsi="Times New Roman"/>
                  <w:color w:val="0000FF"/>
                  <w:sz w:val="20"/>
                  <w:u w:val="single"/>
                </w:rPr>
                <w:t>Certification of Chief Financial Officer Pursuant to Rules 13a-14(a) and 15d-14(a)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5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cab-ex32_1.htm">
              <w:r>
                <w:rPr>
                  <w:rStyle w:val="InternetLink"/>
                  <w:rFonts w:ascii="Times New Roman" w:hAnsi="Times New Roman"/>
                  <w:color w:val="0000FF"/>
                  <w:sz w:val="20"/>
                  <w:u w:val="single"/>
                </w:rPr>
                <w:t>Certification of Chief Executive Officer and Chief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5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X</w:t>
            </w:r>
          </w:p>
          <w:p>
            <w:pPr>
              <w:pStyle w:val="TableContents"/>
              <w:bidi w:val="0"/>
              <w:spacing w:before="0" w:after="283"/>
              <w:jc w:val="center"/>
              <w:rPr/>
            </w:pPr>
            <w:r>
              <w:rPr/>
              <w:t> </w:t>
            </w:r>
          </w:p>
        </w:tc>
      </w:tr>
      <w:tr>
        <w:trPr/>
        <w:tc>
          <w:tcPr>
            <w:tcW w:w="5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materials from BioAtla’s Quarterly Report on Form 10-Q for the quarter ended June 30, 2025, formatted in iXBRL (inline eXtensible Business Reporting Language): (i) the Condensed Balance Sheets, (ii) the Condensed Statements of Operations and Comprehensive Loss, (iii) the Condensed Statements of Stockholders’ Equity (iv) the Condensed Statements of Cash Flows, and (v) Notes to Condensed Financial Statements, tagged as blocks of text and including detailed tags.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5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document and contained in exhibit 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Certain information in this exhibit or exhibits or schedules thereto has been omitted pursuant to Regulation S-K Item 601(a)(5) and/or Item 601(b)(10)(iv) because it is both (i) not material and (ii) the type that BioAtla, Inc. customarily and actually treats as private and confidential. An unredacted copy of the exhibit or schedule will be furnished on a supplemental basis to the SEC upon request; provided that BioAtla, Inc. may request confidential treatment for any exhibit or schedule so furnished.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Furnished and not filed.</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197" w:type="dxa"/>
        <w:jc w:val="left"/>
        <w:tblInd w:w="0" w:type="dxa"/>
        <w:tblLayout w:type="fixed"/>
        <w:tblCellMar>
          <w:top w:w="28" w:type="dxa"/>
          <w:left w:w="28" w:type="dxa"/>
          <w:bottom w:w="28" w:type="dxa"/>
          <w:right w:w="28" w:type="dxa"/>
        </w:tblCellMar>
      </w:tblPr>
      <w:tblGrid>
        <w:gridCol w:w="1846"/>
        <w:gridCol w:w="109"/>
        <w:gridCol w:w="406"/>
        <w:gridCol w:w="383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3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Name</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Jay M. Short,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Jay M. Short,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ind w:left="0" w:right="0" w:firstLine="70"/>
              <w:jc w:val="left"/>
              <w:rPr>
                <w:sz w:val="4"/>
                <w:szCs w:val="4"/>
              </w:rPr>
            </w:pPr>
            <w:r>
              <w:rPr>
                <w:sz w:val="4"/>
                <w:szCs w:val="4"/>
              </w:rPr>
            </w:r>
          </w:p>
        </w:tc>
        <w:tc>
          <w:tcPr>
            <w:tcW w:w="3836" w:type="dxa"/>
            <w:tcBorders/>
            <w:shd w:fill="FFFFFF" w:val="clear"/>
            <w:tcMar>
              <w:top w:w="0" w:type="dxa"/>
              <w:left w:w="0" w:type="dxa"/>
              <w:bottom w:w="0" w:type="dxa"/>
              <w:right w:w="0" w:type="dxa"/>
            </w:tcMar>
            <w:vAlign w:val="center"/>
          </w:tcPr>
          <w:p>
            <w:pPr>
              <w:pStyle w:val="TableContents"/>
              <w:bidi w:val="0"/>
              <w:ind w:left="0" w:right="0" w:firstLine="7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ind w:left="0" w:right="0" w:firstLine="70"/>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Richard A. Waldron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Richard A. Waldron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ind w:left="0" w:right="0" w:firstLine="70"/>
              <w:jc w:val="left"/>
              <w:rPr>
                <w:sz w:val="4"/>
                <w:szCs w:val="4"/>
              </w:rPr>
            </w:pPr>
            <w:r>
              <w:rPr>
                <w:sz w:val="4"/>
                <w:szCs w:val="4"/>
              </w:rPr>
            </w:r>
          </w:p>
        </w:tc>
        <w:tc>
          <w:tcPr>
            <w:tcW w:w="3836" w:type="dxa"/>
            <w:tcBorders/>
            <w:shd w:fill="FFFFFF" w:val="clear"/>
            <w:tcMar>
              <w:top w:w="0" w:type="dxa"/>
              <w:left w:w="0" w:type="dxa"/>
              <w:bottom w:w="0" w:type="dxa"/>
              <w:right w:w="0" w:type="dxa"/>
            </w:tcMar>
            <w:vAlign w:val="center"/>
          </w:tcPr>
          <w:p>
            <w:pPr>
              <w:pStyle w:val="TableContents"/>
              <w:bidi w:val="0"/>
              <w:ind w:left="0" w:right="0" w:firstLine="7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ind w:left="0" w:right="0" w:firstLine="70"/>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21" w:name="bcab-ex10_1.htm"/>
      <w:bookmarkStart w:id="22" w:name="ksbcabex10_1"/>
      <w:bookmarkEnd w:id="21"/>
      <w:bookmarkEnd w:id="22"/>
      <w:r>
        <w:rPr>
          <w:rFonts w:ascii="Times New Roman" w:hAnsi="Times New Roman"/>
          <w:b/>
          <w:color w:val="000000"/>
          <w:sz w:val="20"/>
        </w:rPr>
        <w:t>Exhibit 10.1</w:t>
      </w:r>
      <w:r>
        <w:br w:type="page"/>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Certain information in this document identified by brackets [***] has been omitted because it is both (i) not material and (ii) the type that BioAtla, Inc. customarily and actually treats as private and confidential.</w:t>
      </w:r>
    </w:p>
    <w:p>
      <w:pPr>
        <w:pStyle w:val="TextBody"/>
        <w:bidi w:val="0"/>
        <w:spacing w:before="0" w:after="240"/>
        <w:jc w:val="center"/>
        <w:rPr/>
      </w:pPr>
      <w:r>
        <w:rPr/>
        <w:t> </w:t>
      </w:r>
    </w:p>
    <w:p>
      <w:pPr>
        <w:pStyle w:val="TextBody"/>
        <w:bidi w:val="0"/>
        <w:spacing w:before="0" w:after="240"/>
        <w:jc w:val="center"/>
        <w:rPr>
          <w:rFonts w:ascii="Times New Roman" w:hAnsi="Times New Roman"/>
          <w:b/>
          <w:caps/>
          <w:color w:val="000000"/>
          <w:sz w:val="20"/>
          <w:u w:val="single"/>
        </w:rPr>
      </w:pPr>
      <w:r>
        <w:rPr>
          <w:rFonts w:ascii="Times New Roman" w:hAnsi="Times New Roman"/>
          <w:b/>
          <w:caps/>
          <w:color w:val="000000"/>
          <w:sz w:val="20"/>
          <w:u w:val="single"/>
        </w:rPr>
        <w:t xml:space="preserve">11085 TORREYANA ROAD </w:t>
        <w:br/>
        <w:t>LEASE</w:t>
      </w:r>
    </w:p>
    <w:p>
      <w:pPr>
        <w:pStyle w:val="TextBody"/>
        <w:bidi w:val="0"/>
        <w:spacing w:before="0" w:after="360"/>
        <w:jc w:val="left"/>
        <w:rPr>
          <w:rFonts w:ascii="Times New Roman" w:hAnsi="Times New Roman"/>
          <w:sz w:val="20"/>
        </w:rPr>
      </w:pPr>
      <w:r>
        <w:rPr>
          <w:rFonts w:ascii="Times New Roman" w:hAnsi="Times New Roman"/>
          <w:color w:val="000000"/>
          <w:sz w:val="20"/>
        </w:rPr>
        <w:t>This Lease (this “</w:t>
      </w:r>
      <w:r>
        <w:rPr>
          <w:rFonts w:ascii="Times New Roman" w:hAnsi="Times New Roman"/>
          <w:b/>
          <w:color w:val="000000"/>
          <w:sz w:val="20"/>
        </w:rPr>
        <w:t>Lease</w:t>
      </w:r>
      <w:r>
        <w:rPr>
          <w:rFonts w:ascii="Times New Roman" w:hAnsi="Times New Roman"/>
          <w:color w:val="000000"/>
          <w:sz w:val="20"/>
        </w:rPr>
        <w:t xml:space="preserve">”), dated as of the date set forth in </w:t>
      </w:r>
      <w:r>
        <w:rPr>
          <w:rFonts w:ascii="Times New Roman" w:hAnsi="Times New Roman"/>
          <w:color w:val="000000"/>
          <w:sz w:val="20"/>
          <w:u w:val="single"/>
        </w:rPr>
        <w:t>Section 1</w:t>
      </w:r>
      <w:r>
        <w:rPr>
          <w:rFonts w:ascii="Times New Roman" w:hAnsi="Times New Roman"/>
          <w:color w:val="000000"/>
          <w:sz w:val="20"/>
        </w:rPr>
        <w:t xml:space="preserve"> of the Summary of Basic Lease Information (the “</w:t>
      </w:r>
      <w:r>
        <w:rPr>
          <w:rFonts w:ascii="Times New Roman" w:hAnsi="Times New Roman"/>
          <w:b/>
          <w:color w:val="000000"/>
          <w:sz w:val="20"/>
        </w:rPr>
        <w:t>Summary</w:t>
      </w:r>
      <w:r>
        <w:rPr>
          <w:rFonts w:ascii="Times New Roman" w:hAnsi="Times New Roman"/>
          <w:color w:val="000000"/>
          <w:sz w:val="20"/>
        </w:rPr>
        <w:t>”), below, is made by and between HCP TORREYANA, LLC, a Delaware limited liability company (“</w:t>
      </w:r>
      <w:r>
        <w:rPr>
          <w:rFonts w:ascii="Times New Roman" w:hAnsi="Times New Roman"/>
          <w:b/>
          <w:color w:val="000000"/>
          <w:sz w:val="20"/>
        </w:rPr>
        <w:t>Landlord</w:t>
      </w:r>
      <w:r>
        <w:rPr>
          <w:rFonts w:ascii="Times New Roman" w:hAnsi="Times New Roman"/>
          <w:color w:val="000000"/>
          <w:sz w:val="20"/>
        </w:rPr>
        <w:t>”), and BIOATLA, LLC, a Delaware limited liability company (“</w:t>
      </w:r>
      <w:r>
        <w:rPr>
          <w:rFonts w:ascii="Times New Roman" w:hAnsi="Times New Roman"/>
          <w:b/>
          <w:color w:val="000000"/>
          <w:sz w:val="20"/>
        </w:rPr>
        <w:t>Tenant</w:t>
      </w:r>
      <w:r>
        <w:rPr>
          <w:rFonts w:ascii="Times New Roman" w:hAnsi="Times New Roman"/>
          <w:color w:val="000000"/>
          <w:sz w:val="20"/>
        </w:rPr>
        <w:t>”).</w:t>
      </w:r>
    </w:p>
    <w:p>
      <w:pPr>
        <w:pStyle w:val="TextBody"/>
        <w:bidi w:val="0"/>
        <w:jc w:val="center"/>
        <w:rPr>
          <w:rFonts w:ascii="Times New Roman" w:hAnsi="Times New Roman"/>
          <w:sz w:val="20"/>
        </w:rPr>
      </w:pPr>
      <w:r>
        <w:rPr>
          <w:rFonts w:ascii="Times New Roman" w:hAnsi="Times New Roman"/>
          <w:b/>
          <w:color w:val="000000"/>
          <w:sz w:val="20"/>
          <w:u w:val="single"/>
        </w:rPr>
        <w:t xml:space="preserve">SUMMARY OF </w:t>
      </w:r>
      <w:r>
        <w:rPr>
          <w:rFonts w:ascii="Times New Roman" w:hAnsi="Times New Roman"/>
          <w:b/>
          <w:caps/>
          <w:color w:val="000000"/>
          <w:sz w:val="20"/>
          <w:u w:val="single"/>
        </w:rPr>
        <w:t>BASIC</w:t>
      </w:r>
      <w:r>
        <w:rPr>
          <w:rFonts w:ascii="Times New Roman" w:hAnsi="Times New Roman"/>
          <w:color w:val="000000"/>
          <w:sz w:val="20"/>
          <w:u w:val="single"/>
        </w:rPr>
        <w:t xml:space="preserve"> </w:t>
      </w:r>
      <w:r>
        <w:rPr>
          <w:rFonts w:ascii="Times New Roman" w:hAnsi="Times New Roman"/>
          <w:b/>
          <w:color w:val="000000"/>
          <w:sz w:val="20"/>
          <w:u w:val="single"/>
        </w:rPr>
        <w:t>LEASE INFORMATION</w:t>
      </w:r>
    </w:p>
    <w:tbl>
      <w:tblPr>
        <w:tblW w:w="10205" w:type="dxa"/>
        <w:jc w:val="left"/>
        <w:tblInd w:w="0" w:type="dxa"/>
        <w:tblLayout w:type="fixed"/>
        <w:tblCellMar>
          <w:top w:w="28" w:type="dxa"/>
          <w:left w:w="28" w:type="dxa"/>
          <w:bottom w:w="28" w:type="dxa"/>
          <w:right w:w="28" w:type="dxa"/>
        </w:tblCellMar>
      </w:tblPr>
      <w:tblGrid>
        <w:gridCol w:w="2034"/>
        <w:gridCol w:w="8171"/>
      </w:tblGrid>
      <w:tr>
        <w:trPr/>
        <w:tc>
          <w:tcPr>
            <w:tcW w:w="2034" w:type="dxa"/>
            <w:tcBorders/>
            <w:vAlign w:val="center"/>
          </w:tcPr>
          <w:p>
            <w:pPr>
              <w:pStyle w:val="TableContents"/>
              <w:bidi w:val="0"/>
              <w:spacing w:before="0" w:after="283"/>
              <w:jc w:val="left"/>
              <w:rPr>
                <w:sz w:val="4"/>
                <w:szCs w:val="4"/>
              </w:rPr>
            </w:pPr>
            <w:r>
              <w:rPr>
                <w:sz w:val="4"/>
                <w:szCs w:val="4"/>
              </w:rPr>
            </w:r>
          </w:p>
        </w:tc>
        <w:tc>
          <w:tcPr>
            <w:tcW w:w="8171" w:type="dxa"/>
            <w:tcBorders/>
            <w:vAlign w:val="center"/>
          </w:tcPr>
          <w:p>
            <w:pPr>
              <w:pStyle w:val="TableContents"/>
              <w:bidi w:val="0"/>
              <w:spacing w:before="0" w:after="283"/>
              <w:jc w:val="left"/>
              <w:rPr>
                <w:sz w:val="4"/>
                <w:szCs w:val="4"/>
              </w:rPr>
            </w:pPr>
            <w:r>
              <w:rPr>
                <w:sz w:val="4"/>
                <w:szCs w:val="4"/>
              </w:rPr>
            </w:r>
          </w:p>
        </w:tc>
      </w:tr>
      <w:tr>
        <w:trPr/>
        <w:tc>
          <w:tcPr>
            <w:tcW w:w="2034" w:type="dxa"/>
            <w:tcBorders/>
            <w:tcMar>
              <w:top w:w="0" w:type="dxa"/>
              <w:left w:w="0" w:type="dxa"/>
              <w:bottom w:w="0" w:type="dxa"/>
              <w:right w:w="0" w:type="dxa"/>
            </w:tcMar>
            <w:vAlign w:val="center"/>
          </w:tcPr>
          <w:p>
            <w:pPr>
              <w:pStyle w:val="TableContents"/>
              <w:pBdr>
                <w:bottom w:val="single" w:sz="4" w:space="1" w:color="000000"/>
              </w:pBdr>
              <w:bidi w:val="0"/>
              <w:spacing w:before="0" w:after="240"/>
              <w:jc w:val="left"/>
              <w:rPr>
                <w:rFonts w:ascii="Times New Roman" w:hAnsi="Times New Roman"/>
                <w:b/>
                <w:color w:val="000000"/>
                <w:sz w:val="20"/>
              </w:rPr>
            </w:pPr>
            <w:r>
              <w:rPr>
                <w:rFonts w:ascii="Times New Roman" w:hAnsi="Times New Roman"/>
                <w:b/>
                <w:color w:val="000000"/>
                <w:sz w:val="20"/>
              </w:rPr>
              <w:t>TERMS OF LEASE</w:t>
            </w:r>
          </w:p>
        </w:tc>
        <w:tc>
          <w:tcPr>
            <w:tcW w:w="8171" w:type="dxa"/>
            <w:tcBorders/>
            <w:tcMar>
              <w:top w:w="0" w:type="dxa"/>
              <w:left w:w="0" w:type="dxa"/>
              <w:bottom w:w="0" w:type="dxa"/>
              <w:right w:w="0" w:type="dxa"/>
            </w:tcMar>
            <w:vAlign w:val="center"/>
          </w:tcPr>
          <w:p>
            <w:pPr>
              <w:pStyle w:val="TableContents"/>
              <w:pBdr>
                <w:bottom w:val="single" w:sz="4" w:space="1" w:color="000000"/>
              </w:pBdr>
              <w:bidi w:val="0"/>
              <w:spacing w:before="0" w:after="240"/>
              <w:ind w:left="0" w:right="0" w:firstLine="344"/>
              <w:jc w:val="center"/>
              <w:rPr>
                <w:rFonts w:ascii="Times New Roman" w:hAnsi="Times New Roman"/>
                <w:b/>
                <w:color w:val="000000"/>
                <w:sz w:val="20"/>
              </w:rPr>
            </w:pPr>
            <w:r>
              <w:rPr>
                <w:rFonts w:ascii="Times New Roman" w:hAnsi="Times New Roman"/>
                <w:b/>
                <w:color w:val="000000"/>
                <w:sz w:val="20"/>
              </w:rPr>
              <w:t>DESCRIPTION</w:t>
            </w:r>
          </w:p>
        </w:tc>
      </w:tr>
      <w:tr>
        <w:trPr/>
        <w:tc>
          <w:tcPr>
            <w:tcW w:w="2034" w:type="dxa"/>
            <w:tcBorders/>
            <w:tcMar>
              <w:top w:w="0" w:type="dxa"/>
              <w:left w:w="0" w:type="dxa"/>
              <w:bottom w:w="0" w:type="dxa"/>
              <w:right w:w="0" w:type="dxa"/>
            </w:tcMar>
            <w:vAlign w:val="center"/>
          </w:tcPr>
          <w:p>
            <w:pPr>
              <w:pStyle w:val="TableContents"/>
              <w:bidi w:val="0"/>
              <w:spacing w:before="0" w:after="240"/>
              <w:ind w:left="0" w:right="0" w:firstLine="344"/>
              <w:jc w:val="left"/>
              <w:rPr>
                <w:rFonts w:ascii="Times New Roman" w:hAnsi="Times New Roman"/>
                <w:color w:val="000000"/>
                <w:sz w:val="20"/>
              </w:rPr>
            </w:pPr>
            <w:r>
              <w:rPr>
                <w:rFonts w:ascii="Times New Roman" w:hAnsi="Times New Roman"/>
                <w:color w:val="000000"/>
                <w:sz w:val="20"/>
              </w:rPr>
              <w:t>1. Date:</w:t>
            </w:r>
          </w:p>
        </w:tc>
        <w:tc>
          <w:tcPr>
            <w:tcW w:w="8171" w:type="dxa"/>
            <w:tcBorders/>
            <w:tcMar>
              <w:top w:w="0" w:type="dxa"/>
              <w:left w:w="0" w:type="dxa"/>
              <w:bottom w:w="0" w:type="dxa"/>
              <w:right w:w="0" w:type="dxa"/>
            </w:tcMar>
            <w:vAlign w:val="center"/>
          </w:tcPr>
          <w:p>
            <w:pPr>
              <w:pStyle w:val="TableContents"/>
              <w:bidi w:val="0"/>
              <w:spacing w:before="0" w:after="240"/>
              <w:ind w:left="0" w:right="0" w:firstLine="344"/>
              <w:jc w:val="left"/>
              <w:rPr>
                <w:rFonts w:ascii="Times New Roman" w:hAnsi="Times New Roman"/>
                <w:color w:val="000000"/>
                <w:sz w:val="20"/>
              </w:rPr>
            </w:pPr>
            <w:r>
              <w:rPr>
                <w:rFonts w:ascii="Times New Roman" w:hAnsi="Times New Roman"/>
                <w:color w:val="000000"/>
                <w:sz w:val="20"/>
              </w:rPr>
              <w:t>June 2, 2017</w:t>
            </w:r>
          </w:p>
        </w:tc>
      </w:tr>
      <w:tr>
        <w:trPr/>
        <w:tc>
          <w:tcPr>
            <w:tcW w:w="2034" w:type="dxa"/>
            <w:tcBorders/>
            <w:tcMar>
              <w:top w:w="0" w:type="dxa"/>
              <w:left w:w="0" w:type="dxa"/>
              <w:bottom w:w="0" w:type="dxa"/>
              <w:right w:w="0" w:type="dxa"/>
            </w:tcMar>
            <w:vAlign w:val="center"/>
          </w:tcPr>
          <w:p>
            <w:pPr>
              <w:pStyle w:val="TableContents"/>
              <w:bidi w:val="0"/>
              <w:spacing w:before="0" w:after="240"/>
              <w:ind w:left="0" w:right="0" w:firstLine="344"/>
              <w:jc w:val="left"/>
              <w:rPr>
                <w:rFonts w:ascii="Times New Roman" w:hAnsi="Times New Roman"/>
                <w:sz w:val="20"/>
              </w:rPr>
            </w:pPr>
            <w:r>
              <w:rPr>
                <w:rFonts w:ascii="Times New Roman" w:hAnsi="Times New Roman"/>
                <w:color w:val="000000"/>
                <w:sz w:val="20"/>
              </w:rPr>
              <w:t>2. Premises</w:t>
              <w:br/>
              <w:t>(</w:t>
            </w:r>
            <w:r>
              <w:rPr>
                <w:rFonts w:ascii="Times New Roman" w:hAnsi="Times New Roman"/>
                <w:color w:val="000000"/>
                <w:sz w:val="20"/>
                <w:u w:val="single"/>
              </w:rPr>
              <w:t>Article 1</w:t>
            </w:r>
            <w:r>
              <w:rPr>
                <w:rFonts w:ascii="Times New Roman" w:hAnsi="Times New Roman"/>
                <w:color w:val="000000"/>
                <w:sz w:val="20"/>
              </w:rPr>
              <w:t>).</w:t>
            </w:r>
          </w:p>
        </w:tc>
        <w:tc>
          <w:tcPr>
            <w:tcW w:w="8171" w:type="dxa"/>
            <w:tcBorders/>
            <w:tcMar>
              <w:top w:w="0" w:type="dxa"/>
              <w:left w:w="0" w:type="dxa"/>
              <w:bottom w:w="0" w:type="dxa"/>
              <w:right w:w="0" w:type="dxa"/>
            </w:tcMar>
            <w:vAlign w:val="center"/>
          </w:tcPr>
          <w:p>
            <w:pPr>
              <w:pStyle w:val="TableContents"/>
              <w:bidi w:val="0"/>
              <w:spacing w:before="0" w:after="240"/>
              <w:ind w:left="0" w:right="0" w:firstLine="344"/>
              <w:jc w:val="left"/>
              <w:rPr/>
            </w:pPr>
            <w:r>
              <w:rPr/>
              <w:t> </w:t>
            </w:r>
          </w:p>
        </w:tc>
      </w:tr>
      <w:tr>
        <w:trPr/>
        <w:tc>
          <w:tcPr>
            <w:tcW w:w="2034" w:type="dxa"/>
            <w:tcBorders/>
            <w:tcMar>
              <w:top w:w="0" w:type="dxa"/>
              <w:left w:w="0" w:type="dxa"/>
              <w:bottom w:w="0" w:type="dxa"/>
              <w:right w:w="0" w:type="dxa"/>
            </w:tcMar>
            <w:vAlign w:val="center"/>
          </w:tcPr>
          <w:p>
            <w:pPr>
              <w:pStyle w:val="TableContents"/>
              <w:bidi w:val="0"/>
              <w:spacing w:before="0" w:after="240"/>
              <w:ind w:left="0" w:right="0" w:firstLine="344"/>
              <w:jc w:val="left"/>
              <w:rPr>
                <w:rFonts w:ascii="Times New Roman" w:hAnsi="Times New Roman"/>
                <w:color w:val="000000"/>
                <w:sz w:val="20"/>
              </w:rPr>
            </w:pPr>
            <w:r>
              <w:rPr>
                <w:rFonts w:ascii="Times New Roman" w:hAnsi="Times New Roman"/>
                <w:color w:val="000000"/>
                <w:sz w:val="20"/>
              </w:rPr>
              <w:t>2.1 Building:</w:t>
            </w:r>
          </w:p>
        </w:tc>
        <w:tc>
          <w:tcPr>
            <w:tcW w:w="8171" w:type="dxa"/>
            <w:tcBorders/>
            <w:tcMar>
              <w:top w:w="0" w:type="dxa"/>
              <w:left w:w="0" w:type="dxa"/>
              <w:bottom w:w="0" w:type="dxa"/>
              <w:right w:w="0" w:type="dxa"/>
            </w:tcMar>
            <w:vAlign w:val="center"/>
          </w:tcPr>
          <w:p>
            <w:pPr>
              <w:pStyle w:val="TableContents"/>
              <w:bidi w:val="0"/>
              <w:spacing w:before="0" w:after="240"/>
              <w:ind w:left="0" w:right="0" w:firstLine="344"/>
              <w:jc w:val="left"/>
              <w:rPr>
                <w:rFonts w:ascii="Times New Roman" w:hAnsi="Times New Roman"/>
                <w:color w:val="000000"/>
                <w:sz w:val="20"/>
              </w:rPr>
            </w:pPr>
            <w:r>
              <w:rPr>
                <w:rFonts w:ascii="Times New Roman" w:hAnsi="Times New Roman"/>
                <w:color w:val="000000"/>
                <w:sz w:val="20"/>
              </w:rPr>
              <w:t>That certain three (3)-story building containing approximately 43,375 rentable square feet of space and located at 11085 Torreyana Road, San Diego, California.</w:t>
            </w:r>
          </w:p>
        </w:tc>
      </w:tr>
      <w:tr>
        <w:trPr/>
        <w:tc>
          <w:tcPr>
            <w:tcW w:w="2034" w:type="dxa"/>
            <w:tcBorders/>
            <w:tcMar>
              <w:top w:w="0" w:type="dxa"/>
              <w:left w:w="0" w:type="dxa"/>
              <w:bottom w:w="0" w:type="dxa"/>
              <w:right w:w="0" w:type="dxa"/>
            </w:tcMar>
            <w:vAlign w:val="center"/>
          </w:tcPr>
          <w:p>
            <w:pPr>
              <w:pStyle w:val="TableContents"/>
              <w:bidi w:val="0"/>
              <w:spacing w:before="0" w:after="240"/>
              <w:ind w:left="0" w:right="0" w:firstLine="344"/>
              <w:jc w:val="left"/>
              <w:rPr>
                <w:rFonts w:ascii="Times New Roman" w:hAnsi="Times New Roman"/>
                <w:color w:val="000000"/>
                <w:sz w:val="20"/>
              </w:rPr>
            </w:pPr>
            <w:r>
              <w:rPr>
                <w:rFonts w:ascii="Times New Roman" w:hAnsi="Times New Roman"/>
                <w:color w:val="000000"/>
                <w:sz w:val="20"/>
              </w:rPr>
              <w:t>2.2 Premises:</w:t>
            </w:r>
          </w:p>
        </w:tc>
        <w:tc>
          <w:tcPr>
            <w:tcW w:w="8171" w:type="dxa"/>
            <w:tcBorders/>
            <w:tcMar>
              <w:top w:w="0" w:type="dxa"/>
              <w:left w:w="0" w:type="dxa"/>
              <w:bottom w:w="0" w:type="dxa"/>
              <w:right w:w="0" w:type="dxa"/>
            </w:tcMar>
            <w:vAlign w:val="center"/>
          </w:tcPr>
          <w:p>
            <w:pPr>
              <w:pStyle w:val="TableContents"/>
              <w:bidi w:val="0"/>
              <w:spacing w:before="0" w:after="240"/>
              <w:ind w:left="0" w:right="0" w:firstLine="344"/>
              <w:jc w:val="left"/>
              <w:rPr>
                <w:rFonts w:ascii="Times New Roman" w:hAnsi="Times New Roman"/>
                <w:sz w:val="20"/>
              </w:rPr>
            </w:pPr>
            <w:r>
              <w:rPr>
                <w:rFonts w:ascii="Times New Roman" w:hAnsi="Times New Roman"/>
                <w:color w:val="000000"/>
                <w:sz w:val="20"/>
              </w:rPr>
              <w:t xml:space="preserve">Approximately 20,825 rentable square feet of space consisting of the entire first (1st) floor of the Building, as further set forth in </w:t>
            </w:r>
            <w:r>
              <w:rPr>
                <w:rFonts w:ascii="Times New Roman" w:hAnsi="Times New Roman"/>
                <w:b/>
                <w:color w:val="000000"/>
                <w:sz w:val="20"/>
                <w:u w:val="single"/>
              </w:rPr>
              <w:t>Exhibit A</w:t>
            </w:r>
            <w:r>
              <w:rPr>
                <w:rFonts w:ascii="Times New Roman" w:hAnsi="Times New Roman"/>
                <w:color w:val="000000"/>
                <w:sz w:val="20"/>
              </w:rPr>
              <w:t> to the Office Lease.</w:t>
            </w:r>
          </w:p>
        </w:tc>
      </w:tr>
      <w:tr>
        <w:trPr/>
        <w:tc>
          <w:tcPr>
            <w:tcW w:w="2034" w:type="dxa"/>
            <w:tcBorders/>
            <w:tcMar>
              <w:top w:w="0" w:type="dxa"/>
              <w:left w:w="0" w:type="dxa"/>
              <w:bottom w:w="0" w:type="dxa"/>
              <w:right w:w="0" w:type="dxa"/>
            </w:tcMar>
            <w:vAlign w:val="center"/>
          </w:tcPr>
          <w:p>
            <w:pPr>
              <w:pStyle w:val="TableContents"/>
              <w:bidi w:val="0"/>
              <w:spacing w:before="0" w:after="240"/>
              <w:ind w:left="0" w:right="0" w:firstLine="344"/>
              <w:jc w:val="left"/>
              <w:rPr>
                <w:rFonts w:ascii="Times New Roman" w:hAnsi="Times New Roman"/>
                <w:sz w:val="20"/>
              </w:rPr>
            </w:pPr>
            <w:r>
              <w:rPr>
                <w:rFonts w:ascii="Times New Roman" w:hAnsi="Times New Roman"/>
                <w:color w:val="000000"/>
                <w:sz w:val="20"/>
              </w:rPr>
              <w:t>3. Lease Term</w:t>
              <w:br/>
              <w:t>(</w:t>
            </w:r>
            <w:r>
              <w:rPr>
                <w:rFonts w:ascii="Times New Roman" w:hAnsi="Times New Roman"/>
                <w:color w:val="000000"/>
                <w:sz w:val="20"/>
                <w:u w:val="single"/>
              </w:rPr>
              <w:t>Article 2</w:t>
            </w:r>
            <w:r>
              <w:rPr>
                <w:rFonts w:ascii="Times New Roman" w:hAnsi="Times New Roman"/>
                <w:color w:val="000000"/>
                <w:sz w:val="20"/>
              </w:rPr>
              <w:t>).</w:t>
            </w:r>
          </w:p>
        </w:tc>
        <w:tc>
          <w:tcPr>
            <w:tcW w:w="8171" w:type="dxa"/>
            <w:tcBorders/>
            <w:tcMar>
              <w:top w:w="0" w:type="dxa"/>
              <w:left w:w="0" w:type="dxa"/>
              <w:bottom w:w="0" w:type="dxa"/>
              <w:right w:w="0" w:type="dxa"/>
            </w:tcMar>
            <w:vAlign w:val="center"/>
          </w:tcPr>
          <w:p>
            <w:pPr>
              <w:pStyle w:val="TableContents"/>
              <w:bidi w:val="0"/>
              <w:spacing w:before="0" w:after="240"/>
              <w:ind w:left="0" w:right="0" w:firstLine="344"/>
              <w:jc w:val="left"/>
              <w:rPr/>
            </w:pPr>
            <w:r>
              <w:rPr/>
              <w:t> </w:t>
            </w:r>
          </w:p>
        </w:tc>
      </w:tr>
      <w:tr>
        <w:trPr/>
        <w:tc>
          <w:tcPr>
            <w:tcW w:w="2034" w:type="dxa"/>
            <w:tcBorders/>
            <w:tcMar>
              <w:top w:w="0" w:type="dxa"/>
              <w:left w:w="0" w:type="dxa"/>
              <w:bottom w:w="0" w:type="dxa"/>
              <w:right w:w="0" w:type="dxa"/>
            </w:tcMar>
            <w:vAlign w:val="center"/>
          </w:tcPr>
          <w:p>
            <w:pPr>
              <w:pStyle w:val="TableContents"/>
              <w:bidi w:val="0"/>
              <w:spacing w:before="0" w:after="240"/>
              <w:ind w:left="0" w:right="0" w:firstLine="344"/>
              <w:jc w:val="left"/>
              <w:rPr>
                <w:rFonts w:ascii="Times New Roman" w:hAnsi="Times New Roman"/>
                <w:color w:val="000000"/>
                <w:sz w:val="20"/>
              </w:rPr>
            </w:pPr>
            <w:r>
              <w:rPr>
                <w:rFonts w:ascii="Times New Roman" w:hAnsi="Times New Roman"/>
                <w:color w:val="000000"/>
                <w:sz w:val="20"/>
              </w:rPr>
              <w:t>3.1 Length of Term:</w:t>
            </w:r>
          </w:p>
        </w:tc>
        <w:tc>
          <w:tcPr>
            <w:tcW w:w="8171" w:type="dxa"/>
            <w:tcBorders/>
            <w:tcMar>
              <w:top w:w="0" w:type="dxa"/>
              <w:left w:w="0" w:type="dxa"/>
              <w:bottom w:w="0" w:type="dxa"/>
              <w:right w:w="0" w:type="dxa"/>
            </w:tcMar>
            <w:vAlign w:val="center"/>
          </w:tcPr>
          <w:p>
            <w:pPr>
              <w:pStyle w:val="TableContents"/>
              <w:bidi w:val="0"/>
              <w:spacing w:before="0" w:after="240"/>
              <w:ind w:left="0" w:right="0" w:firstLine="344"/>
              <w:jc w:val="left"/>
              <w:rPr>
                <w:rFonts w:ascii="Times New Roman" w:hAnsi="Times New Roman"/>
                <w:color w:val="000000"/>
                <w:sz w:val="20"/>
              </w:rPr>
            </w:pPr>
            <w:r>
              <w:rPr>
                <w:rFonts w:ascii="Times New Roman" w:hAnsi="Times New Roman"/>
                <w:color w:val="000000"/>
                <w:sz w:val="20"/>
              </w:rPr>
              <w:t>Approximately seven (7) years and two (2) months.</w:t>
            </w:r>
          </w:p>
        </w:tc>
      </w:tr>
      <w:tr>
        <w:trPr/>
        <w:tc>
          <w:tcPr>
            <w:tcW w:w="2034" w:type="dxa"/>
            <w:tcBorders/>
            <w:tcMar>
              <w:top w:w="0" w:type="dxa"/>
              <w:left w:w="0" w:type="dxa"/>
              <w:bottom w:w="0" w:type="dxa"/>
              <w:right w:w="0" w:type="dxa"/>
            </w:tcMar>
            <w:vAlign w:val="center"/>
          </w:tcPr>
          <w:p>
            <w:pPr>
              <w:pStyle w:val="TableContents"/>
              <w:bidi w:val="0"/>
              <w:spacing w:before="0" w:after="240"/>
              <w:ind w:left="0" w:right="0" w:firstLine="344"/>
              <w:jc w:val="left"/>
              <w:rPr>
                <w:rFonts w:ascii="Times New Roman" w:hAnsi="Times New Roman"/>
                <w:color w:val="000000"/>
                <w:sz w:val="20"/>
              </w:rPr>
            </w:pPr>
            <w:r>
              <w:rPr>
                <w:rFonts w:ascii="Times New Roman" w:hAnsi="Times New Roman"/>
                <w:color w:val="000000"/>
                <w:sz w:val="20"/>
              </w:rPr>
              <w:t>3.2 Lease Commencement Date:</w:t>
            </w:r>
          </w:p>
        </w:tc>
        <w:tc>
          <w:tcPr>
            <w:tcW w:w="8171" w:type="dxa"/>
            <w:tcBorders/>
            <w:tcMar>
              <w:top w:w="0" w:type="dxa"/>
              <w:left w:w="0" w:type="dxa"/>
              <w:bottom w:w="0" w:type="dxa"/>
              <w:right w:w="0" w:type="dxa"/>
            </w:tcMar>
            <w:vAlign w:val="center"/>
          </w:tcPr>
          <w:p>
            <w:pPr>
              <w:pStyle w:val="TableContents"/>
              <w:bidi w:val="0"/>
              <w:spacing w:before="0" w:after="240"/>
              <w:ind w:left="0" w:right="0" w:firstLine="344"/>
              <w:jc w:val="left"/>
              <w:rPr>
                <w:rFonts w:ascii="Times New Roman" w:hAnsi="Times New Roman"/>
                <w:sz w:val="20"/>
              </w:rPr>
            </w:pPr>
            <w:r>
              <w:rPr>
                <w:rFonts w:ascii="Times New Roman" w:hAnsi="Times New Roman"/>
                <w:color w:val="000000"/>
                <w:sz w:val="20"/>
              </w:rPr>
              <w:t xml:space="preserve">The earlier to occur of (i) the date upon which Tenant first commences to conduct business in the Premises, and (ii) the later to occur of (A) December 1, 2017 and (B) the date upon which the Premises are Ready for Occupancy (as that term is defined in Section 4.1 of the Tenant Work Letter attached hereto as </w:t>
            </w:r>
            <w:r>
              <w:rPr>
                <w:rFonts w:ascii="Times New Roman" w:hAnsi="Times New Roman"/>
                <w:b/>
                <w:color w:val="000000"/>
                <w:sz w:val="20"/>
              </w:rPr>
              <w:t>Exhibit B</w:t>
            </w:r>
            <w:r>
              <w:rPr>
                <w:rFonts w:ascii="Times New Roman" w:hAnsi="Times New Roman"/>
                <w:color w:val="000000"/>
                <w:sz w:val="20"/>
              </w:rPr>
              <w:t> (the “</w:t>
            </w:r>
            <w:r>
              <w:rPr>
                <w:rFonts w:ascii="Times New Roman" w:hAnsi="Times New Roman"/>
                <w:b/>
                <w:color w:val="000000"/>
                <w:sz w:val="20"/>
              </w:rPr>
              <w:t>Tenant Work Letter</w:t>
            </w:r>
            <w:r>
              <w:rPr>
                <w:rFonts w:ascii="Times New Roman" w:hAnsi="Times New Roman"/>
                <w:color w:val="000000"/>
                <w:sz w:val="20"/>
              </w:rPr>
              <w:t>”)), which Lease Commencement Date is anticipated to be December 1, 2017.</w:t>
            </w:r>
          </w:p>
        </w:tc>
      </w:tr>
      <w:tr>
        <w:trPr/>
        <w:tc>
          <w:tcPr>
            <w:tcW w:w="2034" w:type="dxa"/>
            <w:tcBorders/>
            <w:tcMar>
              <w:top w:w="0" w:type="dxa"/>
              <w:left w:w="0" w:type="dxa"/>
              <w:bottom w:w="0" w:type="dxa"/>
              <w:right w:w="0" w:type="dxa"/>
            </w:tcMar>
            <w:vAlign w:val="center"/>
          </w:tcPr>
          <w:p>
            <w:pPr>
              <w:pStyle w:val="TableContents"/>
              <w:bidi w:val="0"/>
              <w:spacing w:before="0" w:after="240"/>
              <w:ind w:left="0" w:right="0" w:firstLine="344"/>
              <w:jc w:val="left"/>
              <w:rPr>
                <w:rFonts w:ascii="Times New Roman" w:hAnsi="Times New Roman"/>
                <w:color w:val="000000"/>
                <w:sz w:val="20"/>
              </w:rPr>
            </w:pPr>
            <w:r>
              <w:rPr>
                <w:rFonts w:ascii="Times New Roman" w:hAnsi="Times New Roman"/>
                <w:color w:val="000000"/>
                <w:sz w:val="20"/>
              </w:rPr>
              <w:t>3.3 Lease Expiration Date:</w:t>
            </w:r>
          </w:p>
        </w:tc>
        <w:tc>
          <w:tcPr>
            <w:tcW w:w="8171" w:type="dxa"/>
            <w:tcBorders/>
            <w:tcMar>
              <w:top w:w="0" w:type="dxa"/>
              <w:left w:w="0" w:type="dxa"/>
              <w:bottom w:w="0" w:type="dxa"/>
              <w:right w:w="0" w:type="dxa"/>
            </w:tcMar>
            <w:vAlign w:val="center"/>
          </w:tcPr>
          <w:p>
            <w:pPr>
              <w:pStyle w:val="TableContents"/>
              <w:bidi w:val="0"/>
              <w:spacing w:before="0" w:after="240"/>
              <w:ind w:left="0" w:right="0" w:firstLine="344"/>
              <w:jc w:val="left"/>
              <w:rPr>
                <w:rFonts w:ascii="Times New Roman" w:hAnsi="Times New Roman"/>
                <w:color w:val="000000"/>
                <w:sz w:val="20"/>
              </w:rPr>
            </w:pPr>
            <w:r>
              <w:rPr>
                <w:rFonts w:ascii="Times New Roman" w:hAnsi="Times New Roman"/>
                <w:color w:val="000000"/>
                <w:sz w:val="20"/>
              </w:rPr>
              <w:t>If the Lease Commencement Date shall be the first day of a calendar month, then the day immediately preceding the eighty-sixth (86th) month anniversary of the Lease Commencement Date; or if the Lease Commencement Date shall be other than the first day of a calendar month, then the last day of the month in which the eighty-sixth (86th) month anniversary of the Lease Commencement Date occurs.</w:t>
            </w:r>
          </w:p>
        </w:tc>
      </w:tr>
      <w:tr>
        <w:trPr/>
        <w:tc>
          <w:tcPr>
            <w:tcW w:w="2034" w:type="dxa"/>
            <w:tcBorders/>
            <w:tcMar>
              <w:top w:w="0" w:type="dxa"/>
              <w:left w:w="0" w:type="dxa"/>
              <w:bottom w:w="0" w:type="dxa"/>
              <w:right w:w="0" w:type="dxa"/>
            </w:tcMar>
            <w:vAlign w:val="center"/>
          </w:tcPr>
          <w:p>
            <w:pPr>
              <w:pStyle w:val="TableContents"/>
              <w:bidi w:val="0"/>
              <w:spacing w:before="0" w:after="240"/>
              <w:ind w:left="0" w:right="0" w:firstLine="344"/>
              <w:jc w:val="left"/>
              <w:rPr>
                <w:rFonts w:ascii="Times New Roman" w:hAnsi="Times New Roman"/>
                <w:sz w:val="20"/>
              </w:rPr>
            </w:pPr>
            <w:r>
              <w:rPr>
                <w:rFonts w:ascii="Times New Roman" w:hAnsi="Times New Roman"/>
                <w:color w:val="000000"/>
                <w:sz w:val="20"/>
              </w:rPr>
              <w:t>4. Base Rent</w:t>
              <w:br/>
              <w:t>(</w:t>
            </w:r>
            <w:r>
              <w:rPr>
                <w:rFonts w:ascii="Times New Roman" w:hAnsi="Times New Roman"/>
                <w:color w:val="000000"/>
                <w:sz w:val="20"/>
                <w:u w:val="single"/>
              </w:rPr>
              <w:t>Article 3</w:t>
            </w:r>
            <w:r>
              <w:rPr>
                <w:rFonts w:ascii="Times New Roman" w:hAnsi="Times New Roman"/>
                <w:color w:val="000000"/>
                <w:sz w:val="20"/>
              </w:rPr>
              <w:t>):</w:t>
            </w:r>
          </w:p>
        </w:tc>
        <w:tc>
          <w:tcPr>
            <w:tcW w:w="8171" w:type="dxa"/>
            <w:tcBorders/>
            <w:tcMar>
              <w:top w:w="0" w:type="dxa"/>
              <w:left w:w="0" w:type="dxa"/>
              <w:bottom w:w="0" w:type="dxa"/>
              <w:right w:w="0" w:type="dxa"/>
            </w:tcMar>
            <w:vAlign w:val="center"/>
          </w:tcPr>
          <w:p>
            <w:pPr>
              <w:pStyle w:val="TableContents"/>
              <w:bidi w:val="0"/>
              <w:spacing w:before="0" w:after="240"/>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tbl>
      <w:tblPr>
        <w:tblW w:w="4334" w:type="dxa"/>
        <w:jc w:val="left"/>
        <w:tblInd w:w="0" w:type="dxa"/>
        <w:tblLayout w:type="fixed"/>
        <w:tblCellMar>
          <w:top w:w="28" w:type="dxa"/>
          <w:left w:w="28" w:type="dxa"/>
          <w:bottom w:w="28" w:type="dxa"/>
          <w:right w:w="28" w:type="dxa"/>
        </w:tblCellMar>
      </w:tblPr>
      <w:tblGrid>
        <w:gridCol w:w="161"/>
        <w:gridCol w:w="991"/>
        <w:gridCol w:w="1141"/>
        <w:gridCol w:w="2041"/>
      </w:tblGrid>
      <w:tr>
        <w:trPr/>
        <w:tc>
          <w:tcPr>
            <w:tcW w:w="16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120" w:after="120"/>
              <w:jc w:val="left"/>
              <w:rPr/>
            </w:pPr>
            <w:r>
              <w:rPr/>
              <w:t> </w:t>
            </w:r>
          </w:p>
        </w:tc>
        <w:tc>
          <w:tcPr>
            <w:tcW w:w="991" w:type="dxa"/>
            <w:tcBorders/>
            <w:tcMar>
              <w:top w:w="0" w:type="dxa"/>
              <w:left w:w="0" w:type="dxa"/>
              <w:bottom w:w="0" w:type="dxa"/>
              <w:right w:w="0" w:type="dxa"/>
            </w:tcMar>
            <w:vAlign w:val="center"/>
          </w:tcPr>
          <w:p>
            <w:pPr>
              <w:pStyle w:val="TableContents"/>
              <w:pBdr>
                <w:bottom w:val="single" w:sz="4" w:space="1" w:color="000000"/>
              </w:pBdr>
              <w:bidi w:val="0"/>
              <w:spacing w:before="120" w:after="120"/>
              <w:jc w:val="left"/>
              <w:rPr>
                <w:rFonts w:ascii="Times New Roman" w:hAnsi="Times New Roman"/>
                <w:color w:val="000000"/>
                <w:sz w:val="20"/>
              </w:rPr>
            </w:pPr>
            <w:r>
              <w:rPr>
                <w:rFonts w:ascii="Times New Roman" w:hAnsi="Times New Roman"/>
                <w:color w:val="000000"/>
                <w:sz w:val="20"/>
              </w:rPr>
              <w:t>Lease Year</w:t>
            </w:r>
          </w:p>
        </w:tc>
        <w:tc>
          <w:tcPr>
            <w:tcW w:w="1141" w:type="dxa"/>
            <w:tcBorders/>
            <w:tcMar>
              <w:top w:w="0" w:type="dxa"/>
              <w:left w:w="0" w:type="dxa"/>
              <w:bottom w:w="0" w:type="dxa"/>
              <w:right w:w="0" w:type="dxa"/>
            </w:tcMar>
            <w:vAlign w:val="center"/>
          </w:tcPr>
          <w:p>
            <w:pPr>
              <w:pStyle w:val="TableContents"/>
              <w:pBdr>
                <w:bottom w:val="single" w:sz="4" w:space="1" w:color="000000"/>
              </w:pBdr>
              <w:bidi w:val="0"/>
              <w:spacing w:before="120" w:after="120"/>
              <w:jc w:val="center"/>
              <w:rPr>
                <w:rFonts w:ascii="Times New Roman" w:hAnsi="Times New Roman"/>
                <w:color w:val="000000"/>
                <w:sz w:val="20"/>
              </w:rPr>
            </w:pPr>
            <w:r>
              <w:rPr>
                <w:rFonts w:ascii="Times New Roman" w:hAnsi="Times New Roman"/>
                <w:color w:val="000000"/>
                <w:sz w:val="20"/>
              </w:rPr>
              <w:t>Annual Base</w:t>
              <w:br/>
              <w:t>Rent</w:t>
            </w:r>
          </w:p>
        </w:tc>
        <w:tc>
          <w:tcPr>
            <w:tcW w:w="2041" w:type="dxa"/>
            <w:tcBorders/>
            <w:tcMar>
              <w:top w:w="0" w:type="dxa"/>
              <w:left w:w="0" w:type="dxa"/>
              <w:bottom w:w="0" w:type="dxa"/>
              <w:right w:w="0" w:type="dxa"/>
            </w:tcMar>
            <w:vAlign w:val="center"/>
          </w:tcPr>
          <w:p>
            <w:pPr>
              <w:pStyle w:val="TableContents"/>
              <w:pBdr>
                <w:bottom w:val="single" w:sz="4" w:space="1" w:color="000000"/>
              </w:pBdr>
              <w:bidi w:val="0"/>
              <w:spacing w:before="120" w:after="120"/>
              <w:jc w:val="center"/>
              <w:rPr>
                <w:rFonts w:ascii="Times New Roman" w:hAnsi="Times New Roman"/>
                <w:color w:val="000000"/>
                <w:sz w:val="20"/>
              </w:rPr>
            </w:pPr>
            <w:r>
              <w:rPr>
                <w:rFonts w:ascii="Times New Roman" w:hAnsi="Times New Roman"/>
                <w:color w:val="000000"/>
                <w:sz w:val="20"/>
              </w:rPr>
              <w:t>Monthly Installment of</w:t>
              <w:br/>
              <w:t>Base Rent*</w:t>
            </w:r>
          </w:p>
        </w:tc>
      </w:tr>
      <w:tr>
        <w:trPr/>
        <w:tc>
          <w:tcPr>
            <w:tcW w:w="161" w:type="dxa"/>
            <w:tcBorders/>
            <w:tcMar>
              <w:top w:w="0" w:type="dxa"/>
              <w:left w:w="0" w:type="dxa"/>
              <w:bottom w:w="0" w:type="dxa"/>
              <w:right w:w="0" w:type="dxa"/>
            </w:tcMar>
            <w:vAlign w:val="center"/>
          </w:tcPr>
          <w:p>
            <w:pPr>
              <w:pStyle w:val="TableContents"/>
              <w:bidi w:val="0"/>
              <w:spacing w:before="120" w:after="120"/>
              <w:jc w:val="center"/>
              <w:rPr/>
            </w:pPr>
            <w:r>
              <w:rPr/>
              <w:t> </w:t>
            </w:r>
          </w:p>
        </w:tc>
        <w:tc>
          <w:tcPr>
            <w:tcW w:w="991" w:type="dxa"/>
            <w:tcBorders/>
            <w:shd w:fill="DCE7F6" w:val="clear"/>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1**</w:t>
            </w:r>
          </w:p>
        </w:tc>
        <w:tc>
          <w:tcPr>
            <w:tcW w:w="1141" w:type="dxa"/>
            <w:tcBorders/>
            <w:shd w:fill="DCE7F6" w:val="clear"/>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$799,680.00</w:t>
            </w:r>
          </w:p>
        </w:tc>
        <w:tc>
          <w:tcPr>
            <w:tcW w:w="2041" w:type="dxa"/>
            <w:tcBorders/>
            <w:shd w:fill="DCE7F6" w:val="clear"/>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$66,640.00</w:t>
            </w:r>
          </w:p>
        </w:tc>
      </w:tr>
      <w:tr>
        <w:trPr/>
        <w:tc>
          <w:tcPr>
            <w:tcW w:w="161" w:type="dxa"/>
            <w:tcBorders/>
            <w:tcMar>
              <w:top w:w="0" w:type="dxa"/>
              <w:left w:w="0" w:type="dxa"/>
              <w:bottom w:w="0" w:type="dxa"/>
              <w:right w:w="0" w:type="dxa"/>
            </w:tcMar>
            <w:vAlign w:val="center"/>
          </w:tcPr>
          <w:p>
            <w:pPr>
              <w:pStyle w:val="TableContents"/>
              <w:bidi w:val="0"/>
              <w:spacing w:before="120" w:after="120"/>
              <w:jc w:val="center"/>
              <w:rPr/>
            </w:pPr>
            <w:r>
              <w:rPr/>
              <w:t> </w:t>
            </w:r>
          </w:p>
        </w:tc>
        <w:tc>
          <w:tcPr>
            <w:tcW w:w="99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2</w:t>
            </w:r>
          </w:p>
        </w:tc>
        <w:tc>
          <w:tcPr>
            <w:tcW w:w="114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$823,670.40</w:t>
            </w:r>
          </w:p>
        </w:tc>
        <w:tc>
          <w:tcPr>
            <w:tcW w:w="204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$68,639.20</w:t>
            </w:r>
          </w:p>
        </w:tc>
      </w:tr>
      <w:tr>
        <w:trPr/>
        <w:tc>
          <w:tcPr>
            <w:tcW w:w="161" w:type="dxa"/>
            <w:tcBorders/>
            <w:tcMar>
              <w:top w:w="0" w:type="dxa"/>
              <w:left w:w="0" w:type="dxa"/>
              <w:bottom w:w="0" w:type="dxa"/>
              <w:right w:w="0" w:type="dxa"/>
            </w:tcMar>
            <w:vAlign w:val="center"/>
          </w:tcPr>
          <w:p>
            <w:pPr>
              <w:pStyle w:val="TableContents"/>
              <w:bidi w:val="0"/>
              <w:spacing w:before="120" w:after="120"/>
              <w:jc w:val="center"/>
              <w:rPr/>
            </w:pPr>
            <w:r>
              <w:rPr/>
              <w:t> </w:t>
            </w:r>
          </w:p>
        </w:tc>
        <w:tc>
          <w:tcPr>
            <w:tcW w:w="991" w:type="dxa"/>
            <w:tcBorders/>
            <w:shd w:fill="DCE7F6" w:val="clear"/>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3</w:t>
            </w:r>
          </w:p>
        </w:tc>
        <w:tc>
          <w:tcPr>
            <w:tcW w:w="1141" w:type="dxa"/>
            <w:tcBorders/>
            <w:shd w:fill="DCE7F6" w:val="clear"/>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$848,380.56</w:t>
            </w:r>
          </w:p>
        </w:tc>
        <w:tc>
          <w:tcPr>
            <w:tcW w:w="2041" w:type="dxa"/>
            <w:tcBorders/>
            <w:shd w:fill="DCE7F6" w:val="clear"/>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$70,698.38</w:t>
            </w:r>
          </w:p>
        </w:tc>
      </w:tr>
      <w:tr>
        <w:trPr/>
        <w:tc>
          <w:tcPr>
            <w:tcW w:w="161" w:type="dxa"/>
            <w:tcBorders/>
            <w:tcMar>
              <w:top w:w="0" w:type="dxa"/>
              <w:left w:w="0" w:type="dxa"/>
              <w:bottom w:w="0" w:type="dxa"/>
              <w:right w:w="0" w:type="dxa"/>
            </w:tcMar>
            <w:vAlign w:val="center"/>
          </w:tcPr>
          <w:p>
            <w:pPr>
              <w:pStyle w:val="TableContents"/>
              <w:bidi w:val="0"/>
              <w:spacing w:before="120" w:after="120"/>
              <w:jc w:val="center"/>
              <w:rPr/>
            </w:pPr>
            <w:r>
              <w:rPr/>
              <w:t> </w:t>
            </w:r>
          </w:p>
        </w:tc>
        <w:tc>
          <w:tcPr>
            <w:tcW w:w="99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4</w:t>
            </w:r>
          </w:p>
        </w:tc>
        <w:tc>
          <w:tcPr>
            <w:tcW w:w="114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$873,831.96</w:t>
            </w:r>
          </w:p>
        </w:tc>
        <w:tc>
          <w:tcPr>
            <w:tcW w:w="204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$72,819.33</w:t>
            </w:r>
          </w:p>
        </w:tc>
      </w:tr>
      <w:tr>
        <w:trPr/>
        <w:tc>
          <w:tcPr>
            <w:tcW w:w="161" w:type="dxa"/>
            <w:tcBorders/>
            <w:tcMar>
              <w:top w:w="0" w:type="dxa"/>
              <w:left w:w="0" w:type="dxa"/>
              <w:bottom w:w="0" w:type="dxa"/>
              <w:right w:w="0" w:type="dxa"/>
            </w:tcMar>
            <w:vAlign w:val="center"/>
          </w:tcPr>
          <w:p>
            <w:pPr>
              <w:pStyle w:val="TableContents"/>
              <w:bidi w:val="0"/>
              <w:spacing w:before="120" w:after="120"/>
              <w:jc w:val="center"/>
              <w:rPr/>
            </w:pPr>
            <w:r>
              <w:rPr/>
              <w:t> </w:t>
            </w:r>
          </w:p>
        </w:tc>
        <w:tc>
          <w:tcPr>
            <w:tcW w:w="991" w:type="dxa"/>
            <w:tcBorders/>
            <w:shd w:fill="DCE7F6" w:val="clear"/>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5</w:t>
            </w:r>
          </w:p>
        </w:tc>
        <w:tc>
          <w:tcPr>
            <w:tcW w:w="1141" w:type="dxa"/>
            <w:tcBorders/>
            <w:shd w:fill="DCE7F6" w:val="clear"/>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$900,046.92</w:t>
            </w:r>
          </w:p>
        </w:tc>
        <w:tc>
          <w:tcPr>
            <w:tcW w:w="2041" w:type="dxa"/>
            <w:tcBorders/>
            <w:shd w:fill="DCE7F6" w:val="clear"/>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$75,003.91</w:t>
            </w:r>
          </w:p>
        </w:tc>
      </w:tr>
      <w:tr>
        <w:trPr/>
        <w:tc>
          <w:tcPr>
            <w:tcW w:w="161" w:type="dxa"/>
            <w:tcBorders/>
            <w:tcMar>
              <w:top w:w="0" w:type="dxa"/>
              <w:left w:w="0" w:type="dxa"/>
              <w:bottom w:w="0" w:type="dxa"/>
              <w:right w:w="0" w:type="dxa"/>
            </w:tcMar>
            <w:vAlign w:val="center"/>
          </w:tcPr>
          <w:p>
            <w:pPr>
              <w:pStyle w:val="TableContents"/>
              <w:bidi w:val="0"/>
              <w:spacing w:before="120" w:after="120"/>
              <w:jc w:val="center"/>
              <w:rPr/>
            </w:pPr>
            <w:r>
              <w:rPr/>
              <w:t> </w:t>
            </w:r>
          </w:p>
        </w:tc>
        <w:tc>
          <w:tcPr>
            <w:tcW w:w="99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6</w:t>
            </w:r>
          </w:p>
        </w:tc>
        <w:tc>
          <w:tcPr>
            <w:tcW w:w="114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$927,048.36</w:t>
            </w:r>
          </w:p>
        </w:tc>
        <w:tc>
          <w:tcPr>
            <w:tcW w:w="204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$77,254.03</w:t>
            </w:r>
          </w:p>
        </w:tc>
      </w:tr>
      <w:tr>
        <w:trPr/>
        <w:tc>
          <w:tcPr>
            <w:tcW w:w="161" w:type="dxa"/>
            <w:tcBorders/>
            <w:tcMar>
              <w:top w:w="0" w:type="dxa"/>
              <w:left w:w="0" w:type="dxa"/>
              <w:bottom w:w="0" w:type="dxa"/>
              <w:right w:w="0" w:type="dxa"/>
            </w:tcMar>
            <w:vAlign w:val="center"/>
          </w:tcPr>
          <w:p>
            <w:pPr>
              <w:pStyle w:val="TableContents"/>
              <w:bidi w:val="0"/>
              <w:spacing w:before="120" w:after="120"/>
              <w:jc w:val="center"/>
              <w:rPr/>
            </w:pPr>
            <w:r>
              <w:rPr/>
              <w:t> </w:t>
            </w:r>
          </w:p>
        </w:tc>
        <w:tc>
          <w:tcPr>
            <w:tcW w:w="991" w:type="dxa"/>
            <w:tcBorders/>
            <w:shd w:fill="DCE7F6" w:val="clear"/>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7</w:t>
            </w:r>
          </w:p>
        </w:tc>
        <w:tc>
          <w:tcPr>
            <w:tcW w:w="1141" w:type="dxa"/>
            <w:tcBorders/>
            <w:shd w:fill="DCE7F6" w:val="clear"/>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$954,859.80</w:t>
            </w:r>
          </w:p>
        </w:tc>
        <w:tc>
          <w:tcPr>
            <w:tcW w:w="2041" w:type="dxa"/>
            <w:tcBorders/>
            <w:shd w:fill="DCE7F6" w:val="clear"/>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$79,571.65</w:t>
            </w:r>
          </w:p>
        </w:tc>
      </w:tr>
      <w:tr>
        <w:trPr/>
        <w:tc>
          <w:tcPr>
            <w:tcW w:w="161" w:type="dxa"/>
            <w:tcBorders/>
            <w:tcMar>
              <w:top w:w="0" w:type="dxa"/>
              <w:left w:w="0" w:type="dxa"/>
              <w:bottom w:w="0" w:type="dxa"/>
              <w:right w:w="0" w:type="dxa"/>
            </w:tcMar>
            <w:vAlign w:val="center"/>
          </w:tcPr>
          <w:p>
            <w:pPr>
              <w:pStyle w:val="TableContents"/>
              <w:bidi w:val="0"/>
              <w:spacing w:before="120" w:after="120"/>
              <w:jc w:val="center"/>
              <w:rPr/>
            </w:pPr>
            <w:r>
              <w:rPr/>
              <w:t> </w:t>
            </w:r>
          </w:p>
        </w:tc>
        <w:tc>
          <w:tcPr>
            <w:tcW w:w="99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8</w:t>
            </w:r>
          </w:p>
        </w:tc>
        <w:tc>
          <w:tcPr>
            <w:tcW w:w="114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N/A</w:t>
            </w:r>
          </w:p>
        </w:tc>
        <w:tc>
          <w:tcPr>
            <w:tcW w:w="204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$81,958.80</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The Monthly Installment of Base Rent for Lease Year 1 was calculated by multiplying $3.20 by the number of rentable square feet of space in the Premises, and the initial Annual Base Rent amount was calculated by multiplying the initial Monthly Installment of Base Rent amount by twelve (12). In all subsequent periods, the calculation of Monthly Installment of Base Rent reflects an annual increase of 3.0%, rounded to the nearest cent, and each Annual Base Rent amount was calculated by multiplying the corresponding Monthly Installment of Base Rent amount by twelve (12).</w:t>
      </w:r>
    </w:p>
    <w:p>
      <w:pPr>
        <w:pStyle w:val="TextBody"/>
        <w:bidi w:val="0"/>
        <w:jc w:val="left"/>
        <w:rPr>
          <w:rFonts w:ascii="Times New Roman" w:hAnsi="Times New Roman"/>
          <w:color w:val="000000"/>
          <w:sz w:val="20"/>
        </w:rPr>
      </w:pPr>
      <w:r>
        <w:rPr>
          <w:rFonts w:ascii="Times New Roman" w:hAnsi="Times New Roman"/>
          <w:color w:val="000000"/>
          <w:sz w:val="20"/>
        </w:rPr>
        <w:t>** Subject to the terms set forth in Section 3.2 below, the Base Rent attributable to the three (3) month period commencing on the first (1st) day of the second (2nd) full calendar month of the Lease Term and ending on the last day of the fourth (4th) full calendar month of the Lease Term shall be abated.</w:t>
      </w:r>
    </w:p>
    <w:tbl>
      <w:tblPr>
        <w:tblW w:w="10205" w:type="dxa"/>
        <w:jc w:val="left"/>
        <w:tblInd w:w="0" w:type="dxa"/>
        <w:tblLayout w:type="fixed"/>
        <w:tblCellMar>
          <w:top w:w="28" w:type="dxa"/>
          <w:left w:w="28" w:type="dxa"/>
          <w:bottom w:w="28" w:type="dxa"/>
          <w:right w:w="28" w:type="dxa"/>
        </w:tblCellMar>
      </w:tblPr>
      <w:tblGrid>
        <w:gridCol w:w="1645"/>
        <w:gridCol w:w="8560"/>
      </w:tblGrid>
      <w:tr>
        <w:trPr/>
        <w:tc>
          <w:tcPr>
            <w:tcW w:w="1645" w:type="dxa"/>
            <w:tcBorders/>
            <w:vAlign w:val="center"/>
          </w:tcPr>
          <w:p>
            <w:pPr>
              <w:pStyle w:val="TableContents"/>
              <w:bidi w:val="0"/>
              <w:spacing w:before="0" w:after="283"/>
              <w:jc w:val="left"/>
              <w:rPr>
                <w:sz w:val="4"/>
                <w:szCs w:val="4"/>
              </w:rPr>
            </w:pPr>
            <w:r>
              <w:rPr>
                <w:sz w:val="4"/>
                <w:szCs w:val="4"/>
              </w:rPr>
            </w:r>
          </w:p>
        </w:tc>
        <w:tc>
          <w:tcPr>
            <w:tcW w:w="8560" w:type="dxa"/>
            <w:tcBorders/>
            <w:vAlign w:val="center"/>
          </w:tcPr>
          <w:p>
            <w:pPr>
              <w:pStyle w:val="TableContents"/>
              <w:bidi w:val="0"/>
              <w:spacing w:before="0" w:after="283"/>
              <w:ind w:left="0" w:right="0" w:firstLine="344"/>
              <w:jc w:val="left"/>
              <w:rPr>
                <w:sz w:val="4"/>
                <w:szCs w:val="4"/>
              </w:rPr>
            </w:pPr>
            <w:r>
              <w:rPr>
                <w:sz w:val="4"/>
                <w:szCs w:val="4"/>
              </w:rPr>
            </w:r>
          </w:p>
        </w:tc>
      </w:tr>
      <w:tr>
        <w:trPr/>
        <w:tc>
          <w:tcPr>
            <w:tcW w:w="1645" w:type="dxa"/>
            <w:tcBorders/>
            <w:tcMar>
              <w:top w:w="0" w:type="dxa"/>
              <w:left w:w="0" w:type="dxa"/>
              <w:bottom w:w="0" w:type="dxa"/>
              <w:right w:w="0" w:type="dxa"/>
            </w:tcMar>
            <w:vAlign w:val="center"/>
          </w:tcPr>
          <w:p>
            <w:pPr>
              <w:pStyle w:val="TableContents"/>
              <w:bidi w:val="0"/>
              <w:spacing w:before="0" w:after="240"/>
              <w:ind w:left="0" w:right="0" w:firstLine="344"/>
              <w:jc w:val="left"/>
              <w:rPr>
                <w:rFonts w:ascii="Times New Roman" w:hAnsi="Times New Roman"/>
                <w:sz w:val="20"/>
              </w:rPr>
            </w:pPr>
            <w:r>
              <w:rPr>
                <w:rFonts w:ascii="Times New Roman" w:hAnsi="Times New Roman"/>
                <w:color w:val="000000"/>
                <w:sz w:val="20"/>
              </w:rPr>
              <w:t>5. Operating Expenses and Tax Expenses</w:t>
              <w:br/>
              <w:t>(</w:t>
            </w:r>
            <w:r>
              <w:rPr>
                <w:rFonts w:ascii="Times New Roman" w:hAnsi="Times New Roman"/>
                <w:color w:val="000000"/>
                <w:sz w:val="20"/>
                <w:u w:val="single"/>
              </w:rPr>
              <w:t>Article 4</w:t>
            </w:r>
            <w:r>
              <w:rPr>
                <w:rFonts w:ascii="Times New Roman" w:hAnsi="Times New Roman"/>
                <w:color w:val="000000"/>
                <w:sz w:val="20"/>
              </w:rPr>
              <w:t>):</w:t>
            </w:r>
          </w:p>
        </w:tc>
        <w:tc>
          <w:tcPr>
            <w:tcW w:w="8560"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0"/>
              </w:rPr>
            </w:pPr>
            <w:r>
              <w:rPr>
                <w:rFonts w:ascii="Times New Roman" w:hAnsi="Times New Roman"/>
                <w:color w:val="000000"/>
                <w:sz w:val="20"/>
              </w:rPr>
              <w:t>This is a “</w:t>
            </w:r>
            <w:r>
              <w:rPr>
                <w:rFonts w:ascii="Times New Roman" w:hAnsi="Times New Roman"/>
                <w:b/>
                <w:color w:val="000000"/>
                <w:sz w:val="20"/>
              </w:rPr>
              <w:t>TRIPLE NET</w:t>
            </w:r>
            <w:r>
              <w:rPr>
                <w:rFonts w:ascii="Times New Roman" w:hAnsi="Times New Roman"/>
                <w:color w:val="000000"/>
                <w:sz w:val="20"/>
              </w:rPr>
              <w:t>” lease and as such, certain applicable provisions contained in this Lease are intended to pass on to Tenant and reimburse Landlord for certain costs and expenses (including, without limitation, Operating Expenses and Tax Expenses) incurred by Landlord and reasonably associated with this Lease, the Building, and Tenant’s operation therefrom, all as more fully set forth below. To the extent such costs and expenses payable by Tenant cannot be charged directly to, and paid by, Tenant, such costs and expenses shall be paid by Landlord but reimbursed by Tenant as Additional Rent, all as more fully set forth below.</w:t>
            </w:r>
          </w:p>
        </w:tc>
      </w:tr>
    </w:tbl>
    <w:p>
      <w:pPr>
        <w:pStyle w:val="TextBody"/>
        <w:bidi w:val="0"/>
        <w:spacing w:before="0" w:after="240"/>
        <w:jc w:val="center"/>
        <w:rPr>
          <w:rFonts w:ascii="Times New Roman" w:hAnsi="Times New Roman"/>
          <w:color w:val="000000"/>
          <w:sz w:val="20"/>
        </w:rPr>
      </w:pPr>
      <w:r>
        <w:rPr>
          <w:rFonts w:ascii="Times New Roman" w:hAnsi="Times New Roman"/>
          <w:color w:val="000000"/>
          <w:sz w:val="20"/>
        </w:rPr>
        <w:t>- 2 -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tbl>
      <w:tblPr>
        <w:tblW w:w="10205" w:type="dxa"/>
        <w:jc w:val="left"/>
        <w:tblInd w:w="0" w:type="dxa"/>
        <w:tblLayout w:type="fixed"/>
        <w:tblCellMar>
          <w:top w:w="28" w:type="dxa"/>
          <w:left w:w="28" w:type="dxa"/>
          <w:bottom w:w="28" w:type="dxa"/>
          <w:right w:w="28" w:type="dxa"/>
        </w:tblCellMar>
      </w:tblPr>
      <w:tblGrid>
        <w:gridCol w:w="1458"/>
        <w:gridCol w:w="8747"/>
      </w:tblGrid>
      <w:tr>
        <w:trPr/>
        <w:tc>
          <w:tcPr>
            <w:tcW w:w="1458" w:type="dxa"/>
            <w:tcBorders/>
            <w:vAlign w:val="center"/>
          </w:tcPr>
          <w:p>
            <w:pPr>
              <w:pStyle w:val="TableContents"/>
              <w:bidi w:val="0"/>
              <w:spacing w:before="0" w:after="283"/>
              <w:jc w:val="left"/>
              <w:rPr>
                <w:sz w:val="4"/>
                <w:szCs w:val="4"/>
              </w:rPr>
            </w:pPr>
            <w:r>
              <w:rPr>
                <w:sz w:val="4"/>
                <w:szCs w:val="4"/>
              </w:rPr>
            </w:r>
          </w:p>
        </w:tc>
        <w:tc>
          <w:tcPr>
            <w:tcW w:w="8747" w:type="dxa"/>
            <w:tcBorders/>
            <w:vAlign w:val="center"/>
          </w:tcPr>
          <w:p>
            <w:pPr>
              <w:pStyle w:val="TableContents"/>
              <w:bidi w:val="0"/>
              <w:spacing w:before="0" w:after="283"/>
              <w:ind w:left="0" w:right="0" w:firstLine="344"/>
              <w:jc w:val="left"/>
              <w:rPr>
                <w:sz w:val="4"/>
                <w:szCs w:val="4"/>
              </w:rPr>
            </w:pPr>
            <w:r>
              <w:rPr>
                <w:sz w:val="4"/>
                <w:szCs w:val="4"/>
              </w:rPr>
            </w:r>
          </w:p>
        </w:tc>
      </w:tr>
      <w:tr>
        <w:trPr/>
        <w:tc>
          <w:tcPr>
            <w:tcW w:w="1458" w:type="dxa"/>
            <w:tcBorders/>
            <w:tcMar>
              <w:top w:w="0" w:type="dxa"/>
              <w:left w:w="0" w:type="dxa"/>
              <w:bottom w:w="0" w:type="dxa"/>
              <w:right w:w="0" w:type="dxa"/>
            </w:tcMar>
            <w:vAlign w:val="center"/>
          </w:tcPr>
          <w:p>
            <w:pPr>
              <w:pStyle w:val="TableContents"/>
              <w:bidi w:val="0"/>
              <w:spacing w:before="0" w:after="240"/>
              <w:ind w:left="0" w:right="0" w:firstLine="344"/>
              <w:jc w:val="left"/>
              <w:rPr>
                <w:rFonts w:ascii="Times New Roman" w:hAnsi="Times New Roman"/>
                <w:sz w:val="20"/>
              </w:rPr>
            </w:pPr>
            <w:r>
              <w:rPr>
                <w:rFonts w:ascii="Times New Roman" w:hAnsi="Times New Roman"/>
                <w:color w:val="000000"/>
                <w:sz w:val="20"/>
              </w:rPr>
              <w:t>6. Tenant’s Share</w:t>
              <w:br/>
              <w:t>(</w:t>
            </w:r>
            <w:r>
              <w:rPr>
                <w:rFonts w:ascii="Times New Roman" w:hAnsi="Times New Roman"/>
                <w:color w:val="000000"/>
                <w:sz w:val="20"/>
                <w:u w:val="single"/>
              </w:rPr>
              <w:t>Article 4</w:t>
            </w:r>
            <w:r>
              <w:rPr>
                <w:rFonts w:ascii="Times New Roman" w:hAnsi="Times New Roman"/>
                <w:color w:val="000000"/>
                <w:sz w:val="20"/>
              </w:rPr>
              <w:t>):</w:t>
            </w:r>
          </w:p>
        </w:tc>
        <w:tc>
          <w:tcPr>
            <w:tcW w:w="8747" w:type="dxa"/>
            <w:tcBorders/>
            <w:tcMar>
              <w:top w:w="0" w:type="dxa"/>
              <w:left w:w="0" w:type="dxa"/>
              <w:bottom w:w="0" w:type="dxa"/>
              <w:right w:w="0" w:type="dxa"/>
            </w:tcMar>
            <w:vAlign w:val="center"/>
          </w:tcPr>
          <w:p>
            <w:pPr>
              <w:pStyle w:val="TableContents"/>
              <w:bidi w:val="0"/>
              <w:spacing w:before="0" w:after="240"/>
              <w:ind w:left="0" w:right="0" w:firstLine="344"/>
              <w:jc w:val="left"/>
              <w:rPr>
                <w:rFonts w:ascii="Times New Roman" w:hAnsi="Times New Roman"/>
                <w:color w:val="000000"/>
                <w:sz w:val="20"/>
              </w:rPr>
            </w:pPr>
            <w:r>
              <w:rPr>
                <w:rFonts w:ascii="Times New Roman" w:hAnsi="Times New Roman"/>
                <w:color w:val="000000"/>
                <w:sz w:val="20"/>
              </w:rPr>
              <w:t>Forty eight and 1/100 percent (48.01%).</w:t>
            </w:r>
          </w:p>
        </w:tc>
      </w:tr>
      <w:tr>
        <w:trPr/>
        <w:tc>
          <w:tcPr>
            <w:tcW w:w="1458" w:type="dxa"/>
            <w:tcBorders/>
            <w:tcMar>
              <w:top w:w="0" w:type="dxa"/>
              <w:left w:w="0" w:type="dxa"/>
              <w:bottom w:w="0" w:type="dxa"/>
              <w:right w:w="0" w:type="dxa"/>
            </w:tcMar>
            <w:vAlign w:val="center"/>
          </w:tcPr>
          <w:p>
            <w:pPr>
              <w:pStyle w:val="TableContents"/>
              <w:bidi w:val="0"/>
              <w:spacing w:before="0" w:after="240"/>
              <w:ind w:left="0" w:right="0" w:firstLine="344"/>
              <w:jc w:val="left"/>
              <w:rPr>
                <w:rFonts w:ascii="Times New Roman" w:hAnsi="Times New Roman"/>
                <w:sz w:val="20"/>
              </w:rPr>
            </w:pPr>
            <w:r>
              <w:rPr>
                <w:rFonts w:ascii="Times New Roman" w:hAnsi="Times New Roman"/>
                <w:color w:val="000000"/>
                <w:sz w:val="20"/>
              </w:rPr>
              <w:t>7. Permitted Use</w:t>
              <w:br/>
              <w:t>(</w:t>
            </w:r>
            <w:r>
              <w:rPr>
                <w:rFonts w:ascii="Times New Roman" w:hAnsi="Times New Roman"/>
                <w:color w:val="000000"/>
                <w:sz w:val="20"/>
                <w:u w:val="single"/>
              </w:rPr>
              <w:t>Article 5</w:t>
            </w:r>
            <w:r>
              <w:rPr>
                <w:rFonts w:ascii="Times New Roman" w:hAnsi="Times New Roman"/>
                <w:color w:val="000000"/>
                <w:sz w:val="20"/>
              </w:rPr>
              <w:t>):</w:t>
            </w:r>
          </w:p>
        </w:tc>
        <w:tc>
          <w:tcPr>
            <w:tcW w:w="8747" w:type="dxa"/>
            <w:tcBorders/>
            <w:tcMar>
              <w:top w:w="0" w:type="dxa"/>
              <w:left w:w="0" w:type="dxa"/>
              <w:bottom w:w="0" w:type="dxa"/>
              <w:right w:w="0" w:type="dxa"/>
            </w:tcMar>
            <w:vAlign w:val="center"/>
          </w:tcPr>
          <w:p>
            <w:pPr>
              <w:pStyle w:val="TableContents"/>
              <w:bidi w:val="0"/>
              <w:spacing w:before="0" w:after="240"/>
              <w:ind w:left="0" w:right="0" w:firstLine="344"/>
              <w:jc w:val="left"/>
              <w:rPr>
                <w:rFonts w:ascii="Times New Roman" w:hAnsi="Times New Roman"/>
                <w:sz w:val="20"/>
              </w:rPr>
            </w:pPr>
            <w:r>
              <w:rPr>
                <w:rFonts w:ascii="Times New Roman" w:hAnsi="Times New Roman"/>
                <w:color w:val="000000"/>
                <w:sz w:val="20"/>
              </w:rPr>
              <w:t>The Premises shall be used only for (a) general office uses, (b) research and development and laboratory uses, and (c) all other lawful uses reasonably related to or incidental to such uses specified in items (a) and (b) above, all (i) consistent with first-class life sciences projects in San Diego, California (“</w:t>
            </w:r>
            <w:r>
              <w:rPr>
                <w:rFonts w:ascii="Times New Roman" w:hAnsi="Times New Roman"/>
                <w:b/>
                <w:color w:val="000000"/>
                <w:sz w:val="20"/>
              </w:rPr>
              <w:t>First-Class Life Sciences Projects</w:t>
            </w:r>
            <w:r>
              <w:rPr>
                <w:rFonts w:ascii="Times New Roman" w:hAnsi="Times New Roman"/>
                <w:color w:val="000000"/>
                <w:sz w:val="20"/>
              </w:rPr>
              <w:t>”), and (ii) in compliance with, and subject to, applicable laws and the terms of this Lease.</w:t>
            </w:r>
          </w:p>
        </w:tc>
      </w:tr>
      <w:tr>
        <w:trPr/>
        <w:tc>
          <w:tcPr>
            <w:tcW w:w="1458" w:type="dxa"/>
            <w:tcBorders/>
            <w:tcMar>
              <w:top w:w="0" w:type="dxa"/>
              <w:left w:w="0" w:type="dxa"/>
              <w:bottom w:w="0" w:type="dxa"/>
              <w:right w:w="0" w:type="dxa"/>
            </w:tcMar>
            <w:vAlign w:val="center"/>
          </w:tcPr>
          <w:p>
            <w:pPr>
              <w:pStyle w:val="TableContents"/>
              <w:bidi w:val="0"/>
              <w:spacing w:before="0" w:after="240"/>
              <w:ind w:left="0" w:right="0" w:firstLine="344"/>
              <w:jc w:val="left"/>
              <w:rPr>
                <w:rFonts w:ascii="Times New Roman" w:hAnsi="Times New Roman"/>
                <w:sz w:val="20"/>
              </w:rPr>
            </w:pPr>
            <w:r>
              <w:rPr>
                <w:rFonts w:ascii="Times New Roman" w:hAnsi="Times New Roman"/>
                <w:color w:val="000000"/>
                <w:sz w:val="20"/>
              </w:rPr>
              <w:t>8. Security Deposit</w:t>
              <w:br/>
              <w:t>(</w:t>
            </w:r>
            <w:r>
              <w:rPr>
                <w:rFonts w:ascii="Times New Roman" w:hAnsi="Times New Roman"/>
                <w:color w:val="000000"/>
                <w:sz w:val="20"/>
                <w:u w:val="single"/>
              </w:rPr>
              <w:t>Article 21</w:t>
            </w:r>
            <w:r>
              <w:rPr>
                <w:rFonts w:ascii="Times New Roman" w:hAnsi="Times New Roman"/>
                <w:color w:val="000000"/>
                <w:sz w:val="20"/>
              </w:rPr>
              <w:t>):</w:t>
            </w:r>
          </w:p>
        </w:tc>
        <w:tc>
          <w:tcPr>
            <w:tcW w:w="8747" w:type="dxa"/>
            <w:tcBorders/>
            <w:tcMar>
              <w:top w:w="0" w:type="dxa"/>
              <w:left w:w="0" w:type="dxa"/>
              <w:bottom w:w="0" w:type="dxa"/>
              <w:right w:w="0" w:type="dxa"/>
            </w:tcMar>
            <w:vAlign w:val="center"/>
          </w:tcPr>
          <w:p>
            <w:pPr>
              <w:pStyle w:val="TableContents"/>
              <w:bidi w:val="0"/>
              <w:spacing w:before="0" w:after="240"/>
              <w:ind w:left="0" w:right="0" w:firstLine="344"/>
              <w:jc w:val="left"/>
              <w:rPr>
                <w:rFonts w:ascii="Times New Roman" w:hAnsi="Times New Roman"/>
                <w:color w:val="000000"/>
                <w:sz w:val="20"/>
              </w:rPr>
            </w:pPr>
            <w:r>
              <w:rPr>
                <w:rFonts w:ascii="Times New Roman" w:hAnsi="Times New Roman"/>
                <w:color w:val="000000"/>
                <w:sz w:val="20"/>
              </w:rPr>
              <w:t>$96,813.84.</w:t>
            </w:r>
          </w:p>
        </w:tc>
      </w:tr>
      <w:tr>
        <w:trPr/>
        <w:tc>
          <w:tcPr>
            <w:tcW w:w="1458" w:type="dxa"/>
            <w:tcBorders/>
            <w:tcMar>
              <w:top w:w="0" w:type="dxa"/>
              <w:left w:w="0" w:type="dxa"/>
              <w:bottom w:w="0" w:type="dxa"/>
              <w:right w:w="0" w:type="dxa"/>
            </w:tcMar>
            <w:vAlign w:val="center"/>
          </w:tcPr>
          <w:p>
            <w:pPr>
              <w:pStyle w:val="TableContents"/>
              <w:bidi w:val="0"/>
              <w:spacing w:before="0" w:after="240"/>
              <w:ind w:left="0" w:right="0" w:firstLine="344"/>
              <w:jc w:val="left"/>
              <w:rPr>
                <w:rFonts w:ascii="Times New Roman" w:hAnsi="Times New Roman"/>
                <w:sz w:val="20"/>
              </w:rPr>
            </w:pPr>
            <w:r>
              <w:rPr>
                <w:rFonts w:ascii="Times New Roman" w:hAnsi="Times New Roman"/>
                <w:color w:val="000000"/>
                <w:sz w:val="20"/>
              </w:rPr>
              <w:t>9. Parking</w:t>
              <w:br/>
              <w:t>(</w:t>
            </w:r>
            <w:r>
              <w:rPr>
                <w:rFonts w:ascii="Times New Roman" w:hAnsi="Times New Roman"/>
                <w:color w:val="000000"/>
                <w:sz w:val="20"/>
                <w:u w:val="single"/>
              </w:rPr>
              <w:t>Article 28</w:t>
            </w:r>
            <w:r>
              <w:rPr>
                <w:rFonts w:ascii="Times New Roman" w:hAnsi="Times New Roman"/>
                <w:color w:val="000000"/>
                <w:sz w:val="20"/>
              </w:rPr>
              <w:t>):</w:t>
            </w:r>
          </w:p>
        </w:tc>
        <w:tc>
          <w:tcPr>
            <w:tcW w:w="8747" w:type="dxa"/>
            <w:tcBorders/>
            <w:tcMar>
              <w:top w:w="0" w:type="dxa"/>
              <w:left w:w="0" w:type="dxa"/>
              <w:bottom w:w="0" w:type="dxa"/>
              <w:right w:w="0" w:type="dxa"/>
            </w:tcMar>
            <w:vAlign w:val="center"/>
          </w:tcPr>
          <w:p>
            <w:pPr>
              <w:pStyle w:val="TableContents"/>
              <w:bidi w:val="0"/>
              <w:spacing w:before="0" w:after="240"/>
              <w:ind w:left="0" w:right="0" w:firstLine="344"/>
              <w:jc w:val="left"/>
              <w:rPr>
                <w:rFonts w:ascii="Times New Roman" w:hAnsi="Times New Roman"/>
                <w:sz w:val="20"/>
              </w:rPr>
            </w:pPr>
            <w:r>
              <w:rPr>
                <w:rFonts w:ascii="Times New Roman" w:hAnsi="Times New Roman"/>
                <w:color w:val="000000"/>
                <w:sz w:val="20"/>
              </w:rPr>
              <w:t xml:space="preserve">An amount equal to three (3) unreserved parking spaces for each 1,000 rentable square feet of space in the Premises (i.e., an amount equal to 62 parking spaces based on the Premises containing 20,825 rentable square feet of space) at the Project parking facilities. Tenant’s rights to use such parking space shall be subject to the terms of </w:t>
            </w:r>
            <w:r>
              <w:rPr>
                <w:rFonts w:ascii="Times New Roman" w:hAnsi="Times New Roman"/>
                <w:color w:val="000000"/>
                <w:sz w:val="20"/>
                <w:u w:val="single"/>
              </w:rPr>
              <w:t>Article 28</w:t>
            </w:r>
            <w:r>
              <w:rPr>
                <w:rFonts w:ascii="Times New Roman" w:hAnsi="Times New Roman"/>
                <w:color w:val="000000"/>
                <w:sz w:val="20"/>
              </w:rPr>
              <w:t> of this Lease.</w:t>
            </w:r>
          </w:p>
        </w:tc>
      </w:tr>
      <w:tr>
        <w:trPr/>
        <w:tc>
          <w:tcPr>
            <w:tcW w:w="1458" w:type="dxa"/>
            <w:tcBorders/>
            <w:tcMar>
              <w:top w:w="0" w:type="dxa"/>
              <w:left w:w="0" w:type="dxa"/>
              <w:bottom w:w="0" w:type="dxa"/>
              <w:right w:w="0" w:type="dxa"/>
            </w:tcMar>
            <w:vAlign w:val="center"/>
          </w:tcPr>
          <w:p>
            <w:pPr>
              <w:pStyle w:val="TableContents"/>
              <w:bidi w:val="0"/>
              <w:spacing w:before="0" w:after="240"/>
              <w:ind w:left="0" w:right="0" w:firstLine="344"/>
              <w:jc w:val="left"/>
              <w:rPr>
                <w:rFonts w:ascii="Times New Roman" w:hAnsi="Times New Roman"/>
                <w:sz w:val="20"/>
              </w:rPr>
            </w:pPr>
            <w:r>
              <w:rPr>
                <w:rFonts w:ascii="Times New Roman" w:hAnsi="Times New Roman"/>
                <w:color w:val="000000"/>
                <w:sz w:val="20"/>
              </w:rPr>
              <w:t>10. Address of Tenant</w:t>
              <w:br/>
              <w:t>(</w:t>
            </w:r>
            <w:r>
              <w:rPr>
                <w:rFonts w:ascii="Times New Roman" w:hAnsi="Times New Roman"/>
                <w:color w:val="000000"/>
                <w:sz w:val="20"/>
                <w:u w:val="single"/>
              </w:rPr>
              <w:t>Section 29.18</w:t>
            </w:r>
            <w:r>
              <w:rPr>
                <w:rFonts w:ascii="Times New Roman" w:hAnsi="Times New Roman"/>
                <w:color w:val="000000"/>
                <w:sz w:val="20"/>
              </w:rPr>
              <w:t>):</w:t>
            </w:r>
          </w:p>
        </w:tc>
        <w:tc>
          <w:tcPr>
            <w:tcW w:w="8747"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 xml:space="preserve">BioAtla, LLC </w:t>
              <w:br/>
              <w:t xml:space="preserve">11011 Torreyana Road </w:t>
              <w:br/>
              <w:t xml:space="preserve">San Diego, California 92121 </w:t>
              <w:br/>
              <w:t xml:space="preserve">Attention: Monica Sullivan </w:t>
              <w:br/>
              <w:t>(Prior to Lease Commencement Date)</w:t>
              <w:br/>
              <w:t>And</w:t>
              <w:br/>
              <w:t xml:space="preserve">BioAtla, LLC </w:t>
              <w:br/>
              <w:t xml:space="preserve">11085 Torreyana Road </w:t>
              <w:br/>
              <w:t xml:space="preserve">San Diego, California 92121 </w:t>
              <w:br/>
              <w:t xml:space="preserve">Attention: Monica Sullivan </w:t>
              <w:br/>
              <w:t xml:space="preserve">(After Lease Commencement Date) </w:t>
              <w:br/>
              <w:t>In either case, with a copy to:</w:t>
              <w:br/>
              <w:t xml:space="preserve">Cooley LLP </w:t>
              <w:br/>
              <w:t xml:space="preserve">4401 Eastgate Mall </w:t>
              <w:br/>
              <w:t xml:space="preserve">San Diego, CA 92121 </w:t>
              <w:br/>
              <w:t>Attention: Sean Clayton, Esq.</w:t>
            </w:r>
          </w:p>
        </w:tc>
      </w:tr>
    </w:tbl>
    <w:p>
      <w:pPr>
        <w:pStyle w:val="TextBody"/>
        <w:bidi w:val="0"/>
        <w:spacing w:before="0" w:after="240"/>
        <w:jc w:val="center"/>
        <w:rPr>
          <w:rFonts w:ascii="Times New Roman" w:hAnsi="Times New Roman"/>
          <w:color w:val="000000"/>
          <w:sz w:val="20"/>
        </w:rPr>
      </w:pPr>
      <w:r>
        <w:rPr>
          <w:rFonts w:ascii="Times New Roman" w:hAnsi="Times New Roman"/>
          <w:color w:val="000000"/>
          <w:sz w:val="20"/>
        </w:rPr>
        <w:t>- 3 -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tbl>
      <w:tblPr>
        <w:tblW w:w="10205" w:type="dxa"/>
        <w:jc w:val="left"/>
        <w:tblInd w:w="0" w:type="dxa"/>
        <w:tblLayout w:type="fixed"/>
        <w:tblCellMar>
          <w:top w:w="28" w:type="dxa"/>
          <w:left w:w="28" w:type="dxa"/>
          <w:bottom w:w="28" w:type="dxa"/>
          <w:right w:w="28" w:type="dxa"/>
        </w:tblCellMar>
      </w:tblPr>
      <w:tblGrid>
        <w:gridCol w:w="2648"/>
        <w:gridCol w:w="7557"/>
      </w:tblGrid>
      <w:tr>
        <w:trPr/>
        <w:tc>
          <w:tcPr>
            <w:tcW w:w="2648" w:type="dxa"/>
            <w:tcBorders/>
            <w:vAlign w:val="center"/>
          </w:tcPr>
          <w:p>
            <w:pPr>
              <w:pStyle w:val="TableContents"/>
              <w:bidi w:val="0"/>
              <w:spacing w:before="0" w:after="283"/>
              <w:jc w:val="left"/>
              <w:rPr>
                <w:sz w:val="4"/>
                <w:szCs w:val="4"/>
              </w:rPr>
            </w:pPr>
            <w:r>
              <w:rPr>
                <w:sz w:val="4"/>
                <w:szCs w:val="4"/>
              </w:rPr>
            </w:r>
          </w:p>
        </w:tc>
        <w:tc>
          <w:tcPr>
            <w:tcW w:w="7557" w:type="dxa"/>
            <w:tcBorders/>
            <w:vAlign w:val="center"/>
          </w:tcPr>
          <w:p>
            <w:pPr>
              <w:pStyle w:val="TableContents"/>
              <w:bidi w:val="0"/>
              <w:spacing w:before="0" w:after="283"/>
              <w:ind w:left="0" w:right="0" w:firstLine="344"/>
              <w:jc w:val="left"/>
              <w:rPr>
                <w:sz w:val="4"/>
                <w:szCs w:val="4"/>
              </w:rPr>
            </w:pPr>
            <w:r>
              <w:rPr>
                <w:sz w:val="4"/>
                <w:szCs w:val="4"/>
              </w:rPr>
            </w:r>
          </w:p>
        </w:tc>
      </w:tr>
      <w:tr>
        <w:trPr/>
        <w:tc>
          <w:tcPr>
            <w:tcW w:w="2648" w:type="dxa"/>
            <w:tcBorders/>
            <w:tcMar>
              <w:top w:w="0" w:type="dxa"/>
              <w:left w:w="0" w:type="dxa"/>
              <w:bottom w:w="0" w:type="dxa"/>
              <w:right w:w="0" w:type="dxa"/>
            </w:tcMar>
            <w:vAlign w:val="center"/>
          </w:tcPr>
          <w:p>
            <w:pPr>
              <w:pStyle w:val="TableContents"/>
              <w:bidi w:val="0"/>
              <w:spacing w:before="0" w:after="240"/>
              <w:ind w:left="0" w:right="0" w:firstLine="344"/>
              <w:jc w:val="left"/>
              <w:rPr>
                <w:rFonts w:ascii="Times New Roman" w:hAnsi="Times New Roman"/>
                <w:sz w:val="20"/>
              </w:rPr>
            </w:pPr>
            <w:r>
              <w:rPr>
                <w:rFonts w:ascii="Times New Roman" w:hAnsi="Times New Roman"/>
                <w:color w:val="000000"/>
                <w:sz w:val="20"/>
              </w:rPr>
              <w:t xml:space="preserve">11. Address of Landlord </w:t>
              <w:br/>
              <w:t>(</w:t>
            </w:r>
            <w:r>
              <w:rPr>
                <w:rFonts w:ascii="Times New Roman" w:hAnsi="Times New Roman"/>
                <w:color w:val="000000"/>
                <w:sz w:val="20"/>
                <w:u w:val="single"/>
              </w:rPr>
              <w:t>Section 29.18</w:t>
            </w:r>
            <w:r>
              <w:rPr>
                <w:rFonts w:ascii="Times New Roman" w:hAnsi="Times New Roman"/>
                <w:color w:val="000000"/>
                <w:sz w:val="20"/>
              </w:rPr>
              <w:t>):</w:t>
            </w:r>
          </w:p>
        </w:tc>
        <w:tc>
          <w:tcPr>
            <w:tcW w:w="7557" w:type="dxa"/>
            <w:tcBorders/>
            <w:tcMar>
              <w:top w:w="0" w:type="dxa"/>
              <w:left w:w="0" w:type="dxa"/>
              <w:bottom w:w="0" w:type="dxa"/>
              <w:right w:w="0" w:type="dxa"/>
            </w:tcMar>
            <w:vAlign w:val="center"/>
          </w:tcPr>
          <w:p>
            <w:pPr>
              <w:pStyle w:val="TableContents"/>
              <w:bidi w:val="0"/>
              <w:spacing w:before="0" w:after="240"/>
              <w:ind w:left="0" w:right="0" w:firstLine="344"/>
              <w:jc w:val="left"/>
              <w:rPr>
                <w:rFonts w:ascii="Times New Roman" w:hAnsi="Times New Roman"/>
                <w:color w:val="000000"/>
                <w:sz w:val="20"/>
              </w:rPr>
            </w:pPr>
            <w:r>
              <w:rPr>
                <w:rFonts w:ascii="Times New Roman" w:hAnsi="Times New Roman"/>
                <w:color w:val="000000"/>
                <w:sz w:val="20"/>
              </w:rPr>
              <w:t>See Section 29.18 of this Lease.</w:t>
            </w:r>
          </w:p>
        </w:tc>
      </w:tr>
      <w:tr>
        <w:trPr/>
        <w:tc>
          <w:tcPr>
            <w:tcW w:w="2648" w:type="dxa"/>
            <w:tcBorders/>
            <w:tcMar>
              <w:top w:w="0" w:type="dxa"/>
              <w:left w:w="0" w:type="dxa"/>
              <w:bottom w:w="0" w:type="dxa"/>
              <w:right w:w="0" w:type="dxa"/>
            </w:tcMar>
            <w:vAlign w:val="center"/>
          </w:tcPr>
          <w:p>
            <w:pPr>
              <w:pStyle w:val="TableContents"/>
              <w:bidi w:val="0"/>
              <w:spacing w:before="0" w:after="240"/>
              <w:ind w:left="0" w:right="0" w:firstLine="344"/>
              <w:jc w:val="left"/>
              <w:rPr>
                <w:rFonts w:ascii="Times New Roman" w:hAnsi="Times New Roman"/>
                <w:sz w:val="20"/>
              </w:rPr>
            </w:pPr>
            <w:r>
              <w:rPr>
                <w:rFonts w:ascii="Times New Roman" w:hAnsi="Times New Roman"/>
                <w:color w:val="000000"/>
                <w:sz w:val="20"/>
              </w:rPr>
              <w:t xml:space="preserve">12. Broker(s) </w:t>
              <w:br/>
              <w:t>(</w:t>
            </w:r>
            <w:r>
              <w:rPr>
                <w:rFonts w:ascii="Times New Roman" w:hAnsi="Times New Roman"/>
                <w:color w:val="000000"/>
                <w:sz w:val="20"/>
                <w:u w:val="single"/>
              </w:rPr>
              <w:t>Section 29.24</w:t>
            </w:r>
            <w:r>
              <w:rPr>
                <w:rFonts w:ascii="Times New Roman" w:hAnsi="Times New Roman"/>
                <w:color w:val="000000"/>
                <w:sz w:val="20"/>
              </w:rPr>
              <w:t>):</w:t>
            </w:r>
          </w:p>
        </w:tc>
        <w:tc>
          <w:tcPr>
            <w:tcW w:w="7557" w:type="dxa"/>
            <w:tcBorders/>
            <w:tcMar>
              <w:top w:w="0" w:type="dxa"/>
              <w:left w:w="0" w:type="dxa"/>
              <w:bottom w:w="0" w:type="dxa"/>
              <w:right w:w="0" w:type="dxa"/>
            </w:tcMar>
            <w:vAlign w:val="center"/>
          </w:tcPr>
          <w:p>
            <w:pPr>
              <w:pStyle w:val="TableContents"/>
              <w:bidi w:val="0"/>
              <w:spacing w:before="0" w:after="240"/>
              <w:ind w:left="0" w:right="0" w:firstLine="344"/>
              <w:jc w:val="left"/>
              <w:rPr>
                <w:rFonts w:ascii="Times New Roman" w:hAnsi="Times New Roman"/>
                <w:sz w:val="20"/>
              </w:rPr>
            </w:pPr>
            <w:r>
              <w:rPr>
                <w:rFonts w:ascii="Times New Roman" w:hAnsi="Times New Roman"/>
                <w:b/>
                <w:color w:val="000000"/>
                <w:sz w:val="20"/>
                <w:u w:val="single"/>
              </w:rPr>
              <w:t>Tenant</w:t>
            </w:r>
            <w:r>
              <w:rPr>
                <w:rFonts w:ascii="Times New Roman" w:hAnsi="Times New Roman"/>
                <w:color w:val="000000"/>
                <w:sz w:val="20"/>
              </w:rPr>
              <w:t>: Cresa San Diego</w:t>
              <w:br/>
            </w:r>
            <w:r>
              <w:rPr>
                <w:rFonts w:ascii="Times New Roman" w:hAnsi="Times New Roman"/>
                <w:b/>
                <w:color w:val="000000"/>
                <w:sz w:val="20"/>
                <w:u w:val="single"/>
              </w:rPr>
              <w:t>Landlord</w:t>
            </w:r>
            <w:r>
              <w:rPr>
                <w:rFonts w:ascii="Times New Roman" w:hAnsi="Times New Roman"/>
                <w:color w:val="000000"/>
                <w:sz w:val="20"/>
              </w:rPr>
              <w:t>: CBRE, Inc.</w:t>
            </w:r>
          </w:p>
        </w:tc>
      </w:tr>
      <w:tr>
        <w:trPr/>
        <w:tc>
          <w:tcPr>
            <w:tcW w:w="2648" w:type="dxa"/>
            <w:tcBorders/>
            <w:tcMar>
              <w:top w:w="0" w:type="dxa"/>
              <w:left w:w="0" w:type="dxa"/>
              <w:bottom w:w="0" w:type="dxa"/>
              <w:right w:w="0" w:type="dxa"/>
            </w:tcMar>
            <w:vAlign w:val="center"/>
          </w:tcPr>
          <w:p>
            <w:pPr>
              <w:pStyle w:val="TableContents"/>
              <w:bidi w:val="0"/>
              <w:spacing w:before="0" w:after="240"/>
              <w:ind w:left="0" w:right="0" w:firstLine="344"/>
              <w:jc w:val="left"/>
              <w:rPr>
                <w:rFonts w:ascii="Times New Roman" w:hAnsi="Times New Roman"/>
                <w:sz w:val="20"/>
              </w:rPr>
            </w:pPr>
            <w:r>
              <w:rPr>
                <w:rFonts w:ascii="Times New Roman" w:hAnsi="Times New Roman"/>
                <w:color w:val="000000"/>
                <w:sz w:val="20"/>
              </w:rPr>
              <w:t xml:space="preserve">13. Tenant Improvement Allowance </w:t>
              <w:br/>
              <w:t>(</w:t>
            </w:r>
            <w:r>
              <w:rPr>
                <w:rFonts w:ascii="Times New Roman" w:hAnsi="Times New Roman"/>
                <w:b/>
                <w:color w:val="000000"/>
                <w:sz w:val="20"/>
                <w:u w:val="single"/>
              </w:rPr>
              <w:t>Exhibit B</w:t>
            </w:r>
            <w:r>
              <w:rPr>
                <w:rFonts w:ascii="Times New Roman" w:hAnsi="Times New Roman"/>
                <w:color w:val="000000"/>
                <w:sz w:val="20"/>
              </w:rPr>
              <w:t>):</w:t>
            </w:r>
          </w:p>
        </w:tc>
        <w:tc>
          <w:tcPr>
            <w:tcW w:w="7557"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0"/>
              </w:rPr>
            </w:pPr>
            <w:r>
              <w:rPr>
                <w:rFonts w:ascii="Times New Roman" w:hAnsi="Times New Roman"/>
                <w:color w:val="000000"/>
                <w:sz w:val="20"/>
              </w:rPr>
              <w:t>An amount equal to $101.00 per rentable square foot of the Premises (</w:t>
            </w:r>
            <w:r>
              <w:rPr>
                <w:rFonts w:ascii="Times New Roman" w:hAnsi="Times New Roman"/>
                <w:i/>
                <w:color w:val="000000"/>
                <w:sz w:val="20"/>
              </w:rPr>
              <w:t>i.e.</w:t>
            </w:r>
            <w:r>
              <w:rPr>
                <w:rFonts w:ascii="Times New Roman" w:hAnsi="Times New Roman"/>
                <w:color w:val="000000"/>
                <w:sz w:val="20"/>
              </w:rPr>
              <w:t>, $2,103,325.00 based upon 20,825 rentable square feet in the Premises).</w:t>
            </w:r>
          </w:p>
        </w:tc>
      </w:tr>
    </w:tbl>
    <w:p>
      <w:pPr>
        <w:pStyle w:val="TextBody"/>
        <w:bidi w:val="0"/>
        <w:spacing w:before="0" w:after="240"/>
        <w:jc w:val="center"/>
        <w:rPr>
          <w:rFonts w:ascii="Times New Roman" w:hAnsi="Times New Roman"/>
          <w:color w:val="000000"/>
          <w:sz w:val="20"/>
        </w:rPr>
      </w:pPr>
      <w:r>
        <w:rPr>
          <w:rFonts w:ascii="Times New Roman" w:hAnsi="Times New Roman"/>
          <w:color w:val="000000"/>
          <w:sz w:val="20"/>
        </w:rPr>
        <w:t>- 4 -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pPr>
      <w:r>
        <w:rPr>
          <w:rFonts w:ascii="Times New Roman" w:hAnsi="Times New Roman"/>
          <w:b/>
          <w:color w:val="000000"/>
          <w:sz w:val="20"/>
        </w:rPr>
        <w:t>PREMISES, BUILDING, PROJECT, AND COMMON AREAS</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Premises, Building, Project and Common Areas.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1.1.1</w:t>
      </w:r>
    </w:p>
    <w:p>
      <w:pPr>
        <w:pStyle w:val="TextBody"/>
        <w:bidi w:val="0"/>
        <w:spacing w:before="0" w:after="240"/>
        <w:jc w:val="left"/>
        <w:rPr/>
      </w:pPr>
      <w:r>
        <w:rPr>
          <w:rFonts w:ascii="Times New Roman" w:hAnsi="Times New Roman"/>
          <w:b/>
          <w:color w:val="000000"/>
          <w:sz w:val="20"/>
          <w:u w:val="single"/>
        </w:rPr>
        <w:t>The Premises</w:t>
      </w:r>
      <w:r>
        <w:rPr>
          <w:rFonts w:ascii="Times New Roman" w:hAnsi="Times New Roman"/>
          <w:color w:val="000000"/>
          <w:sz w:val="20"/>
        </w:rPr>
        <w:t xml:space="preserve">. Landlord hereby leases to Tenant and Tenant hereby leases from Landlord the premises set forth in </w:t>
      </w:r>
      <w:r>
        <w:rPr>
          <w:rFonts w:ascii="Times New Roman" w:hAnsi="Times New Roman"/>
          <w:color w:val="000000"/>
          <w:sz w:val="20"/>
          <w:u w:val="single"/>
        </w:rPr>
        <w:t>Section 2.2</w:t>
      </w:r>
      <w:r>
        <w:rPr>
          <w:color w:val="000000"/>
        </w:rPr>
        <w:t xml:space="preserve"> </w:t>
      </w:r>
      <w:r>
        <w:rPr>
          <w:rFonts w:ascii="Times New Roman" w:hAnsi="Times New Roman"/>
          <w:color w:val="000000"/>
          <w:sz w:val="20"/>
        </w:rPr>
        <w:t>of the Summary (the “</w:t>
      </w:r>
      <w:r>
        <w:rPr>
          <w:rFonts w:ascii="Times New Roman" w:hAnsi="Times New Roman"/>
          <w:b/>
          <w:color w:val="000000"/>
          <w:sz w:val="20"/>
        </w:rPr>
        <w:t>Premises</w:t>
      </w:r>
      <w:r>
        <w:rPr>
          <w:color w:val="000000"/>
        </w:rPr>
        <w:t>”</w:t>
      </w:r>
      <w:r>
        <w:rPr>
          <w:rFonts w:ascii="Times New Roman" w:hAnsi="Times New Roman"/>
          <w:color w:val="000000"/>
          <w:sz w:val="20"/>
        </w:rPr>
        <w:t xml:space="preserve">). The outline of the Premises is set forth in </w:t>
      </w:r>
      <w:r>
        <w:rPr>
          <w:rFonts w:ascii="Times New Roman" w:hAnsi="Times New Roman"/>
          <w:b/>
          <w:color w:val="000000"/>
          <w:sz w:val="20"/>
          <w:u w:val="single"/>
        </w:rPr>
        <w:t>Exhibit A</w:t>
      </w:r>
      <w:r>
        <w:rPr>
          <w:color w:val="000000"/>
        </w:rPr>
        <w:t xml:space="preserve"> </w:t>
      </w:r>
      <w:r>
        <w:rPr>
          <w:rFonts w:ascii="Times New Roman" w:hAnsi="Times New Roman"/>
          <w:color w:val="000000"/>
          <w:sz w:val="20"/>
        </w:rPr>
        <w:t xml:space="preserve">attached hereto. The outline of the “Building” and the “Project,” as those terms are defined in </w:t>
      </w:r>
      <w:r>
        <w:rPr>
          <w:rFonts w:ascii="Times New Roman" w:hAnsi="Times New Roman"/>
          <w:color w:val="000000"/>
          <w:sz w:val="20"/>
          <w:u w:val="single"/>
        </w:rPr>
        <w:t xml:space="preserve">Section 1.1.2 </w:t>
      </w:r>
      <w:r>
        <w:rPr>
          <w:rFonts w:ascii="Times New Roman" w:hAnsi="Times New Roman"/>
          <w:color w:val="000000"/>
          <w:sz w:val="20"/>
        </w:rPr>
        <w:t xml:space="preserve">below, are further depicted on the Site Plan attached hereto as </w:t>
      </w:r>
      <w:r>
        <w:rPr>
          <w:rFonts w:ascii="Times New Roman" w:hAnsi="Times New Roman"/>
          <w:b/>
          <w:color w:val="000000"/>
          <w:sz w:val="20"/>
          <w:u w:val="single"/>
        </w:rPr>
        <w:t>Exhibit A-1</w:t>
      </w:r>
      <w:r>
        <w:rPr>
          <w:rFonts w:ascii="Times New Roman" w:hAnsi="Times New Roman"/>
          <w:color w:val="000000"/>
          <w:sz w:val="20"/>
        </w:rPr>
        <w:t xml:space="preserve">, and the Premises has the number of rentable square feet as set forth in </w:t>
      </w:r>
      <w:r>
        <w:rPr>
          <w:rFonts w:ascii="Times New Roman" w:hAnsi="Times New Roman"/>
          <w:color w:val="000000"/>
          <w:sz w:val="20"/>
          <w:u w:val="single"/>
        </w:rPr>
        <w:t>Section 2.2</w:t>
      </w:r>
      <w:r>
        <w:rPr>
          <w:color w:val="000000"/>
        </w:rPr>
        <w:t xml:space="preserve"> </w:t>
      </w:r>
      <w:r>
        <w:rPr>
          <w:rFonts w:ascii="Times New Roman" w:hAnsi="Times New Roman"/>
          <w:color w:val="000000"/>
          <w:sz w:val="20"/>
        </w:rPr>
        <w:t xml:space="preserve">of the Summary. The parties hereto agree that the lease of the Premises is upon and subject to the terms, covenants and conditions herein set forth, and Tenant covenants as a material part of the consideration for this Lease to keep and perform each and all of such terms, covenants and conditions by it to be kept and performed and that this Lease is made upon the condition of such performance. The parties hereto hereby acknowledge that the purpose of </w:t>
      </w:r>
      <w:r>
        <w:rPr>
          <w:rFonts w:ascii="Times New Roman" w:hAnsi="Times New Roman"/>
          <w:b/>
          <w:color w:val="000000"/>
          <w:sz w:val="20"/>
          <w:u w:val="single"/>
        </w:rPr>
        <w:t>Exhibit A</w:t>
      </w:r>
      <w:r>
        <w:rPr>
          <w:color w:val="000000"/>
        </w:rPr>
        <w:t xml:space="preserve"> </w:t>
      </w:r>
      <w:r>
        <w:rPr>
          <w:rFonts w:ascii="Times New Roman" w:hAnsi="Times New Roman"/>
          <w:color w:val="000000"/>
          <w:sz w:val="20"/>
        </w:rPr>
        <w:t xml:space="preserve">is to show the approximate location of the Premises only, and such Exhibit is not meant to constitute an agreement, representation or warranty as to the construction of the Premises, the precise area thereof or the specific location of the “Common Areas,” as that term is defined in </w:t>
      </w:r>
      <w:r>
        <w:rPr>
          <w:rFonts w:ascii="Times New Roman" w:hAnsi="Times New Roman"/>
          <w:color w:val="000000"/>
          <w:sz w:val="20"/>
          <w:u w:val="single"/>
        </w:rPr>
        <w:t>Section 1.1.3</w:t>
      </w:r>
      <w:r>
        <w:rPr>
          <w:rFonts w:ascii="Times New Roman" w:hAnsi="Times New Roman"/>
          <w:color w:val="000000"/>
          <w:sz w:val="20"/>
        </w:rPr>
        <w:t xml:space="preserve">, below, or the elements thereof or of the accessways to the Premises or the “Project,” as that term is defined in </w:t>
      </w:r>
      <w:r>
        <w:rPr>
          <w:rFonts w:ascii="Times New Roman" w:hAnsi="Times New Roman"/>
          <w:color w:val="000000"/>
          <w:sz w:val="20"/>
          <w:u w:val="single"/>
        </w:rPr>
        <w:t>Section 1.1.2</w:t>
      </w:r>
      <w:r>
        <w:rPr>
          <w:rFonts w:ascii="Times New Roman" w:hAnsi="Times New Roman"/>
          <w:color w:val="000000"/>
          <w:sz w:val="20"/>
        </w:rPr>
        <w:t xml:space="preserve">, below. Except as specifically set forth in this Lease and in the Tenant Work Letter attached hereto as </w:t>
      </w:r>
      <w:r>
        <w:rPr>
          <w:rFonts w:ascii="Times New Roman" w:hAnsi="Times New Roman"/>
          <w:b/>
          <w:color w:val="000000"/>
          <w:sz w:val="20"/>
          <w:u w:val="single"/>
        </w:rPr>
        <w:t>Exhibit B</w:t>
      </w:r>
      <w:r>
        <w:rPr>
          <w:color w:val="000000"/>
        </w:rPr>
        <w:t xml:space="preserve"> </w:t>
      </w:r>
      <w:r>
        <w:rPr>
          <w:rFonts w:ascii="Times New Roman" w:hAnsi="Times New Roman"/>
          <w:color w:val="000000"/>
          <w:sz w:val="20"/>
        </w:rPr>
        <w:t>(the “</w:t>
      </w:r>
      <w:r>
        <w:rPr>
          <w:rFonts w:ascii="Times New Roman" w:hAnsi="Times New Roman"/>
          <w:b/>
          <w:color w:val="000000"/>
          <w:sz w:val="20"/>
        </w:rPr>
        <w:t>Tenant Work Letter</w:t>
      </w:r>
      <w:r>
        <w:rPr>
          <w:color w:val="000000"/>
        </w:rPr>
        <w:t>”</w:t>
      </w:r>
      <w:r>
        <w:rPr>
          <w:rFonts w:ascii="Times New Roman" w:hAnsi="Times New Roman"/>
          <w:color w:val="000000"/>
          <w:sz w:val="20"/>
        </w:rPr>
        <w:t xml:space="preserve">), Landlord shall not be obligated to provide or pay for any improvement work or services related to the improvement of the Premises. Tenant also acknowledges that neither Landlord nor any agent of Landlord has made any representation or warranty regarding the condition of the Premises, the Building or the Project or with respect to the suitability of any of the foregoing for the conduct of Tenant’s business, except as specifically set forth in this Lease and the Tenant Work Letter. Subject to Landlord’s ongoing maintenance and repair obligations specifically set forth in this Lease and the terms and conditions of </w:t>
      </w:r>
      <w:r>
        <w:rPr>
          <w:rFonts w:ascii="Times New Roman" w:hAnsi="Times New Roman"/>
          <w:color w:val="000000"/>
          <w:sz w:val="20"/>
          <w:u w:val="single"/>
        </w:rPr>
        <w:t>Section 1.2</w:t>
      </w:r>
      <w:r>
        <w:rPr>
          <w:color w:val="000000"/>
        </w:rPr>
        <w:t xml:space="preserve"> </w:t>
      </w:r>
      <w:r>
        <w:rPr>
          <w:rFonts w:ascii="Times New Roman" w:hAnsi="Times New Roman"/>
          <w:color w:val="000000"/>
          <w:sz w:val="20"/>
        </w:rPr>
        <w:t>of the Tenant Work Letter, and except for matters that could not reasonably be discovered by Tenant prior to taking possession of the Premises, the taking of possession of the Premises by Tenant shall conclusively establish that the Premises and the Building were at such time in good and sanitary order, condition and repair. Subject to applicable laws and the other provisions of this Lease, and except in the event of an emergency, Tenant shall have access to the Building, the Premises and the common areas of the Building, other than common areas requiring access with a Building engineer, twenty-four (24) hours per day, seven (7) days per week, every day of the year, including, without limitation, with respect to any loading area; provided, however, that Tenant shall only be permitted to have access to and use of the mailroom and other limited-access areas of the Building during the normal operating hours of such portions of the Building.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1.1.2</w:t>
      </w:r>
    </w:p>
    <w:p>
      <w:pPr>
        <w:pStyle w:val="TextBody"/>
        <w:bidi w:val="0"/>
        <w:spacing w:before="0" w:after="240"/>
        <w:jc w:val="left"/>
        <w:rPr/>
      </w:pPr>
      <w:r>
        <w:rPr>
          <w:rFonts w:ascii="Times New Roman" w:hAnsi="Times New Roman"/>
          <w:b/>
          <w:color w:val="000000"/>
          <w:sz w:val="20"/>
          <w:u w:val="single"/>
        </w:rPr>
        <w:t>The Building and The Project</w:t>
      </w:r>
      <w:r>
        <w:rPr>
          <w:rFonts w:ascii="Times New Roman" w:hAnsi="Times New Roman"/>
          <w:color w:val="000000"/>
          <w:sz w:val="20"/>
        </w:rPr>
        <w:t xml:space="preserve">. The Premises are a part of the building set forth in </w:t>
      </w:r>
      <w:r>
        <w:rPr>
          <w:rFonts w:ascii="Times New Roman" w:hAnsi="Times New Roman"/>
          <w:color w:val="000000"/>
          <w:sz w:val="20"/>
          <w:u w:val="single"/>
        </w:rPr>
        <w:t>Section 2.1</w:t>
      </w:r>
      <w:r>
        <w:rPr>
          <w:color w:val="000000"/>
        </w:rPr>
        <w:t xml:space="preserve"> </w:t>
      </w:r>
      <w:r>
        <w:rPr>
          <w:rFonts w:ascii="Times New Roman" w:hAnsi="Times New Roman"/>
          <w:color w:val="000000"/>
          <w:sz w:val="20"/>
        </w:rPr>
        <w:t>of the Summary (the “</w:t>
      </w:r>
      <w:r>
        <w:rPr>
          <w:rFonts w:ascii="Times New Roman" w:hAnsi="Times New Roman"/>
          <w:b/>
          <w:color w:val="000000"/>
          <w:sz w:val="20"/>
        </w:rPr>
        <w:t>Building</w:t>
      </w:r>
      <w:r>
        <w:rPr>
          <w:color w:val="000000"/>
        </w:rPr>
        <w:t>”</w:t>
      </w:r>
      <w:r>
        <w:rPr>
          <w:rFonts w:ascii="Times New Roman" w:hAnsi="Times New Roman"/>
          <w:color w:val="000000"/>
          <w:sz w:val="20"/>
        </w:rPr>
        <w:t>). The Building is part of an office/laboratory project described below. The term “</w:t>
      </w:r>
      <w:r>
        <w:rPr>
          <w:rFonts w:ascii="Times New Roman" w:hAnsi="Times New Roman"/>
          <w:b/>
          <w:color w:val="000000"/>
          <w:sz w:val="20"/>
        </w:rPr>
        <w:t>Project</w:t>
      </w:r>
      <w:r>
        <w:rPr>
          <w:rFonts w:ascii="Times New Roman" w:hAnsi="Times New Roman"/>
          <w:color w:val="000000"/>
          <w:sz w:val="20"/>
        </w:rPr>
        <w:t>,” as used in this Lease, shall mean (i) the Building and the Common Areas, (ii) the land (which is improved with landscaping, parking facilities and other improvements) upon which the Building and the Common Areas are located, and (iii) the office building located at 11095 Torreyana Road, and the land upon which such adjacent office/laboratory buildings are located, and (iv) at Landlord’s reasonable discretion, any additional real property, areas, land, buildings or other improvements added thereto which is owned by Landlord (or an affiliate of Landlord) and located adjacent to the Project.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- 5 -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1.1.3</w:t>
      </w:r>
    </w:p>
    <w:p>
      <w:pPr>
        <w:pStyle w:val="TextBody"/>
        <w:bidi w:val="0"/>
        <w:spacing w:before="0" w:after="240"/>
        <w:jc w:val="left"/>
        <w:rPr/>
      </w:pPr>
      <w:r>
        <w:rPr>
          <w:rFonts w:ascii="Times New Roman" w:hAnsi="Times New Roman"/>
          <w:b/>
          <w:color w:val="000000"/>
          <w:sz w:val="20"/>
          <w:u w:val="single"/>
        </w:rPr>
        <w:t>Common Areas</w:t>
      </w:r>
      <w:r>
        <w:rPr>
          <w:rFonts w:ascii="Times New Roman" w:hAnsi="Times New Roman"/>
          <w:color w:val="000000"/>
          <w:sz w:val="20"/>
        </w:rPr>
        <w:t xml:space="preserve">. Tenant shall have the non-exclusive right to use in common with other tenants in the Project, and subject to the rules and regulations referred to in </w:t>
      </w:r>
      <w:r>
        <w:rPr>
          <w:rFonts w:ascii="Times New Roman" w:hAnsi="Times New Roman"/>
          <w:color w:val="000000"/>
          <w:sz w:val="20"/>
          <w:u w:val="single"/>
        </w:rPr>
        <w:t>Article 5</w:t>
      </w:r>
      <w:r>
        <w:rPr>
          <w:color w:val="000000"/>
        </w:rPr>
        <w:t xml:space="preserve"> </w:t>
      </w:r>
      <w:r>
        <w:rPr>
          <w:rFonts w:ascii="Times New Roman" w:hAnsi="Times New Roman"/>
          <w:color w:val="000000"/>
          <w:sz w:val="20"/>
        </w:rPr>
        <w:t>of this Lease, those portions of the Project which are provided, from time to time, for use in common by Landlord, Tenant and any other tenants of the Project (such areas, together with such other portions of the Project reasonably designated by Landlord, are collectively referred to herein as the “</w:t>
      </w:r>
      <w:r>
        <w:rPr>
          <w:rFonts w:ascii="Times New Roman" w:hAnsi="Times New Roman"/>
          <w:b/>
          <w:color w:val="000000"/>
          <w:sz w:val="20"/>
        </w:rPr>
        <w:t>Common Areas</w:t>
      </w:r>
      <w:r>
        <w:rPr>
          <w:color w:val="000000"/>
        </w:rPr>
        <w:t>”</w:t>
      </w:r>
      <w:r>
        <w:rPr>
          <w:rFonts w:ascii="Times New Roman" w:hAnsi="Times New Roman"/>
          <w:color w:val="000000"/>
          <w:sz w:val="20"/>
        </w:rPr>
        <w:t>). The Common Areas shall consist of the “</w:t>
      </w:r>
      <w:r>
        <w:rPr>
          <w:rFonts w:ascii="Times New Roman" w:hAnsi="Times New Roman"/>
          <w:b/>
          <w:color w:val="000000"/>
          <w:sz w:val="20"/>
        </w:rPr>
        <w:t>Project Common Areas</w:t>
      </w:r>
      <w:r>
        <w:rPr>
          <w:color w:val="000000"/>
        </w:rPr>
        <w:t xml:space="preserve">” </w:t>
      </w:r>
      <w:r>
        <w:rPr>
          <w:rFonts w:ascii="Times New Roman" w:hAnsi="Times New Roman"/>
          <w:color w:val="000000"/>
          <w:sz w:val="20"/>
        </w:rPr>
        <w:t>and the “</w:t>
      </w:r>
      <w:r>
        <w:rPr>
          <w:rFonts w:ascii="Times New Roman" w:hAnsi="Times New Roman"/>
          <w:b/>
          <w:color w:val="000000"/>
          <w:sz w:val="20"/>
        </w:rPr>
        <w:t>Building Common Areas</w:t>
      </w:r>
      <w:r>
        <w:rPr>
          <w:rFonts w:ascii="Times New Roman" w:hAnsi="Times New Roman"/>
          <w:color w:val="000000"/>
          <w:sz w:val="20"/>
        </w:rPr>
        <w:t>.” The term “</w:t>
      </w:r>
      <w:r>
        <w:rPr>
          <w:rFonts w:ascii="Times New Roman" w:hAnsi="Times New Roman"/>
          <w:b/>
          <w:color w:val="000000"/>
          <w:sz w:val="20"/>
        </w:rPr>
        <w:t>Project Common Areas</w:t>
      </w:r>
      <w:r>
        <w:rPr>
          <w:rFonts w:ascii="Times New Roman" w:hAnsi="Times New Roman"/>
          <w:color w:val="000000"/>
          <w:sz w:val="20"/>
        </w:rPr>
        <w:t>,” as used in this Lease, shall mean the portion of the Project designated as such by Landlord. The term “</w:t>
      </w:r>
      <w:r>
        <w:rPr>
          <w:rFonts w:ascii="Times New Roman" w:hAnsi="Times New Roman"/>
          <w:b/>
          <w:color w:val="000000"/>
          <w:sz w:val="20"/>
        </w:rPr>
        <w:t>Building Common Areas</w:t>
      </w:r>
      <w:r>
        <w:rPr>
          <w:rFonts w:ascii="Times New Roman" w:hAnsi="Times New Roman"/>
          <w:color w:val="000000"/>
          <w:sz w:val="20"/>
        </w:rPr>
        <w:t xml:space="preserve">,” as used in this Lease, shall mean the portions of the Common Areas located within the Building reasonably designated as such by Landlord. The manner in which the Common Areas are maintained and operated shall be at the sole discretion of Landlord (but shall at least be consistent with the manner in which the common areas of Comparable Buildings are maintained (provided that, except as otherwise expressly set forth in this Lease, in no event shall Landlord be required to improve or enhance the Common Areas in existence as of the date of this Lease)) and the use thereof shall be subject to such reasonable non-discriminatory rules, regulations and restrictions as Landlord may make from time to time; provided that Landlord shall not enforce such rules, regulations and restrictions in a discriminatory manner against Tenant as opposed to other tenants of the Project. Landlord reserves the right to close temporarily, make alterations or additions to, or change the location of elements of the Project and the Common Areas, provided that, in connection therewith, (i) Landlord shall perform such closures, alterations, additions or changes in a commercially reasonable manner and, in connection therewith, shall use commercially reasonable efforts to minimize any unreasonable interference with Tenant’s use of and/or access to the Premises for the Permitted Use and/or Tenant’s parking rights under this Lease (provided that to the extent Landlord provides Tenant with “Reasonable Alternate Parking,” as that term is defined in </w:t>
      </w:r>
      <w:r>
        <w:rPr>
          <w:rFonts w:ascii="Times New Roman" w:hAnsi="Times New Roman"/>
          <w:color w:val="000000"/>
          <w:sz w:val="20"/>
          <w:u w:val="single"/>
        </w:rPr>
        <w:t>Section 19.5.2</w:t>
      </w:r>
      <w:r>
        <w:rPr>
          <w:color w:val="000000"/>
        </w:rPr>
        <w:t xml:space="preserve"> </w:t>
      </w:r>
      <w:r>
        <w:rPr>
          <w:rFonts w:ascii="Times New Roman" w:hAnsi="Times New Roman"/>
          <w:color w:val="000000"/>
          <w:sz w:val="20"/>
        </w:rPr>
        <w:t xml:space="preserve">below, then no unreasonable interference with Tenant’s parking rights shall be deemed to have occurred), and (ii) Landlord shall give Tenant at least five (5) business days prior notice if such closures, alterations, additions or changes will interfere with, or limit, on other than a non-material basis (except in the event of an emergency, where no prior notice shall be required, except that Landlord shall nonetheless use commercially reasonable efforts to notify Tenant): (a) Tenant’s access to or from the Premises, (b) Tenant’s use of the Premises for the Permitted Use, or (c) Tenant’s parking passes, Tenant’s signage rights specifically set forth in </w:t>
      </w:r>
      <w:r>
        <w:rPr>
          <w:rFonts w:ascii="Times New Roman" w:hAnsi="Times New Roman"/>
          <w:color w:val="000000"/>
          <w:sz w:val="20"/>
          <w:u w:val="single"/>
        </w:rPr>
        <w:t>Article 23</w:t>
      </w:r>
      <w:r>
        <w:rPr>
          <w:color w:val="000000"/>
        </w:rPr>
        <w:t xml:space="preserve"> </w:t>
      </w:r>
      <w:r>
        <w:rPr>
          <w:rFonts w:ascii="Times New Roman" w:hAnsi="Times New Roman"/>
          <w:color w:val="000000"/>
          <w:sz w:val="20"/>
        </w:rPr>
        <w:t xml:space="preserve">below or Tenant’s rooftop rights specifically set forth in </w:t>
      </w:r>
      <w:r>
        <w:rPr>
          <w:rFonts w:ascii="Times New Roman" w:hAnsi="Times New Roman"/>
          <w:color w:val="000000"/>
          <w:sz w:val="20"/>
          <w:u w:val="single"/>
        </w:rPr>
        <w:t>Section 29.32</w:t>
      </w:r>
      <w:r>
        <w:rPr>
          <w:color w:val="000000"/>
        </w:rPr>
        <w:t xml:space="preserve"> </w:t>
      </w:r>
      <w:r>
        <w:rPr>
          <w:rFonts w:ascii="Times New Roman" w:hAnsi="Times New Roman"/>
          <w:color w:val="000000"/>
          <w:sz w:val="20"/>
        </w:rPr>
        <w:t>below.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1.1.3.1</w:t>
      </w:r>
    </w:p>
    <w:p>
      <w:pPr>
        <w:pStyle w:val="TextBody"/>
        <w:bidi w:val="0"/>
        <w:spacing w:before="0" w:after="240"/>
        <w:jc w:val="left"/>
        <w:rPr/>
      </w:pPr>
      <w:r>
        <w:rPr>
          <w:rFonts w:ascii="Times New Roman" w:hAnsi="Times New Roman"/>
          <w:b/>
          <w:color w:val="000000"/>
          <w:sz w:val="20"/>
        </w:rPr>
        <w:t>Fitness Facility</w:t>
      </w:r>
      <w:r>
        <w:rPr>
          <w:rFonts w:ascii="Times New Roman" w:hAnsi="Times New Roman"/>
          <w:color w:val="000000"/>
          <w:sz w:val="20"/>
        </w:rPr>
        <w:t>. Landlord shall construct a fitness facility the “</w:t>
      </w:r>
      <w:r>
        <w:rPr>
          <w:rFonts w:ascii="Times New Roman" w:hAnsi="Times New Roman"/>
          <w:b/>
          <w:color w:val="000000"/>
          <w:sz w:val="20"/>
        </w:rPr>
        <w:t>Fitness Facility</w:t>
      </w:r>
      <w:r>
        <w:rPr>
          <w:color w:val="000000"/>
        </w:rPr>
        <w:t>”</w:t>
      </w:r>
      <w:r>
        <w:rPr>
          <w:rFonts w:ascii="Times New Roman" w:hAnsi="Times New Roman"/>
          <w:color w:val="000000"/>
          <w:sz w:val="20"/>
        </w:rPr>
        <w:t xml:space="preserve">) as part of the Building Common Areas; provided that the location, specifications and all other aspects of the Fitness Facility (including, without limitation, the construction thereof) shall be determined by Landlord in its sole discretion; provided further that the use of the Fitness Facility by the tenants of the Project, when constructed, shall be subject to reasonable and non-discriminatory rules and regulations promulgated from time to time by Landlord in connection with such fitness facility. Subject to Force Majeure (as that term is defined in </w:t>
      </w:r>
      <w:r>
        <w:rPr>
          <w:rFonts w:ascii="Times New Roman" w:hAnsi="Times New Roman"/>
          <w:color w:val="000000"/>
          <w:sz w:val="20"/>
          <w:u w:val="single"/>
        </w:rPr>
        <w:t>Section 29.16</w:t>
      </w:r>
      <w:r>
        <w:rPr>
          <w:color w:val="000000"/>
        </w:rPr>
        <w:t xml:space="preserve"> </w:t>
      </w:r>
      <w:r>
        <w:rPr>
          <w:rFonts w:ascii="Times New Roman" w:hAnsi="Times New Roman"/>
          <w:color w:val="000000"/>
          <w:sz w:val="20"/>
        </w:rPr>
        <w:t xml:space="preserve">below), Landlord’s temporary closure of the Fitness Facility to repair, improve or maintain the same, and/or any closure of the Fitness Facility caused by an act or omission of Tenant, the hours of operation of the Fitness Facility shall be at least 8:00 a.m. to 6:00 p.m. Monday through Friday, excluding Holidays (as that term is defined in </w:t>
      </w:r>
      <w:r>
        <w:rPr>
          <w:rFonts w:ascii="Times New Roman" w:hAnsi="Times New Roman"/>
          <w:color w:val="000000"/>
          <w:sz w:val="20"/>
          <w:u w:val="single"/>
        </w:rPr>
        <w:t>Section 6.1.1</w:t>
      </w:r>
      <w:r>
        <w:rPr>
          <w:color w:val="000000"/>
        </w:rPr>
        <w:t xml:space="preserve"> </w:t>
      </w:r>
      <w:r>
        <w:rPr>
          <w:rFonts w:ascii="Times New Roman" w:hAnsi="Times New Roman"/>
          <w:color w:val="000000"/>
          <w:sz w:val="20"/>
        </w:rPr>
        <w:t>below). Notwithstanding anything to the contrary in this Lease, if, following the date (the “</w:t>
      </w:r>
      <w:r>
        <w:rPr>
          <w:rFonts w:ascii="Times New Roman" w:hAnsi="Times New Roman"/>
          <w:b/>
          <w:color w:val="000000"/>
          <w:sz w:val="20"/>
        </w:rPr>
        <w:t>Fitness Facility Outside Date</w:t>
      </w:r>
      <w:r>
        <w:rPr>
          <w:color w:val="000000"/>
        </w:rPr>
        <w:t>”</w:t>
      </w:r>
      <w:r>
        <w:rPr>
          <w:rFonts w:ascii="Times New Roman" w:hAnsi="Times New Roman"/>
          <w:color w:val="000000"/>
          <w:sz w:val="20"/>
        </w:rPr>
        <w:t>) which occurs four (4) months following the date upon which the Premises is Ready for Occupancy (provided that the Fitness Facility Outside Date shall be delayed on a day-</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- 6 -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for-day basis for each day that the substantial completion of the Fitness Facility (subject to punch list items) is delayed by an act or omission of Tenant or Force Majeure), either (i) Landlord has failed to substantially complete the Fitness Facility (subject to punch list items) or (ii) Tenant is prevented from accessing the Fitness Facility between 4:00 a.m. to 10:00 p.m. Monday through Friday, excluding Holidays (provided that such prevention of access is not the result of (A) Force Majeure, (B) Landlord’s temporary closure (which temporary closure shall not exceed an aggregate of fifteen (15) consecutive business days) of the Fitness Facility to repair, improve or maintain the same, and/or (C) any closure of the Fitness Facility caused by an act or omission of Tenant) (any such set of circumstances as set forth in items (i) or (ii), above, to be known as a “</w:t>
      </w:r>
      <w:r>
        <w:rPr>
          <w:rFonts w:ascii="Times New Roman" w:hAnsi="Times New Roman"/>
          <w:b/>
          <w:color w:val="000000"/>
          <w:sz w:val="20"/>
        </w:rPr>
        <w:t>Fitness Facility Abatement Event</w:t>
      </w:r>
      <w:r>
        <w:rPr>
          <w:rFonts w:ascii="Times New Roman" w:hAnsi="Times New Roman"/>
          <w:color w:val="000000"/>
          <w:sz w:val="20"/>
        </w:rPr>
        <w:t xml:space="preserve">”), then Tenant shall give Landlord notice of such Fitness Abatement Event (provided that in no event shall Tenant delivery such notice prior to the Fitness Facility Outside Date, as the same may be delayed pursuant to this </w:t>
      </w:r>
      <w:r>
        <w:rPr>
          <w:rFonts w:ascii="Times New Roman" w:hAnsi="Times New Roman"/>
          <w:color w:val="000000"/>
          <w:sz w:val="20"/>
          <w:u w:val="single"/>
        </w:rPr>
        <w:t>Section 1.1.3.1</w:t>
      </w:r>
      <w:r>
        <w:rPr>
          <w:rFonts w:ascii="Times New Roman" w:hAnsi="Times New Roman"/>
          <w:color w:val="000000"/>
          <w:sz w:val="20"/>
        </w:rPr>
        <w:t xml:space="preserve"> above), and if such Fitness Abatement Event continues for five (5) consecutive business days after Landlord’s receipt of any such notice (the “</w:t>
      </w:r>
      <w:r>
        <w:rPr>
          <w:rFonts w:ascii="Times New Roman" w:hAnsi="Times New Roman"/>
          <w:b/>
          <w:color w:val="000000"/>
          <w:sz w:val="20"/>
        </w:rPr>
        <w:t>Fitness Facility Eligibility Period</w:t>
      </w:r>
      <w:r>
        <w:rPr>
          <w:rFonts w:ascii="Times New Roman" w:hAnsi="Times New Roman"/>
          <w:color w:val="000000"/>
          <w:sz w:val="20"/>
        </w:rPr>
        <w:t>”), then the Base Rent payable by Tenant under this Lease shall be reduced by an amount equal to Two Hundred and 00/100 Dollars ($200.00) per day during each day that such Fitness Facility Abatement Event continues to occur following the expiration of the Fitness Facility Eligibility Period. Such right to reduce Base Rent shall be Tenant’s sole and exclusive remedy for rent abatement or rent reduction at law or in equity for a Fitness Facility Abatement Event. At any time during the Lease Term, Landlord may deliver to Tenant a notice that sets forth the date upon which the Fitness Facility is substantially complete (subject to punch list items), which Tenant shall execute and return to Landlord within ten (10) days of receipt thereof, provided that if such notice is not factually correct, then Tenant shall make such changes as are necessary to make such notice factually correct and shall thereafter return such notice to Landlord within said ten (10) day period.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1.1.4</w:t>
      </w:r>
    </w:p>
    <w:p>
      <w:pPr>
        <w:pStyle w:val="TextBody"/>
        <w:bidi w:val="0"/>
        <w:spacing w:before="0" w:after="240"/>
        <w:jc w:val="left"/>
        <w:rPr/>
      </w:pPr>
      <w:r>
        <w:rPr>
          <w:rFonts w:ascii="Times New Roman" w:hAnsi="Times New Roman"/>
          <w:b/>
          <w:color w:val="000000"/>
          <w:sz w:val="20"/>
        </w:rPr>
        <w:t>Torrey Pines Amenities</w:t>
      </w:r>
      <w:r>
        <w:rPr>
          <w:rFonts w:ascii="Times New Roman" w:hAnsi="Times New Roman"/>
          <w:color w:val="000000"/>
          <w:sz w:val="20"/>
        </w:rPr>
        <w:t>. Landlord and Ten ant hereby acknowledge that an affiliate of Landlord constructed a fitness center, a café, and a shared executive conference/training facility (collectively, the “</w:t>
      </w:r>
      <w:r>
        <w:rPr>
          <w:rFonts w:ascii="Times New Roman" w:hAnsi="Times New Roman"/>
          <w:b/>
          <w:color w:val="000000"/>
          <w:sz w:val="20"/>
        </w:rPr>
        <w:t>Torrey Pines Amenities</w:t>
      </w:r>
      <w:r>
        <w:rPr>
          <w:color w:val="000000"/>
        </w:rPr>
        <w:t>”</w:t>
      </w:r>
      <w:r>
        <w:rPr>
          <w:rFonts w:ascii="Times New Roman" w:hAnsi="Times New Roman"/>
          <w:color w:val="000000"/>
          <w:sz w:val="20"/>
        </w:rPr>
        <w:t>) in that certain building located at 11085 North Torrey Pines Road, San Diego, California (the “</w:t>
      </w:r>
      <w:r>
        <w:rPr>
          <w:rFonts w:ascii="Times New Roman" w:hAnsi="Times New Roman"/>
          <w:b/>
          <w:color w:val="000000"/>
          <w:sz w:val="20"/>
        </w:rPr>
        <w:t>Torrey Pines Building</w:t>
      </w:r>
      <w:r>
        <w:rPr>
          <w:color w:val="000000"/>
        </w:rPr>
        <w:t>”</w:t>
      </w:r>
      <w:r>
        <w:rPr>
          <w:rFonts w:ascii="Times New Roman" w:hAnsi="Times New Roman"/>
          <w:color w:val="000000"/>
          <w:sz w:val="20"/>
        </w:rPr>
        <w:t>), and, provided that Landlord or an affiliate of Landlord continues to own the Torrey Pines Building, Tenant and Tenant’s employees shall have access to any such Torrey Pines Amenities to the same extent as the similarly situated tenants of the Building and/or the Torrey Pines Building.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w:t>
      </w:r>
    </w:p>
    <w:p>
      <w:pPr>
        <w:pStyle w:val="TextBody"/>
        <w:bidi w:val="0"/>
        <w:spacing w:before="0" w:after="240"/>
        <w:jc w:val="left"/>
        <w:rPr/>
      </w:pPr>
      <w:r>
        <w:rPr>
          <w:rFonts w:ascii="Times New Roman" w:hAnsi="Times New Roman"/>
          <w:b/>
          <w:color w:val="000000"/>
          <w:sz w:val="20"/>
          <w:u w:val="single"/>
        </w:rPr>
        <w:t>Rentable Square Feet of Premises</w:t>
      </w:r>
      <w:r>
        <w:rPr>
          <w:rFonts w:ascii="Times New Roman" w:hAnsi="Times New Roman"/>
          <w:color w:val="000000"/>
          <w:sz w:val="20"/>
        </w:rPr>
        <w:t xml:space="preserve">. The rentable square footage of the Premises is hereby deemed to be as set forth in </w:t>
      </w:r>
      <w:r>
        <w:rPr>
          <w:rFonts w:ascii="Times New Roman" w:hAnsi="Times New Roman"/>
          <w:color w:val="000000"/>
          <w:sz w:val="20"/>
          <w:u w:val="single"/>
        </w:rPr>
        <w:t>Section 2.2</w:t>
      </w:r>
      <w:r>
        <w:rPr>
          <w:color w:val="000000"/>
        </w:rPr>
        <w:t xml:space="preserve"> </w:t>
      </w:r>
      <w:r>
        <w:rPr>
          <w:rFonts w:ascii="Times New Roman" w:hAnsi="Times New Roman"/>
          <w:color w:val="000000"/>
          <w:sz w:val="20"/>
        </w:rPr>
        <w:t>of the Summary and shall not be subject to measurement or adjustment during the Lease Term.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w:t>
      </w:r>
    </w:p>
    <w:p>
      <w:pPr>
        <w:pStyle w:val="TextBody"/>
        <w:bidi w:val="0"/>
        <w:spacing w:before="0" w:after="240"/>
        <w:jc w:val="left"/>
        <w:rPr/>
      </w:pPr>
      <w:r>
        <w:rPr>
          <w:rFonts w:ascii="Times New Roman" w:hAnsi="Times New Roman"/>
          <w:b/>
          <w:color w:val="000000"/>
          <w:sz w:val="20"/>
          <w:u w:val="single"/>
        </w:rPr>
        <w:t>Right of First Refusal</w:t>
      </w:r>
      <w:r>
        <w:rPr>
          <w:rFonts w:ascii="Times New Roman" w:hAnsi="Times New Roman"/>
          <w:color w:val="000000"/>
          <w:sz w:val="20"/>
        </w:rPr>
        <w:t>. Commencing on the date (the “</w:t>
      </w:r>
      <w:r>
        <w:rPr>
          <w:rFonts w:ascii="Times New Roman" w:hAnsi="Times New Roman"/>
          <w:b/>
          <w:color w:val="000000"/>
          <w:sz w:val="20"/>
        </w:rPr>
        <w:t>ROFR Effective Date</w:t>
      </w:r>
      <w:r>
        <w:rPr>
          <w:color w:val="000000"/>
        </w:rPr>
        <w:t>”</w:t>
      </w:r>
      <w:r>
        <w:rPr>
          <w:rFonts w:ascii="Times New Roman" w:hAnsi="Times New Roman"/>
          <w:color w:val="000000"/>
          <w:sz w:val="20"/>
        </w:rPr>
        <w:t>) which occurs six (6) months following the Lease Commencement Date, Landlord hereby grants to the Tenant originally named herein (the “</w:t>
      </w:r>
      <w:r>
        <w:rPr>
          <w:rFonts w:ascii="Times New Roman" w:hAnsi="Times New Roman"/>
          <w:b/>
          <w:color w:val="000000"/>
          <w:sz w:val="20"/>
        </w:rPr>
        <w:t>Original Tenant</w:t>
      </w:r>
      <w:r>
        <w:rPr>
          <w:color w:val="000000"/>
        </w:rPr>
        <w:t>”</w:t>
      </w:r>
      <w:r>
        <w:rPr>
          <w:rFonts w:ascii="Times New Roman" w:hAnsi="Times New Roman"/>
          <w:color w:val="000000"/>
          <w:sz w:val="20"/>
        </w:rPr>
        <w:t xml:space="preserve">) and any Permitted Transferee Assignee (as that term is defined in </w:t>
      </w:r>
      <w:r>
        <w:rPr>
          <w:rFonts w:ascii="Times New Roman" w:hAnsi="Times New Roman"/>
          <w:color w:val="000000"/>
          <w:sz w:val="20"/>
          <w:u w:val="single"/>
        </w:rPr>
        <w:t>Section 14.8</w:t>
      </w:r>
      <w:r>
        <w:rPr>
          <w:color w:val="000000"/>
        </w:rPr>
        <w:t xml:space="preserve"> </w:t>
      </w:r>
      <w:r>
        <w:rPr>
          <w:rFonts w:ascii="Times New Roman" w:hAnsi="Times New Roman"/>
          <w:color w:val="000000"/>
          <w:sz w:val="20"/>
        </w:rPr>
        <w:t>below) a one-time right of first refusal with respect to any space in the Building not included in the initial Premises (“</w:t>
      </w:r>
      <w:r>
        <w:rPr>
          <w:rFonts w:ascii="Times New Roman" w:hAnsi="Times New Roman"/>
          <w:b/>
          <w:color w:val="000000"/>
          <w:sz w:val="20"/>
        </w:rPr>
        <w:t>First Refusal Space</w:t>
      </w:r>
      <w:r>
        <w:rPr>
          <w:color w:val="000000"/>
        </w:rPr>
        <w:t>”</w:t>
      </w:r>
      <w:r>
        <w:rPr>
          <w:rFonts w:ascii="Times New Roman" w:hAnsi="Times New Roman"/>
          <w:color w:val="000000"/>
          <w:sz w:val="20"/>
        </w:rPr>
        <w:t>). Notwithstanding the foregoing, such right of first refusal shall commence with respect to any particular applicable First Refusal Space only following the expiration or earlier termination of any leases which are existing as of the ROFR Effective Date of such First Refusal Space (or portion thereof) (including renewals of any such lease, irrespective of whether any such renewal is currently set forth in such lease or is subsequently granted or agreed upon, and regardless of</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- 7 -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whether such renewal is consummated pursuant to a lease amendment or a new lease). Such right of first refusal shall be subordinate to all rights of other tenants of the Project, which rights relate to the First Refusal Space and are set forth in leases of space in the Project existing as of the date hereof, including, without limitation, any expansion, first offer, first refusal, first negotiation and other rights, regardless of whether such rights are executed strictly in accordance with their respective terms or pursuant to a lease amendment or a new lease (the “</w:t>
      </w:r>
      <w:r>
        <w:rPr>
          <w:rFonts w:ascii="Times New Roman" w:hAnsi="Times New Roman"/>
          <w:b/>
          <w:color w:val="000000"/>
          <w:sz w:val="20"/>
        </w:rPr>
        <w:t>First Refusal Superior Rights</w:t>
      </w:r>
      <w:r>
        <w:rPr>
          <w:rFonts w:ascii="Times New Roman" w:hAnsi="Times New Roman"/>
          <w:color w:val="000000"/>
          <w:sz w:val="20"/>
        </w:rPr>
        <w:t>”). Notwithstanding any contrary provision in the lease of any First Refusal Superior Right Holder, such rights of any First Refusal Superior Right Holder shall continue to be First Refusal Superior Rights in the event that such First Refusal Superior Right Holder’s lease is renewed or otherwise modified (and irrespective of whether any such renewal is currently set forth in such lease or is subsequently granted or agreed upon, and regardless of whether such renewal is consummated pursuant to a lease amendment or a new lease). All such tenants of the First Refusal Space as of the ROFR Effective Date and all such third party tenants in the Project holding First Refusal Superior Rights, are collectively referred to as the “</w:t>
      </w:r>
      <w:r>
        <w:rPr>
          <w:rFonts w:ascii="Times New Roman" w:hAnsi="Times New Roman"/>
          <w:b/>
          <w:color w:val="000000"/>
          <w:sz w:val="20"/>
        </w:rPr>
        <w:t>First Refusal Superior Right Holders</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1.3.1</w:t>
      </w:r>
    </w:p>
    <w:p>
      <w:pPr>
        <w:pStyle w:val="TextBody"/>
        <w:bidi w:val="0"/>
        <w:spacing w:before="0" w:after="240"/>
        <w:jc w:val="left"/>
        <w:rPr/>
      </w:pPr>
      <w:r>
        <w:rPr>
          <w:rFonts w:ascii="Times New Roman" w:hAnsi="Times New Roman"/>
          <w:b/>
          <w:color w:val="000000"/>
          <w:sz w:val="20"/>
        </w:rPr>
        <w:t>Procedure for Offer</w:t>
      </w:r>
      <w:r>
        <w:rPr>
          <w:rFonts w:ascii="Times New Roman" w:hAnsi="Times New Roman"/>
          <w:color w:val="000000"/>
          <w:sz w:val="20"/>
        </w:rPr>
        <w:t>. Subject to the terms hereof, commencing on the ROFR Effective Date, Landlord shall notify Tenant (the “</w:t>
      </w:r>
      <w:r>
        <w:rPr>
          <w:rFonts w:ascii="Times New Roman" w:hAnsi="Times New Roman"/>
          <w:b/>
          <w:color w:val="000000"/>
          <w:sz w:val="20"/>
        </w:rPr>
        <w:t>First Refusal Notice</w:t>
      </w:r>
      <w:r>
        <w:rPr>
          <w:color w:val="000000"/>
        </w:rPr>
        <w:t>”</w:t>
      </w:r>
      <w:r>
        <w:rPr>
          <w:rFonts w:ascii="Times New Roman" w:hAnsi="Times New Roman"/>
          <w:color w:val="000000"/>
          <w:sz w:val="20"/>
        </w:rPr>
        <w:t>) when and if Landlord receives a “bona-fide third</w:t>
        <w:noBreakHyphen/>
        <w:t xml:space="preserve">party offer” for the First Refusal Space (or any portion thereof). Pursuant to such First Refusal Notice, Landlord shall offer to lease to Tenant such Refusal Space. The First Refusal Notice shall describe the space so offered to Tenant and shall set forth all the “Economic Terms,” as that term is defined in </w:t>
      </w:r>
      <w:r>
        <w:rPr>
          <w:rFonts w:ascii="Times New Roman" w:hAnsi="Times New Roman"/>
          <w:color w:val="000000"/>
          <w:sz w:val="20"/>
          <w:u w:val="single"/>
        </w:rPr>
        <w:t>Section 1.3.2</w:t>
      </w:r>
      <w:r>
        <w:rPr>
          <w:rFonts w:ascii="Times New Roman" w:hAnsi="Times New Roman"/>
          <w:color w:val="000000"/>
          <w:sz w:val="20"/>
        </w:rPr>
        <w:t xml:space="preserve">, below, applicable to the First Refusal Space. For the avoidance of doubt, Landlord shall have no obligation to deliver a First Refusal Notice to Tenant with respect to any bona-fide third party offer first received by Landlord prior to the ROFR Effective Date. For purposes of this </w:t>
      </w:r>
      <w:r>
        <w:rPr>
          <w:rFonts w:ascii="Times New Roman" w:hAnsi="Times New Roman"/>
          <w:color w:val="000000"/>
          <w:sz w:val="20"/>
          <w:u w:val="single"/>
        </w:rPr>
        <w:t>Section 1.4</w:t>
      </w:r>
      <w:r>
        <w:rPr>
          <w:rFonts w:ascii="Times New Roman" w:hAnsi="Times New Roman"/>
          <w:color w:val="000000"/>
          <w:sz w:val="20"/>
        </w:rPr>
        <w:t>, a “</w:t>
      </w:r>
      <w:r>
        <w:rPr>
          <w:rFonts w:ascii="Times New Roman" w:hAnsi="Times New Roman"/>
          <w:b/>
          <w:color w:val="000000"/>
          <w:sz w:val="20"/>
        </w:rPr>
        <w:t>bona-fide third-party offer</w:t>
      </w:r>
      <w:r>
        <w:rPr>
          <w:color w:val="000000"/>
        </w:rPr>
        <w:t xml:space="preserve">” </w:t>
      </w:r>
      <w:r>
        <w:rPr>
          <w:rFonts w:ascii="Times New Roman" w:hAnsi="Times New Roman"/>
          <w:color w:val="000000"/>
          <w:sz w:val="20"/>
        </w:rPr>
        <w:t>shall mean a counter-offer received by Landlord to lease the Refusal Space from a qualified and unaffiliated third party which Landlord would otherwise be willing to accept (but for Tenant’s or any other First Refusal Superior Right Holder’s rights) or an offer made by Landlord to a qualified and unaffiliated third party (subject to Tenant’s and any other First Refusal Superior Right Holder’s rights) which the third party is willing to accept. For purposes of example only, but not by way of limitation, the following would each constitute a bone-fide third-party offer: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1.3.1.1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Landlord receives a request for proposal from a qualified third party. Landlord responds to the request for proposal with a lease proposal and subsequently receives a written bona-fide counter proposal from the qualified third party.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1.3.1.2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Landlord receives a written offer to lease from a qualified third party. Landlord responds to the offer with a written counter-offer and subsequently receives a bona-fide counter to Landlord’s counteroffer from the qualified third party.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1.3.2</w:t>
      </w:r>
    </w:p>
    <w:p>
      <w:pPr>
        <w:pStyle w:val="TextBody"/>
        <w:bidi w:val="0"/>
        <w:spacing w:before="0" w:after="240"/>
        <w:jc w:val="left"/>
        <w:rPr/>
      </w:pPr>
      <w:r>
        <w:rPr>
          <w:rFonts w:ascii="Times New Roman" w:hAnsi="Times New Roman"/>
          <w:b/>
          <w:color w:val="000000"/>
          <w:sz w:val="20"/>
          <w:u w:val="single"/>
        </w:rPr>
        <w:t>Procedure for Acceptance</w:t>
      </w:r>
      <w:r>
        <w:rPr>
          <w:rFonts w:ascii="Times New Roman" w:hAnsi="Times New Roman"/>
          <w:color w:val="000000"/>
          <w:sz w:val="20"/>
        </w:rPr>
        <w:t>. If Tenant wishes to exercise Tenant’s right of first refusal with respect to the First Refusal Space described in the First Refusal Notice, then within five (5) business days after delivery of the First Refusal Notice to Tenant, Tenant shall deliver notice (an “</w:t>
      </w:r>
      <w:r>
        <w:rPr>
          <w:rFonts w:ascii="Times New Roman" w:hAnsi="Times New Roman"/>
          <w:b/>
          <w:color w:val="000000"/>
          <w:sz w:val="20"/>
        </w:rPr>
        <w:t>Election Notice</w:t>
      </w:r>
      <w:r>
        <w:rPr>
          <w:color w:val="000000"/>
        </w:rPr>
        <w:t>”</w:t>
      </w:r>
      <w:r>
        <w:rPr>
          <w:rFonts w:ascii="Times New Roman" w:hAnsi="Times New Roman"/>
          <w:color w:val="000000"/>
          <w:sz w:val="20"/>
        </w:rPr>
        <w:t>) to Landlord of Tenant’s irrevocable exercise of its right of first refusal with respect to all of the First Refusal Space described in the First Refusal Notice on the Economic Terms provided for therein. If Tenant does not so notify Landlord within such five (5) business day period of Tenant’s exercise of its first refusal right, then Landlord shall be free to</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- 8 -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negotiate and enter into a lease for the First Refusal Space to anyone whom Landlord desires on any terms Landlord desires; provided, however, prior to leasing such First Refusal Space to any third party at a rental (taking into consideration the Economic Terms, calculated on a “Net Equivalent Lease Rate” basis pursuant to the process set forth below), which is less than ninety percent (90%) of the Net Equivalent Lease Rate of the Economic Term set forth in Landlord’s most recent First Refusal Notice for such First Refusal Space, Landlord shall first again offer such First Refusal Space to Tenant on the Economic Terms offered to such third-party tenant by delivering another First Refusal Notice to Tenant, which shall be subject to all of the terms and conditions of this </w:t>
      </w:r>
      <w:r>
        <w:rPr>
          <w:rFonts w:ascii="Times New Roman" w:hAnsi="Times New Roman"/>
          <w:color w:val="000000"/>
          <w:sz w:val="20"/>
          <w:u w:val="single"/>
        </w:rPr>
        <w:t>Section 1.3.2</w:t>
      </w:r>
      <w:r>
        <w:rPr>
          <w:rFonts w:ascii="Times New Roman" w:hAnsi="Times New Roman"/>
          <w:color w:val="000000"/>
          <w:sz w:val="20"/>
        </w:rPr>
        <w:t>, except Tenant shall have three (3) business days (instead of five (5) business days) after delivery of a second First Refusal Notice to exercise Tenant’s right to lease such First Offer Space. For purposes hereof, the “</w:t>
      </w:r>
      <w:r>
        <w:rPr>
          <w:rFonts w:ascii="Times New Roman" w:hAnsi="Times New Roman"/>
          <w:b/>
          <w:color w:val="000000"/>
          <w:sz w:val="20"/>
        </w:rPr>
        <w:t>Economic Terms</w:t>
      </w:r>
      <w:r>
        <w:rPr>
          <w:rFonts w:ascii="Times New Roman" w:hAnsi="Times New Roman"/>
          <w:color w:val="000000"/>
          <w:sz w:val="20"/>
        </w:rPr>
        <w:t>” shall mean the following items: (i) base rent and free rent, including escalations thereto, expressed as a dollar amount per rentable square foot, (ii) operating expense and tax protection such as a base year or expense stop (if any), and (iii) all other monetary concessions (e.g., free rent, improvement allowances). Notwithstanding anything to the contrary contained herein, Tenant must elect to exercise its right of first Refusal, if at all, with respect to all of the space offered by Landlord to Tenant at any particular time, and Tenant may not elect to lease only a portion thereof. The “</w:t>
      </w:r>
      <w:r>
        <w:rPr>
          <w:rFonts w:ascii="Times New Roman" w:hAnsi="Times New Roman"/>
          <w:b/>
          <w:color w:val="000000"/>
          <w:sz w:val="20"/>
        </w:rPr>
        <w:t>Net Equivalent Lease Rate</w:t>
      </w:r>
      <w:r>
        <w:rPr>
          <w:rFonts w:ascii="Times New Roman" w:hAnsi="Times New Roman"/>
          <w:color w:val="000000"/>
          <w:sz w:val="20"/>
        </w:rPr>
        <w:t>” for the Economic Terms shall be determined using the following steps.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1.3.2.1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contractual rent payments for set forth in the Economic Terms should be arrayed monthly over the term of the First Refusal Space.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1.3.2.2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free rent or similar inducements received over time should be deducted in the time period in which they occur, resulting in the net cash flow arrayed over the term of the First Refusal Space.</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- 9 -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1.3.2.3</w:t>
      </w:r>
    </w:p>
    <w:p>
      <w:pPr>
        <w:pStyle w:val="TextBody"/>
        <w:bidi w:val="0"/>
        <w:spacing w:before="0" w:after="240"/>
        <w:jc w:val="left"/>
        <w:rPr/>
      </w:pPr>
      <w:r>
        <w:rPr>
          <w:rFonts w:ascii="Times New Roman" w:hAnsi="Times New Roman"/>
          <w:color w:val="000000"/>
          <w:sz w:val="20"/>
        </w:rPr>
        <w:t xml:space="preserve">The resultant net cash flow from the First Refusal Space should be then discounted (using an 8% annual discount rate) to the First Refusal Commencement Date (as that term is defined in </w:t>
      </w:r>
      <w:r>
        <w:rPr>
          <w:rFonts w:ascii="Times New Roman" w:hAnsi="Times New Roman"/>
          <w:color w:val="000000"/>
          <w:sz w:val="20"/>
          <w:u w:val="single"/>
        </w:rPr>
        <w:t>Section 1.3.4</w:t>
      </w:r>
      <w:r>
        <w:rPr>
          <w:color w:val="000000"/>
        </w:rPr>
        <w:t xml:space="preserve"> </w:t>
      </w:r>
      <w:r>
        <w:rPr>
          <w:rFonts w:ascii="Times New Roman" w:hAnsi="Times New Roman"/>
          <w:color w:val="000000"/>
          <w:sz w:val="20"/>
        </w:rPr>
        <w:t>below), resulting in a net present value estimate.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1.3.2.4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From the net present value, up front inducements (improvements allowances and other concessions) should be deducted. These items should be deducted directly, on a “dollar for dollar” basis, without discounting since they are typically incurred at lease commencement, while rent (which is discounted) is a future receipt.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1.3.2.5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net present value should then amortized back over the term of the First Refusal Space as a level monthly net rent payment using the same annual discount rate of 8.0% used in the present value analysis. This calculation will result in a hypothetical level or even payment over the term of the First Refusal Space.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1.3.3</w:t>
      </w:r>
    </w:p>
    <w:p>
      <w:pPr>
        <w:pStyle w:val="TextBody"/>
        <w:bidi w:val="0"/>
        <w:spacing w:before="0" w:after="240"/>
        <w:jc w:val="left"/>
        <w:rPr/>
      </w:pPr>
      <w:r>
        <w:rPr>
          <w:rFonts w:ascii="Times New Roman" w:hAnsi="Times New Roman"/>
          <w:b/>
          <w:color w:val="000000"/>
          <w:sz w:val="20"/>
          <w:u w:val="single"/>
        </w:rPr>
        <w:t>Construction of First Refusal Space</w:t>
      </w:r>
      <w:r>
        <w:rPr>
          <w:rFonts w:ascii="Times New Roman" w:hAnsi="Times New Roman"/>
          <w:color w:val="000000"/>
          <w:sz w:val="20"/>
        </w:rPr>
        <w:t>. Subject to the Economic Terms provided to Tenant for the First Refusal Space, Tenant shall take the First Refusal Space in its “as is” condition, and Landlord shall not be obligated to provide or pay for any improvement of the First Refusal Space. For the avoidance of doubt, if the Economic Terms include a tenant improvement allowance, Tenant shall receive the same allowance.</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- 10 -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1.3.4</w:t>
      </w:r>
    </w:p>
    <w:p>
      <w:pPr>
        <w:pStyle w:val="TextBody"/>
        <w:bidi w:val="0"/>
        <w:spacing w:before="0" w:after="240"/>
        <w:jc w:val="left"/>
        <w:rPr/>
      </w:pPr>
      <w:r>
        <w:rPr>
          <w:rFonts w:ascii="Times New Roman" w:hAnsi="Times New Roman"/>
          <w:b/>
          <w:color w:val="000000"/>
          <w:sz w:val="20"/>
          <w:u w:val="single"/>
        </w:rPr>
        <w:t>Lease of First Refusal Space</w:t>
      </w:r>
      <w:r>
        <w:rPr>
          <w:rFonts w:ascii="Times New Roman" w:hAnsi="Times New Roman"/>
          <w:color w:val="000000"/>
          <w:sz w:val="20"/>
        </w:rPr>
        <w:t>. If Tenant timely exercises Tenant’s right of first refusal to lease First Refusal Space as set forth herein, Landlord and Tenant shall within thirty (30) days thereafter enter an amendment to this Lease (the “</w:t>
      </w:r>
      <w:r>
        <w:rPr>
          <w:rFonts w:ascii="Times New Roman" w:hAnsi="Times New Roman"/>
          <w:b/>
          <w:color w:val="000000"/>
          <w:sz w:val="20"/>
        </w:rPr>
        <w:t>First Refusal Space Amendment</w:t>
      </w:r>
      <w:r>
        <w:rPr>
          <w:color w:val="000000"/>
        </w:rPr>
        <w:t>”</w:t>
      </w:r>
      <w:r>
        <w:rPr>
          <w:rFonts w:ascii="Times New Roman" w:hAnsi="Times New Roman"/>
          <w:color w:val="000000"/>
          <w:sz w:val="20"/>
        </w:rPr>
        <w:t xml:space="preserve">) for such First Refusal Space pursuant to this </w:t>
      </w:r>
      <w:r>
        <w:rPr>
          <w:rFonts w:ascii="Times New Roman" w:hAnsi="Times New Roman"/>
          <w:color w:val="000000"/>
          <w:sz w:val="20"/>
          <w:u w:val="single"/>
        </w:rPr>
        <w:t>Section 1.3</w:t>
      </w:r>
      <w:r>
        <w:rPr>
          <w:rFonts w:ascii="Times New Roman" w:hAnsi="Times New Roman"/>
          <w:color w:val="000000"/>
          <w:sz w:val="20"/>
        </w:rPr>
        <w:t xml:space="preserve">. Tenant’s lease of such First Refusal Space shall be upon the express terms set forth in the First Refusal Notice, but otherwise upon the same general terms and conditions set forth in this Lease and this Section 1.3. The First Refusal Space Amendment shall not contain the rights set forth in </w:t>
      </w:r>
      <w:r>
        <w:rPr>
          <w:rFonts w:ascii="Times New Roman" w:hAnsi="Times New Roman"/>
          <w:color w:val="000000"/>
          <w:sz w:val="20"/>
          <w:u w:val="single"/>
        </w:rPr>
        <w:t>Section 2.2</w:t>
      </w:r>
      <w:r>
        <w:rPr>
          <w:rFonts w:ascii="Times New Roman" w:hAnsi="Times New Roman"/>
          <w:color w:val="000000"/>
          <w:sz w:val="20"/>
        </w:rPr>
        <w:t>, below, unless such rights were set forth in the First Refusal Notice. The term of Tenant’s lease of the First Refusal Space shall commence on the date set forth in the First Refusal Notice (the “</w:t>
      </w:r>
      <w:r>
        <w:rPr>
          <w:rFonts w:ascii="Times New Roman" w:hAnsi="Times New Roman"/>
          <w:b/>
          <w:color w:val="000000"/>
          <w:sz w:val="20"/>
        </w:rPr>
        <w:t>First Refusal Commencement Date</w:t>
      </w:r>
      <w:r>
        <w:rPr>
          <w:color w:val="000000"/>
        </w:rPr>
        <w:t>”</w:t>
      </w:r>
      <w:r>
        <w:rPr>
          <w:rFonts w:ascii="Times New Roman" w:hAnsi="Times New Roman"/>
          <w:color w:val="000000"/>
          <w:sz w:val="20"/>
        </w:rPr>
        <w:t>), and terminate on the date set forth in the First Refusal Notice.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1.3.5</w:t>
      </w:r>
    </w:p>
    <w:p>
      <w:pPr>
        <w:pStyle w:val="TextBody"/>
        <w:bidi w:val="0"/>
        <w:spacing w:before="0" w:after="240"/>
        <w:jc w:val="left"/>
        <w:rPr/>
      </w:pPr>
      <w:r>
        <w:rPr>
          <w:rFonts w:ascii="Times New Roman" w:hAnsi="Times New Roman"/>
          <w:b/>
          <w:color w:val="000000"/>
          <w:sz w:val="20"/>
          <w:u w:val="single"/>
        </w:rPr>
        <w:t>Termination of Right of First Refusal</w:t>
      </w:r>
      <w:r>
        <w:rPr>
          <w:rFonts w:ascii="Times New Roman" w:hAnsi="Times New Roman"/>
          <w:color w:val="000000"/>
          <w:sz w:val="20"/>
        </w:rPr>
        <w:t xml:space="preserve">. The rights contained in this </w:t>
      </w:r>
      <w:r>
        <w:rPr>
          <w:rFonts w:ascii="Times New Roman" w:hAnsi="Times New Roman"/>
          <w:color w:val="000000"/>
          <w:sz w:val="20"/>
          <w:u w:val="single"/>
        </w:rPr>
        <w:t>Section 1.3</w:t>
      </w:r>
      <w:r>
        <w:rPr>
          <w:color w:val="000000"/>
        </w:rPr>
        <w:t xml:space="preserve"> </w:t>
      </w:r>
      <w:r>
        <w:rPr>
          <w:rFonts w:ascii="Times New Roman" w:hAnsi="Times New Roman"/>
          <w:color w:val="000000"/>
          <w:sz w:val="20"/>
        </w:rPr>
        <w:t xml:space="preserve">shall be personal to the Original Tenant and any Permitted Transferee Assignee, and may only be exercised by the Original Tenant and such Permitted Transferee Assignee (and not any other assignee, sublessee or other transferee of the Original Tenant’s interest in this Lease) if the Original Tenant or such Permitted Transferee Assignee occupies the entire Premises as of the date of the attempted exercise of the right of first refusal by Tenant. The right of first refusal granted herein shall terminate (i) with respect to any particular First Refusal Space upon the failure by Tenant to exercise its right of first refusal with respect to the First Refusal Space so offered by Landlord pursuant to the terms of this </w:t>
      </w:r>
      <w:r>
        <w:rPr>
          <w:rFonts w:ascii="Times New Roman" w:hAnsi="Times New Roman"/>
          <w:color w:val="000000"/>
          <w:sz w:val="20"/>
          <w:u w:val="single"/>
        </w:rPr>
        <w:t>Section 1.3</w:t>
      </w:r>
      <w:r>
        <w:rPr>
          <w:rFonts w:ascii="Times New Roman" w:hAnsi="Times New Roman"/>
          <w:color w:val="000000"/>
          <w:sz w:val="20"/>
        </w:rPr>
        <w:t xml:space="preserve">. Tenant shall not have the right to lease any First Refusal Space pursuant to the terms of this </w:t>
      </w:r>
      <w:r>
        <w:rPr>
          <w:rFonts w:ascii="Times New Roman" w:hAnsi="Times New Roman"/>
          <w:color w:val="000000"/>
          <w:sz w:val="20"/>
          <w:u w:val="single"/>
        </w:rPr>
        <w:t>Section 1.3</w:t>
      </w:r>
      <w:r>
        <w:rPr>
          <w:color w:val="000000"/>
        </w:rPr>
        <w:t xml:space="preserve"> </w:t>
      </w:r>
      <w:r>
        <w:rPr>
          <w:rFonts w:ascii="Times New Roman" w:hAnsi="Times New Roman"/>
          <w:color w:val="000000"/>
          <w:sz w:val="20"/>
        </w:rPr>
        <w:t xml:space="preserve">in the event that less than two (2) years remains prior to the Lease Expiration Date; provided, however, to the extent Tenant then has an unexpired Lease Term renewal option pursuant to </w:t>
      </w:r>
      <w:r>
        <w:rPr>
          <w:rFonts w:ascii="Times New Roman" w:hAnsi="Times New Roman"/>
          <w:color w:val="000000"/>
          <w:sz w:val="20"/>
          <w:u w:val="single"/>
        </w:rPr>
        <w:t>Section 2.2</w:t>
      </w:r>
      <w:r>
        <w:rPr>
          <w:color w:val="000000"/>
        </w:rPr>
        <w:t xml:space="preserve"> </w:t>
      </w:r>
      <w:r>
        <w:rPr>
          <w:rFonts w:ascii="Times New Roman" w:hAnsi="Times New Roman"/>
          <w:color w:val="000000"/>
          <w:sz w:val="20"/>
        </w:rPr>
        <w:t xml:space="preserve">of this Lease, Tenant shall have the right to irrevocably exercise such renewal option simultaneously with Tenant’s exercise of its first refusal right hereunder in order to cause the Lease Expiration Date to occur more than two (2) years following the First Refusal Commencement Date. Tenant shall not have the right to lease First Refusal Space, as provided in this </w:t>
      </w:r>
      <w:r>
        <w:rPr>
          <w:rFonts w:ascii="Times New Roman" w:hAnsi="Times New Roman"/>
          <w:color w:val="000000"/>
          <w:sz w:val="20"/>
          <w:u w:val="single"/>
        </w:rPr>
        <w:t>Section 1.3</w:t>
      </w:r>
      <w:r>
        <w:rPr>
          <w:rFonts w:ascii="Times New Roman" w:hAnsi="Times New Roman"/>
          <w:color w:val="000000"/>
          <w:sz w:val="20"/>
        </w:rPr>
        <w:t>, if, as of the date of the attempted exercise of any right of first refusal by Tenant, or, as of the scheduled date of delivery of such First Refusal Space to Tenant, Tenant is in default under this Lease beyond the applicable notice and cure period provided in this Lease or Tenant has previously been in default under this Lease (beyond any applicable notice and cure periods) more than once during the prior twelve (12) month period.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pPr>
      <w:r>
        <w:rPr>
          <w:rFonts w:ascii="Times New Roman" w:hAnsi="Times New Roman"/>
          <w:b/>
          <w:color w:val="000000"/>
          <w:sz w:val="20"/>
        </w:rPr>
        <w:t>LEASE TERM; OPTION TERM</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2.1</w:t>
      </w:r>
    </w:p>
    <w:p>
      <w:pPr>
        <w:pStyle w:val="TextBody"/>
        <w:bidi w:val="0"/>
        <w:spacing w:before="0" w:after="240"/>
        <w:jc w:val="left"/>
        <w:rPr/>
      </w:pPr>
      <w:r>
        <w:rPr>
          <w:rFonts w:ascii="Times New Roman" w:hAnsi="Times New Roman"/>
          <w:b/>
          <w:color w:val="000000"/>
          <w:sz w:val="20"/>
          <w:u w:val="single"/>
        </w:rPr>
        <w:t>Lease Term</w:t>
      </w:r>
      <w:r>
        <w:rPr>
          <w:rFonts w:ascii="Times New Roman" w:hAnsi="Times New Roman"/>
          <w:color w:val="000000"/>
          <w:sz w:val="20"/>
        </w:rPr>
        <w:t>. The terms and provisions of this Lease shall be effective as of the date of this Lease. The term of this Lease (the “</w:t>
      </w:r>
      <w:r>
        <w:rPr>
          <w:rFonts w:ascii="Times New Roman" w:hAnsi="Times New Roman"/>
          <w:b/>
          <w:color w:val="000000"/>
          <w:sz w:val="20"/>
        </w:rPr>
        <w:t>Lease Term</w:t>
      </w:r>
      <w:r>
        <w:rPr>
          <w:color w:val="000000"/>
        </w:rPr>
        <w:t>”</w:t>
      </w:r>
      <w:r>
        <w:rPr>
          <w:rFonts w:ascii="Times New Roman" w:hAnsi="Times New Roman"/>
          <w:color w:val="000000"/>
          <w:sz w:val="20"/>
        </w:rPr>
        <w:t xml:space="preserve">) shall be as set forth in </w:t>
      </w:r>
      <w:r>
        <w:rPr>
          <w:rFonts w:ascii="Times New Roman" w:hAnsi="Times New Roman"/>
          <w:color w:val="000000"/>
          <w:sz w:val="20"/>
          <w:u w:val="single"/>
        </w:rPr>
        <w:t>Section 3.1</w:t>
      </w:r>
      <w:r>
        <w:rPr>
          <w:color w:val="000000"/>
        </w:rPr>
        <w:t xml:space="preserve"> </w:t>
      </w:r>
      <w:r>
        <w:rPr>
          <w:rFonts w:ascii="Times New Roman" w:hAnsi="Times New Roman"/>
          <w:color w:val="000000"/>
          <w:sz w:val="20"/>
        </w:rPr>
        <w:t xml:space="preserve">of the Summary, shall commence on the date set forth in </w:t>
      </w:r>
      <w:r>
        <w:rPr>
          <w:rFonts w:ascii="Times New Roman" w:hAnsi="Times New Roman"/>
          <w:color w:val="000000"/>
          <w:sz w:val="20"/>
          <w:u w:val="single"/>
        </w:rPr>
        <w:t>Section 3.2</w:t>
      </w:r>
      <w:r>
        <w:rPr>
          <w:color w:val="000000"/>
        </w:rPr>
        <w:t xml:space="preserve"> </w:t>
      </w:r>
      <w:r>
        <w:rPr>
          <w:rFonts w:ascii="Times New Roman" w:hAnsi="Times New Roman"/>
          <w:color w:val="000000"/>
          <w:sz w:val="20"/>
        </w:rPr>
        <w:t>of the Summary (the “</w:t>
      </w:r>
      <w:r>
        <w:rPr>
          <w:rFonts w:ascii="Times New Roman" w:hAnsi="Times New Roman"/>
          <w:b/>
          <w:color w:val="000000"/>
          <w:sz w:val="20"/>
        </w:rPr>
        <w:t>Lease Commencement Date</w:t>
      </w:r>
      <w:r>
        <w:rPr>
          <w:color w:val="000000"/>
        </w:rPr>
        <w:t>”</w:t>
      </w:r>
      <w:r>
        <w:rPr>
          <w:rFonts w:ascii="Times New Roman" w:hAnsi="Times New Roman"/>
          <w:color w:val="000000"/>
          <w:sz w:val="20"/>
        </w:rPr>
        <w:t xml:space="preserve">), and shall terminate on the date set forth in </w:t>
      </w:r>
      <w:r>
        <w:rPr>
          <w:rFonts w:ascii="Times New Roman" w:hAnsi="Times New Roman"/>
          <w:color w:val="000000"/>
          <w:sz w:val="20"/>
          <w:u w:val="single"/>
        </w:rPr>
        <w:t>Section 3.3</w:t>
      </w:r>
      <w:r>
        <w:rPr>
          <w:color w:val="000000"/>
        </w:rPr>
        <w:t xml:space="preserve"> </w:t>
      </w:r>
      <w:r>
        <w:rPr>
          <w:rFonts w:ascii="Times New Roman" w:hAnsi="Times New Roman"/>
          <w:color w:val="000000"/>
          <w:sz w:val="20"/>
        </w:rPr>
        <w:t>of the Summary (the “</w:t>
      </w:r>
      <w:r>
        <w:rPr>
          <w:rFonts w:ascii="Times New Roman" w:hAnsi="Times New Roman"/>
          <w:b/>
          <w:color w:val="000000"/>
          <w:sz w:val="20"/>
        </w:rPr>
        <w:t>Lease Expiration Date</w:t>
      </w:r>
      <w:r>
        <w:rPr>
          <w:color w:val="000000"/>
        </w:rPr>
        <w:t>”</w:t>
      </w:r>
      <w:r>
        <w:rPr>
          <w:rFonts w:ascii="Times New Roman" w:hAnsi="Times New Roman"/>
          <w:color w:val="000000"/>
          <w:sz w:val="20"/>
        </w:rPr>
        <w:t>) unless this Lease is sooner terminated as hereinafter provided. For purposes of this Lease, the term “</w:t>
      </w:r>
      <w:r>
        <w:rPr>
          <w:rFonts w:ascii="Times New Roman" w:hAnsi="Times New Roman"/>
          <w:b/>
          <w:color w:val="000000"/>
          <w:sz w:val="20"/>
        </w:rPr>
        <w:t>Lease Year</w:t>
      </w:r>
      <w:r>
        <w:rPr>
          <w:color w:val="000000"/>
        </w:rPr>
        <w:t xml:space="preserve">” </w:t>
      </w:r>
      <w:r>
        <w:rPr>
          <w:rFonts w:ascii="Times New Roman" w:hAnsi="Times New Roman"/>
          <w:color w:val="000000"/>
          <w:sz w:val="20"/>
        </w:rPr>
        <w:t>shall mean each consecutive twelve (12) month period during the Lease Term; provided, however, that the first (1st) Lease Year shall commence on the Lease Commencement Date and end on the last day of the month in which the first anniversary of the Lease Commencement Date occurs (or if the Lease Commencement Date is the first (1st) day of a calendar month, then the first (1st) Lease Year shall commence on the Lease Commencement Date and end on the day immediately preceding the first (1st) anniversary of the Lease Commencement Date), and further provided that the last Lease Year shall end on the Lease Expiration Date. At any time during the Lease Term, Landlord may deliver to Tenant a notice in</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- 11 -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the form as set forth in </w:t>
      </w:r>
      <w:r>
        <w:rPr>
          <w:rFonts w:ascii="Times New Roman" w:hAnsi="Times New Roman"/>
          <w:b/>
          <w:color w:val="000000"/>
          <w:sz w:val="20"/>
          <w:u w:val="single"/>
        </w:rPr>
        <w:t>Exhibit C</w:t>
      </w:r>
      <w:r>
        <w:rPr>
          <w:rFonts w:ascii="Times New Roman" w:hAnsi="Times New Roman"/>
          <w:color w:val="000000"/>
          <w:sz w:val="20"/>
        </w:rPr>
        <w:t>, attached hereto, as a confirmation only of the information set forth therein, which Tenant shall execute and return to Landlord within ten (10) days of receipt thereof, provided that if such notice is not factually correct, then Tenant shall make such changes as are necessary to make such notice factually correct and shall thereafter return such notice to Landlord within said ten (10) day period.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2.2</w:t>
      </w:r>
    </w:p>
    <w:p>
      <w:pPr>
        <w:pStyle w:val="TextBody"/>
        <w:bidi w:val="0"/>
        <w:spacing w:before="0" w:after="240"/>
        <w:jc w:val="left"/>
        <w:rPr/>
      </w:pPr>
      <w:r>
        <w:rPr>
          <w:rFonts w:ascii="Times New Roman" w:hAnsi="Times New Roman"/>
          <w:b/>
          <w:color w:val="000000"/>
          <w:sz w:val="20"/>
          <w:u w:val="single"/>
        </w:rPr>
        <w:t>Option Term</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2.2.1</w:t>
      </w:r>
    </w:p>
    <w:p>
      <w:pPr>
        <w:pStyle w:val="TextBody"/>
        <w:bidi w:val="0"/>
        <w:spacing w:before="0" w:after="240"/>
        <w:jc w:val="left"/>
        <w:rPr/>
      </w:pPr>
      <w:r>
        <w:rPr>
          <w:rFonts w:ascii="Times New Roman" w:hAnsi="Times New Roman"/>
          <w:b/>
          <w:color w:val="000000"/>
          <w:sz w:val="20"/>
          <w:u w:val="single"/>
        </w:rPr>
        <w:t>Option Right</w:t>
      </w:r>
      <w:r>
        <w:rPr>
          <w:rFonts w:ascii="Times New Roman" w:hAnsi="Times New Roman"/>
          <w:color w:val="000000"/>
          <w:sz w:val="20"/>
        </w:rPr>
        <w:t xml:space="preserve">. Subject to the remaining terms of this </w:t>
      </w:r>
      <w:r>
        <w:rPr>
          <w:rFonts w:ascii="Times New Roman" w:hAnsi="Times New Roman"/>
          <w:color w:val="000000"/>
          <w:sz w:val="20"/>
          <w:u w:val="single"/>
        </w:rPr>
        <w:t>Section 2.2</w:t>
      </w:r>
      <w:r>
        <w:rPr>
          <w:rFonts w:ascii="Times New Roman" w:hAnsi="Times New Roman"/>
          <w:color w:val="000000"/>
          <w:sz w:val="20"/>
        </w:rPr>
        <w:t>, Landlord hereby grants to the Original Tenant and any Permitted Transferee Assignee one (1) option to extend the Lease Term for a period of five (5) years (the “</w:t>
      </w:r>
      <w:r>
        <w:rPr>
          <w:rFonts w:ascii="Times New Roman" w:hAnsi="Times New Roman"/>
          <w:b/>
          <w:color w:val="000000"/>
          <w:sz w:val="20"/>
        </w:rPr>
        <w:t>Option Term</w:t>
      </w:r>
      <w:r>
        <w:rPr>
          <w:color w:val="000000"/>
        </w:rPr>
        <w:t>”</w:t>
      </w:r>
      <w:r>
        <w:rPr>
          <w:rFonts w:ascii="Times New Roman" w:hAnsi="Times New Roman"/>
          <w:color w:val="000000"/>
          <w:sz w:val="20"/>
        </w:rPr>
        <w:t xml:space="preserve">), which option shall be irrevocably exercised only by written notice delivered by Tenant to Landlord not earlier than twelve (12) months before the commencement of the Option Term and not later than nine (9) months before the commencement of the Option Term, provided that the following conditions </w:t>
      </w:r>
      <w:r>
        <w:rPr>
          <w:rFonts w:ascii="Times New Roman" w:hAnsi="Times New Roman"/>
          <w:b/>
          <w:color w:val="000000"/>
          <w:sz w:val="20"/>
        </w:rPr>
        <w:t>(</w:t>
      </w:r>
      <w:r>
        <w:rPr>
          <w:rFonts w:ascii="Times New Roman" w:hAnsi="Times New Roman"/>
          <w:color w:val="000000"/>
          <w:sz w:val="20"/>
        </w:rPr>
        <w:t>the “</w:t>
      </w:r>
      <w:r>
        <w:rPr>
          <w:rFonts w:ascii="Times New Roman" w:hAnsi="Times New Roman"/>
          <w:b/>
          <w:color w:val="000000"/>
          <w:sz w:val="20"/>
        </w:rPr>
        <w:t>Option Conditions</w:t>
      </w:r>
      <w:r>
        <w:rPr>
          <w:color w:val="000000"/>
        </w:rPr>
        <w:t>”</w:t>
      </w:r>
      <w:r>
        <w:rPr>
          <w:rFonts w:ascii="Times New Roman" w:hAnsi="Times New Roman"/>
          <w:color w:val="000000"/>
          <w:sz w:val="20"/>
        </w:rPr>
        <w:t xml:space="preserve">) are satisfied: (i) as of the date of delivery of such notice, Tenant is not in monetary or other material default under this Lease beyond any applicable notice and cure period expressly set forth in this Lease; and (ii) as of the end of the Lease Term, Tenant is not in monetary or other material default under this Lease; (iii) Tenant has not previously been in monetary or other material default under this Lease (beyond any applicable notice and cure period expressly set forth in this Lease) more than twice; and (iv) the Lease then remains in full force and effect and the Original Tenant or any Permitted Transferee Assignee occupies at least fifty percent (50%) of the entire Premises at the time the option to extend is exercised and as of the commencement of the Option Term. beyond any applicable notice and cure period expressly set forth in this Lease. Landlord may, at Landlord’s option, exercised in Landlord’s sole and absolute discretion, waive any of the Option Conditions in which case the option, if otherwise properly exercised by Tenant, shall remain in full force and effect. Upon the proper exercise of such option to extend, and provided that Tenant satisfies all of the Option Conditions (except those, if any, which are waived by Landlord), the Lease Term, as it applies to the Premises, shall be extended for a period of five (5) years. The rights contained in this </w:t>
      </w:r>
      <w:r>
        <w:rPr>
          <w:rFonts w:ascii="Times New Roman" w:hAnsi="Times New Roman"/>
          <w:color w:val="000000"/>
          <w:sz w:val="20"/>
          <w:u w:val="single"/>
        </w:rPr>
        <w:t>Section 2.2</w:t>
      </w:r>
      <w:r>
        <w:rPr>
          <w:color w:val="000000"/>
        </w:rPr>
        <w:t xml:space="preserve"> </w:t>
      </w:r>
      <w:r>
        <w:rPr>
          <w:rFonts w:ascii="Times New Roman" w:hAnsi="Times New Roman"/>
          <w:color w:val="000000"/>
          <w:sz w:val="20"/>
        </w:rPr>
        <w:t xml:space="preserve">shall be personal to Original Tenant or its Permitted Transferee Assignee and may be exercised by Original Tenant or its Permitted Transferee Assignee only (and not by any other assignee, sublessee or other “Transferee,” as that term is defined in </w:t>
      </w:r>
      <w:r>
        <w:rPr>
          <w:rFonts w:ascii="Times New Roman" w:hAnsi="Times New Roman"/>
          <w:color w:val="000000"/>
          <w:sz w:val="20"/>
          <w:u w:val="single"/>
        </w:rPr>
        <w:t>Section 14.1</w:t>
      </w:r>
      <w:r>
        <w:rPr>
          <w:color w:val="000000"/>
        </w:rPr>
        <w:t xml:space="preserve"> </w:t>
      </w:r>
      <w:r>
        <w:rPr>
          <w:rFonts w:ascii="Times New Roman" w:hAnsi="Times New Roman"/>
          <w:color w:val="000000"/>
          <w:sz w:val="20"/>
        </w:rPr>
        <w:t>of this Lease, of Tenant’s interest in this Lease).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2.2.2</w:t>
      </w:r>
    </w:p>
    <w:p>
      <w:pPr>
        <w:pStyle w:val="TextBody"/>
        <w:bidi w:val="0"/>
        <w:spacing w:before="0" w:after="240"/>
        <w:jc w:val="left"/>
        <w:rPr/>
      </w:pPr>
      <w:r>
        <w:rPr>
          <w:rFonts w:ascii="Times New Roman" w:hAnsi="Times New Roman"/>
          <w:b/>
          <w:color w:val="000000"/>
          <w:sz w:val="20"/>
          <w:u w:val="single"/>
        </w:rPr>
        <w:t>Option Base Rent</w:t>
      </w:r>
      <w:r>
        <w:rPr>
          <w:rFonts w:ascii="Times New Roman" w:hAnsi="Times New Roman"/>
          <w:color w:val="000000"/>
          <w:sz w:val="20"/>
        </w:rPr>
        <w:t xml:space="preserve">. The annual Base Rent (as that term is defined in </w:t>
      </w:r>
      <w:r>
        <w:rPr>
          <w:rFonts w:ascii="Times New Roman" w:hAnsi="Times New Roman"/>
          <w:color w:val="000000"/>
          <w:sz w:val="20"/>
          <w:u w:val="single"/>
        </w:rPr>
        <w:t>Section 3.1</w:t>
      </w:r>
      <w:r>
        <w:rPr>
          <w:color w:val="000000"/>
        </w:rPr>
        <w:t xml:space="preserve"> </w:t>
      </w:r>
      <w:r>
        <w:rPr>
          <w:rFonts w:ascii="Times New Roman" w:hAnsi="Times New Roman"/>
          <w:color w:val="000000"/>
          <w:sz w:val="20"/>
        </w:rPr>
        <w:t>below) payable by Tenant during the Option Term (the “</w:t>
      </w:r>
      <w:r>
        <w:rPr>
          <w:rFonts w:ascii="Times New Roman" w:hAnsi="Times New Roman"/>
          <w:b/>
          <w:color w:val="000000"/>
          <w:sz w:val="20"/>
        </w:rPr>
        <w:t>Option Rent</w:t>
      </w:r>
      <w:r>
        <w:rPr>
          <w:color w:val="000000"/>
        </w:rPr>
        <w:t>”</w:t>
      </w:r>
      <w:r>
        <w:rPr>
          <w:rFonts w:ascii="Times New Roman" w:hAnsi="Times New Roman"/>
          <w:color w:val="000000"/>
          <w:sz w:val="20"/>
        </w:rPr>
        <w:t>) shall be equal to the “Fair Rental Value,” as that term is defined below, for the Premises as of the commencement date of the Option Term; provided, however, the Option Rent, on an average annual, effective (including free rent, if applicable, on a straight line basis) basis, for each Lease Year during the Option Term shall not be lower than the one hundred three percent (103%) of the annual Base Rent in effect immediately prior to the commencement of the Option Term. The “</w:t>
      </w:r>
      <w:r>
        <w:rPr>
          <w:rFonts w:ascii="Times New Roman" w:hAnsi="Times New Roman"/>
          <w:b/>
          <w:color w:val="000000"/>
          <w:sz w:val="20"/>
        </w:rPr>
        <w:t>Fair Rental Value</w:t>
      </w:r>
      <w:r>
        <w:rPr>
          <w:rFonts w:ascii="Times New Roman" w:hAnsi="Times New Roman"/>
          <w:color w:val="000000"/>
          <w:sz w:val="20"/>
        </w:rPr>
        <w:t xml:space="preserve">,” as used in this Lease, shall be equal to the annual base rent per rentable square foot (considering additional rent and any “base year” or “expense stop” applicable thereto), including all escalations, at which tenants (pursuant to leases consummated within the twelve (12) month period preceding the first day of the Option Term), are leasing non-sublease, non-encumbered, non-equity space which is not significantly greater or smaller in size than the subject space, for a comparable lease term, in an arm’s length transaction, which comparable space is located in the “Comparable Buildings,” as that term is defined in this </w:t>
      </w:r>
      <w:r>
        <w:rPr>
          <w:rFonts w:ascii="Times New Roman" w:hAnsi="Times New Roman"/>
          <w:color w:val="000000"/>
          <w:sz w:val="20"/>
          <w:u w:val="single"/>
        </w:rPr>
        <w:t>Section 2.2.2</w:t>
      </w:r>
      <w:r>
        <w:rPr>
          <w:rFonts w:ascii="Times New Roman" w:hAnsi="Times New Roman"/>
          <w:color w:val="000000"/>
          <w:sz w:val="20"/>
        </w:rPr>
        <w:t>, below (transactions satisfying the</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- 12 -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foregoing criteria shall be known as the “</w:t>
      </w:r>
      <w:r>
        <w:rPr>
          <w:rFonts w:ascii="Times New Roman" w:hAnsi="Times New Roman"/>
          <w:b/>
          <w:color w:val="000000"/>
          <w:sz w:val="20"/>
        </w:rPr>
        <w:t>Comparable Transactions</w:t>
      </w:r>
      <w:r>
        <w:rPr>
          <w:rFonts w:ascii="Times New Roman" w:hAnsi="Times New Roman"/>
          <w:color w:val="000000"/>
          <w:sz w:val="20"/>
        </w:rPr>
        <w:t>”), taking into consideration the following concessions (the “</w:t>
      </w:r>
      <w:r>
        <w:rPr>
          <w:rFonts w:ascii="Times New Roman" w:hAnsi="Times New Roman"/>
          <w:b/>
          <w:color w:val="000000"/>
          <w:sz w:val="20"/>
        </w:rPr>
        <w:t>Concessions</w:t>
      </w:r>
      <w:r>
        <w:rPr>
          <w:rFonts w:ascii="Times New Roman" w:hAnsi="Times New Roman"/>
          <w:color w:val="000000"/>
          <w:sz w:val="20"/>
        </w:rPr>
        <w:t>”): (a) rental abatement concessions, if any, being granted such tenants in connection with such comparable space; (b) tenant improvements or allowances provided or to be provided for such comparable space, and taking into account the value, if any, of the existing improvements in the subject space, such value to be based upon the age, condition, design, quality of finishes and layout of the improvements and the extent to which the same can be utilized by a general office user other than Tenant; and (c) other reasonable monetary concessions being granted such tenants in connection with such comparable space; provided, however, that in calculating the Fair Rental Value, no consideration shall be given to any period of rental abatement, if any, granted to tenants in comparable transactions in connection with the design, permitting and construction of tenant improvements in such comparable spaces. The Fair Rental Value shall additionally include a determination as to whether, and if so to what extent, Tenant must provide Landlord with financial security, such as a letter of credit or guaranty, for Tenant’s Rent obligations in connection with Tenant’s lease of the Premises during the Option Term. Such determination shall be made by reviewing the extent of financial security then generally being imposed in Comparable Transactions from tenants of comparable financial condition and credit history to the then existing financial condition and credit history of Tenant (with appropriate adjustments to account for differences in the then-existing financial condition of Tenant and such other tenants). In addition, in connection with the determination of the Fair Rental Value, the age (based on the date of original construction or the latest major renovation) and location of any Comparable Building used in connection therewith shall be a factor in determining the Fair Rental Value. The Concessions (A) shall be reflected in the effective rental rate (which effective rental rate shall take into consideration the total dollar value of such Concessions as amortized on a straight-line basis over the applicable term of the Comparable Transaction (in which case such Concessions evidenced in the effective rental rate shall not be granted to Tenant)) payable by Tenant, or (B) at Landlord’s election, all such Concessions shall be granted to Tenant in kind. If there are not a sufficient number of Comparable Transactions to reasonably determine the Fair Rental Value, then the definition of Comparable Transactions shall be expanded to include smaller or larger transactions, provided that appropriate adjustments shall be made to such additional Comparable Transactions, as is necessary, given the size of such transactions. The term “</w:t>
      </w:r>
      <w:r>
        <w:rPr>
          <w:rFonts w:ascii="Times New Roman" w:hAnsi="Times New Roman"/>
          <w:b/>
          <w:color w:val="000000"/>
          <w:sz w:val="20"/>
        </w:rPr>
        <w:t>Comparable Buildings</w:t>
      </w:r>
      <w:r>
        <w:rPr>
          <w:rFonts w:ascii="Times New Roman" w:hAnsi="Times New Roman"/>
          <w:color w:val="000000"/>
          <w:sz w:val="20"/>
        </w:rPr>
        <w:t>” shall mean the Building and those other first-class life science buildings located in the Torrey Pines area of San Diego, California. Notwithstanding the foregoing, during the Option Term, the Option Rent shall increase by three percent (3%) per annum on each anniversary of the first (1st) day of the Option Term; provided that such annual increases shall be taken into consideration in connection with the determination of Fair Rental Value.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2.2.3</w:t>
      </w:r>
    </w:p>
    <w:p>
      <w:pPr>
        <w:pStyle w:val="TextBody"/>
        <w:bidi w:val="0"/>
        <w:spacing w:before="0" w:after="240"/>
        <w:jc w:val="left"/>
        <w:rPr/>
      </w:pPr>
      <w:r>
        <w:rPr>
          <w:rFonts w:ascii="Times New Roman" w:hAnsi="Times New Roman"/>
          <w:b/>
          <w:color w:val="000000"/>
          <w:sz w:val="20"/>
          <w:u w:val="single"/>
        </w:rPr>
        <w:t>Determination of Option Rent</w:t>
      </w:r>
      <w:r>
        <w:rPr>
          <w:rFonts w:ascii="Times New Roman" w:hAnsi="Times New Roman"/>
          <w:color w:val="000000"/>
          <w:sz w:val="20"/>
        </w:rPr>
        <w:t>. Notwithstanding any provision to the contrary contained herein, within fifteen (15) business days following Landlord’s receipt of written request from Tenant (which request shall not be delivered earlier than fifteen (15) months prior to the commencement of the Option Term nor later than ten (10) months prior to the commencement of the Option Term), Landlord shall provide Tenant with Landlord’s nonbinding good faith estimate of the Fair Rental Value for the Premises during the Option Term. In the event Tenant timely and appropriately exercises an option to extend the Lease Term, Landlord shall notify Tenant of Landlord’s determination of the Option Rent on or before the date which occurs six (6) months prior to the Lease Expiration Date. If Tenant, on or before the date which is thirty (30) days following the date upon which Tenant receives Landlord’s determination of the Option Rent, in good faith objects to Landlord’s determination of the Option Rent, then Landlord and Tenant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- 13 -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shall attempt to agree upon the Option Rent using their best good-faith efforts. If Landlord and Tenant fail to reach agreement within thirty (30) days following Tenant’s objection to the Option Rent (the “</w:t>
      </w:r>
      <w:r>
        <w:rPr>
          <w:rFonts w:ascii="Times New Roman" w:hAnsi="Times New Roman"/>
          <w:b/>
          <w:color w:val="000000"/>
          <w:sz w:val="20"/>
        </w:rPr>
        <w:t>Outside Agreement Date</w:t>
      </w:r>
      <w:r>
        <w:rPr>
          <w:rFonts w:ascii="Times New Roman" w:hAnsi="Times New Roman"/>
          <w:color w:val="000000"/>
          <w:sz w:val="20"/>
        </w:rPr>
        <w:t xml:space="preserve">”), then each party shall make a separate determination of the Option Rent, as the case maybe, within five (5) days, and such determinations shall be submitted to arbitration in accordance with </w:t>
      </w:r>
      <w:r>
        <w:rPr>
          <w:rFonts w:ascii="Times New Roman" w:hAnsi="Times New Roman"/>
          <w:color w:val="000000"/>
          <w:sz w:val="20"/>
          <w:u w:val="single"/>
        </w:rPr>
        <w:t>Sections 2.2.3.1</w:t>
      </w:r>
      <w:r>
        <w:rPr>
          <w:rFonts w:ascii="Times New Roman" w:hAnsi="Times New Roman"/>
          <w:color w:val="000000"/>
          <w:sz w:val="20"/>
        </w:rPr>
        <w:t xml:space="preserve"> through </w:t>
      </w:r>
      <w:r>
        <w:rPr>
          <w:rFonts w:ascii="Times New Roman" w:hAnsi="Times New Roman"/>
          <w:color w:val="000000"/>
          <w:sz w:val="20"/>
          <w:u w:val="single"/>
        </w:rPr>
        <w:t>2.2.3.7</w:t>
      </w:r>
      <w:r>
        <w:rPr>
          <w:rFonts w:ascii="Times New Roman" w:hAnsi="Times New Roman"/>
          <w:color w:val="000000"/>
          <w:sz w:val="20"/>
        </w:rPr>
        <w:t>, below. If Tenant fails to object to Landlord’s determination of the Option Rent within the time period set forth herein, then Tenant shall be deemed to have accepted Landlord’s determination of Option Rent.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2.2.3.1</w:t>
      </w:r>
    </w:p>
    <w:p>
      <w:pPr>
        <w:pStyle w:val="TextBody"/>
        <w:bidi w:val="0"/>
        <w:spacing w:before="0" w:after="240"/>
        <w:jc w:val="left"/>
        <w:rPr/>
      </w:pPr>
      <w:r>
        <w:rPr>
          <w:rFonts w:ascii="Times New Roman" w:hAnsi="Times New Roman"/>
          <w:color w:val="000000"/>
          <w:sz w:val="20"/>
        </w:rPr>
        <w:t xml:space="preserve">Landlord and Tenant shall each appoint one arbitrator who shall be, at the option of the appointing party, a real estate broker, appraiser or attorney who shall have been active over the five (5) year period ending on the date of such appointment in the leasing or appraisal, as the case may be, of commercial office properties in North San Diego, California. The determination of the arbitrators shall be limited solely to the issue of whether Landlord’s or Tenant’s submitted Option Rent is the closest to the actual Option Rent, taking into account the requirements of </w:t>
      </w:r>
      <w:r>
        <w:rPr>
          <w:rFonts w:ascii="Times New Roman" w:hAnsi="Times New Roman"/>
          <w:color w:val="000000"/>
          <w:sz w:val="20"/>
          <w:u w:val="single"/>
        </w:rPr>
        <w:t>Section 2.2.2</w:t>
      </w:r>
      <w:r>
        <w:rPr>
          <w:color w:val="000000"/>
        </w:rPr>
        <w:t xml:space="preserve"> </w:t>
      </w:r>
      <w:r>
        <w:rPr>
          <w:rFonts w:ascii="Times New Roman" w:hAnsi="Times New Roman"/>
          <w:color w:val="000000"/>
          <w:sz w:val="20"/>
        </w:rPr>
        <w:t>of this Lease, as determined by the arbitrators. Each such arbitrator shall be appointed within fifteen (15) days after the Outside Agreement Date. Landlord and Tenant may consult with their selected arbitrators prior to appointment and may select an arbitrator who is favorable to their respective positions. The arbitrators so selected by Landlord and Tenant shall be deemed “</w:t>
      </w:r>
      <w:r>
        <w:rPr>
          <w:rFonts w:ascii="Times New Roman" w:hAnsi="Times New Roman"/>
          <w:b/>
          <w:color w:val="000000"/>
          <w:sz w:val="20"/>
        </w:rPr>
        <w:t>Advocate Arbitrators</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2.2.3.2</w:t>
      </w:r>
    </w:p>
    <w:p>
      <w:pPr>
        <w:pStyle w:val="TextBody"/>
        <w:bidi w:val="0"/>
        <w:spacing w:before="0" w:after="240"/>
        <w:jc w:val="left"/>
        <w:rPr/>
      </w:pPr>
      <w:r>
        <w:rPr>
          <w:rFonts w:ascii="Times New Roman" w:hAnsi="Times New Roman"/>
          <w:color w:val="000000"/>
          <w:sz w:val="20"/>
        </w:rPr>
        <w:t>The two (2) Advocate Arbitrators so appointed shall be specifically required pursuant to an engagement letter within ten (10) days of the date of the appointment of the last appointed Advocate Arbitrator to agree upon and appoint a third arbitrator (“</w:t>
      </w:r>
      <w:r>
        <w:rPr>
          <w:rFonts w:ascii="Times New Roman" w:hAnsi="Times New Roman"/>
          <w:b/>
          <w:color w:val="000000"/>
          <w:sz w:val="20"/>
        </w:rPr>
        <w:t>Neutral Arbitrator</w:t>
      </w:r>
      <w:r>
        <w:rPr>
          <w:color w:val="000000"/>
        </w:rPr>
        <w:t>”</w:t>
      </w:r>
      <w:r>
        <w:rPr>
          <w:rFonts w:ascii="Times New Roman" w:hAnsi="Times New Roman"/>
          <w:color w:val="000000"/>
          <w:sz w:val="20"/>
        </w:rPr>
        <w:t>) who shall be qualified under the same criteria set forth hereinabove for qualification of the two Advocate Arbitrators, except that neither the Landlord or Tenant or either parties’ Advocate Arbitrator may, directly or indirectly, consult with the Neutral Arbitrator prior or subsequent to his or her appearance. The Neutral Arbitrator shall be retained via an engagement letter jointly prepared by Landlord’s counsel and Tenant’s counsel.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2.2.3.3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three arbitrators shall, within thirty (30) days of the appointment of the Neutral Arbitrator, reach a decision as to whether the parties shall use Landlord’s or Tenant’s submitted Option Rent, and shall notify Landlord and Tenant thereof.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2.2.3.4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decision of the majority of the three arbitrators shall be binding upon Landlord and Tenant.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2.2.3.5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either Landlord or Tenant fails to appoint an Advocate Arbitrator within fifteen (15) days after the Outside Agreement Date, then the single Advocate Arbitrator appointed shall be deemed the Neutral Arbitrator.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2.2.3.6</w:t>
      </w:r>
    </w:p>
    <w:p>
      <w:pPr>
        <w:pStyle w:val="TextBody"/>
        <w:bidi w:val="0"/>
        <w:spacing w:before="0" w:after="240"/>
        <w:jc w:val="left"/>
        <w:rPr/>
      </w:pPr>
      <w:r>
        <w:rPr>
          <w:rFonts w:ascii="Times New Roman" w:hAnsi="Times New Roman"/>
          <w:color w:val="000000"/>
          <w:sz w:val="20"/>
        </w:rPr>
        <w:t xml:space="preserve">If the two (2) Advocate Arbitrators fail to agree upon and appoint the Neutral Arbitrator, then either party may petition the presiding judge of the Superior Court of San Diego County to appoint the Neutral Arbitrator, subject to criteria in </w:t>
      </w:r>
      <w:r>
        <w:rPr>
          <w:rFonts w:ascii="Times New Roman" w:hAnsi="Times New Roman"/>
          <w:color w:val="000000"/>
          <w:sz w:val="20"/>
          <w:u w:val="single"/>
        </w:rPr>
        <w:t>Section 2.2.3.2</w:t>
      </w:r>
      <w:r>
        <w:rPr>
          <w:color w:val="000000"/>
        </w:rPr>
        <w:t xml:space="preserve"> </w:t>
      </w:r>
      <w:r>
        <w:rPr>
          <w:rFonts w:ascii="Times New Roman" w:hAnsi="Times New Roman"/>
          <w:color w:val="000000"/>
          <w:sz w:val="20"/>
        </w:rPr>
        <w:t>of this Lease, or if he or she refuses to act, either party may petition any judge having jurisdiction over the parties to appoint such arbitrator.</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- 14 -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2.2.3.7</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cost of the arbitration shall be paid by Landlord and Tenant equally.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2.2.3.8</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the event that the Option Rent shall not have been determined pursuant to the terms hereof prior to the commencement of the Option Term, Tenant shall be required to pay the Option Rent initially provided by Landlord to Tenant, and upon the final determination of the Option Rent, the payments made by Tenant shall be reconciled with the actual amounts of Option Rent due, and the appropriate party shall make any corresponding payment to the other party.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left"/>
        <w:rPr/>
      </w:pPr>
      <w:r>
        <w:rPr>
          <w:rFonts w:ascii="Times New Roman" w:hAnsi="Times New Roman"/>
          <w:b/>
          <w:color w:val="000000"/>
          <w:sz w:val="20"/>
        </w:rPr>
        <w:t>BASE RENT</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3.1</w:t>
      </w:r>
    </w:p>
    <w:p>
      <w:pPr>
        <w:pStyle w:val="TextBody"/>
        <w:bidi w:val="0"/>
        <w:spacing w:before="0" w:after="240"/>
        <w:jc w:val="left"/>
        <w:rPr/>
      </w:pPr>
      <w:r>
        <w:rPr>
          <w:rFonts w:ascii="Times New Roman" w:hAnsi="Times New Roman"/>
          <w:b/>
          <w:color w:val="000000"/>
          <w:sz w:val="20"/>
          <w:u w:val="single"/>
        </w:rPr>
        <w:t>In General</w:t>
      </w:r>
      <w:r>
        <w:rPr>
          <w:rFonts w:ascii="Times New Roman" w:hAnsi="Times New Roman"/>
          <w:color w:val="000000"/>
          <w:sz w:val="20"/>
        </w:rPr>
        <w:t>. Tenant shall pay, without prior notice or demand, at Tenant’s election either (a) by ACH Transfer (pursuant to transfer instructions provided by Landlord upon request from Tenant), or (b) to Landlord or Landlord’s agent (i) at the management office of the Project, or, (ii) at Landlord’s option, at such other place as Landlord may from time to time designate in writing, by a check for currency which, at the time of payment, is legal tender for private or public debts in the United States of America, base rent (“</w:t>
      </w:r>
      <w:r>
        <w:rPr>
          <w:rFonts w:ascii="Times New Roman" w:hAnsi="Times New Roman"/>
          <w:b/>
          <w:color w:val="000000"/>
          <w:sz w:val="20"/>
        </w:rPr>
        <w:t>Base Rent</w:t>
      </w:r>
      <w:r>
        <w:rPr>
          <w:color w:val="000000"/>
        </w:rPr>
        <w:t>”</w:t>
      </w:r>
      <w:r>
        <w:rPr>
          <w:rFonts w:ascii="Times New Roman" w:hAnsi="Times New Roman"/>
          <w:color w:val="000000"/>
          <w:sz w:val="20"/>
        </w:rPr>
        <w:t xml:space="preserve">) as set forth in </w:t>
      </w:r>
      <w:r>
        <w:rPr>
          <w:rFonts w:ascii="Times New Roman" w:hAnsi="Times New Roman"/>
          <w:color w:val="000000"/>
          <w:sz w:val="20"/>
          <w:u w:val="single"/>
        </w:rPr>
        <w:t>Section 4</w:t>
      </w:r>
      <w:r>
        <w:rPr>
          <w:color w:val="000000"/>
        </w:rPr>
        <w:t xml:space="preserve"> </w:t>
      </w:r>
      <w:r>
        <w:rPr>
          <w:rFonts w:ascii="Times New Roman" w:hAnsi="Times New Roman"/>
          <w:color w:val="000000"/>
          <w:sz w:val="20"/>
        </w:rPr>
        <w:t xml:space="preserve">of the Summary, payable in equal monthly installments as set forth in </w:t>
      </w:r>
      <w:r>
        <w:rPr>
          <w:rFonts w:ascii="Times New Roman" w:hAnsi="Times New Roman"/>
          <w:color w:val="000000"/>
          <w:sz w:val="20"/>
          <w:u w:val="single"/>
        </w:rPr>
        <w:t>Section 4</w:t>
      </w:r>
      <w:r>
        <w:rPr>
          <w:color w:val="000000"/>
        </w:rPr>
        <w:t xml:space="preserve"> </w:t>
      </w:r>
      <w:r>
        <w:rPr>
          <w:rFonts w:ascii="Times New Roman" w:hAnsi="Times New Roman"/>
          <w:color w:val="000000"/>
          <w:sz w:val="20"/>
        </w:rPr>
        <w:t xml:space="preserve">of the Summary in advance on or before the first day of each and every calendar month during the Lease Term, without any setoff or deduction whatsoever. The Base Rent and Tenant’s Share of the Estimate Direct Expenses (as that term is defined in </w:t>
      </w:r>
      <w:r>
        <w:rPr>
          <w:rFonts w:ascii="Times New Roman" w:hAnsi="Times New Roman"/>
          <w:color w:val="000000"/>
          <w:sz w:val="20"/>
          <w:u w:val="single"/>
        </w:rPr>
        <w:t>Section 4.4.2</w:t>
      </w:r>
      <w:r>
        <w:rPr>
          <w:color w:val="000000"/>
        </w:rPr>
        <w:t xml:space="preserve"> </w:t>
      </w:r>
      <w:r>
        <w:rPr>
          <w:rFonts w:ascii="Times New Roman" w:hAnsi="Times New Roman"/>
          <w:color w:val="000000"/>
          <w:sz w:val="20"/>
        </w:rPr>
        <w:t>below) for the first full month of the Lease Term, in an aggregate amount equal to $78,718.50, shall be paid at the time of Tenant’s execution of this Lease. If any Rent payment date (including the Lease Commencement Date) falls on a day of the month other than the first day of such month or if any payment of Rent is for a period which is shorter than one month, the Rent for any fractional month shall accrue on a daily basis for the period from the date such payment is due to the end of such calendar month or to the end of the Lease Term at a rate per day which is equal to 1/365 of the applicable annual Rent. All other payments or adjustments required to be made under the terms of this Lease that require proration on a time basis shall be prorated on the same basis.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3.2</w:t>
      </w:r>
    </w:p>
    <w:p>
      <w:pPr>
        <w:pStyle w:val="TextBody"/>
        <w:bidi w:val="0"/>
        <w:spacing w:before="0" w:after="240"/>
        <w:jc w:val="left"/>
        <w:rPr/>
      </w:pPr>
      <w:r>
        <w:rPr>
          <w:rFonts w:ascii="Times New Roman" w:hAnsi="Times New Roman"/>
          <w:b/>
          <w:color w:val="000000"/>
          <w:sz w:val="20"/>
          <w:u w:val="single"/>
        </w:rPr>
        <w:t>Abated Base Rent</w:t>
      </w:r>
      <w:r>
        <w:rPr>
          <w:rFonts w:ascii="Times New Roman" w:hAnsi="Times New Roman"/>
          <w:color w:val="000000"/>
          <w:sz w:val="20"/>
        </w:rPr>
        <w:t>. Provided that Tenant is not then in default of this Lease (beyond all applicable notice and cure periods), then during the three (3) month period commencing on the first day of the second (2nd) full calendar month of the Lease Term and continuing through and including the last day of the fourth (4th) full calendar month of the Lease Term (the “</w:t>
      </w:r>
      <w:r>
        <w:rPr>
          <w:rFonts w:ascii="Times New Roman" w:hAnsi="Times New Roman"/>
          <w:b/>
          <w:color w:val="000000"/>
          <w:sz w:val="20"/>
        </w:rPr>
        <w:t>Base Rent Abatement Period</w:t>
      </w:r>
      <w:r>
        <w:rPr>
          <w:color w:val="000000"/>
        </w:rPr>
        <w:t>”</w:t>
      </w:r>
      <w:r>
        <w:rPr>
          <w:rFonts w:ascii="Times New Roman" w:hAnsi="Times New Roman"/>
          <w:color w:val="000000"/>
          <w:sz w:val="20"/>
        </w:rPr>
        <w:t>), Tenant shall not be obligated to pay any Base Rent otherwise attributable to the Premises during such Base Rent Abatement Period (the “</w:t>
      </w:r>
      <w:r>
        <w:rPr>
          <w:rFonts w:ascii="Times New Roman" w:hAnsi="Times New Roman"/>
          <w:b/>
          <w:color w:val="000000"/>
          <w:sz w:val="20"/>
        </w:rPr>
        <w:t>Base Rent Abatement</w:t>
      </w:r>
      <w:r>
        <w:rPr>
          <w:color w:val="000000"/>
        </w:rPr>
        <w:t>”</w:t>
      </w:r>
      <w:r>
        <w:rPr>
          <w:rFonts w:ascii="Times New Roman" w:hAnsi="Times New Roman"/>
          <w:color w:val="000000"/>
          <w:sz w:val="20"/>
        </w:rPr>
        <w:t xml:space="preserve">), subject to </w:t>
      </w:r>
      <w:r>
        <w:rPr>
          <w:rFonts w:ascii="Times New Roman" w:hAnsi="Times New Roman"/>
          <w:color w:val="000000"/>
          <w:sz w:val="20"/>
          <w:u w:val="single"/>
        </w:rPr>
        <w:t>Section 2.2</w:t>
      </w:r>
      <w:r>
        <w:rPr>
          <w:color w:val="000000"/>
        </w:rPr>
        <w:t xml:space="preserve"> </w:t>
      </w:r>
      <w:r>
        <w:rPr>
          <w:rFonts w:ascii="Times New Roman" w:hAnsi="Times New Roman"/>
          <w:color w:val="000000"/>
          <w:sz w:val="20"/>
        </w:rPr>
        <w:t>of the Tenant Work Letter. Landlord and Tenant acknowledge that the aggregate amount of the Base Rent Abatement equals One Hundred Ninety-Nine Thousand Nine Hundred Twenty and 00/100 Dollars ($199,920.00). Tenant acknowledges and agrees that the foregoing Base Rent Abatement has been granted to Tenant as additional consideration for entering into this Lease, and for agreeing to pay the rental and performing the terms and conditions otherwise required under this Lease. If Tenant shall be in default under this Lease during the Base Rent Abatement Period, and shall fail to cure such default within the notice and cure period, if any, permitted for cure pursuant to terms and conditions of this Lease, or if this Lease is terminated for any reason other than Landlord’s breach of this Lease, then the dollar amount of the unapplied portion of the Base Rent Abatement as of the date of such default or termination, as the case may be, shall be converted to a credit to be applied to the Base Rent applicable at the end of the Lease Term and Tenant shall immediately be obligated to begin paying Base Rent for the Premises in full.</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- 15 -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left"/>
        <w:rPr/>
      </w:pPr>
      <w:r>
        <w:rPr>
          <w:rFonts w:ascii="Times New Roman" w:hAnsi="Times New Roman"/>
          <w:b/>
          <w:color w:val="000000"/>
          <w:sz w:val="20"/>
        </w:rPr>
        <w:t>ADDITIONAL RENT</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4.1</w:t>
      </w:r>
    </w:p>
    <w:p>
      <w:pPr>
        <w:pStyle w:val="TextBody"/>
        <w:bidi w:val="0"/>
        <w:spacing w:before="0" w:after="240"/>
        <w:jc w:val="left"/>
        <w:rPr/>
      </w:pPr>
      <w:r>
        <w:rPr>
          <w:rFonts w:ascii="Times New Roman" w:hAnsi="Times New Roman"/>
          <w:b/>
          <w:color w:val="000000"/>
          <w:sz w:val="20"/>
          <w:u w:val="single"/>
        </w:rPr>
        <w:t>General Terms</w:t>
      </w:r>
      <w:r>
        <w:rPr>
          <w:rFonts w:ascii="Times New Roman" w:hAnsi="Times New Roman"/>
          <w:color w:val="000000"/>
          <w:sz w:val="20"/>
        </w:rPr>
        <w:t xml:space="preserve">. In addition to paying the Base Rent specified in </w:t>
      </w:r>
      <w:r>
        <w:rPr>
          <w:rFonts w:ascii="Times New Roman" w:hAnsi="Times New Roman"/>
          <w:color w:val="000000"/>
          <w:sz w:val="20"/>
          <w:u w:val="single"/>
        </w:rPr>
        <w:t>Article 3</w:t>
      </w:r>
      <w:r>
        <w:rPr>
          <w:color w:val="000000"/>
        </w:rPr>
        <w:t xml:space="preserve"> </w:t>
      </w:r>
      <w:r>
        <w:rPr>
          <w:rFonts w:ascii="Times New Roman" w:hAnsi="Times New Roman"/>
          <w:color w:val="000000"/>
          <w:sz w:val="20"/>
        </w:rPr>
        <w:t xml:space="preserve">of this Lease, Tenant shall pay “Tenant’s Share” of the annual “Direct Expenses,” as those terms are defined in </w:t>
      </w:r>
      <w:r>
        <w:rPr>
          <w:rFonts w:ascii="Times New Roman" w:hAnsi="Times New Roman"/>
          <w:color w:val="000000"/>
          <w:sz w:val="20"/>
          <w:u w:val="single"/>
        </w:rPr>
        <w:t>Sections 4.2.6</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4.2.2</w:t>
      </w:r>
      <w:r>
        <w:rPr>
          <w:color w:val="000000"/>
        </w:rPr>
        <w:t xml:space="preserve"> </w:t>
      </w:r>
      <w:r>
        <w:rPr>
          <w:rFonts w:ascii="Times New Roman" w:hAnsi="Times New Roman"/>
          <w:color w:val="000000"/>
          <w:sz w:val="20"/>
        </w:rPr>
        <w:t>of this Lease, respectively. Such payments by Tenant, together with any and all other amounts payable by Tenant to Landlord pursuant to the terms of this Lease, are hereinafter collectively referred to as the “</w:t>
      </w:r>
      <w:r>
        <w:rPr>
          <w:rFonts w:ascii="Times New Roman" w:hAnsi="Times New Roman"/>
          <w:b/>
          <w:color w:val="000000"/>
          <w:sz w:val="20"/>
        </w:rPr>
        <w:t>Additional Rent</w:t>
      </w:r>
      <w:r>
        <w:rPr>
          <w:color w:val="000000"/>
        </w:rPr>
        <w:t>”</w:t>
      </w:r>
      <w:r>
        <w:rPr>
          <w:rFonts w:ascii="Times New Roman" w:hAnsi="Times New Roman"/>
          <w:color w:val="000000"/>
          <w:sz w:val="20"/>
        </w:rPr>
        <w:t>, and the Base Rent and the Additional Rent are herein collectively referred to as “</w:t>
      </w:r>
      <w:r>
        <w:rPr>
          <w:rFonts w:ascii="Times New Roman" w:hAnsi="Times New Roman"/>
          <w:b/>
          <w:color w:val="000000"/>
          <w:sz w:val="20"/>
        </w:rPr>
        <w:t>Rent</w:t>
      </w:r>
      <w:r>
        <w:rPr>
          <w:rFonts w:ascii="Times New Roman" w:hAnsi="Times New Roman"/>
          <w:color w:val="000000"/>
          <w:sz w:val="20"/>
        </w:rPr>
        <w:t xml:space="preserve">.” All amounts due under this </w:t>
      </w:r>
      <w:r>
        <w:rPr>
          <w:rFonts w:ascii="Times New Roman" w:hAnsi="Times New Roman"/>
          <w:color w:val="000000"/>
          <w:sz w:val="20"/>
          <w:u w:val="single"/>
        </w:rPr>
        <w:t>Article 4</w:t>
      </w:r>
      <w:r>
        <w:rPr>
          <w:color w:val="000000"/>
        </w:rPr>
        <w:t xml:space="preserve"> </w:t>
      </w:r>
      <w:r>
        <w:rPr>
          <w:rFonts w:ascii="Times New Roman" w:hAnsi="Times New Roman"/>
          <w:color w:val="000000"/>
          <w:sz w:val="20"/>
        </w:rPr>
        <w:t xml:space="preserve">as Additional Rent shall be payable for the same periods and in the same manner as the Base Rent. Without limitation on other obligations of Tenant which survive the expiration of the Lease Term, the obligations of Tenant to pay the Additional Rent provided for in this </w:t>
      </w:r>
      <w:r>
        <w:rPr>
          <w:rFonts w:ascii="Times New Roman" w:hAnsi="Times New Roman"/>
          <w:color w:val="000000"/>
          <w:sz w:val="20"/>
          <w:u w:val="single"/>
        </w:rPr>
        <w:t>Article 4</w:t>
      </w:r>
      <w:r>
        <w:rPr>
          <w:color w:val="000000"/>
        </w:rPr>
        <w:t xml:space="preserve"> </w:t>
      </w:r>
      <w:r>
        <w:rPr>
          <w:rFonts w:ascii="Times New Roman" w:hAnsi="Times New Roman"/>
          <w:color w:val="000000"/>
          <w:sz w:val="20"/>
        </w:rPr>
        <w:t>shall survive the expiration of the Lease Term.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4.2</w:t>
      </w:r>
    </w:p>
    <w:p>
      <w:pPr>
        <w:pStyle w:val="TextBody"/>
        <w:bidi w:val="0"/>
        <w:spacing w:before="0" w:after="240"/>
        <w:jc w:val="left"/>
        <w:rPr/>
      </w:pPr>
      <w:r>
        <w:rPr>
          <w:rFonts w:ascii="Times New Roman" w:hAnsi="Times New Roman"/>
          <w:b/>
          <w:color w:val="000000"/>
          <w:sz w:val="20"/>
          <w:u w:val="single"/>
        </w:rPr>
        <w:t>Definitions of Key Terms Relating to Additional Rent</w:t>
      </w:r>
      <w:r>
        <w:rPr>
          <w:rFonts w:ascii="Times New Roman" w:hAnsi="Times New Roman"/>
          <w:color w:val="000000"/>
          <w:sz w:val="20"/>
        </w:rPr>
        <w:t xml:space="preserve">. As used in this </w:t>
      </w:r>
      <w:r>
        <w:rPr>
          <w:rFonts w:ascii="Times New Roman" w:hAnsi="Times New Roman"/>
          <w:color w:val="000000"/>
          <w:sz w:val="20"/>
          <w:u w:val="single"/>
        </w:rPr>
        <w:t>Article 4</w:t>
      </w:r>
      <w:r>
        <w:rPr>
          <w:rFonts w:ascii="Times New Roman" w:hAnsi="Times New Roman"/>
          <w:color w:val="000000"/>
          <w:sz w:val="20"/>
        </w:rPr>
        <w:t>, the following terms shall have the meanings hereinafter set forth:</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4.2.1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Intentionally Omitted.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4.2.2</w:t>
      </w:r>
    </w:p>
    <w:p>
      <w:pPr>
        <w:pStyle w:val="TextBody"/>
        <w:bidi w:val="0"/>
        <w:spacing w:before="0" w:after="240"/>
        <w:jc w:val="left"/>
        <w:rPr/>
      </w:pPr>
      <w:r>
        <w:rPr>
          <w:color w:val="000000"/>
        </w:rPr>
        <w:t>“</w:t>
      </w:r>
      <w:r>
        <w:rPr>
          <w:rFonts w:ascii="Times New Roman" w:hAnsi="Times New Roman"/>
          <w:b/>
          <w:color w:val="000000"/>
          <w:sz w:val="20"/>
        </w:rPr>
        <w:t>Direct Expenses</w:t>
      </w:r>
      <w:r>
        <w:rPr>
          <w:color w:val="000000"/>
        </w:rPr>
        <w:t xml:space="preserve">” </w:t>
      </w:r>
      <w:r>
        <w:rPr>
          <w:rFonts w:ascii="Times New Roman" w:hAnsi="Times New Roman"/>
          <w:color w:val="000000"/>
          <w:sz w:val="20"/>
        </w:rPr>
        <w:t>shall mean “Operating Expenses” and “Tax Expenses.”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4.2.3</w:t>
      </w:r>
    </w:p>
    <w:p>
      <w:pPr>
        <w:pStyle w:val="TextBody"/>
        <w:bidi w:val="0"/>
        <w:spacing w:before="0" w:after="240"/>
        <w:jc w:val="left"/>
        <w:rPr/>
      </w:pPr>
      <w:r>
        <w:rPr>
          <w:color w:val="000000"/>
        </w:rPr>
        <w:t>“</w:t>
      </w:r>
      <w:r>
        <w:rPr>
          <w:rFonts w:ascii="Times New Roman" w:hAnsi="Times New Roman"/>
          <w:b/>
          <w:color w:val="000000"/>
          <w:sz w:val="20"/>
        </w:rPr>
        <w:t>Expense Year</w:t>
      </w:r>
      <w:r>
        <w:rPr>
          <w:color w:val="000000"/>
        </w:rPr>
        <w:t xml:space="preserve">” </w:t>
      </w:r>
      <w:r>
        <w:rPr>
          <w:rFonts w:ascii="Times New Roman" w:hAnsi="Times New Roman"/>
          <w:color w:val="000000"/>
          <w:sz w:val="20"/>
        </w:rPr>
        <w:t>shall mean each calendar year in which any portion of the Lease Term falls, through and including the calendar year in which the Lease Term expires, provided that Landlord, upon notice to Tenant, may change the Expense Year from time to time to any other twelve (12) consecutive month period, and, in the event of any such change, Tenant’s Share of Direct Expenses shall be equitably adjusted for any Expense Year involved in any such change.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4.2.4</w:t>
      </w:r>
    </w:p>
    <w:p>
      <w:pPr>
        <w:pStyle w:val="TextBody"/>
        <w:bidi w:val="0"/>
        <w:spacing w:before="0" w:after="240"/>
        <w:jc w:val="left"/>
        <w:rPr/>
      </w:pPr>
      <w:r>
        <w:rPr>
          <w:color w:val="000000"/>
        </w:rPr>
        <w:t>“</w:t>
      </w:r>
      <w:r>
        <w:rPr>
          <w:rFonts w:ascii="Times New Roman" w:hAnsi="Times New Roman"/>
          <w:b/>
          <w:color w:val="000000"/>
          <w:sz w:val="20"/>
        </w:rPr>
        <w:t>Operating Expenses</w:t>
      </w:r>
      <w:r>
        <w:rPr>
          <w:color w:val="000000"/>
        </w:rPr>
        <w:t xml:space="preserve">” </w:t>
      </w:r>
      <w:r>
        <w:rPr>
          <w:rFonts w:ascii="Times New Roman" w:hAnsi="Times New Roman"/>
          <w:color w:val="000000"/>
          <w:sz w:val="20"/>
        </w:rPr>
        <w:t xml:space="preserve">shall mean all expenses, costs and amounts of every kind and nature which Landlord pays or accrues during any Expense Year because of or in connection with the ownership, management, maintenance, security, repair, replacement, restoration or operation of the Project, or any portion thereof. Without limiting the generality of the foregoing, Operating Expenses shall specifically include any and all of the following: (i) the cost of supplying all utilities, the cost of operating, repairing, maintaining, and renovating the utility, telephone, mechanical, sanitary, storm drainage, and elevator systems, and the cost of maintenance and service contracts in connection therewith; (ii) the cost of licenses, certificates, permits and inspections and the cost of contesting any governmental enactments which may affect Operating Expenses, and the costs incurred in connection with a governmentally mandated transportation system management program or similar program; (iii) the cost of all insurance carried by Landlord in connection with the Project and Premises as reasonably determined by Landlord; (iv) the cost of landscaping, relamping, and all supplies, tools, equipment and materials used in the operation, repair and maintenance of the Project, or any portion thereof; (v) the cost of parking area operation, repair, restoration, and maintenance; (vi) fees and other costs, including management and/or incentive fees, consulting fees, legal fees and accounting fees, of all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- 16 -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contractors and consultants in connection with the management, operation, maintenance and repair of the Project; (vii) payments under any equipment rental agreements and the fair rental value of any management office space; (viii) subject to item (f), below, wages, salaries and other compensation and benefits, including taxes levied thereon, of all persons engaged in the operation, maintenance and security of the Project; (ix) costs under any instrument pertaining to the sharing of costs by the Project; (x) operation, repair, maintenance and replacement of all systems and equipment and components thereof of the Project; (xi) the cost of janitorial, alarm, security and other services, replacement of wall and floor coverings, ceiling tiles and fixtures in common areas, maintenance and replacement of curbs and walkways, repair to roofs and re-roofing; (xii) amortization (including interest on the unamortized cost) over such period of time as Landlord shall reasonably determine, of the cost of acquiring or the rental expense of personal property used in the maintenance, operation and repair of the Project, or any portion thereof; (xiii) the cost of capital improvements or other costs incurred in connection with the Project (A) which are intended to effect economies in the operation or maintenance of the Project, or any portion thereof, or to reduce current or future Operating Expenses (provided that the amount included in Operating Expenses for any Expense Year shall not exceed the amount of the reasonably anticipated reduction on Operating Expenses during such Lease Year), (B) that are required to comply with mandatory conservation programs, (C) which are replacements or modifications of nonstructural items located in the Common Areas required to keep the Common Areas in good order or condition, (D) that are required under any governmental law or regulation, except for capital expenditures to remedy a condition existing prior to the Lease Commencement Date which an applicable governmental authority, if it had knowledge of such condition prior to the Lease Commencement Date, would have then required to be remedied pursuant to then-current governmental laws or regulations in their form existing as of the Lease Commencement Date and pursuant to the then current interpretation of such governmental laws or regulations by the applicable governmental authority as of the Lease Commencement Date, or (E) which are repairs or replacements to the Building Systems (as defined in </w:t>
      </w:r>
      <w:r>
        <w:rPr>
          <w:rFonts w:ascii="Times New Roman" w:hAnsi="Times New Roman"/>
          <w:color w:val="000000"/>
          <w:sz w:val="20"/>
          <w:u w:val="single"/>
        </w:rPr>
        <w:t>Section 7.1</w:t>
      </w:r>
      <w:r>
        <w:rPr>
          <w:rFonts w:ascii="Times New Roman" w:hAnsi="Times New Roman"/>
          <w:color w:val="000000"/>
          <w:sz w:val="20"/>
        </w:rPr>
        <w:t xml:space="preserve">, below); provided, however, that any capital expenditure shall be amortized (including interest on the amortized cost) over its reasonable useful life as Landlord shall reasonably determine in accordance with sound real estate management and accounting principles; and (xiv) costs, fees, charges or assessments imposed by, or resulting from any mandate imposed on Landlord by, any federal, state or local government for fire and police protection, trash removal, community services, or other services which do not constitute “Tax Expenses” as that term is defined in </w:t>
      </w:r>
      <w:r>
        <w:rPr>
          <w:rFonts w:ascii="Times New Roman" w:hAnsi="Times New Roman"/>
          <w:color w:val="000000"/>
          <w:sz w:val="20"/>
          <w:u w:val="single"/>
        </w:rPr>
        <w:t>Section 4.2.5</w:t>
      </w:r>
      <w:r>
        <w:rPr>
          <w:rFonts w:ascii="Times New Roman" w:hAnsi="Times New Roman"/>
          <w:color w:val="000000"/>
          <w:sz w:val="20"/>
        </w:rPr>
        <w:t>, below, (xv) cost of tenant relation programs reasonably established by Landlord, and (xvi) payments under any easement, license, operating agreement, declaration, restrictive covenant, or instrument pertaining to the sharing of costs by the Building, including, without limitation, any covenants, conditions and restrictions affecting the property, and reciprocal easement agreements affecting the property, any parking licenses, and any agreements with transit agencies affecting the Property (collectively, “</w:t>
      </w:r>
      <w:r>
        <w:rPr>
          <w:rFonts w:ascii="Times New Roman" w:hAnsi="Times New Roman"/>
          <w:b/>
          <w:color w:val="000000"/>
          <w:sz w:val="20"/>
        </w:rPr>
        <w:t>Underlying Documents</w:t>
      </w:r>
      <w:r>
        <w:rPr>
          <w:rFonts w:ascii="Times New Roman" w:hAnsi="Times New Roman"/>
          <w:color w:val="000000"/>
          <w:sz w:val="20"/>
        </w:rPr>
        <w:t>”). Notwithstanding the foregoing, for purposes of this Lease, Operating Expenses shall not, however, include: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costs, including legal fees, space planners’ fees, advertising and promotional expenses, and brokerage fees incurred in connection with the original construction or development, or original or future leasing of the Project, and costs, including permit, license and inspection costs, incurred with respect to the installation of tenant improvements (including, without limitation, the Tenant Improvements) made for tenants of the Project (including Tenant) or incurred in renovating or otherwise improving, decorating, painting or redecorating vacant space for tenants or other occupants of the Project (excluding, however, such costs relating to any common areas of the Project or parking facilities);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- 17 -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except as set forth in items (xii) and (xiii), above, depreciation, interest and principal payments on mortgages and other debt costs, if any, penalties and interest, costs of capital repairs and alterations, and costs of capital improvements and equipment;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costs for which the Landlord is reimbursed by any tenant or occupant of the Project or by insurance by its carrier or any tenant’s carrier or by anyone else, and electric power costs for which any tenant directly contracts with the local public service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bad debt loss, rent loss, or reserves of any kind;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costs associated with the operation of the business of the partnership or entity which constitutes the Landlord, as the same are distinguished from the costs of operation of the Project (which shall specifically include, but not be limited to, accounting costs associated with the operation of the Project). Costs associated with the operation of the business of the partnership or entity which constitutes the Landlord include costs of partnership accounting and legal matters, costs of defending any lawsuits with any mortgagee (except as the actions of the Tenant may be in issue), costs of selling, syndicating, financing, mortgaging or hypothecating any of the Landlord’s interest in the Project, and costs incurred in connection with any disputes between Landlord and its employees, between Landlord and Project management, or between Landlord and other tenants or occupants;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wages and benefits of any employee who does not devote substantially all of his or her employed time to the Project unless such wages and benefits are prorated to reflect time spent on operating and managing the Project vis-a-vis time spent on matters unrelated to operating and managing the Project; provided, that in no event shall Operating Expenses for purposes of this Lease include wages and/or benefits attributable to personnel above the level of Project manager;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amount paid as ground rental for the Project by the Landlord;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except for a Project management fee to the extent allowed pursuant to item 4.2.4(q) below, overhead and profit increment paid to the Landlord or to subsidiaries or affiliates of the Landlord for services in the Project to the extent the same exceeds the costs of such services rendered by qualified, first-class unaffiliated third parties on a competitive basis;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compensation paid to clerks, attendants or other persons in commercial concessions operated by the Landlord, provided that any compensation paid to any concierge at the Project shall be includable as an Operating Expense;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(j)</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rentals and other related expenses incurred in leasing air conditioning systems, elevators or other equipment which if purchased the cost of which would be excluded from Operating Expenses as a capital cost, except equipment not affixed to the Project which is used in providing janitorial or similar services and, further excepting from this exclusion such equipment rented or leased to remedy or ameliorate an emergency condition in the Project;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- 18 -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all items and services for which Tenant or any other tenant in the Project reimburses Landlord or which Landlord provides selectively to one or more tenants (other than Tenant) without reimbursement;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costs expressly excluded from Operating Expenses elsewhere in this Lease;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rent for any office space occupied by Project management personnel to the extent the size or rental rate of such office space exceeds the size or fair market rental value of office space occupied by management personnel of the comparable buildings in the vicinity of the Building, with adjustment where appropriate for the size of the applicable project;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penalties, fines, interest or other costs due to (1) the violation by Landlord, its employees, agents or contractors or any tenant of the terms and conditions of any lease of space in the Building or the Project or any Applicable Laws (as defined below), (2) incurred as a result of Landlord’s inability or failure to make payment of taxes and/or to file any tax or informational returns when due or (3) the gross negligence or willful misconduct of Landlord or its employees, officers, directors, contractors or agents;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costs incurred to comply with Applicable Laws relating to the removal of hazardous materials (as defined under Applicable Law) which (1) were in existence in the Building or on the Project prior to the Lease Commencement Date or (2) is brought into the Building or onto the Project after the date hereof by Landlord or any other tenant of the Project, or any employees, invitees, agents or contractors of Landlord or any such other tenant;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Tenant is paying directly for the electrical service and janitorial service provided to the Premises, the cost of electrical service and janitorial service provided to other tenant spaces in the Project;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(q)</w:t>
      </w:r>
    </w:p>
    <w:p>
      <w:pPr>
        <w:pStyle w:val="TextBody"/>
        <w:bidi w:val="0"/>
        <w:spacing w:before="0" w:after="240"/>
        <w:jc w:val="left"/>
        <w:rPr/>
      </w:pPr>
      <w:r>
        <w:rPr>
          <w:rFonts w:ascii="Times New Roman" w:hAnsi="Times New Roman"/>
          <w:color w:val="000000"/>
          <w:sz w:val="20"/>
        </w:rPr>
        <w:t>fees payable by Landlord for management of the Project in excess of percent (3%) (the “</w:t>
      </w:r>
      <w:r>
        <w:rPr>
          <w:rFonts w:ascii="Times New Roman" w:hAnsi="Times New Roman"/>
          <w:b/>
          <w:color w:val="000000"/>
          <w:sz w:val="20"/>
        </w:rPr>
        <w:t>Management Fee Cap</w:t>
      </w:r>
      <w:r>
        <w:rPr>
          <w:color w:val="000000"/>
        </w:rPr>
        <w:t>”</w:t>
      </w:r>
      <w:r>
        <w:rPr>
          <w:rFonts w:ascii="Times New Roman" w:hAnsi="Times New Roman"/>
          <w:color w:val="000000"/>
          <w:sz w:val="20"/>
        </w:rPr>
        <w:t>) of Landlord’s gross rental revenues, adjusted and grossed up to reflect a one hundred percent (100%) occupancy of the Project with all tenants paying full rent, as contrasted with free rent, half-rent and the like, including base rent, pass-throughs, and parking fees from the Project for any calendar year or portion thereof;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costs of Landlord’s charitable or political contributions, or for the acquisition of fine art maintained at the Building or the Project;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cost of installing or upgrading any utility metering for any part of the Building or the Project;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w:t>
      </w:r>
    </w:p>
    <w:p>
      <w:pPr>
        <w:pStyle w:val="TextBody"/>
        <w:bidi w:val="0"/>
        <w:spacing w:before="0" w:after="240"/>
        <w:jc w:val="left"/>
        <w:rPr/>
      </w:pPr>
      <w:r>
        <w:rPr>
          <w:rFonts w:ascii="Times New Roman" w:hAnsi="Times New Roman"/>
          <w:color w:val="000000"/>
          <w:sz w:val="20"/>
        </w:rPr>
        <w:t xml:space="preserve">costs of replacements, alterations or improvements necessary to make the Building or the Project comply with Applicable Laws (as that term is defined in </w:t>
      </w:r>
      <w:r>
        <w:rPr>
          <w:rFonts w:ascii="Times New Roman" w:hAnsi="Times New Roman"/>
          <w:color w:val="000000"/>
          <w:sz w:val="20"/>
          <w:u w:val="single"/>
        </w:rPr>
        <w:t>Article 24</w:t>
      </w:r>
      <w:r>
        <w:rPr>
          <w:color w:val="000000"/>
        </w:rPr>
        <w:t xml:space="preserve"> </w:t>
      </w:r>
      <w:r>
        <w:rPr>
          <w:rFonts w:ascii="Times New Roman" w:hAnsi="Times New Roman"/>
          <w:color w:val="000000"/>
          <w:sz w:val="20"/>
        </w:rPr>
        <w:t>below) in effect and applicable to the Building and/or the Project prior to the date of this Lease, provided, however, that the provisions of this sub-item (t) shall not preclude the inclusion of costs of compliance with Applicable Laws enacted prior to the date of this Lease if such compliance is required for the first time by reason of any amendment, modification or reinterpretation of an Applicable Law which is imposed after the date of this Lease;</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- 19 -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costs (including attorneys’ fees and costs of settlement, judgments and payments in lieu thereof) incurred in connection with disputes with tenants or other occupants, or prospective tenants, and costs and expenses, including legal fees, incurred in connection with negotiations or disputes with employees, consultants, management agents, leasing agents, purchasers or mortgagees of the Project;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costs incurred by Landlord due to the violation by Landlord, its employees, agents or contractors or any tenant of the terms and conditions of any lease of space in the Project (but only to the extent Landlord would not have incurred such costs absent the violation).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Landlord shall not (1) make a profit by charging items to Operating Expenses that are otherwise also charged separately to tenants (including Tenant) of the Project, and (2) collect Operating Expenses from Tenant and all other tenants in the Project in an amount in excess of what Landlord incurs for the items included in Operating Expenses.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4.2.5</w:t>
      </w:r>
    </w:p>
    <w:p>
      <w:pPr>
        <w:pStyle w:val="TextBody"/>
        <w:bidi w:val="0"/>
        <w:spacing w:before="0" w:after="240"/>
        <w:jc w:val="left"/>
        <w:rPr/>
      </w:pPr>
      <w:r>
        <w:rPr>
          <w:rFonts w:ascii="Times New Roman" w:hAnsi="Times New Roman"/>
          <w:b/>
          <w:color w:val="000000"/>
          <w:sz w:val="20"/>
          <w:u w:val="single"/>
        </w:rPr>
        <w:t>Taxes</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4.2.5.1</w:t>
      </w:r>
    </w:p>
    <w:p>
      <w:pPr>
        <w:pStyle w:val="TextBody"/>
        <w:bidi w:val="0"/>
        <w:spacing w:before="0" w:after="240"/>
        <w:jc w:val="left"/>
        <w:rPr/>
      </w:pPr>
      <w:r>
        <w:rPr>
          <w:color w:val="000000"/>
        </w:rPr>
        <w:t>“</w:t>
      </w:r>
      <w:r>
        <w:rPr>
          <w:rFonts w:ascii="Times New Roman" w:hAnsi="Times New Roman"/>
          <w:b/>
          <w:color w:val="000000"/>
          <w:sz w:val="20"/>
        </w:rPr>
        <w:t>Tax Expenses</w:t>
      </w:r>
      <w:r>
        <w:rPr>
          <w:color w:val="000000"/>
        </w:rPr>
        <w:t xml:space="preserve">” </w:t>
      </w:r>
      <w:r>
        <w:rPr>
          <w:rFonts w:ascii="Times New Roman" w:hAnsi="Times New Roman"/>
          <w:color w:val="000000"/>
          <w:sz w:val="20"/>
        </w:rPr>
        <w:t>shall mean all federal, state, county, or local governmental or municipal taxes, fees, charges or other impositions of every kind and nature, whether general, special, ordinary or extraordinary (including, without limitation, real estate taxes, general and special assessments, transit taxes, leasehold taxes or taxes based upon the receipt of rent, including gross receipts or sales taxes applicable to the receipt of rent, unless required to be paid by Tenant, personal property taxes imposed upon the fixtures, machinery, equipment, apparatus, systems and equipment, appurtenances, furniture and other personal property used in connection with the Project, or any portion thereof), which shall be paid or accrued during any Expense Year (without regard to any different fiscal year used by such governmental or municipal authority) because of or in connection with the ownership, leasing and operation of the Project, or any portion thereof.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4.2.5.2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Tax Expenses shall include, without limitation: (i) Any tax on the rent, right to rent or other income from the Project, or any portion thereof, or as against the business of leasing the Project, or any portion thereof; (ii) Any assessment, tax, fee, levy or charge in addition to, or in substitution, partially or totally, of any assessment, tax, fee, levy or charge previously included within the definition of real property tax; (iii) Any assessment, tax, fee, levy, or charge allocable to or measured by the area of the Premises or the Rent payable hereunder, including, without limitation, any business or gross income tax or excise tax with respect to the receipt of such rent, or upon or with respect to the possession, leasing, operating, management, maintenance, alteration, repair, use or occupancy by Tenant of the Premises, or any portion thereof; and (iv) Any assessment, tax, fee, levy or charge, upon this transaction or any document to which Tenant is a party, creating or transferring an interest or an estate in the Premises or the improvements thereon.</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- 20 -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4.2.5.3</w:t>
      </w:r>
    </w:p>
    <w:p>
      <w:pPr>
        <w:pStyle w:val="TextBody"/>
        <w:bidi w:val="0"/>
        <w:spacing w:before="0" w:after="240"/>
        <w:jc w:val="left"/>
        <w:rPr/>
      </w:pPr>
      <w:r>
        <w:rPr>
          <w:rFonts w:ascii="Times New Roman" w:hAnsi="Times New Roman"/>
          <w:color w:val="000000"/>
          <w:sz w:val="20"/>
        </w:rPr>
        <w:t xml:space="preserve">Any costs and expenses (including, without limitation, reasonable attorneys’ and consultants’ fees) incurred in attempting to protest, reduce or minimize Tax Expenses shall be included in Tax Expenses in the Expense Year such expenses are incurred. Tax refunds shall be credited against Tax Expenses and refunded to Tenant regardless of when received, based on the Expense Year to which the refund is applicable, provided that in no event shall the amount to be refunded to Tenant for any such Expense Year exceed the total amount paid by Tenant as Additional Rent under this </w:t>
      </w:r>
      <w:r>
        <w:rPr>
          <w:rFonts w:ascii="Times New Roman" w:hAnsi="Times New Roman"/>
          <w:color w:val="000000"/>
          <w:sz w:val="20"/>
          <w:u w:val="single"/>
        </w:rPr>
        <w:t>Article 4</w:t>
      </w:r>
      <w:r>
        <w:rPr>
          <w:color w:val="000000"/>
        </w:rPr>
        <w:t xml:space="preserve"> </w:t>
      </w:r>
      <w:r>
        <w:rPr>
          <w:rFonts w:ascii="Times New Roman" w:hAnsi="Times New Roman"/>
          <w:color w:val="000000"/>
          <w:sz w:val="20"/>
        </w:rPr>
        <w:t xml:space="preserve">for such Expense Year. If Tax Expenses for any period during the Lease Term or any extension thereof are increased after payment thereof for any reason, including, without limitation, error or reassessment by applicable governmental or municipal authorities, Tenant shall pay Landlord upon demand Tenant’s Share of any such increased Tax Expenses. Notwithstanding anything to the contrary contained in this </w:t>
      </w:r>
      <w:r>
        <w:rPr>
          <w:rFonts w:ascii="Times New Roman" w:hAnsi="Times New Roman"/>
          <w:color w:val="000000"/>
          <w:sz w:val="20"/>
          <w:u w:val="single"/>
        </w:rPr>
        <w:t>Section 4.2.5</w:t>
      </w:r>
      <w:r>
        <w:rPr>
          <w:rFonts w:ascii="Times New Roman" w:hAnsi="Times New Roman"/>
          <w:color w:val="000000"/>
          <w:sz w:val="20"/>
        </w:rPr>
        <w:t xml:space="preserve">, there shall be excluded from Tax Expenses (i) all excess profits taxes, franchise taxes, documentary transfer taxes, gift taxes, capital stock taxes, inheritance and succession taxes, estate taxes, federal and state income taxes, and other taxes to the extent applicable to Landlord’s general or net income (as opposed to rents, receipts or income attributable to operations at the Project), (ii) any items included as Operating Expenses, and (iii) any items paid by Tenant under </w:t>
      </w:r>
      <w:r>
        <w:rPr>
          <w:rFonts w:ascii="Times New Roman" w:hAnsi="Times New Roman"/>
          <w:color w:val="000000"/>
          <w:sz w:val="20"/>
          <w:u w:val="single"/>
        </w:rPr>
        <w:t>Section 4.5</w:t>
      </w:r>
      <w:r>
        <w:rPr>
          <w:color w:val="000000"/>
        </w:rPr>
        <w:t xml:space="preserve"> </w:t>
      </w:r>
      <w:r>
        <w:rPr>
          <w:rFonts w:ascii="Times New Roman" w:hAnsi="Times New Roman"/>
          <w:color w:val="000000"/>
          <w:sz w:val="20"/>
        </w:rPr>
        <w:t>of this Lease.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4.2.6</w:t>
      </w:r>
    </w:p>
    <w:p>
      <w:pPr>
        <w:pStyle w:val="TextBody"/>
        <w:bidi w:val="0"/>
        <w:spacing w:before="0" w:after="240"/>
        <w:jc w:val="left"/>
        <w:rPr/>
      </w:pPr>
      <w:r>
        <w:rPr>
          <w:color w:val="000000"/>
        </w:rPr>
        <w:t>“</w:t>
      </w:r>
      <w:r>
        <w:rPr>
          <w:rFonts w:ascii="Times New Roman" w:hAnsi="Times New Roman"/>
          <w:b/>
          <w:color w:val="000000"/>
          <w:sz w:val="20"/>
        </w:rPr>
        <w:t>Tenant’s Share</w:t>
      </w:r>
      <w:r>
        <w:rPr>
          <w:color w:val="000000"/>
        </w:rPr>
        <w:t xml:space="preserve">” </w:t>
      </w:r>
      <w:r>
        <w:rPr>
          <w:rFonts w:ascii="Times New Roman" w:hAnsi="Times New Roman"/>
          <w:color w:val="000000"/>
          <w:sz w:val="20"/>
        </w:rPr>
        <w:t xml:space="preserve">shall mean the percentage set forth in </w:t>
      </w:r>
      <w:r>
        <w:rPr>
          <w:rFonts w:ascii="Times New Roman" w:hAnsi="Times New Roman"/>
          <w:color w:val="000000"/>
          <w:sz w:val="20"/>
          <w:u w:val="single"/>
        </w:rPr>
        <w:t>Section 6</w:t>
      </w:r>
      <w:r>
        <w:rPr>
          <w:color w:val="000000"/>
        </w:rPr>
        <w:t xml:space="preserve"> </w:t>
      </w:r>
      <w:r>
        <w:rPr>
          <w:rFonts w:ascii="Times New Roman" w:hAnsi="Times New Roman"/>
          <w:color w:val="000000"/>
          <w:sz w:val="20"/>
        </w:rPr>
        <w:t>of the Summary.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4.3</w:t>
      </w:r>
    </w:p>
    <w:p>
      <w:pPr>
        <w:pStyle w:val="TextBody"/>
        <w:bidi w:val="0"/>
        <w:spacing w:before="0" w:after="240"/>
        <w:jc w:val="left"/>
        <w:rPr/>
      </w:pPr>
      <w:r>
        <w:rPr>
          <w:rFonts w:ascii="Times New Roman" w:hAnsi="Times New Roman"/>
          <w:b/>
          <w:color w:val="000000"/>
          <w:sz w:val="20"/>
          <w:u w:val="single"/>
        </w:rPr>
        <w:t>Allocation of Direct Expenses</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4.3.1</w:t>
      </w:r>
    </w:p>
    <w:p>
      <w:pPr>
        <w:pStyle w:val="TextBody"/>
        <w:bidi w:val="0"/>
        <w:spacing w:before="0" w:after="240"/>
        <w:jc w:val="left"/>
        <w:rPr/>
      </w:pPr>
      <w:r>
        <w:rPr>
          <w:rFonts w:ascii="Times New Roman" w:hAnsi="Times New Roman"/>
          <w:b/>
          <w:color w:val="000000"/>
          <w:sz w:val="20"/>
          <w:u w:val="single"/>
        </w:rPr>
        <w:t>Method of Allocation</w:t>
      </w:r>
      <w:r>
        <w:rPr>
          <w:rFonts w:ascii="Times New Roman" w:hAnsi="Times New Roman"/>
          <w:color w:val="000000"/>
          <w:sz w:val="20"/>
        </w:rPr>
        <w:t xml:space="preserve">. The parties acknowledge that the Building is a part of a multi-building project and that the costs and expenses incurred in connection with the Project (i.e., the Direct Expenses) should be shared between the Building and the other buildings in the Project. Accordingly, as set forth in </w:t>
      </w:r>
      <w:r>
        <w:rPr>
          <w:rFonts w:ascii="Times New Roman" w:hAnsi="Times New Roman"/>
          <w:color w:val="000000"/>
          <w:sz w:val="20"/>
          <w:u w:val="single"/>
        </w:rPr>
        <w:t xml:space="preserve">Section 4.2 </w:t>
      </w:r>
      <w:r>
        <w:rPr>
          <w:rFonts w:ascii="Times New Roman" w:hAnsi="Times New Roman"/>
          <w:color w:val="000000"/>
          <w:sz w:val="20"/>
        </w:rPr>
        <w:t>above, Direct Expenses (which consist of Operating Expenses and tax Expenses) are determined annually for the Project as a whole, and a portion of the Direct Expenses, which portion shall be determined by Landlord on an equitable basis, shall be allocated to the Building (as opposed to other buildings in the Project). Such portion of Direct Expenses allocated to the Building shall include all Direct Expenses attributable solely to the Building and an equitable portion of the Direct Expenses attributable to the Project as a whole, and shall not include Direct Expenses attributable solely to other buildings in the Project.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4.3.2</w:t>
      </w:r>
    </w:p>
    <w:p>
      <w:pPr>
        <w:pStyle w:val="TextBody"/>
        <w:bidi w:val="0"/>
        <w:spacing w:before="0" w:after="240"/>
        <w:jc w:val="left"/>
        <w:rPr/>
      </w:pPr>
      <w:r>
        <w:rPr>
          <w:rFonts w:ascii="Times New Roman" w:hAnsi="Times New Roman"/>
          <w:b/>
          <w:color w:val="000000"/>
          <w:sz w:val="20"/>
          <w:u w:val="single"/>
        </w:rPr>
        <w:t>Cost Pools</w:t>
      </w:r>
      <w:r>
        <w:rPr>
          <w:rFonts w:ascii="Times New Roman" w:hAnsi="Times New Roman"/>
          <w:color w:val="000000"/>
          <w:sz w:val="20"/>
        </w:rPr>
        <w:t>. Landlord shall have the right, from time to time, to equitably allocate some or all of the Direct Expenses for the Project among different portions or occupants of the Project (the “</w:t>
      </w:r>
      <w:r>
        <w:rPr>
          <w:rFonts w:ascii="Times New Roman" w:hAnsi="Times New Roman"/>
          <w:b/>
          <w:color w:val="000000"/>
          <w:sz w:val="20"/>
        </w:rPr>
        <w:t>Cost Pools</w:t>
      </w:r>
      <w:r>
        <w:rPr>
          <w:color w:val="000000"/>
        </w:rPr>
        <w:t>”</w:t>
      </w:r>
      <w:r>
        <w:rPr>
          <w:rFonts w:ascii="Times New Roman" w:hAnsi="Times New Roman"/>
          <w:color w:val="000000"/>
          <w:sz w:val="20"/>
        </w:rPr>
        <w:t>), in Landlord’s commercially reasonable discretion. Such Cost Pools may include, but shall not be limited to, the office space tenants of the Building or another building of the Project or of the Project, and the retail space tenants of the Building or another building of the Project or of the Project. The Direct Expenses within each such Cost Pool shall be allocated and charged to the tenants within such Cost Pool in a reasonable and equitable manner.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4.4</w:t>
      </w:r>
    </w:p>
    <w:p>
      <w:pPr>
        <w:pStyle w:val="TextBody"/>
        <w:bidi w:val="0"/>
        <w:spacing w:before="0" w:after="240"/>
        <w:jc w:val="left"/>
        <w:rPr/>
      </w:pPr>
      <w:r>
        <w:rPr>
          <w:rFonts w:ascii="Times New Roman" w:hAnsi="Times New Roman"/>
          <w:b/>
          <w:color w:val="000000"/>
          <w:sz w:val="20"/>
          <w:u w:val="single"/>
        </w:rPr>
        <w:t>Calculation and Payment of Additional Rent</w:t>
      </w:r>
      <w:r>
        <w:rPr>
          <w:rFonts w:ascii="Times New Roman" w:hAnsi="Times New Roman"/>
          <w:color w:val="000000"/>
          <w:sz w:val="20"/>
        </w:rPr>
        <w:t xml:space="preserve">. Tenant shall pay to Landlord, in the manner set forth in </w:t>
      </w:r>
      <w:r>
        <w:rPr>
          <w:rFonts w:ascii="Times New Roman" w:hAnsi="Times New Roman"/>
          <w:color w:val="000000"/>
          <w:sz w:val="20"/>
          <w:u w:val="single"/>
        </w:rPr>
        <w:t>Section 4.4.1</w:t>
      </w:r>
      <w:r>
        <w:rPr>
          <w:rFonts w:ascii="Times New Roman" w:hAnsi="Times New Roman"/>
          <w:color w:val="000000"/>
          <w:sz w:val="20"/>
        </w:rPr>
        <w:t>, below, and as Additional Rent, Tenant’s Share of Direct Expenses for each Expense Year.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4.4.1</w:t>
      </w:r>
    </w:p>
    <w:p>
      <w:pPr>
        <w:pStyle w:val="TextBody"/>
        <w:bidi w:val="0"/>
        <w:spacing w:before="0" w:after="240"/>
        <w:jc w:val="left"/>
        <w:rPr/>
      </w:pPr>
      <w:r>
        <w:rPr>
          <w:rFonts w:ascii="Times New Roman" w:hAnsi="Times New Roman"/>
          <w:b/>
          <w:color w:val="000000"/>
          <w:sz w:val="20"/>
          <w:u w:val="single"/>
        </w:rPr>
        <w:t>Statement of Actual Direct Expenses and Payment by Tenant</w:t>
      </w:r>
      <w:r>
        <w:rPr>
          <w:rFonts w:ascii="Times New Roman" w:hAnsi="Times New Roman"/>
          <w:color w:val="000000"/>
          <w:sz w:val="20"/>
        </w:rPr>
        <w:t xml:space="preserve">. Landlord shall endeavor to give to Tenant within 150 days following the end of each Expense Year, a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- 21 -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statement (the “</w:t>
      </w:r>
      <w:r>
        <w:rPr>
          <w:rFonts w:ascii="Times New Roman" w:hAnsi="Times New Roman"/>
          <w:b/>
          <w:color w:val="000000"/>
          <w:sz w:val="20"/>
        </w:rPr>
        <w:t>Statement</w:t>
      </w:r>
      <w:r>
        <w:rPr>
          <w:rFonts w:ascii="Times New Roman" w:hAnsi="Times New Roman"/>
          <w:color w:val="000000"/>
          <w:sz w:val="20"/>
        </w:rPr>
        <w:t>”) which shall state the Direct Expenses incurred or accrued for such preceding Expense Year, and which shall indicate the amount of Tenant’s Share of Direct Expenses. Upon receipt of the Statement for each Expense Year commencing or ending during the Lease Term, Tenant shall pay, with its next installment of Base Rent due, the full amount of Tenant’s Share of Direct Expenses for such Expense Year, less the amounts, if any, paid during such Expense Year as “</w:t>
      </w:r>
      <w:r>
        <w:rPr>
          <w:rFonts w:ascii="Times New Roman" w:hAnsi="Times New Roman"/>
          <w:b/>
          <w:color w:val="000000"/>
          <w:sz w:val="20"/>
        </w:rPr>
        <w:t>Estimated Direct Expenses</w:t>
      </w:r>
      <w:r>
        <w:rPr>
          <w:rFonts w:ascii="Times New Roman" w:hAnsi="Times New Roman"/>
          <w:color w:val="000000"/>
          <w:sz w:val="20"/>
        </w:rPr>
        <w:t xml:space="preserve">,” as that term is defined in </w:t>
      </w:r>
      <w:r>
        <w:rPr>
          <w:rFonts w:ascii="Times New Roman" w:hAnsi="Times New Roman"/>
          <w:color w:val="000000"/>
          <w:sz w:val="20"/>
          <w:u w:val="single"/>
        </w:rPr>
        <w:t>Section 4.4.2</w:t>
      </w:r>
      <w:r>
        <w:rPr>
          <w:rFonts w:ascii="Times New Roman" w:hAnsi="Times New Roman"/>
          <w:color w:val="000000"/>
          <w:sz w:val="20"/>
        </w:rPr>
        <w:t xml:space="preserve">, below, and if Tenant paid more as Estimated Direct Expenses than the actual Tenant’s Share of Direct Expenses, Tenant shall receive a credit in the amount of Tenant’s overpayment against Rent next due under this Lease. The failure of Landlord to timely furnish the Statement for any Expense Year shall not prejudice Landlord or Tenant from enforcing its rights under this </w:t>
      </w:r>
      <w:r>
        <w:rPr>
          <w:rFonts w:ascii="Times New Roman" w:hAnsi="Times New Roman"/>
          <w:color w:val="000000"/>
          <w:sz w:val="20"/>
          <w:u w:val="single"/>
        </w:rPr>
        <w:t>Article 4</w:t>
      </w:r>
      <w:r>
        <w:rPr>
          <w:rFonts w:ascii="Times New Roman" w:hAnsi="Times New Roman"/>
          <w:color w:val="000000"/>
          <w:sz w:val="20"/>
        </w:rPr>
        <w:t xml:space="preserve">. Even though the Lease Term has expired and Tenant has vacated the Premises, when the final determination is made of Tenant’s Share of Direct Expenses for the Expense Year in which this Lease terminates, Tenant shall immediately pay to Landlord such amount, and if Tenant paid more as Estimated Direct Expenses than the actual Tenant’s Share of Direct Expenses, Landlord shall, within thirty (30) days, deliver a check payable to Tenant in the amount of the overpayment. The provisions of this </w:t>
      </w:r>
      <w:r>
        <w:rPr>
          <w:rFonts w:ascii="Times New Roman" w:hAnsi="Times New Roman"/>
          <w:color w:val="000000"/>
          <w:sz w:val="20"/>
          <w:u w:val="single"/>
        </w:rPr>
        <w:t>Section 4.4.1</w:t>
      </w:r>
      <w:r>
        <w:rPr>
          <w:rFonts w:ascii="Times New Roman" w:hAnsi="Times New Roman"/>
          <w:color w:val="000000"/>
          <w:sz w:val="20"/>
        </w:rPr>
        <w:t xml:space="preserve"> shall survive the expiration or earlier termination of the Lease Term. Notwithstanding the immediately preceding sentence, Tenant shall not be responsible for Tenant’s Share of any Direct Expenses attributable to any Expense Year which are first billed to Tenant more than two (2) calendar years after the Lease Expiration Date.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4.4.2</w:t>
      </w:r>
    </w:p>
    <w:p>
      <w:pPr>
        <w:pStyle w:val="TextBody"/>
        <w:bidi w:val="0"/>
        <w:spacing w:before="0" w:after="240"/>
        <w:jc w:val="left"/>
        <w:rPr/>
      </w:pPr>
      <w:r>
        <w:rPr>
          <w:rFonts w:ascii="Times New Roman" w:hAnsi="Times New Roman"/>
          <w:b/>
          <w:color w:val="000000"/>
          <w:sz w:val="20"/>
          <w:u w:val="single"/>
        </w:rPr>
        <w:t>Statement of Estimated Direct Expenses</w:t>
      </w:r>
      <w:r>
        <w:rPr>
          <w:rFonts w:ascii="Times New Roman" w:hAnsi="Times New Roman"/>
          <w:color w:val="000000"/>
          <w:sz w:val="20"/>
        </w:rPr>
        <w:t>. In addition, Landlord shall endeavor to give Tenant a yearly expense estimate statement (the “</w:t>
      </w:r>
      <w:r>
        <w:rPr>
          <w:rFonts w:ascii="Times New Roman" w:hAnsi="Times New Roman"/>
          <w:b/>
          <w:color w:val="000000"/>
          <w:sz w:val="20"/>
        </w:rPr>
        <w:t>Estimate Statement</w:t>
      </w:r>
      <w:r>
        <w:rPr>
          <w:color w:val="000000"/>
        </w:rPr>
        <w:t>”</w:t>
      </w:r>
      <w:r>
        <w:rPr>
          <w:rFonts w:ascii="Times New Roman" w:hAnsi="Times New Roman"/>
          <w:color w:val="000000"/>
          <w:sz w:val="20"/>
        </w:rPr>
        <w:t>) which shall set forth Landlord’s reasonable estimate (the “</w:t>
      </w:r>
      <w:r>
        <w:rPr>
          <w:rFonts w:ascii="Times New Roman" w:hAnsi="Times New Roman"/>
          <w:b/>
          <w:color w:val="000000"/>
          <w:sz w:val="20"/>
        </w:rPr>
        <w:t>Estimate</w:t>
      </w:r>
      <w:r>
        <w:rPr>
          <w:color w:val="000000"/>
        </w:rPr>
        <w:t>”</w:t>
      </w:r>
      <w:r>
        <w:rPr>
          <w:rFonts w:ascii="Times New Roman" w:hAnsi="Times New Roman"/>
          <w:color w:val="000000"/>
          <w:sz w:val="20"/>
        </w:rPr>
        <w:t>) of what the total amount of Direct Expenses for the then-current Expense Year shall be and the estimated Tenant’s Share of Direct Expenses (the “</w:t>
      </w:r>
      <w:r>
        <w:rPr>
          <w:rFonts w:ascii="Times New Roman" w:hAnsi="Times New Roman"/>
          <w:b/>
          <w:color w:val="000000"/>
          <w:sz w:val="20"/>
        </w:rPr>
        <w:t>Estimated Direct Expenses</w:t>
      </w:r>
      <w:r>
        <w:rPr>
          <w:color w:val="000000"/>
        </w:rPr>
        <w:t>”</w:t>
      </w:r>
      <w:r>
        <w:rPr>
          <w:rFonts w:ascii="Times New Roman" w:hAnsi="Times New Roman"/>
          <w:color w:val="000000"/>
          <w:sz w:val="20"/>
        </w:rPr>
        <w:t xml:space="preserve">). The failure of Landlord to timely furnish the Estimate Statement for any Expense Year shall not preclude Landlord from enforcing its rights to collect any Estimated Direct Expenses under this </w:t>
      </w:r>
      <w:r>
        <w:rPr>
          <w:rFonts w:ascii="Times New Roman" w:hAnsi="Times New Roman"/>
          <w:color w:val="000000"/>
          <w:sz w:val="20"/>
          <w:u w:val="single"/>
        </w:rPr>
        <w:t>Article 4</w:t>
      </w:r>
      <w:r>
        <w:rPr>
          <w:rFonts w:ascii="Times New Roman" w:hAnsi="Times New Roman"/>
          <w:color w:val="000000"/>
          <w:sz w:val="20"/>
        </w:rPr>
        <w:t xml:space="preserve">, nor shall Landlord be prohibited from revising any Estimate Statement or Estimated Direct Expenses theretofore delivered to the extent necessary. Thereafter, Tenant shall pay, with its next installment of Base Rent due (provided Tenant has received at least thirty (30) days’ notice of the Estimated Direct Expenses), a fraction of the Estimated Direct Expenses for the then-current Expense Year (reduced by any amounts paid pursuant to the last sentence of this </w:t>
      </w:r>
      <w:r>
        <w:rPr>
          <w:rFonts w:ascii="Times New Roman" w:hAnsi="Times New Roman"/>
          <w:color w:val="000000"/>
          <w:sz w:val="20"/>
          <w:u w:val="single"/>
        </w:rPr>
        <w:t>Section 4.4.2</w:t>
      </w:r>
      <w:r>
        <w:rPr>
          <w:rFonts w:ascii="Times New Roman" w:hAnsi="Times New Roman"/>
          <w:color w:val="000000"/>
          <w:sz w:val="20"/>
        </w:rPr>
        <w:t>). Such fraction shall have as its numerator the number of months which have elapsed in such current Expense Year, including the month of such payment, and twelve (12) as its denominator. Until a new Estimate Statement is furnished (which Landlord shall have the right to deliver to Tenant at any time, provided no more than twice in any Lease Year), Tenant shall pay monthly, with the monthly Base Rent installments, an amount equal to one-twelfth (1/12) of the total Estimated Direct Expenses set forth in the previous Estimate Statement delivered by Landlord to Tenant.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4.5</w:t>
      </w:r>
    </w:p>
    <w:p>
      <w:pPr>
        <w:pStyle w:val="TextBody"/>
        <w:bidi w:val="0"/>
        <w:spacing w:before="0" w:after="240"/>
        <w:jc w:val="left"/>
        <w:rPr/>
      </w:pPr>
      <w:r>
        <w:rPr>
          <w:rFonts w:ascii="Times New Roman" w:hAnsi="Times New Roman"/>
          <w:b/>
          <w:color w:val="000000"/>
          <w:sz w:val="20"/>
          <w:u w:val="single"/>
        </w:rPr>
        <w:t>Taxes and Other Charges for Which Tenant Is Directly Responsible</w:t>
      </w:r>
      <w:r>
        <w:rPr>
          <w:rFonts w:ascii="Times New Roman" w:hAnsi="Times New Roman"/>
          <w:color w:val="000000"/>
          <w:sz w:val="20"/>
        </w:rPr>
        <w:t>. Tenant shall be liable for and shall pay ten (10) days before delinquency, taxes levied against Tenant’s equipment, furniture, fixtures and any other personal property located in or about the Premises. If any such taxes on Tenant’s equipment, furniture, fixtures and any other personal property are levied against Landlord or Landlord’s property or if the assessed value of Landlord’s property is increased by the inclusion therein of a value placed upon such equipment, furniture, fixtures or any other personal property and if Landlord pays the taxes based upon such increased assessment, which Landlord shall have the right to do regardless of the validity thereof but only under proper protest if requested by Tenant, Tenant shall upon demand repay to Landlord the taxes so levied against Landlord or the proportion of such taxes resulting from such increase in the assessment, as the case may be.</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- 22 -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4.6</w:t>
      </w:r>
    </w:p>
    <w:p>
      <w:pPr>
        <w:pStyle w:val="TextBody"/>
        <w:bidi w:val="0"/>
        <w:spacing w:before="0" w:after="240"/>
        <w:jc w:val="left"/>
        <w:rPr/>
      </w:pPr>
      <w:r>
        <w:rPr>
          <w:rFonts w:ascii="Times New Roman" w:hAnsi="Times New Roman"/>
          <w:b/>
          <w:color w:val="000000"/>
          <w:sz w:val="20"/>
          <w:u w:val="single"/>
        </w:rPr>
        <w:t>Landlord’s Books and Records</w:t>
      </w:r>
      <w:r>
        <w:rPr>
          <w:rFonts w:ascii="Times New Roman" w:hAnsi="Times New Roman"/>
          <w:color w:val="000000"/>
          <w:sz w:val="20"/>
        </w:rPr>
        <w:t>. Upon Tenant’s written request given not more than six (6) months after Tenant’s receipt of a Statement for a particular Expense Year, and provided that Tenant is not then in default under this Lease beyond the applicable notice and cure period provided in this Lease, specifically including, but not limited to, a default beyond the applicable notice and cure period provided in this Lease with respect to the timely payment of Additional Rent (whether or not the same is the subject of the audit contemplated herein), Landlord shall furnish Tenant with such reasonable supporting documentation in connection with said Direct Expenses as Tenant may reasonably request. Landlord shall provide said documentation to Tenant within sixty (60) days after Tenant’s written request therefor. Within sixty (60) days after receipt of said documentation from Landlord (the “</w:t>
      </w:r>
      <w:r>
        <w:rPr>
          <w:rFonts w:ascii="Times New Roman" w:hAnsi="Times New Roman"/>
          <w:b/>
          <w:color w:val="000000"/>
          <w:sz w:val="20"/>
        </w:rPr>
        <w:t>Audit Period</w:t>
      </w:r>
      <w:r>
        <w:rPr>
          <w:color w:val="000000"/>
        </w:rPr>
        <w:t>”</w:t>
      </w:r>
      <w:r>
        <w:rPr>
          <w:rFonts w:ascii="Times New Roman" w:hAnsi="Times New Roman"/>
          <w:color w:val="000000"/>
          <w:sz w:val="20"/>
        </w:rPr>
        <w:t>), if Tenant disputes the amount of Direct Expenses set forth in the Statement, an independent certified public accountant (which accountant (A) is a member of a nationally or regionally recognized certified public accounting firm which has previous experience in auditing financial operating records of landlords of office buildings, (B) is not working on a contingency fee basis [i.e., Tenant must be billed based on the actual time and materials that are incurred by the certified public accounting firm in the performance of the audit], and (C) shall not currently be providing or provide in the future accounting and/or lease administration services to another tenant in the Building and/or the Project in connection with a review or audit by such other tenant of the expense records being audited by Tenant), designated and paid for by Tenant, may, after reasonable notice to Landlord and at reasonable times, audit Landlord’s records with respect to the Statement at Landlord’s corporate offices, provided that (</w:t>
      </w:r>
      <w:r>
        <w:rPr>
          <w:rFonts w:ascii="Times New Roman" w:hAnsi="Times New Roman"/>
          <w:i/>
          <w:color w:val="000000"/>
          <w:sz w:val="20"/>
        </w:rPr>
        <w:t>i</w:t>
      </w:r>
      <w:r>
        <w:rPr>
          <w:rFonts w:ascii="Times New Roman" w:hAnsi="Times New Roman"/>
          <w:color w:val="000000"/>
          <w:sz w:val="20"/>
        </w:rPr>
        <w:t>) Tenant is not then in default under this Lease (beyond the applicable notice and cure periods provided under this Lease), (</w:t>
      </w:r>
      <w:r>
        <w:rPr>
          <w:rFonts w:ascii="Times New Roman" w:hAnsi="Times New Roman"/>
          <w:i/>
          <w:color w:val="000000"/>
          <w:sz w:val="20"/>
        </w:rPr>
        <w:t>ii</w:t>
      </w:r>
      <w:r>
        <w:rPr>
          <w:rFonts w:ascii="Times New Roman" w:hAnsi="Times New Roman"/>
          <w:color w:val="000000"/>
          <w:sz w:val="20"/>
        </w:rPr>
        <w:t>) Tenant has paid all amounts required to be paid under the applicable Estimate Statement and Statement, and (</w:t>
      </w:r>
      <w:r>
        <w:rPr>
          <w:rFonts w:ascii="Times New Roman" w:hAnsi="Times New Roman"/>
          <w:i/>
          <w:color w:val="000000"/>
          <w:sz w:val="20"/>
        </w:rPr>
        <w:t>iii</w:t>
      </w:r>
      <w:r>
        <w:rPr>
          <w:rFonts w:ascii="Times New Roman" w:hAnsi="Times New Roman"/>
          <w:color w:val="000000"/>
          <w:sz w:val="20"/>
        </w:rPr>
        <w:t>) a copy of the audit agreement between Tenant and its particular certified public accounting firm has been delivered to Landlord prior to the commencement of the audit. In connection with such audit, Tenant and Tenant’s certified public accounting firm must agree in advance to follow Landlord’s reasonable rules and procedures regarding an audit of the aforementioned Landlord records, and shall execute a commercially reasonable confidentiality agreement regarding such audit. Any audit report prepared by Tenant’s certified public accounting firm shall be delivered concurrently to Landlord and Tenant within the Audit Period. Tenant’s failure to audit the amount of Direct Expenses set forth in any Statement within the Audit Period shall be deemed to be Tenant’s approval of such Statement and Tenant, thereafter, waives the right or ability to audit the amounts set forth in such Statement. If after such audit, Tenant still disputes such Direct Expenses, an audit to determine the proper amount shall be made, at Tenant’s expense, by an independent certified public accountant (the “</w:t>
      </w:r>
      <w:r>
        <w:rPr>
          <w:rFonts w:ascii="Times New Roman" w:hAnsi="Times New Roman"/>
          <w:b/>
          <w:color w:val="000000"/>
          <w:sz w:val="20"/>
        </w:rPr>
        <w:t>Accountant</w:t>
      </w:r>
      <w:r>
        <w:rPr>
          <w:color w:val="000000"/>
        </w:rPr>
        <w:t>”</w:t>
      </w:r>
      <w:r>
        <w:rPr>
          <w:rFonts w:ascii="Times New Roman" w:hAnsi="Times New Roman"/>
          <w:color w:val="000000"/>
          <w:sz w:val="20"/>
        </w:rPr>
        <w:t xml:space="preserve">) selected by Landlord and subject to Tenant’s reasonable approval; provided that if such audit by the Accountant proves that Direct Expenses set forth in the particular Statement were overstated by more than five percent (5%), then the cost of the Accountant, the cost of Tenant’s accounting, and the cost of such audit (and the actual and reasonable out-of-pocket cost of Tenant’s audit and auditor, not to exceed $10,000.00) shall be paid for by Landlord. Tenant hereby acknowledges that Tenant’s sole right to audit Landlord’s records and to contest the amount of Direct Expenses payable by Tenant shall be as set forth in this </w:t>
      </w:r>
      <w:r>
        <w:rPr>
          <w:rFonts w:ascii="Times New Roman" w:hAnsi="Times New Roman"/>
          <w:color w:val="000000"/>
          <w:sz w:val="20"/>
          <w:u w:val="single"/>
        </w:rPr>
        <w:t>Section 4.6</w:t>
      </w:r>
      <w:r>
        <w:rPr>
          <w:rFonts w:ascii="Times New Roman" w:hAnsi="Times New Roman"/>
          <w:color w:val="000000"/>
          <w:sz w:val="20"/>
        </w:rPr>
        <w:t>, and Tenant hereby waives any and all other rights pursuant to applicable law to audit such records and/or to contest the amount of Direct Expenses payable by Tenant.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- 23 -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left"/>
        <w:rPr/>
      </w:pPr>
      <w:r>
        <w:rPr>
          <w:rFonts w:ascii="Times New Roman" w:hAnsi="Times New Roman"/>
          <w:b/>
          <w:color w:val="000000"/>
          <w:sz w:val="20"/>
        </w:rPr>
        <w:t>USE OF PREMISES</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5.1</w:t>
      </w:r>
    </w:p>
    <w:p>
      <w:pPr>
        <w:pStyle w:val="TextBody"/>
        <w:bidi w:val="0"/>
        <w:spacing w:before="0" w:after="240"/>
        <w:jc w:val="left"/>
        <w:rPr/>
      </w:pPr>
      <w:r>
        <w:rPr>
          <w:rFonts w:ascii="Times New Roman" w:hAnsi="Times New Roman"/>
          <w:b/>
          <w:color w:val="000000"/>
          <w:sz w:val="20"/>
          <w:u w:val="single"/>
        </w:rPr>
        <w:t>Permitted Use</w:t>
      </w:r>
      <w:r>
        <w:rPr>
          <w:rFonts w:ascii="Times New Roman" w:hAnsi="Times New Roman"/>
          <w:color w:val="000000"/>
          <w:sz w:val="20"/>
        </w:rPr>
        <w:t xml:space="preserve">. Tenant shall use the Premises solely for the Permitted Use set forth in </w:t>
      </w:r>
      <w:r>
        <w:rPr>
          <w:rFonts w:ascii="Times New Roman" w:hAnsi="Times New Roman"/>
          <w:color w:val="000000"/>
          <w:sz w:val="20"/>
          <w:u w:val="single"/>
        </w:rPr>
        <w:t>Section 7</w:t>
      </w:r>
      <w:r>
        <w:rPr>
          <w:color w:val="000000"/>
        </w:rPr>
        <w:t xml:space="preserve"> </w:t>
      </w:r>
      <w:r>
        <w:rPr>
          <w:rFonts w:ascii="Times New Roman" w:hAnsi="Times New Roman"/>
          <w:color w:val="000000"/>
          <w:sz w:val="20"/>
        </w:rPr>
        <w:t>of the Summary and Tenant shall not use or permit the Premises or the Project to be used for any other purpose or purposes whatsoever without the prior written consent of Landlord, which may be withheld in Landlord’s sole discretion.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5.2</w:t>
      </w:r>
    </w:p>
    <w:p>
      <w:pPr>
        <w:pStyle w:val="TextBody"/>
        <w:bidi w:val="0"/>
        <w:spacing w:before="0" w:after="240"/>
        <w:jc w:val="left"/>
        <w:rPr/>
      </w:pPr>
      <w:r>
        <w:rPr>
          <w:rFonts w:ascii="Times New Roman" w:hAnsi="Times New Roman"/>
          <w:b/>
          <w:color w:val="000000"/>
          <w:sz w:val="20"/>
          <w:u w:val="single"/>
        </w:rPr>
        <w:t>Prohibited Uses</w:t>
      </w:r>
      <w:r>
        <w:rPr>
          <w:rFonts w:ascii="Times New Roman" w:hAnsi="Times New Roman"/>
          <w:color w:val="000000"/>
          <w:sz w:val="20"/>
        </w:rPr>
        <w:t xml:space="preserve">. Tenant further covenants and agrees that Tenant shall not use, or suffer or permit any person or persons to use, the Premises or any part thereof for any use or purpose contrary to the provisions of the Rules and Regulations set forth in </w:t>
      </w:r>
      <w:r>
        <w:rPr>
          <w:rFonts w:ascii="Times New Roman" w:hAnsi="Times New Roman"/>
          <w:b/>
          <w:color w:val="000000"/>
          <w:sz w:val="20"/>
          <w:u w:val="single"/>
        </w:rPr>
        <w:t>Exhibit D</w:t>
      </w:r>
      <w:r>
        <w:rPr>
          <w:rFonts w:ascii="Times New Roman" w:hAnsi="Times New Roman"/>
          <w:color w:val="000000"/>
          <w:sz w:val="20"/>
        </w:rPr>
        <w:t xml:space="preserve">, attached hereto, or any Underlying Documents, and Tenant shall comply with, and Tenant’s rights and obligations under this Lease and Tenant’s use of the Premises shall be subject and subordinate to, all recorded easements, covenants, conditions, and restrictions now or hereafter affecting the Project; provided, however, that in no event shall any Underlying Documents interfere with or adversely affect, other than in a non-material manner, Tenant’s use of the Premises for the Permitted Use (or, subject to the terms of </w:t>
      </w:r>
      <w:r>
        <w:rPr>
          <w:rFonts w:ascii="Times New Roman" w:hAnsi="Times New Roman"/>
          <w:color w:val="000000"/>
          <w:sz w:val="20"/>
          <w:u w:val="single"/>
        </w:rPr>
        <w:t>Section 1.1.3</w:t>
      </w:r>
      <w:r>
        <w:rPr>
          <w:rFonts w:ascii="Times New Roman" w:hAnsi="Times New Roman"/>
          <w:color w:val="000000"/>
          <w:sz w:val="20"/>
        </w:rPr>
        <w:t>, above, access to or from the Premises or parking for the Premises or any of Tenant’s rights under this Lease). In addition, Tenant further covenants and agrees that Tenant shall not use, or suffer or permit any person or persons to use, the Premises or any part thereof for any use or purpose in violation of the laws of the United States of America, the State of California, the ordinances, regulations or requirements of the local municipal or county governing body or other lawful authorities having jurisdiction over the Project, including, without limitation, any such laws, ordinances, regulations or requirements relating to hazardous materials or substances, as those terms are defined by Applicable Laws now or hereafter in effect. Tenant shall not do or permit anything to be done in or about the Premises which will in any way materially obstruct or interfere with the rights of other tenants or occupants of the Project, or injure or annoy them or use or allow the Premises to be used for any unlawful purpose, nor shall Tenant cause, maintain or permit any nuisance in, on or about the Premises.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5.3</w:t>
      </w:r>
    </w:p>
    <w:p>
      <w:pPr>
        <w:pStyle w:val="TextBody"/>
        <w:bidi w:val="0"/>
        <w:spacing w:before="0" w:after="240"/>
        <w:jc w:val="left"/>
        <w:rPr/>
      </w:pPr>
      <w:r>
        <w:rPr>
          <w:rFonts w:ascii="Times New Roman" w:hAnsi="Times New Roman"/>
          <w:b/>
          <w:color w:val="000000"/>
          <w:sz w:val="20"/>
          <w:u w:val="single"/>
        </w:rPr>
        <w:t>Hazardous Materials</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5.3.1</w:t>
      </w:r>
    </w:p>
    <w:p>
      <w:pPr>
        <w:pStyle w:val="TextBody"/>
        <w:bidi w:val="0"/>
        <w:spacing w:before="0" w:after="240"/>
        <w:jc w:val="left"/>
        <w:rPr/>
      </w:pPr>
      <w:r>
        <w:rPr>
          <w:rFonts w:ascii="Times New Roman" w:hAnsi="Times New Roman"/>
          <w:b/>
          <w:color w:val="000000"/>
          <w:sz w:val="20"/>
          <w:u w:val="single"/>
        </w:rPr>
        <w:t>Tenant’s Obligations</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5.3.1.1</w:t>
      </w:r>
    </w:p>
    <w:p>
      <w:pPr>
        <w:pStyle w:val="TextBody"/>
        <w:bidi w:val="0"/>
        <w:spacing w:before="0" w:after="240"/>
        <w:jc w:val="left"/>
        <w:rPr/>
      </w:pPr>
      <w:r>
        <w:rPr>
          <w:rFonts w:ascii="Times New Roman" w:hAnsi="Times New Roman"/>
          <w:color w:val="000000"/>
          <w:sz w:val="20"/>
        </w:rPr>
        <w:t>Prohibitions. As a material inducement to Landlord to enter into this Lease with Tenant, Tenant has fully and accurately completed Landlord’s Pre-Leasing Environmental Exposure Questionnaire (the “</w:t>
      </w:r>
      <w:r>
        <w:rPr>
          <w:rFonts w:ascii="Times New Roman" w:hAnsi="Times New Roman"/>
          <w:b/>
          <w:color w:val="000000"/>
          <w:sz w:val="20"/>
        </w:rPr>
        <w:t>Environmental Questionnaire</w:t>
      </w:r>
      <w:r>
        <w:rPr>
          <w:color w:val="000000"/>
        </w:rPr>
        <w:t>”</w:t>
      </w:r>
      <w:r>
        <w:rPr>
          <w:rFonts w:ascii="Times New Roman" w:hAnsi="Times New Roman"/>
          <w:color w:val="000000"/>
          <w:sz w:val="20"/>
        </w:rPr>
        <w:t>), which is attached as Exhibit F. Tenant agrees that except for those chemicals or materials, and their respective quantities, specifically listed on the Environmental Questionnaire, neither Tenant nor Tenant’s employees, contractors and subcontractors of any tier, entities with a contractual relationship with Tenant (other than Landlord), or any entity acting as an agent or sub-agent of Tenant (collectively, “</w:t>
      </w:r>
      <w:r>
        <w:rPr>
          <w:rFonts w:ascii="Times New Roman" w:hAnsi="Times New Roman"/>
          <w:b/>
          <w:color w:val="000000"/>
          <w:sz w:val="20"/>
        </w:rPr>
        <w:t>Tenant’s Agents</w:t>
      </w:r>
      <w:r>
        <w:rPr>
          <w:color w:val="000000"/>
        </w:rPr>
        <w:t>”</w:t>
      </w:r>
      <w:r>
        <w:rPr>
          <w:rFonts w:ascii="Times New Roman" w:hAnsi="Times New Roman"/>
          <w:color w:val="000000"/>
          <w:sz w:val="20"/>
        </w:rPr>
        <w:t>) will produce, use, store or generate any “Hazardous Materials,” as that term is defined below, on, under or about the Premises, nor cause or permit any Hazardous Material to be brought upon, placed, stored, manufactured, generated, blended, handled, recycled, used or “Released,” as that term is defined below, on, in, under or about the Premises. If any information provided to Landlord by Tenant on the Environmental Questionnaire, or otherwise relating to information concerning Hazardous Materials is false, incomplete, or misleading in any material respect, the same shall be deemed a default by Tenant under this Lease. Tenant shall deliver to Landlord an updated Environmental Questionnaire at least once a year. Landlord’s prior written</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- 24 -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consent shall be required to any Hazardous Materials use for the Premises not described on the initial Environmental Questionnaire, such consent to be withheld in Landlord’s sole discretion. Tenant shall not install or permit any underground storage tank on the Premises. For purposes of this Lease, “</w:t>
      </w:r>
      <w:r>
        <w:rPr>
          <w:rFonts w:ascii="Times New Roman" w:hAnsi="Times New Roman"/>
          <w:b/>
          <w:color w:val="000000"/>
          <w:sz w:val="20"/>
        </w:rPr>
        <w:t>Hazardous Materials</w:t>
      </w:r>
      <w:r>
        <w:rPr>
          <w:rFonts w:ascii="Times New Roman" w:hAnsi="Times New Roman"/>
          <w:color w:val="000000"/>
          <w:sz w:val="20"/>
        </w:rPr>
        <w:t>” means all flammable explosives, petroleum and petroleum products, waste oil, radon, radioactive materials, toxic pollutants, asbestos, polychlorinated biphenyls (“</w:t>
      </w:r>
      <w:r>
        <w:rPr>
          <w:rFonts w:ascii="Times New Roman" w:hAnsi="Times New Roman"/>
          <w:b/>
          <w:color w:val="000000"/>
          <w:sz w:val="20"/>
        </w:rPr>
        <w:t>PCBs</w:t>
      </w:r>
      <w:r>
        <w:rPr>
          <w:rFonts w:ascii="Times New Roman" w:hAnsi="Times New Roman"/>
          <w:color w:val="000000"/>
          <w:sz w:val="20"/>
        </w:rPr>
        <w:t>”), medical waste, chemicals known to cause cancer or reproductive toxicity, pollutants, contaminants, hazardous wastes, toxic substances or related materials, including without limitation any chemical, element, compound, mixture, solution, substance, object, waste or any combination thereof, which is or may be hazardous to human health, safety or to the environment due to its radioactivity, ignitability, corrosiveness, reactivity, explosiveness, toxicity, carcinogenicity, infectiousness or other harmful or potentially harmful properties or effects, or defined as, regulated as or included in, the definition of “hazardous substances,” “hazardous wastes,” “hazardous materials,” or “toxic substances” under any Environmental Laws. The term “Hazardous Materials” for purposes of this Lease shall also include any mold, fungus or spores, whether or not the same is defined, listed, or otherwise classified as a “hazardous material” under any Environmental Laws, if such mold, fungus or spores may pose a risk to human health or the environment or negatively impact the value of the Premises. For purposes of this Lease, “</w:t>
      </w:r>
      <w:r>
        <w:rPr>
          <w:rFonts w:ascii="Times New Roman" w:hAnsi="Times New Roman"/>
          <w:b/>
          <w:color w:val="000000"/>
          <w:sz w:val="20"/>
        </w:rPr>
        <w:t>Release</w:t>
      </w:r>
      <w:r>
        <w:rPr>
          <w:rFonts w:ascii="Times New Roman" w:hAnsi="Times New Roman"/>
          <w:color w:val="000000"/>
          <w:sz w:val="20"/>
        </w:rPr>
        <w:t>” or “</w:t>
      </w:r>
      <w:r>
        <w:rPr>
          <w:rFonts w:ascii="Times New Roman" w:hAnsi="Times New Roman"/>
          <w:b/>
          <w:color w:val="000000"/>
          <w:sz w:val="20"/>
        </w:rPr>
        <w:t>Released</w:t>
      </w:r>
      <w:r>
        <w:rPr>
          <w:rFonts w:ascii="Times New Roman" w:hAnsi="Times New Roman"/>
          <w:color w:val="000000"/>
          <w:sz w:val="20"/>
        </w:rPr>
        <w:t>” or “</w:t>
      </w:r>
      <w:r>
        <w:rPr>
          <w:rFonts w:ascii="Times New Roman" w:hAnsi="Times New Roman"/>
          <w:b/>
          <w:color w:val="000000"/>
          <w:sz w:val="20"/>
        </w:rPr>
        <w:t>Releases</w:t>
      </w:r>
      <w:r>
        <w:rPr>
          <w:rFonts w:ascii="Times New Roman" w:hAnsi="Times New Roman"/>
          <w:color w:val="000000"/>
          <w:sz w:val="20"/>
        </w:rPr>
        <w:t>” shall mean any release, deposit, discharge, emission, leaking, spilling, seeping, migrating, injecting, pumping, pouring, emptying, escaping, dumping, disposing, or other movement of Hazardous Materials into the environment.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5.3.1.2</w:t>
      </w:r>
    </w:p>
    <w:p>
      <w:pPr>
        <w:pStyle w:val="TextBody"/>
        <w:bidi w:val="0"/>
        <w:spacing w:before="0" w:after="240"/>
        <w:jc w:val="left"/>
        <w:rPr/>
      </w:pPr>
      <w:r>
        <w:rPr>
          <w:rFonts w:ascii="Times New Roman" w:hAnsi="Times New Roman"/>
          <w:b/>
          <w:color w:val="000000"/>
          <w:sz w:val="20"/>
          <w:u w:val="single"/>
        </w:rPr>
        <w:t>Notices to Landlord</w:t>
      </w:r>
      <w:r>
        <w:rPr>
          <w:rFonts w:ascii="Times New Roman" w:hAnsi="Times New Roman"/>
          <w:color w:val="000000"/>
          <w:sz w:val="20"/>
        </w:rPr>
        <w:t>. Tenant shall notify Landlord in writing as soon as possible but in no event later than five (5) days after (i) Tenant becomes aware of the occurrence of any actual, alleged or threatened Release of any Hazardous Material in, on, under, from, about or in the vicinity of the Premises (whether past or present), regardless of the source or quantity of any such Release, or (ii) Tenant becomes aware of any regulatory actions, inquiries, inspections, investigations, directives, or any cleanup, compliance, enforcement or abatement proceedings (including any threatened or contemplated investigations or proceedings) relating to or potentially affecting the Premises, or (iii) Tenant becomes aware of any claims by any person or entity relating to any Hazardous Materials in, on, under, from, about or in the vicinity of the Premises, whether relating to damage, contribution, cost recovery, compensation, loss or injury. Collectively, the matters set forth in clauses (i), (ii) and (iii) above are hereinafter referred to as “</w:t>
      </w:r>
      <w:r>
        <w:rPr>
          <w:rFonts w:ascii="Times New Roman" w:hAnsi="Times New Roman"/>
          <w:b/>
          <w:color w:val="000000"/>
          <w:sz w:val="20"/>
        </w:rPr>
        <w:t>Hazardous Materials Claims</w:t>
      </w:r>
      <w:r>
        <w:rPr>
          <w:color w:val="000000"/>
        </w:rPr>
        <w:t>”</w:t>
      </w:r>
      <w:r>
        <w:rPr>
          <w:rFonts w:ascii="Times New Roman" w:hAnsi="Times New Roman"/>
          <w:color w:val="000000"/>
          <w:sz w:val="20"/>
        </w:rPr>
        <w:t>. Tenant shall promptly forward to Landlord copies of all orders, notices, permits, applications and other communications and reports in connection with any Hazardous Materials Claims. Additionally, Tenant shall promptly advise Landlord in writing of Tenant’s discovery of any occurrence or condition on, in, under or about the Premises that could subject Tenant or Landlord to any liability, or restrictions on ownership, occupancy, transferability or use of the Premises under any “Environmental Laws,” as that term is defined below. Tenant shall not enter into any legal proceeding or other action, settlement, consent decree or other compromise with respect to any Hazardous Materials Claims without first notifying Landlord of Tenant’s intention to do so and affording Landlord the opportunity to join and participate, as a party if Landlord so elects, in such proceedings and in no event shall Tenant enter into any agreements which are binding on Landlord or the Premises without Landlord’s prior written consent. Landlord shall have the right to appear at and participate in, any and all legal or other administrative proceedings concerning any Hazardous Materials Claim. For purposes of this Lease, “</w:t>
      </w:r>
      <w:r>
        <w:rPr>
          <w:rFonts w:ascii="Times New Roman" w:hAnsi="Times New Roman"/>
          <w:b/>
          <w:color w:val="000000"/>
          <w:sz w:val="20"/>
        </w:rPr>
        <w:t>Environmental Laws</w:t>
      </w:r>
      <w:r>
        <w:rPr>
          <w:color w:val="000000"/>
        </w:rPr>
        <w:t xml:space="preserve">” </w:t>
      </w:r>
      <w:r>
        <w:rPr>
          <w:rFonts w:ascii="Times New Roman" w:hAnsi="Times New Roman"/>
          <w:color w:val="000000"/>
          <w:sz w:val="20"/>
        </w:rPr>
        <w:t>means all applicable present and future laws relating to the protection of human health, safety, wildlife or the environment, including, without limitation, (i)</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- 25 -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all requirements pertaining to reporting, licensing, permitting, investigation and/or remediation of emissions, discharges, Releases, or threatened Releases of Hazardous Materials, whether solid, liquid, or gaseous in nature, into the air, surface water, groundwater, or land, or relating to the manufacture, processing, distribution, use, treatment, storage, disposal, transport, or handling of Hazardous Materials; and (ii) all requirements pertaining to the health and safety of employees or the public. Environmental Laws include, but are not limited to, the Comprehensive Environmental Response, Compensation and Liability Act of 1980, 42 USC § 9601, et seq., the Hazardous Materials Transportation Authorization Act of 1994, 49 USC § 5101, et seq., the Solid Waste Disposal Act, as amended by the Resource Conservation and Recovery Act of 1976, and Hazardous and Solid Waste Amendments of 1984, 42 USC § 6901, et seq., the Federal Water Pollution Control Act, as amended by the Clean Water Act of 1977, 33 USC § 1251, et seq., the Clean Air Act of 1966, 42 USC § 7401, et seq., the Toxic Substances Control Act of 1976, 15 USC § 2601, et seq., the Safe Drinking Water Act of 1974, 42 USC §§ 300f through 300j, the Occupational Safety and Health Act of 1970, as amended, 29 USC § 651 et seq., the Oil Pollution Act of 1990, 33 USC § 2701 et seq., the Emergency Planning and Community Right-To-Know Act of 1986, 42 USC § 11001 et seq., the National Environmental Policy Act of 1969, 42 USC § 4321 et seq., the Federal Insecticide, Fungicide and Rodenticide Act of 1947, 7 USC § 136 et seq., California Carpenter-Presley-Tanner Hazardous Substance Account Act, California Health &amp; Safety Code §§ 25300 et seq., Hazardous Materials Release Response Plans and Inventory Act, California Health &amp; Safety Code, §§ 25500 et seq., Underground Storage of Hazardous Substances provisions, California Health &amp; Safety Code, §§ 25280 et seq., California Hazardous Waste Control Law, California Health &amp; Safety Code, §§ 25100 et seq., and any other state or local law counterparts, as amended, as such applicable laws, are in effect as of the Lease Commencement Date, or thereafter adopted, published, or promulgated.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5.3.1.3</w:t>
      </w:r>
    </w:p>
    <w:p>
      <w:pPr>
        <w:pStyle w:val="TextBody"/>
        <w:bidi w:val="0"/>
        <w:spacing w:before="0" w:after="240"/>
        <w:jc w:val="left"/>
        <w:rPr/>
      </w:pPr>
      <w:r>
        <w:rPr>
          <w:rFonts w:ascii="Times New Roman" w:hAnsi="Times New Roman"/>
          <w:b/>
          <w:color w:val="000000"/>
          <w:sz w:val="20"/>
          <w:u w:val="single"/>
        </w:rPr>
        <w:t>Releases of Hazardous Materials</w:t>
      </w:r>
      <w:r>
        <w:rPr>
          <w:rFonts w:ascii="Times New Roman" w:hAnsi="Times New Roman"/>
          <w:color w:val="000000"/>
          <w:sz w:val="20"/>
        </w:rPr>
        <w:t xml:space="preserve">. Except to the extent caused by other tenants of the Project, Landlord or any Landlord Parties (as defined below), if any Release of any Hazardous Material in, on, under, from or about the Premises shall occur at any time during the Lease Term and/or if any other Hazardous Material condition exists at the Premises that first arises after the Lease Commencement Date that requires response actions of any kind, then in addition to notifying Landlord as specified above, Tenant, at its own sole cost and expense, shall (i) immediately comply with any and all reporting requirements imposed pursuant to any and all Environmental Laws, (ii) provide a written certification to Landlord indicating that Tenant has complied with all applicable reporting requirements, (iii) take any and all necessary investigation, corrective and remedial action in accordance with any and all applicable Environmental Laws, utilizing an environmental consultant approved by Landlord, all in accordance with the provisions and requirements of this </w:t>
      </w:r>
      <w:r>
        <w:rPr>
          <w:rFonts w:ascii="Times New Roman" w:hAnsi="Times New Roman"/>
          <w:color w:val="000000"/>
          <w:sz w:val="20"/>
          <w:u w:val="single"/>
        </w:rPr>
        <w:t>Section 5.3</w:t>
      </w:r>
      <w:r>
        <w:rPr>
          <w:rFonts w:ascii="Times New Roman" w:hAnsi="Times New Roman"/>
          <w:color w:val="000000"/>
          <w:sz w:val="20"/>
        </w:rPr>
        <w:t xml:space="preserve">, including, without limitation, </w:t>
      </w:r>
      <w:r>
        <w:rPr>
          <w:rFonts w:ascii="Times New Roman" w:hAnsi="Times New Roman"/>
          <w:color w:val="000000"/>
          <w:sz w:val="20"/>
          <w:u w:val="single"/>
        </w:rPr>
        <w:t>Section 5.3.4</w:t>
      </w:r>
      <w:r>
        <w:rPr>
          <w:rFonts w:ascii="Times New Roman" w:hAnsi="Times New Roman"/>
          <w:color w:val="000000"/>
          <w:sz w:val="20"/>
        </w:rPr>
        <w:t>, and (iv) take any such additional investigative, remedial and corrective actions as Landlord shall in its reasonable discretion deem necessary such that the Premises are remediated to the condition existing prior to such Release.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5.3.1.4</w:t>
      </w:r>
    </w:p>
    <w:p>
      <w:pPr>
        <w:pStyle w:val="TextBody"/>
        <w:bidi w:val="0"/>
        <w:spacing w:before="0" w:after="240"/>
        <w:jc w:val="left"/>
        <w:rPr/>
      </w:pPr>
      <w:r>
        <w:rPr>
          <w:rFonts w:ascii="Times New Roman" w:hAnsi="Times New Roman"/>
          <w:b/>
          <w:color w:val="000000"/>
          <w:sz w:val="20"/>
          <w:u w:val="single"/>
        </w:rPr>
        <w:t>Indemnification</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5.3.1.4.1</w:t>
      </w:r>
    </w:p>
    <w:p>
      <w:pPr>
        <w:pStyle w:val="TextBody"/>
        <w:bidi w:val="0"/>
        <w:spacing w:before="0" w:after="240"/>
        <w:jc w:val="left"/>
        <w:rPr/>
      </w:pPr>
      <w:r>
        <w:rPr>
          <w:rFonts w:ascii="Times New Roman" w:hAnsi="Times New Roman"/>
          <w:b/>
          <w:color w:val="000000"/>
          <w:sz w:val="20"/>
          <w:u w:val="single"/>
        </w:rPr>
        <w:t>In General</w:t>
      </w:r>
      <w:r>
        <w:rPr>
          <w:rFonts w:ascii="Times New Roman" w:hAnsi="Times New Roman"/>
          <w:color w:val="000000"/>
          <w:sz w:val="20"/>
        </w:rPr>
        <w:t xml:space="preserve">. Without limiting in any way Tenant’s obligations under any other provision of this Lease, Tenant shall be solely responsible for and shall protect, defend, indemnify and hold the Landlord Parties harmless from and against any and all claims, judgments, losses, damages, costs, expenses, penalties, enforcement actions, taxes, fines,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- 26 -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remedial actions, liabilities (including, without limitation, actual attorneys’ fees, litigation, arbitration and administrative proceeding costs, expert and consultant fees and laboratory costs) including, without limitation, consequential damages and sums paid in settlement of claims, which arise during or after the Lease Term, whether foreseeable or unforeseeable, that arise during or after the Lease Term in whole or in part, foreseeable or unforeseeable, directly or indirectly arising out of or attributable to the presence, use, generation, manufacture, treatment, handling, refining, production, processing, storage, Release or presence of Hazardous Materials in, on, under or about the Premises by Tenant or Tenant’s Agents.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5.3.1.4.2</w:t>
      </w:r>
    </w:p>
    <w:p>
      <w:pPr>
        <w:pStyle w:val="TextBody"/>
        <w:bidi w:val="0"/>
        <w:spacing w:before="0" w:after="240"/>
        <w:jc w:val="left"/>
        <w:rPr/>
      </w:pPr>
      <w:r>
        <w:rPr>
          <w:rFonts w:ascii="Times New Roman" w:hAnsi="Times New Roman"/>
          <w:b/>
          <w:color w:val="000000"/>
          <w:sz w:val="20"/>
          <w:u w:val="single"/>
        </w:rPr>
        <w:t>Limitations</w:t>
      </w:r>
      <w:r>
        <w:rPr>
          <w:rFonts w:ascii="Times New Roman" w:hAnsi="Times New Roman"/>
          <w:color w:val="000000"/>
          <w:sz w:val="20"/>
        </w:rPr>
        <w:t xml:space="preserve">. Notwithstanding anything in </w:t>
      </w:r>
      <w:r>
        <w:rPr>
          <w:rFonts w:ascii="Times New Roman" w:hAnsi="Times New Roman"/>
          <w:color w:val="000000"/>
          <w:sz w:val="20"/>
          <w:u w:val="single"/>
        </w:rPr>
        <w:t>Section 5.3.1.4</w:t>
      </w:r>
      <w:r>
        <w:rPr>
          <w:rFonts w:ascii="Times New Roman" w:hAnsi="Times New Roman"/>
          <w:color w:val="000000"/>
          <w:sz w:val="20"/>
        </w:rPr>
        <w:t xml:space="preserve">, above, to the contrary, Tenant’s indemnity of Landlord as set forth in </w:t>
      </w:r>
      <w:r>
        <w:rPr>
          <w:rFonts w:ascii="Times New Roman" w:hAnsi="Times New Roman"/>
          <w:color w:val="000000"/>
          <w:sz w:val="20"/>
          <w:u w:val="single"/>
        </w:rPr>
        <w:t>Section 5.3.1.4</w:t>
      </w:r>
      <w:r>
        <w:rPr>
          <w:rFonts w:ascii="Times New Roman" w:hAnsi="Times New Roman"/>
          <w:color w:val="000000"/>
          <w:sz w:val="20"/>
        </w:rPr>
        <w:t>, above, shall not be applicable to claims based upon Hazardous Materials which are brought onto the Project, permitted to be brought onto the Project, or Released on the Project, by other tenants of the Project, Landlord or any Landlord Parties (as defined below), or based upon Hazardous Materials which may exist in, on or about the Premises as of the date of this Lease (“</w:t>
      </w:r>
      <w:r>
        <w:rPr>
          <w:rFonts w:ascii="Times New Roman" w:hAnsi="Times New Roman"/>
          <w:b/>
          <w:color w:val="000000"/>
          <w:sz w:val="20"/>
        </w:rPr>
        <w:t>Existing Hazardous Materials</w:t>
      </w:r>
      <w:r>
        <w:rPr>
          <w:color w:val="000000"/>
        </w:rPr>
        <w:t>”</w:t>
      </w:r>
      <w:r>
        <w:rPr>
          <w:rFonts w:ascii="Times New Roman" w:hAnsi="Times New Roman"/>
          <w:color w:val="000000"/>
          <w:sz w:val="20"/>
        </w:rPr>
        <w:t xml:space="preserve">), except to the extent that Tenant’s construction activities and/or Tenant’s other acts or omissions (including Tenant’s failure to remove, remediate or otherwise treat or “Clean-up,” as that term is defined in </w:t>
      </w:r>
      <w:r>
        <w:rPr>
          <w:rFonts w:ascii="Times New Roman" w:hAnsi="Times New Roman"/>
          <w:color w:val="000000"/>
          <w:sz w:val="20"/>
          <w:u w:val="single"/>
        </w:rPr>
        <w:t>Section 5.3.4</w:t>
      </w:r>
      <w:r>
        <w:rPr>
          <w:rFonts w:ascii="Times New Roman" w:hAnsi="Times New Roman"/>
          <w:color w:val="000000"/>
          <w:sz w:val="20"/>
        </w:rPr>
        <w:t>, below, the subject Existing Hazardous Materials during the tenancy of the Premises) caused or exacerbated the subject claim.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5.3.1.5</w:t>
      </w:r>
    </w:p>
    <w:p>
      <w:pPr>
        <w:pStyle w:val="TextBody"/>
        <w:bidi w:val="0"/>
        <w:spacing w:before="0" w:after="240"/>
        <w:jc w:val="left"/>
        <w:rPr/>
      </w:pPr>
      <w:r>
        <w:rPr>
          <w:rFonts w:ascii="Times New Roman" w:hAnsi="Times New Roman"/>
          <w:b/>
          <w:color w:val="000000"/>
          <w:sz w:val="20"/>
          <w:u w:val="single"/>
        </w:rPr>
        <w:t>Compliance with Environmental Laws</w:t>
      </w:r>
      <w:r>
        <w:rPr>
          <w:rFonts w:ascii="Times New Roman" w:hAnsi="Times New Roman"/>
          <w:color w:val="000000"/>
          <w:sz w:val="20"/>
        </w:rPr>
        <w:t>. Without limiting the generality of Tenant’s obligation to comply with applicable laws as otherwise provided in this Lease, Tenant shall, at its sole cost and expense, comply with all Environmental Laws. Tenant shall obtain and maintain any and all necessary permits, licenses, certifications and approvals appropriate or required for the use, handling, storage, and disposal of any Hazardous Materials used, stored, generated, transported, handled, blended, or recycled by Tenant on the Premises. Landlord shall have a continuing right, without obligation, to require Tenant to obtain, and to review and inspect any and all such permits, licenses, certifications and approvals, together with copies of any and all Hazardous Materials management plans and programs, any and all Hazardous Materials risk management and pollution prevention programs, and any and all Hazardous Materials emergency response and employee training programs respecting Tenant’s use of Hazardous Materials. Upon request of Landlord, Tenant shall deliver to Landlord a narrative description explaining the nature and scope of Tenant’s activities involving Hazardous Materials and showing to Landlord’s satisfaction compliance with all Environmental Laws and the terms of this Lease.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5.3.2</w:t>
      </w:r>
    </w:p>
    <w:p>
      <w:pPr>
        <w:pStyle w:val="TextBody"/>
        <w:bidi w:val="0"/>
        <w:spacing w:before="0" w:after="240"/>
        <w:jc w:val="left"/>
        <w:rPr/>
      </w:pPr>
      <w:r>
        <w:rPr>
          <w:rFonts w:ascii="Times New Roman" w:hAnsi="Times New Roman"/>
          <w:b/>
          <w:color w:val="000000"/>
          <w:sz w:val="20"/>
          <w:u w:val="single"/>
        </w:rPr>
        <w:t>Assurance of Performance</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5.3.2.1</w:t>
      </w:r>
    </w:p>
    <w:p>
      <w:pPr>
        <w:pStyle w:val="TextBody"/>
        <w:bidi w:val="0"/>
        <w:spacing w:before="0" w:after="240"/>
        <w:jc w:val="left"/>
        <w:rPr/>
      </w:pPr>
      <w:r>
        <w:rPr>
          <w:rFonts w:ascii="Times New Roman" w:hAnsi="Times New Roman"/>
          <w:b/>
          <w:color w:val="000000"/>
          <w:sz w:val="20"/>
          <w:u w:val="single"/>
        </w:rPr>
        <w:t>Environmental Assessments In General</w:t>
      </w:r>
      <w:r>
        <w:rPr>
          <w:rFonts w:ascii="Times New Roman" w:hAnsi="Times New Roman"/>
          <w:color w:val="000000"/>
          <w:sz w:val="20"/>
        </w:rPr>
        <w:t>. Landlord may, but shall not be required to, engage from time to time such contractors as Landlord determines to be appropriate to perform environmental assessments of a scope reasonably determined by Landlord (an “</w:t>
      </w:r>
      <w:r>
        <w:rPr>
          <w:rFonts w:ascii="Times New Roman" w:hAnsi="Times New Roman"/>
          <w:b/>
          <w:color w:val="000000"/>
          <w:sz w:val="20"/>
        </w:rPr>
        <w:t>Environmental Assessment</w:t>
      </w:r>
      <w:r>
        <w:rPr>
          <w:color w:val="000000"/>
        </w:rPr>
        <w:t>”</w:t>
      </w:r>
      <w:r>
        <w:rPr>
          <w:rFonts w:ascii="Times New Roman" w:hAnsi="Times New Roman"/>
          <w:color w:val="000000"/>
          <w:sz w:val="20"/>
        </w:rPr>
        <w:t>) to ensure Tenant’s compliance with the requirements of this Lease with respect to Hazardous Materials.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5.3.2.2</w:t>
      </w:r>
    </w:p>
    <w:p>
      <w:pPr>
        <w:pStyle w:val="TextBody"/>
        <w:bidi w:val="0"/>
        <w:spacing w:before="0" w:after="240"/>
        <w:jc w:val="left"/>
        <w:rPr/>
      </w:pPr>
      <w:r>
        <w:rPr>
          <w:rFonts w:ascii="Times New Roman" w:hAnsi="Times New Roman"/>
          <w:b/>
          <w:color w:val="000000"/>
          <w:sz w:val="20"/>
          <w:u w:val="single"/>
        </w:rPr>
        <w:t>Costs of Environmental Assessments</w:t>
      </w:r>
      <w:r>
        <w:rPr>
          <w:rFonts w:ascii="Times New Roman" w:hAnsi="Times New Roman"/>
          <w:color w:val="000000"/>
          <w:sz w:val="20"/>
        </w:rPr>
        <w:t xml:space="preserve">. All costs and expenses incurred by Landlord in connection with any such Environmental Assessment initially shall be paid by Landlord; provided that if any such Environmental Assessment shows that Tenant has failed to comply with the provisions of this </w:t>
      </w:r>
      <w:r>
        <w:rPr>
          <w:rFonts w:ascii="Times New Roman" w:hAnsi="Times New Roman"/>
          <w:color w:val="000000"/>
          <w:sz w:val="20"/>
          <w:u w:val="single"/>
        </w:rPr>
        <w:t>Section 5.3</w:t>
      </w:r>
      <w:r>
        <w:rPr>
          <w:rFonts w:ascii="Times New Roman" w:hAnsi="Times New Roman"/>
          <w:color w:val="000000"/>
          <w:sz w:val="20"/>
        </w:rPr>
        <w:t>,</w:t>
      </w:r>
      <w:r>
        <w:rPr>
          <w:color w:val="000000"/>
          <w:u w:val="single"/>
        </w:rPr>
        <w:t xml:space="preserve"> </w:t>
      </w:r>
      <w:r>
        <w:rPr>
          <w:rFonts w:ascii="Times New Roman" w:hAnsi="Times New Roman"/>
          <w:color w:val="000000"/>
          <w:sz w:val="20"/>
        </w:rPr>
        <w:t>then all of the costs and expenses of such Environmental Assessment shall be reimbursed by Tenant as Additional Rent within ten (10) days after receipt of written demand therefor.</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- 27 -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5.3.3</w:t>
      </w:r>
    </w:p>
    <w:p>
      <w:pPr>
        <w:pStyle w:val="TextBody"/>
        <w:bidi w:val="0"/>
        <w:spacing w:before="0" w:after="240"/>
        <w:jc w:val="left"/>
        <w:rPr/>
      </w:pPr>
      <w:r>
        <w:rPr>
          <w:rFonts w:ascii="Times New Roman" w:hAnsi="Times New Roman"/>
          <w:b/>
          <w:color w:val="000000"/>
          <w:sz w:val="20"/>
          <w:u w:val="single"/>
        </w:rPr>
        <w:t>Tenant’s Obligations upon Surrender</w:t>
      </w:r>
      <w:r>
        <w:rPr>
          <w:rFonts w:ascii="Times New Roman" w:hAnsi="Times New Roman"/>
          <w:color w:val="000000"/>
          <w:sz w:val="20"/>
        </w:rPr>
        <w:t xml:space="preserve">. At the expiration or earlier termination of the Lease Term, Tenant, at Tenant’s sole cost and expense, shall: (i) cause an Environmental Assessment of the Premises to be conducted in accordance with </w:t>
      </w:r>
      <w:r>
        <w:rPr>
          <w:rFonts w:ascii="Times New Roman" w:hAnsi="Times New Roman"/>
          <w:color w:val="000000"/>
          <w:sz w:val="20"/>
          <w:u w:val="single"/>
        </w:rPr>
        <w:t>Section 15.3</w:t>
      </w:r>
      <w:r>
        <w:rPr>
          <w:rFonts w:ascii="Times New Roman" w:hAnsi="Times New Roman"/>
          <w:color w:val="000000"/>
          <w:sz w:val="20"/>
        </w:rPr>
        <w:t>; (ii) cause all Hazardous Materials to be removed from the Premises and disposed of in accordance with all Environmental Laws and as necessary to allow the Premises to be used for any purpose; and (iii) cause to be removed all containers installed or used by Tenant or Tenant’s Agents to store any Hazardous Materials on the Premises, and cause to be repaired any damage to the Premises caused by such removal.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5.3.4</w:t>
      </w:r>
    </w:p>
    <w:p>
      <w:pPr>
        <w:pStyle w:val="TextBody"/>
        <w:bidi w:val="0"/>
        <w:spacing w:before="0" w:after="240"/>
        <w:jc w:val="left"/>
        <w:rPr/>
      </w:pPr>
      <w:r>
        <w:rPr>
          <w:rFonts w:ascii="Times New Roman" w:hAnsi="Times New Roman"/>
          <w:b/>
          <w:color w:val="000000"/>
          <w:sz w:val="20"/>
          <w:u w:val="single"/>
        </w:rPr>
        <w:t>Clean-up</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5.3.4.1</w:t>
      </w:r>
    </w:p>
    <w:p>
      <w:pPr>
        <w:pStyle w:val="TextBody"/>
        <w:bidi w:val="0"/>
        <w:spacing w:before="0" w:after="240"/>
        <w:jc w:val="left"/>
        <w:rPr/>
      </w:pPr>
      <w:r>
        <w:rPr>
          <w:rFonts w:ascii="Times New Roman" w:hAnsi="Times New Roman"/>
          <w:b/>
          <w:color w:val="000000"/>
          <w:sz w:val="20"/>
          <w:u w:val="single"/>
        </w:rPr>
        <w:t>Environmental Reports; Clean-Up</w:t>
      </w:r>
      <w:r>
        <w:rPr>
          <w:rFonts w:ascii="Times New Roman" w:hAnsi="Times New Roman"/>
          <w:color w:val="000000"/>
          <w:sz w:val="20"/>
        </w:rPr>
        <w:t>. If any written report, including any report containing results of any Environmental Assessment (an “</w:t>
      </w:r>
      <w:r>
        <w:rPr>
          <w:rFonts w:ascii="Times New Roman" w:hAnsi="Times New Roman"/>
          <w:b/>
          <w:color w:val="000000"/>
          <w:sz w:val="20"/>
        </w:rPr>
        <w:t>Environmental Report</w:t>
      </w:r>
      <w:r>
        <w:rPr>
          <w:color w:val="000000"/>
        </w:rPr>
        <w:t>”</w:t>
      </w:r>
      <w:r>
        <w:rPr>
          <w:rFonts w:ascii="Times New Roman" w:hAnsi="Times New Roman"/>
          <w:color w:val="000000"/>
          <w:sz w:val="20"/>
        </w:rPr>
        <w:t xml:space="preserve">) shall indicate (i) the presence of any Hazardous Materials as to which Tenant has a removal or remediation obligation under this </w:t>
      </w:r>
      <w:r>
        <w:rPr>
          <w:rFonts w:ascii="Times New Roman" w:hAnsi="Times New Roman"/>
          <w:color w:val="000000"/>
          <w:sz w:val="20"/>
          <w:u w:val="single"/>
        </w:rPr>
        <w:t>Section 5.3</w:t>
      </w:r>
      <w:r>
        <w:rPr>
          <w:rFonts w:ascii="Times New Roman" w:hAnsi="Times New Roman"/>
          <w:color w:val="000000"/>
          <w:sz w:val="20"/>
        </w:rPr>
        <w:t>, and (ii) that as a result of same, the investigation, characterization, monitoring, assessment, repair, closure, remediation, removal, or other clean-up (the “</w:t>
      </w:r>
      <w:r>
        <w:rPr>
          <w:rFonts w:ascii="Times New Roman" w:hAnsi="Times New Roman"/>
          <w:b/>
          <w:color w:val="000000"/>
          <w:sz w:val="20"/>
        </w:rPr>
        <w:t>Clean-up</w:t>
      </w:r>
      <w:r>
        <w:rPr>
          <w:color w:val="000000"/>
        </w:rPr>
        <w:t>”</w:t>
      </w:r>
      <w:r>
        <w:rPr>
          <w:rFonts w:ascii="Times New Roman" w:hAnsi="Times New Roman"/>
          <w:color w:val="000000"/>
          <w:sz w:val="20"/>
        </w:rPr>
        <w:t>) of any Hazardous Materials is required, Tenant shall immediately prepare and submit to Landlord within thirty (30) days after receipt of the Environmental Report a comprehensive plan, subject to Landlord’s written approval, specifying the actions to be taken by Tenant to perform the Clean-up so that the Premises are restored to the conditions required by this Lease. Upon Landlord’s approval of the Clean-up plan, Tenant shall, at Tenant’s sole cost and expense, without limitation on any rights and remedies of Landlord under this Lease, immediately implement such plan with a consultant reasonably acceptable to Landlord and proceed to Clean-Up Hazardous Materials in accordance with all applicable laws and as required by such plan and this Lease. If, within thirty (30) days after receiving a copy of such Environmental Report, Tenant fails either (a) to complete such Cleanup, or (b) with respect to any Clean-up that cannot be completed within such thirty-day period, fails to proceed with diligence to prepare the Clean-up plan and complete the Clean-up as promptly as practicable, then Landlord shall have the right, but not the obligation, and without waiving any other rights under this Lease, to carry out any Clean-up recommended by the Environmental Report or required by any governmental authority having jurisdiction over the Premises, and recover all of the costs and expenses thereof from Tenant as Additional Rent, payable within ten (10) days after receipt of written demand therefor.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5.3.4.2</w:t>
      </w:r>
    </w:p>
    <w:p>
      <w:pPr>
        <w:pStyle w:val="TextBody"/>
        <w:bidi w:val="0"/>
        <w:spacing w:before="0" w:after="240"/>
        <w:jc w:val="left"/>
        <w:rPr/>
      </w:pPr>
      <w:r>
        <w:rPr>
          <w:rFonts w:ascii="Times New Roman" w:hAnsi="Times New Roman"/>
          <w:b/>
          <w:color w:val="000000"/>
          <w:sz w:val="20"/>
          <w:u w:val="single"/>
        </w:rPr>
        <w:t>No Rent Abatement</w:t>
      </w:r>
      <w:r>
        <w:rPr>
          <w:rFonts w:ascii="Times New Roman" w:hAnsi="Times New Roman"/>
          <w:color w:val="000000"/>
          <w:sz w:val="20"/>
        </w:rPr>
        <w:t>. Tenant shall continue to pay all Rent due or accruing under this Lease during any Clean-up, and shall not be entitled to any reduction, offset or deferral of any Base Rent or Additional Rent due or accruing under this Lease during any such Clean-up.</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5.3.4.3</w:t>
      </w:r>
    </w:p>
    <w:p>
      <w:pPr>
        <w:pStyle w:val="TextBody"/>
        <w:bidi w:val="0"/>
        <w:spacing w:before="0" w:after="240"/>
        <w:jc w:val="left"/>
        <w:rPr/>
      </w:pPr>
      <w:r>
        <w:rPr>
          <w:rFonts w:ascii="Times New Roman" w:hAnsi="Times New Roman"/>
          <w:b/>
          <w:color w:val="000000"/>
          <w:sz w:val="20"/>
          <w:u w:val="single"/>
        </w:rPr>
        <w:t>Surrender of Premises</w:t>
      </w:r>
      <w:r>
        <w:rPr>
          <w:rFonts w:ascii="Times New Roman" w:hAnsi="Times New Roman"/>
          <w:color w:val="000000"/>
          <w:sz w:val="20"/>
        </w:rPr>
        <w:t>. Tenant shall complete any Clean-up prior to surrender of the Premises upon the expiration or earlier termination of this Lease. Tenant shall obtain and deliver to Landlord a letter or other written determination from the overseeing governmental authority confirming that the Clean-up has been completed in accordance with all requirements of such governmental authority and that no further response action of any kind is required for the unrestricted use of the Premises (“</w:t>
      </w:r>
      <w:r>
        <w:rPr>
          <w:rFonts w:ascii="Times New Roman" w:hAnsi="Times New Roman"/>
          <w:b/>
          <w:color w:val="000000"/>
          <w:sz w:val="20"/>
        </w:rPr>
        <w:t>Closure Letter</w:t>
      </w:r>
      <w:r>
        <w:rPr>
          <w:color w:val="000000"/>
        </w:rPr>
        <w:t>”</w:t>
      </w:r>
      <w:r>
        <w:rPr>
          <w:rFonts w:ascii="Times New Roman" w:hAnsi="Times New Roman"/>
          <w:color w:val="000000"/>
          <w:sz w:val="20"/>
        </w:rPr>
        <w:t>). Upon the expiration or earlier termination of this Lease, Tenant shall also be obligated to close all permits obtained in connection with Hazardous Materials in accordance with applicable laws.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- 28 -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5.3.4.4</w:t>
      </w:r>
    </w:p>
    <w:p>
      <w:pPr>
        <w:pStyle w:val="TextBody"/>
        <w:bidi w:val="0"/>
        <w:spacing w:before="0" w:after="240"/>
        <w:jc w:val="left"/>
        <w:rPr/>
      </w:pPr>
      <w:r>
        <w:rPr>
          <w:rFonts w:ascii="Times New Roman" w:hAnsi="Times New Roman"/>
          <w:b/>
          <w:color w:val="000000"/>
          <w:sz w:val="20"/>
          <w:u w:val="single"/>
        </w:rPr>
        <w:t>Failure to Timely Clean-Up</w:t>
      </w:r>
      <w:r>
        <w:rPr>
          <w:rFonts w:ascii="Times New Roman" w:hAnsi="Times New Roman"/>
          <w:color w:val="000000"/>
          <w:sz w:val="20"/>
        </w:rPr>
        <w:t xml:space="preserve">. Should any Clean-up for which Tenant is responsible not be completed, or should Tenant not receive the Closure Letter and any governmental approvals required under Environmental Laws in conjunction with such Clean-up prior to the expiration or earlier termination of this Lease, then Tenant shall be liable to Landlord as a holdover tenant (as more particularly provided in </w:t>
      </w:r>
      <w:r>
        <w:rPr>
          <w:rFonts w:ascii="Times New Roman" w:hAnsi="Times New Roman"/>
          <w:color w:val="000000"/>
          <w:sz w:val="20"/>
          <w:u w:val="single"/>
        </w:rPr>
        <w:t>Article 16</w:t>
      </w:r>
      <w:r>
        <w:rPr>
          <w:rFonts w:ascii="Times New Roman" w:hAnsi="Times New Roman"/>
          <w:color w:val="000000"/>
          <w:sz w:val="20"/>
        </w:rPr>
        <w:t xml:space="preserve">) until Tenant has fully complied with its obligations under this </w:t>
      </w:r>
      <w:r>
        <w:rPr>
          <w:rFonts w:ascii="Times New Roman" w:hAnsi="Times New Roman"/>
          <w:color w:val="000000"/>
          <w:sz w:val="20"/>
          <w:u w:val="single"/>
        </w:rPr>
        <w:t>Section 5.3</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5.3.5</w:t>
      </w:r>
    </w:p>
    <w:p>
      <w:pPr>
        <w:pStyle w:val="TextBody"/>
        <w:bidi w:val="0"/>
        <w:spacing w:before="0" w:after="240"/>
        <w:jc w:val="left"/>
        <w:rPr/>
      </w:pPr>
      <w:r>
        <w:rPr>
          <w:rFonts w:ascii="Times New Roman" w:hAnsi="Times New Roman"/>
          <w:b/>
          <w:color w:val="000000"/>
          <w:sz w:val="20"/>
          <w:u w:val="single"/>
        </w:rPr>
        <w:t>Confidentiality</w:t>
      </w:r>
      <w:r>
        <w:rPr>
          <w:rFonts w:ascii="Times New Roman" w:hAnsi="Times New Roman"/>
          <w:color w:val="000000"/>
          <w:sz w:val="20"/>
        </w:rPr>
        <w:t xml:space="preserve">. Unless compelled to do so by applicable law, Tenant agrees that Tenant shall not disclose, discuss, disseminate or copy any information, data, findings, communications, conclusions and reports regarding the environmental condition of the Premises to any Person (other than Tenant’s consultants, attorneys, property managers and employees that have a need to know such information), including any governmental authority, without the prior written consent of Landlord. In the event Tenant reasonably believes that disclosure is compelled by applicable law, it shall provide Landlord ten (10) days’ advance notice of disclosure of confidential information so that Landlord may attempt to obtain a protective order. Tenant may additionally release such information to attorneys, accountants and other advisors, and to bona fide prospective purchasers or lenders, subject to any such parties’ written agreement to be bound by the terms of this </w:t>
      </w:r>
      <w:r>
        <w:rPr>
          <w:rFonts w:ascii="Times New Roman" w:hAnsi="Times New Roman"/>
          <w:color w:val="000000"/>
          <w:sz w:val="20"/>
          <w:u w:val="single"/>
        </w:rPr>
        <w:t>Section 5.3</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5.3.6</w:t>
      </w:r>
    </w:p>
    <w:p>
      <w:pPr>
        <w:pStyle w:val="TextBody"/>
        <w:bidi w:val="0"/>
        <w:spacing w:before="0" w:after="240"/>
        <w:jc w:val="left"/>
        <w:rPr/>
      </w:pPr>
      <w:r>
        <w:rPr>
          <w:rFonts w:ascii="Times New Roman" w:hAnsi="Times New Roman"/>
          <w:b/>
          <w:color w:val="000000"/>
          <w:sz w:val="20"/>
          <w:u w:val="single"/>
        </w:rPr>
        <w:t>Copies of Environmental Reports</w:t>
      </w:r>
      <w:r>
        <w:rPr>
          <w:rFonts w:ascii="Times New Roman" w:hAnsi="Times New Roman"/>
          <w:color w:val="000000"/>
          <w:sz w:val="20"/>
        </w:rPr>
        <w:t>. Within thirty (30) days of receipt thereof, Tenant shall provide Landlord with a copy of any and all environmental assessments, audits, studies and reports regarding Tenant’s activities with respect to the Premises, or ground water beneath the Land, or the environmental condition or Clean-up thereof. Tenant shall be obligated to provide Landlord with a copy of such materials without regard to whether such materials are generated by Tenant or prepared for Tenant, or how Tenant comes into possession of such materials.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5.3.7</w:t>
      </w:r>
    </w:p>
    <w:p>
      <w:pPr>
        <w:pStyle w:val="TextBody"/>
        <w:bidi w:val="0"/>
        <w:spacing w:before="0" w:after="240"/>
        <w:jc w:val="left"/>
        <w:rPr/>
      </w:pPr>
      <w:r>
        <w:rPr>
          <w:rFonts w:ascii="Times New Roman" w:hAnsi="Times New Roman"/>
          <w:b/>
          <w:color w:val="000000"/>
          <w:sz w:val="20"/>
          <w:u w:val="single"/>
        </w:rPr>
        <w:t>Intentionally Omitted</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5.3.8</w:t>
      </w:r>
    </w:p>
    <w:p>
      <w:pPr>
        <w:pStyle w:val="TextBody"/>
        <w:bidi w:val="0"/>
        <w:spacing w:before="0" w:after="240"/>
        <w:jc w:val="left"/>
        <w:rPr/>
      </w:pPr>
      <w:r>
        <w:rPr>
          <w:rFonts w:ascii="Times New Roman" w:hAnsi="Times New Roman"/>
          <w:b/>
          <w:color w:val="000000"/>
          <w:sz w:val="20"/>
          <w:u w:val="single"/>
        </w:rPr>
        <w:t>Signs, Response Plans, Etc</w:t>
      </w:r>
      <w:r>
        <w:rPr>
          <w:rFonts w:ascii="Times New Roman" w:hAnsi="Times New Roman"/>
          <w:color w:val="000000"/>
          <w:sz w:val="20"/>
        </w:rPr>
        <w:t>. Tenant shall be responsible for posting on the Premises any signs required under applicable Environmental Laws. Tenant shall also complete and file any business response plans or inventories required by any applicable laws. Tenant shall concurrently file a copy of any such business response plan or inventory with Landlord.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5.3.9</w:t>
      </w:r>
    </w:p>
    <w:p>
      <w:pPr>
        <w:pStyle w:val="TextBody"/>
        <w:bidi w:val="0"/>
        <w:spacing w:before="0" w:after="240"/>
        <w:jc w:val="left"/>
        <w:rPr/>
      </w:pPr>
      <w:r>
        <w:rPr>
          <w:rFonts w:ascii="Times New Roman" w:hAnsi="Times New Roman"/>
          <w:b/>
          <w:color w:val="000000"/>
          <w:sz w:val="20"/>
          <w:u w:val="single"/>
        </w:rPr>
        <w:t>Survival</w:t>
      </w:r>
      <w:r>
        <w:rPr>
          <w:rFonts w:ascii="Times New Roman" w:hAnsi="Times New Roman"/>
          <w:color w:val="000000"/>
          <w:sz w:val="20"/>
        </w:rPr>
        <w:t xml:space="preserve">. Each covenant, agreement, representation, warranty and indemnification made by Tenant set forth in this </w:t>
      </w:r>
      <w:r>
        <w:rPr>
          <w:rFonts w:ascii="Times New Roman" w:hAnsi="Times New Roman"/>
          <w:color w:val="000000"/>
          <w:sz w:val="20"/>
          <w:u w:val="single"/>
        </w:rPr>
        <w:t>Section 5.3</w:t>
      </w:r>
      <w:r>
        <w:rPr>
          <w:color w:val="000000"/>
        </w:rPr>
        <w:t xml:space="preserve"> </w:t>
      </w:r>
      <w:r>
        <w:rPr>
          <w:rFonts w:ascii="Times New Roman" w:hAnsi="Times New Roman"/>
          <w:color w:val="000000"/>
          <w:sz w:val="20"/>
        </w:rPr>
        <w:t xml:space="preserve">shall survive the expiration or earlier termination of this Lease and shall remain effective until all of Tenant’s obligations under this </w:t>
      </w:r>
      <w:r>
        <w:rPr>
          <w:rFonts w:ascii="Times New Roman" w:hAnsi="Times New Roman"/>
          <w:color w:val="000000"/>
          <w:sz w:val="20"/>
          <w:u w:val="single"/>
        </w:rPr>
        <w:t>Section 5.3</w:t>
      </w:r>
      <w:r>
        <w:rPr>
          <w:color w:val="000000"/>
        </w:rPr>
        <w:t xml:space="preserve"> </w:t>
      </w:r>
      <w:r>
        <w:rPr>
          <w:rFonts w:ascii="Times New Roman" w:hAnsi="Times New Roman"/>
          <w:color w:val="000000"/>
          <w:sz w:val="20"/>
        </w:rPr>
        <w:t>have been completely performed and satisfied.</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- 29 -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240"/>
        <w:jc w:val="left"/>
        <w:rPr/>
      </w:pPr>
      <w:r>
        <w:rPr>
          <w:rFonts w:ascii="Times New Roman" w:hAnsi="Times New Roman"/>
          <w:b/>
          <w:color w:val="000000"/>
          <w:sz w:val="20"/>
        </w:rPr>
        <w:t>SERVICES AND UTILITIES</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6.1</w:t>
      </w:r>
    </w:p>
    <w:p>
      <w:pPr>
        <w:pStyle w:val="TextBody"/>
        <w:bidi w:val="0"/>
        <w:spacing w:before="0" w:after="240"/>
        <w:jc w:val="left"/>
        <w:rPr/>
      </w:pPr>
      <w:r>
        <w:rPr>
          <w:rFonts w:ascii="Times New Roman" w:hAnsi="Times New Roman"/>
          <w:b/>
          <w:color w:val="000000"/>
          <w:sz w:val="20"/>
          <w:u w:val="single"/>
        </w:rPr>
        <w:t>In General</w:t>
      </w:r>
      <w:r>
        <w:rPr>
          <w:rFonts w:ascii="Times New Roman" w:hAnsi="Times New Roman"/>
          <w:color w:val="000000"/>
          <w:sz w:val="20"/>
        </w:rPr>
        <w:t>. Landlord shall provide the following services on all days (unless otherwise stated below) during the Lease Term.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6.1.1</w:t>
      </w:r>
    </w:p>
    <w:p>
      <w:pPr>
        <w:pStyle w:val="TextBody"/>
        <w:bidi w:val="0"/>
        <w:spacing w:before="0" w:after="240"/>
        <w:jc w:val="left"/>
        <w:rPr/>
      </w:pPr>
      <w:r>
        <w:rPr>
          <w:rFonts w:ascii="Times New Roman" w:hAnsi="Times New Roman"/>
          <w:color w:val="000000"/>
          <w:sz w:val="20"/>
        </w:rPr>
        <w:t>Subject to limitations imposed by all governmental rules, regulations and guidelines applicable thereto, Landlord shall provide heating and air conditioning (“</w:t>
      </w:r>
      <w:r>
        <w:rPr>
          <w:rFonts w:ascii="Times New Roman" w:hAnsi="Times New Roman"/>
          <w:b/>
          <w:color w:val="000000"/>
          <w:sz w:val="20"/>
        </w:rPr>
        <w:t>HVAC</w:t>
      </w:r>
      <w:r>
        <w:rPr>
          <w:color w:val="000000"/>
        </w:rPr>
        <w:t>”</w:t>
      </w:r>
      <w:r>
        <w:rPr>
          <w:rFonts w:ascii="Times New Roman" w:hAnsi="Times New Roman"/>
          <w:color w:val="000000"/>
          <w:sz w:val="20"/>
        </w:rPr>
        <w:t>) from 8:00 A.M. to 6:00 P.M. Monday through Friday, and on Saturdays from 9:00 A.M. to 1:00 P.M, when necessary for normal comfort for normal office use in the Premises from (collectively, the “</w:t>
      </w:r>
      <w:r>
        <w:rPr>
          <w:rFonts w:ascii="Times New Roman" w:hAnsi="Times New Roman"/>
          <w:b/>
          <w:color w:val="000000"/>
          <w:sz w:val="20"/>
        </w:rPr>
        <w:t>Building Hours</w:t>
      </w:r>
      <w:r>
        <w:rPr>
          <w:color w:val="000000"/>
        </w:rPr>
        <w:t>”</w:t>
      </w:r>
      <w:r>
        <w:rPr>
          <w:rFonts w:ascii="Times New Roman" w:hAnsi="Times New Roman"/>
          <w:color w:val="000000"/>
          <w:sz w:val="20"/>
        </w:rPr>
        <w:t>), except for the date of observation of New Year’s Day, Independence Day, Labor Day, Memorial Day, Thanksgiving Day, Christmas Day and, at Landlord’s discretion, other locally or nationally recognized holidays which are observed by other buildings comparable to and in the vicinity of the Building (collectively, the “</w:t>
      </w:r>
      <w:r>
        <w:rPr>
          <w:rFonts w:ascii="Times New Roman" w:hAnsi="Times New Roman"/>
          <w:b/>
          <w:color w:val="000000"/>
          <w:sz w:val="20"/>
        </w:rPr>
        <w:t>Holidays</w:t>
      </w:r>
      <w:r>
        <w:rPr>
          <w:color w:val="000000"/>
        </w:rPr>
        <w:t>”</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6.1.2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Landlord shall provide city water from the regular Building outlets for drinking, kitchen, lavatory and toilet purposes in the Building Common Areas and the Premises.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6.1.3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Electricity is separately metered (or sub-metered) at the Premises and shall be paid directly by Tenant to the applicable utility provider. If electricity is separately sub-metered (as opposed to separately metered), then Tenant shall pay to Landlord the cost of such utilities based on such sub-meter, including an administrative charge for Landlord’s supervision and reimbursement for any penalties for usage or other surcharges imposed by any utility company. Within twenty (20) days after receipt of Landlord’s statement of apportionment or statement setting forth the charges payable by Tenant, Tenant shall pay to Landlord, as Additional Rent, the cost of such electrical services so apportioned or so provided by Landlord. Notwithstanding anything to the contrary set forth herein, to the extent the Premises generates electricity demand on a shared resource (e.g. electricity for the central plant), the cost of such electricity shall be allocated to Tenant on a pro rata basis or other reasonable basis consistent with commercial reasonable property management practices.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6.1.4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Landlord shall not provide janitorial services for the Premises. Tenant shall be solely responsible for performing all janitorial services and other cleaning of the Premises, all in compliance with applicable laws. The janitorial and cleaning of the Premises shall be adequate to maintain the Premises in a manner consistent with First-Class Life Sciences Projects.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6.1.5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Landlord shall provide reasonable access control services for the Building; provided that Landlord shall in no event be liable for personal injury or property damage for any error with regard to the admission to, or exclusion from, the Building or Project of any person.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6.1.6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Landlord shall cause gas (as provided by the applicable gas utility) to be provided to the Premises.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Tenant shall cooperate fully with Landlord at all times and abide by all regulations and requirements that Landlord may reasonably prescribe for the proper functioning and protection of the HVAC, electrical, mechanical and plumbing systems.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6.2</w:t>
      </w:r>
    </w:p>
    <w:p>
      <w:pPr>
        <w:pStyle w:val="TextBody"/>
        <w:bidi w:val="0"/>
        <w:spacing w:before="0" w:after="240"/>
        <w:jc w:val="left"/>
        <w:rPr/>
      </w:pPr>
      <w:r>
        <w:rPr>
          <w:rFonts w:ascii="Times New Roman" w:hAnsi="Times New Roman"/>
          <w:b/>
          <w:color w:val="000000"/>
          <w:sz w:val="20"/>
          <w:u w:val="single"/>
        </w:rPr>
        <w:t>Overstandard Tenant Use</w:t>
      </w:r>
      <w:r>
        <w:rPr>
          <w:rFonts w:ascii="Times New Roman" w:hAnsi="Times New Roman"/>
          <w:color w:val="000000"/>
          <w:sz w:val="20"/>
        </w:rPr>
        <w:t>. Tenant shall not, without Landlord’s prior written consent, which consent shall not be unreasonably withheld, conditioned or delayed, use heat-generating machines, machines other than normal fractional horsepower office machines, or equipment or lighting other than Building standard lights in the Premises, which may affect the</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- 30 -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temperature otherwise maintained by the air conditioning system or increase the water normally furnished for the Premises by Landlord pursuant to the terms of </w:t>
      </w:r>
      <w:r>
        <w:rPr>
          <w:rFonts w:ascii="Times New Roman" w:hAnsi="Times New Roman"/>
          <w:color w:val="000000"/>
          <w:sz w:val="20"/>
          <w:u w:val="single"/>
        </w:rPr>
        <w:t>Section 6.1</w:t>
      </w:r>
      <w:r>
        <w:rPr>
          <w:rFonts w:ascii="Times New Roman" w:hAnsi="Times New Roman"/>
          <w:color w:val="000000"/>
          <w:sz w:val="20"/>
        </w:rPr>
        <w:t xml:space="preserve"> of this Lease. If Tenant uses water, heat or air conditioning in excess of that supplied by Landlord pursuant to </w:t>
      </w:r>
      <w:r>
        <w:rPr>
          <w:rFonts w:ascii="Times New Roman" w:hAnsi="Times New Roman"/>
          <w:color w:val="000000"/>
          <w:sz w:val="20"/>
          <w:u w:val="single"/>
        </w:rPr>
        <w:t>Section 6.1</w:t>
      </w:r>
      <w:r>
        <w:rPr>
          <w:rFonts w:ascii="Times New Roman" w:hAnsi="Times New Roman"/>
          <w:color w:val="000000"/>
          <w:sz w:val="20"/>
        </w:rPr>
        <w:t xml:space="preserve"> of this Lease, Tenant shall pay to Landlord, upon billing, Landlord’s actual cost of providing such excess consumption, without profit or overhead, but including the cost of the installation, operation, and maintenance of equipment which is installed in order to supply such excess consumption, and the cost of the increased wear and tear on existing equipment caused by such excess consumption; and Landlord may install devices to separately meter (or sub-meter) any increased use and in such event Tenant shall pay the increased cost directly to Landlord, on demand, at the rates charged by the public utility company furnishing the same, including the cost of such additional metering (or sub-metering) devices. Tenant’s use of electricity shall never exceed the capacity of the feeders to the Project or the risers or wiring installation If Tenant desires to use heat, ventilation or air conditioning during hours other than those for which Landlord is obligated to supply such utilities pursuant to the terms of </w:t>
      </w:r>
      <w:r>
        <w:rPr>
          <w:rFonts w:ascii="Times New Roman" w:hAnsi="Times New Roman"/>
          <w:color w:val="000000"/>
          <w:sz w:val="20"/>
          <w:u w:val="single"/>
        </w:rPr>
        <w:t>Section 6.1</w:t>
      </w:r>
      <w:r>
        <w:rPr>
          <w:rFonts w:ascii="Times New Roman" w:hAnsi="Times New Roman"/>
          <w:color w:val="000000"/>
          <w:sz w:val="20"/>
        </w:rPr>
        <w:t xml:space="preserve"> of this Lease, Tenant shall give Landlord such prior notice, if any, as Landlord shall from time to time establish as appropriate (provided that in no event shall Tenant be required to give more than two (2) hours’ prior written notice in connection therewith), of Tenant’s desired use in order to supply such utilities, and Landlord shall supply such utilities to Tenant at such hourly cost to Tenant (which shall be treated as Additional Rent) as Landlord shall from time to time calculate to reimburse Landlord for its actual cost of supplying such utilities, as set forth in this </w:t>
      </w:r>
      <w:r>
        <w:rPr>
          <w:rFonts w:ascii="Times New Roman" w:hAnsi="Times New Roman"/>
          <w:color w:val="000000"/>
          <w:sz w:val="20"/>
          <w:u w:val="single"/>
        </w:rPr>
        <w:t>Section 6.2</w:t>
      </w:r>
      <w:r>
        <w:rPr>
          <w:rFonts w:ascii="Times New Roman" w:hAnsi="Times New Roman"/>
          <w:color w:val="000000"/>
          <w:sz w:val="20"/>
        </w:rPr>
        <w:t xml:space="preserve"> above.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6.3</w:t>
      </w:r>
    </w:p>
    <w:p>
      <w:pPr>
        <w:pStyle w:val="TextBody"/>
        <w:bidi w:val="0"/>
        <w:spacing w:before="0" w:after="240"/>
        <w:jc w:val="left"/>
        <w:rPr/>
      </w:pPr>
      <w:r>
        <w:rPr>
          <w:rFonts w:ascii="Times New Roman" w:hAnsi="Times New Roman"/>
          <w:b/>
          <w:color w:val="000000"/>
          <w:sz w:val="20"/>
          <w:u w:val="single"/>
        </w:rPr>
        <w:t>Interruption of Use</w:t>
      </w:r>
      <w:r>
        <w:rPr>
          <w:rFonts w:ascii="Times New Roman" w:hAnsi="Times New Roman"/>
          <w:color w:val="000000"/>
          <w:sz w:val="20"/>
        </w:rPr>
        <w:t xml:space="preserve">. Tenant agrees that Landlord shall not be liable for damages, by abatement of Rent or otherwise, for failure to furnish or delay in furnishing any service (including telephone and telecommunication services), or for any diminution in the quality or quantity thereof, when such failure or delay or diminution is occasioned, in whole or in part, by breakage, repairs, replacements, or improvements, by any strike, lockout or other labor trouble, by inability to secure electricity, gas, water, or other fuel at the Building or Project after reasonable effort to do so, by any riot or other dangerous condition, emergency, accident or casualty whatsoever, by act or default of Tenant or other parties, or by any other cause; and such failures or delays or diminution shall never be deemed to constitute an eviction or disturbance of Tenant’s use and possession of the Premises or relieve Tenant from paying Rent or performing any of its obligations under this Lease. Furthermore, Landlord shall not be liable under any circumstances for a loss of, or injury to, property or for injury to, or interference with, Tenant’s business, including, without limitation, loss of profits, however occurring, through or in connection with or incidental to a failure to furnish any of the services or utilities as set forth in this </w:t>
      </w:r>
      <w:r>
        <w:rPr>
          <w:rFonts w:ascii="Times New Roman" w:hAnsi="Times New Roman"/>
          <w:color w:val="000000"/>
          <w:sz w:val="20"/>
          <w:u w:val="single"/>
        </w:rPr>
        <w:t>Article 6</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240"/>
        <w:jc w:val="left"/>
        <w:rPr/>
      </w:pPr>
      <w:r>
        <w:rPr>
          <w:rFonts w:ascii="Times New Roman" w:hAnsi="Times New Roman"/>
          <w:b/>
          <w:color w:val="000000"/>
          <w:sz w:val="20"/>
        </w:rPr>
        <w:t xml:space="preserve">REPAIRS. </w:t>
      </w:r>
      <w:r>
        <w:rPr>
          <w:rFonts w:ascii="Times New Roman" w:hAnsi="Times New Roman"/>
          <w:color w:val="000000"/>
          <w:sz w:val="20"/>
        </w:rPr>
        <w:t xml:space="preserve">Subject to the provisions of </w:t>
      </w:r>
      <w:r>
        <w:rPr>
          <w:rFonts w:ascii="Times New Roman" w:hAnsi="Times New Roman"/>
          <w:color w:val="000000"/>
          <w:sz w:val="20"/>
          <w:u w:val="single"/>
        </w:rPr>
        <w:t>Article 11</w:t>
      </w:r>
      <w:r>
        <w:rPr>
          <w:color w:val="000000"/>
        </w:rPr>
        <w:t xml:space="preserve"> </w:t>
      </w:r>
      <w:r>
        <w:rPr>
          <w:rFonts w:ascii="Times New Roman" w:hAnsi="Times New Roman"/>
          <w:color w:val="000000"/>
          <w:sz w:val="20"/>
        </w:rPr>
        <w:t xml:space="preserve">and to Landlord’s repair obligations set forth below in this </w:t>
      </w:r>
      <w:r>
        <w:rPr>
          <w:rFonts w:ascii="Times New Roman" w:hAnsi="Times New Roman"/>
          <w:color w:val="000000"/>
          <w:sz w:val="20"/>
          <w:u w:val="single"/>
        </w:rPr>
        <w:t>Article 7</w:t>
      </w:r>
      <w:r>
        <w:rPr>
          <w:rFonts w:ascii="Times New Roman" w:hAnsi="Times New Roman"/>
          <w:color w:val="000000"/>
          <w:sz w:val="20"/>
        </w:rPr>
        <w:t xml:space="preserve">, Tenant shall, at Tenant’s own expense, keep the Premises, including all improvements, fixtures, furnishings, and systems and equipment therein (including, without limitation, plumbing fixtures and equipment such as dishwashers, garbage disposals, and insta-hot dispensers), in good order, repair and condition at all times during the Lease Term. In addition, Tenant shall, at Tenant’s own expense, but subject to the terms and conditions of </w:t>
      </w:r>
      <w:r>
        <w:rPr>
          <w:rFonts w:ascii="Times New Roman" w:hAnsi="Times New Roman"/>
          <w:color w:val="000000"/>
          <w:sz w:val="20"/>
          <w:u w:val="single"/>
        </w:rPr>
        <w:t>Article 8</w:t>
      </w:r>
      <w:r>
        <w:rPr>
          <w:color w:val="000000"/>
        </w:rPr>
        <w:t xml:space="preserve"> </w:t>
      </w:r>
      <w:r>
        <w:rPr>
          <w:rFonts w:ascii="Times New Roman" w:hAnsi="Times New Roman"/>
          <w:color w:val="000000"/>
          <w:sz w:val="20"/>
        </w:rPr>
        <w:t>below, and within any reasonable period of time specified by Landlord, promptly and adequately repair all damage to the Premises and replace or repair all damaged, broken, or worn fixtures and appurtenances, except for damage caused by ordinary wear and tear or beyond the reasonable control of Tenant; provided however, that, at Landlord’s option, or if Tenant fails to make such repairs, Landlord may, but need not, upon at least five (5) business days prior written notice to</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- 31 -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Tenant, (except in the event of an emergency), make such repairs and replacements, and Tenant shall pay Landlord the cost thereof, including a percentage of the cost thereof (to be uniformly established for the Building and/or the Project) sufficient to reimburse Landlord for all overhead, general conditions, fees and other costs or expenses arising from Landlord’s involvement with such repairs and replacements forthwith upon being billed for same; provided further that, that if such repairs are due to the negligence or willful misconduct of Landlord, then Tenant shall nevertheless make such repairs at Landlord’s expense, or, if covered by Tenant’s insurance, then Landlord shall only be obligated to pay any deductible in connection therewith. Landlord agrees that at all times it will maintain the structural portions of the Building, including the foundation, floor/ceiling slabs, roof, curtain walls, exterior walls, exterior glass and mullions, columns, beams, shafts (including elevator shafts), stairs, stairwells, elevator cabs, mechanical, electrical and telephone closets and the Common Areas (collectively, the “</w:t>
      </w:r>
      <w:r>
        <w:rPr>
          <w:rFonts w:ascii="Times New Roman" w:hAnsi="Times New Roman"/>
          <w:b/>
          <w:color w:val="000000"/>
          <w:sz w:val="20"/>
        </w:rPr>
        <w:t>Building Structure</w:t>
      </w:r>
      <w:r>
        <w:rPr>
          <w:rFonts w:ascii="Times New Roman" w:hAnsi="Times New Roman"/>
          <w:color w:val="000000"/>
          <w:sz w:val="20"/>
        </w:rPr>
        <w:t>”) and the base Building mechanical, electrical, life safety, plumbing, sprinkler and HVAC systems installed or furnished by Landlord which serve the Premises (collectively, the “</w:t>
      </w:r>
      <w:r>
        <w:rPr>
          <w:rFonts w:ascii="Times New Roman" w:hAnsi="Times New Roman"/>
          <w:b/>
          <w:color w:val="000000"/>
          <w:sz w:val="20"/>
        </w:rPr>
        <w:t>Building Systems</w:t>
      </w:r>
      <w:r>
        <w:rPr>
          <w:rFonts w:ascii="Times New Roman" w:hAnsi="Times New Roman"/>
          <w:color w:val="000000"/>
          <w:sz w:val="20"/>
        </w:rPr>
        <w:t>”) in good order, condition and repair. The term “</w:t>
      </w:r>
      <w:r>
        <w:rPr>
          <w:rFonts w:ascii="Times New Roman" w:hAnsi="Times New Roman"/>
          <w:b/>
          <w:color w:val="000000"/>
          <w:sz w:val="20"/>
        </w:rPr>
        <w:t>Base Building</w:t>
      </w:r>
      <w:r>
        <w:rPr>
          <w:rFonts w:ascii="Times New Roman" w:hAnsi="Times New Roman"/>
          <w:color w:val="000000"/>
          <w:sz w:val="20"/>
        </w:rPr>
        <w:t xml:space="preserve">” shall mean the Building Structure and the Building Systems. Notwithstanding the foregoing, Landlord shall, at Landlord’s sole cost and expense, repair the Base Building, except to the extent that such repairs are required due to the negligence or willful misconduct of Tenant; provided, however, that if such repairs are due to the negligence or willful misconduct of Tenant, Landlord shall nevertheless make such repairs at Tenant’s expense, or, if covered by Landlord’s insurance, Tenant shall only be obligated to pay any deductible in connection therewith. Subject to the terms of </w:t>
      </w:r>
      <w:r>
        <w:rPr>
          <w:rFonts w:ascii="Times New Roman" w:hAnsi="Times New Roman"/>
          <w:color w:val="000000"/>
          <w:sz w:val="20"/>
          <w:u w:val="single"/>
        </w:rPr>
        <w:t>Section 19.5.2</w:t>
      </w:r>
      <w:r>
        <w:rPr>
          <w:rFonts w:ascii="Times New Roman" w:hAnsi="Times New Roman"/>
          <w:color w:val="000000"/>
          <w:sz w:val="20"/>
        </w:rPr>
        <w:t xml:space="preserve"> and </w:t>
      </w:r>
      <w:r>
        <w:rPr>
          <w:rFonts w:ascii="Times New Roman" w:hAnsi="Times New Roman"/>
          <w:color w:val="000000"/>
          <w:sz w:val="20"/>
          <w:u w:val="single"/>
        </w:rPr>
        <w:t>Article 27</w:t>
      </w:r>
      <w:r>
        <w:rPr>
          <w:rFonts w:ascii="Times New Roman" w:hAnsi="Times New Roman"/>
          <w:color w:val="000000"/>
          <w:sz w:val="20"/>
        </w:rPr>
        <w:t>, below, Landlord may, but shall not be required to, enter the Premises at all reasonable times to make such repairs, alterations, improvements or additions to the Premises or to the Project or to any equipment located in the Project as Landlord shall desire or deem necessary or as Landlord may be required to do by governmental or quasi-governmental authority or court order or decree. Tenant hereby waives any and all rights under and benefits of subsection 1 of Section 1932 and Sections 1941 and 1942 of the California Civil Code or under any similar law, statute, or ordinance now or hereafter in effect.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240"/>
        <w:jc w:val="left"/>
        <w:rPr/>
      </w:pPr>
      <w:r>
        <w:rPr>
          <w:rFonts w:ascii="Times New Roman" w:hAnsi="Times New Roman"/>
          <w:b/>
          <w:color w:val="000000"/>
          <w:sz w:val="20"/>
        </w:rPr>
        <w:t>ADDITIONS AND ALTERATIONS</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8.1</w:t>
      </w:r>
    </w:p>
    <w:p>
      <w:pPr>
        <w:pStyle w:val="TextBody"/>
        <w:bidi w:val="0"/>
        <w:spacing w:before="0" w:after="240"/>
        <w:jc w:val="left"/>
        <w:rPr/>
      </w:pPr>
      <w:r>
        <w:rPr>
          <w:rFonts w:ascii="Times New Roman" w:hAnsi="Times New Roman"/>
          <w:b/>
          <w:color w:val="000000"/>
          <w:sz w:val="20"/>
          <w:u w:val="single"/>
        </w:rPr>
        <w:t>Landlord’s Consent to Alterations</w:t>
      </w:r>
      <w:r>
        <w:rPr>
          <w:rFonts w:ascii="Times New Roman" w:hAnsi="Times New Roman"/>
          <w:color w:val="000000"/>
          <w:sz w:val="20"/>
        </w:rPr>
        <w:t>. Tenant may not make any improvements, alterations, additions or changes to the Premises or any mechanical, plumbing or HVAC facilities or systems pertaining to the Premises (collectively, the “</w:t>
      </w:r>
      <w:r>
        <w:rPr>
          <w:rFonts w:ascii="Times New Roman" w:hAnsi="Times New Roman"/>
          <w:b/>
          <w:color w:val="000000"/>
          <w:sz w:val="20"/>
        </w:rPr>
        <w:t>Alterations</w:t>
      </w:r>
      <w:r>
        <w:rPr>
          <w:color w:val="000000"/>
        </w:rPr>
        <w:t>”</w:t>
      </w:r>
      <w:r>
        <w:rPr>
          <w:rFonts w:ascii="Times New Roman" w:hAnsi="Times New Roman"/>
          <w:color w:val="000000"/>
          <w:sz w:val="20"/>
        </w:rPr>
        <w:t>) without first procuring the prior written consent of Landlord to such Alterations, which consent shall be requested by Tenant not less than twenty-five (25) days prior to the commencement thereof, and which consent shall not be unreasonably withheld by Landlord, provided it shall be deemed reasonable for Landlord to withhold its consent to any Alteration which adversely affects the structural portions or the systems or equipment of the Building or is visible from the exterior of the Building. If Landlord fails to provide approve or disapprove of an Alteration within said twenty-five (25) day period, then Tenant may deliver a second request for approval at the expiration of said twenty-five (25) day period setting forth such failure containing the following sentence at the top of such notice in bold, capitalized font at least twelve (12) points in size: “</w:t>
      </w:r>
      <w:r>
        <w:rPr>
          <w:rFonts w:ascii="Times New Roman" w:hAnsi="Times New Roman"/>
          <w:b/>
          <w:color w:val="000000"/>
          <w:sz w:val="20"/>
        </w:rPr>
        <w:t>LANDLORD’S FAILURE TO RESPOND TO THIS NOTICE WITHIN FIVE (5) BUSINESS DAYS SHALL RESULT IN LANDLORD’S DEEMED APPROVAL OF TENANT’S ALTERATION</w:t>
      </w:r>
      <w:r>
        <w:rPr>
          <w:color w:val="000000"/>
        </w:rPr>
        <w:t xml:space="preserve">” </w:t>
      </w:r>
      <w:r>
        <w:rPr>
          <w:rFonts w:ascii="Times New Roman" w:hAnsi="Times New Roman"/>
          <w:color w:val="000000"/>
          <w:sz w:val="20"/>
        </w:rPr>
        <w:t>(the “</w:t>
      </w:r>
      <w:r>
        <w:rPr>
          <w:rFonts w:ascii="Times New Roman" w:hAnsi="Times New Roman"/>
          <w:b/>
          <w:color w:val="000000"/>
          <w:sz w:val="20"/>
        </w:rPr>
        <w:t>Reminder Notice</w:t>
      </w:r>
      <w:r>
        <w:rPr>
          <w:color w:val="000000"/>
        </w:rPr>
        <w:t>”</w:t>
      </w:r>
      <w:r>
        <w:rPr>
          <w:rFonts w:ascii="Times New Roman" w:hAnsi="Times New Roman"/>
          <w:color w:val="000000"/>
          <w:sz w:val="20"/>
        </w:rPr>
        <w:t>). Any such Reminder Notice shall include a complete copy of Tenant’s plans and specification for such Alteration. Landlord’s failure to provide approval or disapproval within five</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- 32 -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(5) business days following Landlord’s receipt of a Reminder Notice shall conclusively be deemed approval of Tenant’s Alteration as presented. Notwithstanding the foregoing, Tenant shall be permitted to make Alterations following ten (10) business days’ notice to Landlord, but without Landlord’s prior consent, to the extent that such Alterations (i) do not adversely affect the building systems or equipment, (ii) are not visible from the exterior of the Building, and (iii) (A) are decorative only (e.g., installation of carpeting or painting of the Premises) or (B) cost less than $50,000.00 for a particular job of work. The construction of the initial improvements to the Premises shall be governed by the terms of the Tenant Work Letter and not the terms of this </w:t>
      </w:r>
      <w:r>
        <w:rPr>
          <w:rFonts w:ascii="Times New Roman" w:hAnsi="Times New Roman"/>
          <w:color w:val="000000"/>
          <w:sz w:val="20"/>
          <w:u w:val="single"/>
        </w:rPr>
        <w:t>Article 8</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8.2</w:t>
      </w:r>
    </w:p>
    <w:p>
      <w:pPr>
        <w:pStyle w:val="TextBody"/>
        <w:bidi w:val="0"/>
        <w:spacing w:before="0" w:after="240"/>
        <w:jc w:val="left"/>
        <w:rPr/>
      </w:pPr>
      <w:r>
        <w:rPr>
          <w:rFonts w:ascii="Times New Roman" w:hAnsi="Times New Roman"/>
          <w:b/>
          <w:color w:val="000000"/>
          <w:sz w:val="20"/>
          <w:u w:val="single"/>
        </w:rPr>
        <w:t>Manner of Construction</w:t>
      </w:r>
      <w:r>
        <w:rPr>
          <w:rFonts w:ascii="Times New Roman" w:hAnsi="Times New Roman"/>
          <w:color w:val="000000"/>
          <w:sz w:val="20"/>
        </w:rPr>
        <w:t xml:space="preserve">. Landlord may impose, as a condition of its consent to any and all Alterations or repairs of the Premises or about the Premises, such requirements as Landlord in its reasonable discretion may deem desirable, including, but not limited to, the requirement that upon Landlord’s request, Tenant shall, at Tenant’s expense, remove such Alterations upon the expiration or any early termination of the Lease Term if such Alterations are Specialty Alterations (as that term is defined in </w:t>
      </w:r>
      <w:r>
        <w:rPr>
          <w:rFonts w:ascii="Times New Roman" w:hAnsi="Times New Roman"/>
          <w:color w:val="000000"/>
          <w:sz w:val="20"/>
          <w:u w:val="single"/>
        </w:rPr>
        <w:t>Section 8.5</w:t>
      </w:r>
      <w:r>
        <w:rPr>
          <w:color w:val="000000"/>
        </w:rPr>
        <w:t xml:space="preserve"> </w:t>
      </w:r>
      <w:r>
        <w:rPr>
          <w:rFonts w:ascii="Times New Roman" w:hAnsi="Times New Roman"/>
          <w:color w:val="000000"/>
          <w:sz w:val="20"/>
        </w:rPr>
        <w:t xml:space="preserve">below). Tenant shall construct such Alterations and perform such repairs in a good and workmanlike manner, in conformance with any and all applicable federal, state, county or municipal laws, rules and regulations and pursuant to a valid building permit, issued by the city in which the Building is located (or other applicable governmental authority). Tenant shall not use (and upon notice from Landlord shall cease using) contractors, services, workmen, labor, materials or equipment that, in Landlord’s reasonable judgment, would disturb labor harmony with the workforce or trades engaged in performing other work, labor or services in or about the Building or the Common Areas. Upon completion of any Alterations (or repairs), Tenant shall deliver to Landlord final lien waivers from all contractors, subcontractors and materialmen who performed such work. In addition to Tenant’s obligations under </w:t>
      </w:r>
      <w:r>
        <w:rPr>
          <w:rFonts w:ascii="Times New Roman" w:hAnsi="Times New Roman"/>
          <w:color w:val="000000"/>
          <w:sz w:val="20"/>
          <w:u w:val="single"/>
        </w:rPr>
        <w:t>Article 9</w:t>
      </w:r>
      <w:r>
        <w:rPr>
          <w:color w:val="000000"/>
        </w:rPr>
        <w:t xml:space="preserve"> </w:t>
      </w:r>
      <w:r>
        <w:rPr>
          <w:rFonts w:ascii="Times New Roman" w:hAnsi="Times New Roman"/>
          <w:color w:val="000000"/>
          <w:sz w:val="20"/>
        </w:rPr>
        <w:t>of this Lease, upon completion of any Alterations, Tenant agrees to cause a Notice of Completion to be recorded in the office of the Recorder of the County of San Diego in accordance with Section 8182 of the Civil Code of the State of California or any successor statute, and Tenant shall deliver to the Project construction manager a reproducible copy of the “</w:t>
      </w:r>
      <w:r>
        <w:rPr>
          <w:rFonts w:ascii="Times New Roman" w:hAnsi="Times New Roman"/>
          <w:b/>
          <w:color w:val="000000"/>
          <w:sz w:val="20"/>
        </w:rPr>
        <w:t>as built</w:t>
      </w:r>
      <w:r>
        <w:rPr>
          <w:color w:val="000000"/>
        </w:rPr>
        <w:t xml:space="preserve">” </w:t>
      </w:r>
      <w:r>
        <w:rPr>
          <w:rFonts w:ascii="Times New Roman" w:hAnsi="Times New Roman"/>
          <w:color w:val="000000"/>
          <w:sz w:val="20"/>
        </w:rPr>
        <w:t>drawings of the Alterations as well as all permits, approvals and other documents issued by any governmental agency in connection with the Alterations.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8.3</w:t>
      </w:r>
    </w:p>
    <w:p>
      <w:pPr>
        <w:pStyle w:val="TextBody"/>
        <w:bidi w:val="0"/>
        <w:spacing w:before="0" w:after="240"/>
        <w:jc w:val="left"/>
        <w:rPr/>
      </w:pPr>
      <w:r>
        <w:rPr>
          <w:rFonts w:ascii="Times New Roman" w:hAnsi="Times New Roman"/>
          <w:b/>
          <w:color w:val="000000"/>
          <w:sz w:val="20"/>
          <w:u w:val="single"/>
        </w:rPr>
        <w:t>Payment for Improvements</w:t>
      </w:r>
      <w:r>
        <w:rPr>
          <w:rFonts w:ascii="Times New Roman" w:hAnsi="Times New Roman"/>
          <w:color w:val="000000"/>
          <w:sz w:val="20"/>
        </w:rPr>
        <w:t>. If Tenant orders any work directly from Landlord, Tenant shall pay to Landlord an amount equal to five percent (5%) of the cost of such work to compensate Landlord for all overhead, general conditions, fees and other costs and expenses arising from Landlord’s involvement with such work. If Tenant does not order any work directly from Landlord, Tenant shall reimburse Landlord for Landlord’s reasonable, actual, out-of-pocket costs and expenses actually incurred in connection with Landlord’s review of such work.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8.4</w:t>
      </w:r>
    </w:p>
    <w:p>
      <w:pPr>
        <w:pStyle w:val="TextBody"/>
        <w:bidi w:val="0"/>
        <w:spacing w:before="0" w:after="240"/>
        <w:jc w:val="left"/>
        <w:rPr/>
      </w:pPr>
      <w:r>
        <w:rPr>
          <w:rFonts w:ascii="Times New Roman" w:hAnsi="Times New Roman"/>
          <w:b/>
          <w:color w:val="000000"/>
          <w:sz w:val="20"/>
          <w:u w:val="single"/>
        </w:rPr>
        <w:t>Construction Insurance</w:t>
      </w:r>
      <w:r>
        <w:rPr>
          <w:rFonts w:ascii="Times New Roman" w:hAnsi="Times New Roman"/>
          <w:color w:val="000000"/>
          <w:sz w:val="20"/>
        </w:rPr>
        <w:t xml:space="preserve">. In addition to the requirements of </w:t>
      </w:r>
      <w:r>
        <w:rPr>
          <w:rFonts w:ascii="Times New Roman" w:hAnsi="Times New Roman"/>
          <w:color w:val="000000"/>
          <w:sz w:val="20"/>
          <w:u w:val="single"/>
        </w:rPr>
        <w:t>Article 10</w:t>
      </w:r>
      <w:r>
        <w:rPr>
          <w:color w:val="000000"/>
        </w:rPr>
        <w:t xml:space="preserve"> </w:t>
      </w:r>
      <w:r>
        <w:rPr>
          <w:rFonts w:ascii="Times New Roman" w:hAnsi="Times New Roman"/>
          <w:color w:val="000000"/>
          <w:sz w:val="20"/>
        </w:rPr>
        <w:t>of this Lease, in the event that Tenant makes any Alterations, prior to the commencement of such Alterations, Tenant shall provide Landlord with evidence that Tenant carries “</w:t>
      </w:r>
      <w:r>
        <w:rPr>
          <w:rFonts w:ascii="Times New Roman" w:hAnsi="Times New Roman"/>
          <w:b/>
          <w:color w:val="000000"/>
          <w:sz w:val="20"/>
        </w:rPr>
        <w:t>Builder’s All Risk</w:t>
      </w:r>
      <w:r>
        <w:rPr>
          <w:color w:val="000000"/>
        </w:rPr>
        <w:t xml:space="preserve">” </w:t>
      </w:r>
      <w:r>
        <w:rPr>
          <w:rFonts w:ascii="Times New Roman" w:hAnsi="Times New Roman"/>
          <w:color w:val="000000"/>
          <w:sz w:val="20"/>
        </w:rPr>
        <w:t xml:space="preserve">insurance in an amount reasonably approved by Landlord covering the construction of such Alterations, and such other insurance as Landlord may reasonably require, it being understood and agreed that all of such Alterations shall be insured by Tenant pursuant to </w:t>
      </w:r>
      <w:r>
        <w:rPr>
          <w:rFonts w:ascii="Times New Roman" w:hAnsi="Times New Roman"/>
          <w:color w:val="000000"/>
          <w:sz w:val="20"/>
          <w:u w:val="single"/>
        </w:rPr>
        <w:t>Article 10</w:t>
      </w:r>
      <w:r>
        <w:rPr>
          <w:color w:val="000000"/>
        </w:rPr>
        <w:t xml:space="preserve"> </w:t>
      </w:r>
      <w:r>
        <w:rPr>
          <w:rFonts w:ascii="Times New Roman" w:hAnsi="Times New Roman"/>
          <w:color w:val="000000"/>
          <w:sz w:val="20"/>
        </w:rPr>
        <w:t>of this Lease immediately upon completion thereof. In addition, Tenant’s contractors and subcontractors shall be required to carry (i) Commercial General Liability Insurance in an amount reasonably approved</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- 33 -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by Landlord, with Landlord, and, at Landlord’s option, Landlord’s property manager and project manager, as additional insureds in an amount reasonably approved by Landlord, and otherwise in accordance with the requirements of </w:t>
      </w:r>
      <w:r>
        <w:rPr>
          <w:rFonts w:ascii="Times New Roman" w:hAnsi="Times New Roman"/>
          <w:color w:val="000000"/>
          <w:sz w:val="20"/>
          <w:u w:val="single"/>
        </w:rPr>
        <w:t>Article 10</w:t>
      </w:r>
      <w:r>
        <w:rPr>
          <w:rFonts w:ascii="Times New Roman" w:hAnsi="Times New Roman"/>
          <w:color w:val="000000"/>
          <w:sz w:val="20"/>
        </w:rPr>
        <w:t xml:space="preserve"> of this Lease, and (ii) workers compensation insurance with a waiver of subrogation in favor of Landlord. Landlord may, if commercially reasonable under the circumstances, require Tenant to obtain a lien and completion bond or some alternate form of security satisfactory to Landlord in an amount sufficient to ensure the lien-free completion of such Alterations and naming Landlord as a co-obligee.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8.5</w:t>
      </w:r>
    </w:p>
    <w:p>
      <w:pPr>
        <w:pStyle w:val="TextBody"/>
        <w:bidi w:val="0"/>
        <w:spacing w:before="0" w:after="240"/>
        <w:jc w:val="left"/>
        <w:rPr/>
      </w:pPr>
      <w:r>
        <w:rPr>
          <w:rFonts w:ascii="Times New Roman" w:hAnsi="Times New Roman"/>
          <w:b/>
          <w:color w:val="000000"/>
          <w:sz w:val="20"/>
          <w:u w:val="single"/>
        </w:rPr>
        <w:t>Landlord’s Property</w:t>
      </w:r>
      <w:r>
        <w:rPr>
          <w:rFonts w:ascii="Times New Roman" w:hAnsi="Times New Roman"/>
          <w:color w:val="000000"/>
          <w:sz w:val="20"/>
        </w:rPr>
        <w:t xml:space="preserve">. All Alterations, improvements, fixtures, equipment and/or appurtenances which may be installed or placed in or about the Premises, from time to time, shall be at the sole cost of Tenant and shall be and become the property of Landlord and remain in place at the Premises following the expiration or earlier termination of this Lease, except that Tenant may remove any Alterations, improvements, fixtures and/or equipment which have not been paid for with any Tenant improvement allowance funds provided to Tenant by Landlord (including, without limitation, the Tenant Improvement Allowance (as that term is defined in Section 1.2 of the Work Letter), provided Tenant repairs any damage to the Premises and Building caused by such removal and returns the affected portion of the Premises to a building standard tenant improved condition. Notwithstanding the foregoing, Landlord may, by written notice to Tenant prior to the end of the Lease Term, or given following any earlier termination of this Lease, require Tenant, at Tenant’s expense, to remove any Alterations and/or improvements and/or systems and equipment within the Premises that are Specialty Alterations and to repair any damage to the Premises and Building caused by such removal and return the affected portion of the Premises to a building standard tenant improved condition as determined by Landlord; provided, however, that notwithstanding the foregoing, upon request by Tenant at the time of Tenant’s request for Landlord’s consent to any Alteration or improvement, Landlord shall notify Tenant whether any applicable Alteration or improvement that constitutes a Specialty Alteration will be required to be removed pursuant to the terms of this </w:t>
      </w:r>
      <w:r>
        <w:rPr>
          <w:rFonts w:ascii="Times New Roman" w:hAnsi="Times New Roman"/>
          <w:color w:val="000000"/>
          <w:sz w:val="20"/>
          <w:u w:val="single"/>
        </w:rPr>
        <w:t>Section 8.5</w:t>
      </w:r>
      <w:r>
        <w:rPr>
          <w:color w:val="000000"/>
        </w:rPr>
        <w:t xml:space="preserve"> </w:t>
      </w:r>
      <w:r>
        <w:rPr>
          <w:rFonts w:ascii="Times New Roman" w:hAnsi="Times New Roman"/>
          <w:color w:val="000000"/>
          <w:sz w:val="20"/>
        </w:rPr>
        <w:t>(and, if following Tenant’s request Landlord fails to specify that any such Specialty Alteration will be subject to the removal requirement described herein, Landlord shall not have a subsequent right to designate such Specialty Alteration as subject to removal). If Tenant fails to complete such removal and/or to repair any damage caused by such removal and return the affected portion of the Premises to a building standard tenant improved condition as reasonably determined by Landlord, then Landlord may do so and may charge the cost thereof to Tenant. Tenant hereby protects, defends, indemnifies and holds Landlord harmless from any liability, cost, obligation, expense or claim of lien in any manner relating to the installation, placement, removal or financing of any such Alterations, improvements, fixtures and/or equipment in, on or about the Premises, which obligations of Tenant shall survive the expiration or earlier termination of this Lease. As used herein, “</w:t>
      </w:r>
      <w:r>
        <w:rPr>
          <w:rFonts w:ascii="Times New Roman" w:hAnsi="Times New Roman"/>
          <w:b/>
          <w:color w:val="000000"/>
          <w:sz w:val="20"/>
        </w:rPr>
        <w:t>Specialty Alterations</w:t>
      </w:r>
      <w:r>
        <w:rPr>
          <w:color w:val="000000"/>
        </w:rPr>
        <w:t xml:space="preserve">” </w:t>
      </w:r>
      <w:r>
        <w:rPr>
          <w:rFonts w:ascii="Times New Roman" w:hAnsi="Times New Roman"/>
          <w:color w:val="000000"/>
          <w:sz w:val="20"/>
        </w:rPr>
        <w:t>shall mean any improvement that is not a normal and customary general office improvement, including, but not limited to, improvements which: (i) perforate, penetrate or require reinforcement of a floor slab (including, without limitation, interior stairwells or high-density filing or racking systems), (ii) consist of the installation of a raised flooring system, (iii) consist of the installation of a vault or other similar device or system intended to secure the Premises or a portion thereof in a manner that exceeds the level of security necessary for ordinary office space, (iv) involve material plumbing connections (such as, for example but not by way of limitation, kitchens (other than customary break-rooms with a refrigerator, sink and dishwasher), cafeteria, saunas, showers, and executive bathrooms outside of the Building core and/or special fire safety systems), (v) consist of the dedication of any material portion of the Premises to non-office usage (such as classrooms or</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- 34 -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kitchens), or (vi) can be seen from outside the Premises. Landlord hereby acknowledges and agrees that the Tenant Improvements which (i) are a natural and logical extension of the improvement shown on the Space Plan (as that term is defined in of the Tenant Work Letter) and (ii) contain Building standard materials and finishes, shall not be deemed to be Specialty Alterations.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9.</w:t>
      </w:r>
    </w:p>
    <w:p>
      <w:pPr>
        <w:pStyle w:val="TextBody"/>
        <w:bidi w:val="0"/>
        <w:spacing w:before="0" w:after="240"/>
        <w:jc w:val="left"/>
        <w:rPr/>
      </w:pPr>
      <w:r>
        <w:rPr>
          <w:rFonts w:ascii="Times New Roman" w:hAnsi="Times New Roman"/>
          <w:b/>
          <w:color w:val="000000"/>
          <w:sz w:val="20"/>
        </w:rPr>
        <w:t>COVENANT AGAINST LIENS</w:t>
      </w:r>
      <w:r>
        <w:rPr>
          <w:rFonts w:ascii="Times New Roman" w:hAnsi="Times New Roman"/>
          <w:color w:val="000000"/>
          <w:sz w:val="20"/>
        </w:rPr>
        <w:t>. Tenant shall keep the Project and Premises free from any liens or encumbrances arising out of the work performed, materials furnished or obligations incurred by or on behalf of Tenant (which shall not include any work performed by Landlord whether on behalf of Landlord or otherwise), and shall protect, defend, indemnify and hold Landlord harmless from and against any claims, liabilities, judgments or costs (including, without limitation, reasonable attorneys’ fees and costs) arising out of same or in connection therewith. Tenant shall give Landlord notice at least twenty (20) days prior to the commencement of any such work on the Premises that is reasonably anticipated to costs in excess of $20,000.00 (or such additional time as may be necessary under applicable laws) to afford Landlord the opportunity of posting and recording appropriate notices of non-responsibility (to the extent applicable pursuant to then applicable laws). Tenant shall not cause or permit any lien of mechanics or materialmen or others to be placed against the Project, the Building or the Premises with respect to work or services claimed to have been performed for or materials claimed to have been furnished to Tenant, and, in case of any such lien attaching or notice of any lien, reserves the right to contest such lien, provided that Tenant shall, at its sole cost and expense, provide a bond in accordance with the California Civil Code Section 8424. If Tenant does not timely exercise its right to contest such lien, Tenant shall cause it to be immediately released and removed of record (by payment, statutory bond or other lawful means). If any such lien is not so released and removed (by payment, statutory bond or other lawful means) within ten (10) business days after notice of such lien is delivered by Landlord to Tenant, then Landlord may, at its option, take all action necessary to release and remove such lien, and all sums, costs and expenses, including reasonable attorneys’ fees and costs, incurred by Landlord in connection with such lien shall be deemed Additional Rent under this Lease and shall immediately be due and payable by Tenant. Nothing contained in this Lease shall authorize Tenant to do any act which shall subject Landlord’s title to the Building or Premises to any liens or encumbrances whether claimed by operation of law or express or implied contract. Any claim to a lien or encumbrance upon the Building or Premises arising in connection with any such work or respecting the Premises not performed by or at the request of Landlord shall be null and void, or at Landlord’s option shall attach only against Tenant’s interest in the Premises and shall in all respects be subordinate to Landlord’s title to the Project, Building and Premises.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w:t>
      </w:r>
    </w:p>
    <w:p>
      <w:pPr>
        <w:pStyle w:val="TextBody"/>
        <w:bidi w:val="0"/>
        <w:spacing w:before="0" w:after="240"/>
        <w:jc w:val="left"/>
        <w:rPr/>
      </w:pPr>
      <w:r>
        <w:rPr>
          <w:rFonts w:ascii="Times New Roman" w:hAnsi="Times New Roman"/>
          <w:b/>
          <w:color w:val="000000"/>
          <w:sz w:val="20"/>
        </w:rPr>
        <w:t>INSURANCE</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10.1</w:t>
      </w:r>
    </w:p>
    <w:p>
      <w:pPr>
        <w:pStyle w:val="TextBody"/>
        <w:bidi w:val="0"/>
        <w:spacing w:before="0" w:after="240"/>
        <w:jc w:val="left"/>
        <w:rPr/>
      </w:pPr>
      <w:r>
        <w:rPr>
          <w:rFonts w:ascii="Times New Roman" w:hAnsi="Times New Roman"/>
          <w:b/>
          <w:color w:val="000000"/>
          <w:sz w:val="20"/>
          <w:u w:val="single"/>
        </w:rPr>
        <w:t>Indemnification and Waiver</w:t>
      </w:r>
      <w:r>
        <w:rPr>
          <w:rFonts w:ascii="Times New Roman" w:hAnsi="Times New Roman"/>
          <w:color w:val="000000"/>
          <w:sz w:val="20"/>
        </w:rPr>
        <w:t>. Except to the extent arising from the negligence or willful misconduct of Landlord or the Landlord Parties, Tenant hereby assumes all risk of damage to property or injury to persons in, upon or about the Premises from any cause whatsoever and agrees that Landlord, its partners, subpartners and their respective officers, agents, servants, employees, lenders, any property manager and independent contractors (collectively, “</w:t>
      </w:r>
      <w:r>
        <w:rPr>
          <w:rFonts w:ascii="Times New Roman" w:hAnsi="Times New Roman"/>
          <w:b/>
          <w:color w:val="000000"/>
          <w:sz w:val="20"/>
        </w:rPr>
        <w:t>Landlord Parties</w:t>
      </w:r>
      <w:r>
        <w:rPr>
          <w:color w:val="000000"/>
        </w:rPr>
        <w:t>”</w:t>
      </w:r>
      <w:r>
        <w:rPr>
          <w:rFonts w:ascii="Times New Roman" w:hAnsi="Times New Roman"/>
          <w:color w:val="000000"/>
          <w:sz w:val="20"/>
        </w:rPr>
        <w:t>) shall not be liable for, and are hereby released from any responsibility for, any damage either to person or property or resulting from the loss of use thereof, which damage is sustained by Tenant or by other persons claiming through Tenant. Tenant shall indemnify, defend, protect, and hold harmless the Landlord Parties from any and all claims, loss, cost, damage, injury, expense and liability (including without limitation court costs and reasonable attorneys’ fees) incurred in</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- 35 -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connection with or arising from any cause in, on or about the Premises, any acts, omissions or negligence of Tenant or of any person claiming by, through or under Tenant, or of the contractors, agents, servants, employees, invitees, guests or licensees of Tenant or any such person, in, on or about the Project or any breach of the terms of this Lease, either prior to, during, or after the expiration of the Lease Term, provided that the terms of the foregoing indemnity shall not apply to the gross negligence or willful misconduct of Landlord or any Landlord Parties. Should Landlord be named as a defendant in any suit brought against Tenant in connection with or arising out of Tenant’s occupancy of the Premises, Tenant shall pay to Landlord its costs and expenses incurred in such suit, including without limitation, its actual professional fees such as reasonable appraisers’, accountants’ and attorneys’ fees. Landlord shall indemnify, defend, protect, and hold harmless Tenant, its partners, and their respective officers, agents, servants, employees, and independent contractors (collectively, “</w:t>
      </w:r>
      <w:r>
        <w:rPr>
          <w:rFonts w:ascii="Times New Roman" w:hAnsi="Times New Roman"/>
          <w:b/>
          <w:color w:val="000000"/>
          <w:sz w:val="20"/>
        </w:rPr>
        <w:t>Tenant Parties</w:t>
      </w:r>
      <w:r>
        <w:rPr>
          <w:rFonts w:ascii="Times New Roman" w:hAnsi="Times New Roman"/>
          <w:color w:val="000000"/>
          <w:sz w:val="20"/>
        </w:rPr>
        <w:t xml:space="preserve">”) from any and all loss, cost, damage, expense and liability (including without limitation reasonable attorneys’ fees) arising from the gross negligence or willful misconduct of Landlord in, on or about the Project, except to the extent caused by the negligence or willful misconduct of the Tenant Parties. Notwithstanding anything to the contrary set forth in this Lease, either party’s agreement to indemnify the other party as set forth in this </w:t>
      </w:r>
      <w:r>
        <w:rPr>
          <w:rFonts w:ascii="Times New Roman" w:hAnsi="Times New Roman"/>
          <w:color w:val="000000"/>
          <w:sz w:val="20"/>
          <w:u w:val="single"/>
        </w:rPr>
        <w:t>Section 10.1</w:t>
      </w:r>
      <w:r>
        <w:rPr>
          <w:rFonts w:ascii="Times New Roman" w:hAnsi="Times New Roman"/>
          <w:color w:val="000000"/>
          <w:sz w:val="20"/>
        </w:rPr>
        <w:t xml:space="preserve"> shall be ineffective to the extent the matters for which such party agreed to indemnify the other party are covered by insurance required to be carried by the non-indemnifying party pursuant to this Lease. Further, Tenant’s agreement to indemnify Landlord and Landlord’s agreement to indemnify Tenant pursuant to this </w:t>
      </w:r>
      <w:r>
        <w:rPr>
          <w:rFonts w:ascii="Times New Roman" w:hAnsi="Times New Roman"/>
          <w:color w:val="000000"/>
          <w:sz w:val="20"/>
          <w:u w:val="single"/>
        </w:rPr>
        <w:t>Section 10.1</w:t>
      </w:r>
      <w:r>
        <w:rPr>
          <w:rFonts w:ascii="Times New Roman" w:hAnsi="Times New Roman"/>
          <w:color w:val="000000"/>
          <w:sz w:val="20"/>
        </w:rPr>
        <w:t xml:space="preserve"> are not intended to and shall not relieve any insurance carrier of its obligations under policies required to be carried pursuant to the provisions of this Lease, to the extent such policies cover, or if carried, would have covered the matters, subject to the parties’ respective indemnification obligations; nor shall they supersede any inconsistent agreement of the parties set forth in any other provision of this Lease. The provisions of this </w:t>
      </w:r>
      <w:r>
        <w:rPr>
          <w:rFonts w:ascii="Times New Roman" w:hAnsi="Times New Roman"/>
          <w:color w:val="000000"/>
          <w:sz w:val="20"/>
          <w:u w:val="single"/>
        </w:rPr>
        <w:t>Section 10.1</w:t>
      </w:r>
      <w:r>
        <w:rPr>
          <w:rFonts w:ascii="Times New Roman" w:hAnsi="Times New Roman"/>
          <w:color w:val="000000"/>
          <w:sz w:val="20"/>
        </w:rPr>
        <w:t xml:space="preserve"> shall survive the expiration or sooner termination of this Lease with respect to any claims or liability arising in connection with any event occurring prior to such expiration or termination.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10.2</w:t>
      </w:r>
    </w:p>
    <w:p>
      <w:pPr>
        <w:pStyle w:val="TextBody"/>
        <w:bidi w:val="0"/>
        <w:spacing w:before="0" w:after="240"/>
        <w:jc w:val="left"/>
        <w:rPr/>
      </w:pPr>
      <w:r>
        <w:rPr>
          <w:rFonts w:ascii="Times New Roman" w:hAnsi="Times New Roman"/>
          <w:b/>
          <w:color w:val="000000"/>
          <w:sz w:val="20"/>
          <w:u w:val="single"/>
        </w:rPr>
        <w:t>Tenant’s Compliance With Landlord’s Property Insurance</w:t>
      </w:r>
      <w:r>
        <w:rPr>
          <w:rFonts w:ascii="Times New Roman" w:hAnsi="Times New Roman"/>
          <w:color w:val="000000"/>
          <w:sz w:val="20"/>
        </w:rPr>
        <w:t>. Landlord shall insure the Building during the Lease Term against loss or damage under an “all risk” property insurance policy. Such coverage shall be in such amounts, from such companies, and on such other terms and conditions, as Landlord may from time to time reasonably determine. Additionally, at the option of Landlord, such insurance coverage may include the risks of earthquakes and/or flood damage and additional hazards, a rental loss endorsement and one or more loss payee endorsements in favor of the holders of any mortgages or deeds of trust encumbering the interest of Landlord in the Building or the ground or underlying lessors of the Building, or any portion thereof. Tenant shall, at Tenant’s expense, comply with all insurance company requirements pertaining to the use of the Premises. If Tenant’s conduct or use of the Premises causes any increase in the premium for such insurance policies then Tenant shall reimburse Landlord for any such increase. Tenant, at Tenant’s expense, shall comply with all rules, orders, regulations or requirements of the American Insurance Association (formerly the National Board of Fire Underwriters) and with any similar body. Tenant shall also provide Landlord and Landlord’s insurer(s) with such information regarding the use of the Premises and any damage to the Premises as they may require in connection with the placement of insurance for the Premises or the adjusting of any losses to the Premises.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- 36 -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10.3</w:t>
      </w:r>
    </w:p>
    <w:p>
      <w:pPr>
        <w:pStyle w:val="TextBody"/>
        <w:bidi w:val="0"/>
        <w:spacing w:before="0" w:after="240"/>
        <w:jc w:val="left"/>
        <w:rPr/>
      </w:pPr>
      <w:r>
        <w:rPr>
          <w:rFonts w:ascii="Times New Roman" w:hAnsi="Times New Roman"/>
          <w:b/>
          <w:color w:val="000000"/>
          <w:sz w:val="20"/>
          <w:u w:val="single"/>
        </w:rPr>
        <w:t>Tenant’s Insurance</w:t>
      </w:r>
      <w:r>
        <w:rPr>
          <w:rFonts w:ascii="Times New Roman" w:hAnsi="Times New Roman"/>
          <w:color w:val="000000"/>
          <w:sz w:val="20"/>
        </w:rPr>
        <w:t>. Tenant shall maintain the following coverages in the following amounts.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10.3.1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Commercial General Liability Insurance on an occurrence form (provided that product liability insurance may be on a claims-made form) covering the insured against claims of bodily injury, personal injury and property damage (including loss of use thereof) arising out of Tenant’s operations, and contractual liabilities including a contractual coverage, and including products and completed operations coverage, for limits of liability of not less than:</w:t>
      </w:r>
    </w:p>
    <w:tbl>
      <w:tblPr>
        <w:tblW w:w="6302" w:type="dxa"/>
        <w:jc w:val="left"/>
        <w:tblInd w:w="0" w:type="dxa"/>
        <w:tblLayout w:type="fixed"/>
        <w:tblCellMar>
          <w:top w:w="28" w:type="dxa"/>
          <w:left w:w="28" w:type="dxa"/>
          <w:bottom w:w="28" w:type="dxa"/>
          <w:right w:w="28" w:type="dxa"/>
        </w:tblCellMar>
      </w:tblPr>
      <w:tblGrid>
        <w:gridCol w:w="3781"/>
        <w:gridCol w:w="2521"/>
      </w:tblGrid>
      <w:tr>
        <w:trPr/>
        <w:tc>
          <w:tcPr>
            <w:tcW w:w="3781"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Bodily Injury and Property Damage Liability</w:t>
            </w:r>
          </w:p>
        </w:tc>
        <w:tc>
          <w:tcPr>
            <w:tcW w:w="25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$5,000,000 each occurrence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$5,000,000 annual aggregate</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Personal Injury Liability</w:t>
            </w:r>
          </w:p>
        </w:tc>
        <w:tc>
          <w:tcPr>
            <w:tcW w:w="25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$3,000,000 each occurrence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$3,000,000 annual aggregate</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10.3.2</w:t>
      </w:r>
    </w:p>
    <w:p>
      <w:pPr>
        <w:pStyle w:val="TextBody"/>
        <w:bidi w:val="0"/>
        <w:spacing w:before="0" w:after="240"/>
        <w:jc w:val="left"/>
        <w:rPr/>
      </w:pPr>
      <w:r>
        <w:rPr>
          <w:rFonts w:ascii="Times New Roman" w:hAnsi="Times New Roman"/>
          <w:color w:val="000000"/>
          <w:sz w:val="20"/>
        </w:rPr>
        <w:t>Property Insurance covering (i) all office furniture, business and trade fixtures, office equipment, free-standing cabinet work, movable partitions, merchandise and all other items of Tenant’s property on the Premises installed by, for, or at the expense of Tenant, (ii) the “</w:t>
      </w:r>
      <w:r>
        <w:rPr>
          <w:rFonts w:ascii="Times New Roman" w:hAnsi="Times New Roman"/>
          <w:b/>
          <w:color w:val="000000"/>
          <w:sz w:val="20"/>
        </w:rPr>
        <w:t>Tenant Improvements</w:t>
      </w:r>
      <w:r>
        <w:rPr>
          <w:rFonts w:ascii="Times New Roman" w:hAnsi="Times New Roman"/>
          <w:color w:val="000000"/>
          <w:sz w:val="20"/>
        </w:rPr>
        <w:t>,” as that term is defined in the Tenant Work Letter, and any other improvements which exist in the Premises as of the Lease Commencement Date (excluding the Base Building) (the “</w:t>
      </w:r>
      <w:r>
        <w:rPr>
          <w:rFonts w:ascii="Times New Roman" w:hAnsi="Times New Roman"/>
          <w:b/>
          <w:color w:val="000000"/>
          <w:sz w:val="20"/>
        </w:rPr>
        <w:t>Original Improvements</w:t>
      </w:r>
      <w:r>
        <w:rPr>
          <w:color w:val="000000"/>
        </w:rPr>
        <w:t>”</w:t>
      </w:r>
      <w:r>
        <w:rPr>
          <w:rFonts w:ascii="Times New Roman" w:hAnsi="Times New Roman"/>
          <w:color w:val="000000"/>
          <w:sz w:val="20"/>
        </w:rPr>
        <w:t>), and (iii) all other improvements, alterations and additions to the Premises. Such insurance shall be written on an “</w:t>
      </w:r>
      <w:r>
        <w:rPr>
          <w:rFonts w:ascii="Times New Roman" w:hAnsi="Times New Roman"/>
          <w:b/>
          <w:color w:val="000000"/>
          <w:sz w:val="20"/>
        </w:rPr>
        <w:t>all risks</w:t>
      </w:r>
      <w:r>
        <w:rPr>
          <w:color w:val="000000"/>
        </w:rPr>
        <w:t xml:space="preserve">” </w:t>
      </w:r>
      <w:r>
        <w:rPr>
          <w:rFonts w:ascii="Times New Roman" w:hAnsi="Times New Roman"/>
          <w:color w:val="000000"/>
          <w:sz w:val="20"/>
        </w:rPr>
        <w:t>of physical loss or damage basis, for the full replacement cost value (subject to reasonable deductible amounts) new without deduction for depreciation of the covered items and in amounts that meet any co-insurance clauses of the policies of insurance and shall include coverage for damage or other loss caused by fire or other peril including, but not limited to, vandalism and malicious mischief, theft, water damage of any type, including sprinkler leakage, bursting or stoppage of pipes, and explosion; provided that in no event shall such insurance be required to include coverage for damage or other loss caused by flood.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10.3.3</w:t>
      </w:r>
    </w:p>
    <w:p>
      <w:pPr>
        <w:pStyle w:val="TextBody"/>
        <w:bidi w:val="0"/>
        <w:spacing w:before="0" w:after="240"/>
        <w:jc w:val="left"/>
        <w:rPr/>
      </w:pPr>
      <w:r>
        <w:rPr>
          <w:rFonts w:ascii="Times New Roman" w:hAnsi="Times New Roman"/>
          <w:color w:val="000000"/>
          <w:sz w:val="20"/>
        </w:rPr>
        <w:t xml:space="preserve">Business Income Interruption for one (1) year plus Extra Expense insurance in such amounts as will reimburse Tenant for actual direct or indirect loss of earnings attributable to the risks outlined in </w:t>
      </w:r>
      <w:r>
        <w:rPr>
          <w:rFonts w:ascii="Times New Roman" w:hAnsi="Times New Roman"/>
          <w:color w:val="000000"/>
          <w:sz w:val="20"/>
          <w:u w:val="single"/>
        </w:rPr>
        <w:t>Section 10.3.2</w:t>
      </w:r>
      <w:r>
        <w:rPr>
          <w:color w:val="000000"/>
        </w:rPr>
        <w:t xml:space="preserve"> </w:t>
      </w:r>
      <w:r>
        <w:rPr>
          <w:rFonts w:ascii="Times New Roman" w:hAnsi="Times New Roman"/>
          <w:color w:val="000000"/>
          <w:sz w:val="20"/>
        </w:rPr>
        <w:t>above.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10.3.4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Worker’s Compensation and Employer’s Liability or other similar insurance pursuant to all applicable state and local statutes and regulations. The policy shall include a waiver of subrogation in favor of Landlord, its employees, Lenders and any property manager or partners.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10.4</w:t>
      </w:r>
    </w:p>
    <w:p>
      <w:pPr>
        <w:pStyle w:val="TextBody"/>
        <w:bidi w:val="0"/>
        <w:spacing w:before="0" w:after="240"/>
        <w:jc w:val="left"/>
        <w:rPr/>
      </w:pPr>
      <w:r>
        <w:rPr>
          <w:rFonts w:ascii="Times New Roman" w:hAnsi="Times New Roman"/>
          <w:b/>
          <w:color w:val="000000"/>
          <w:sz w:val="20"/>
          <w:u w:val="single"/>
        </w:rPr>
        <w:t>Form of Policies</w:t>
      </w:r>
      <w:r>
        <w:rPr>
          <w:rFonts w:ascii="Times New Roman" w:hAnsi="Times New Roman"/>
          <w:color w:val="000000"/>
          <w:sz w:val="20"/>
        </w:rPr>
        <w:t xml:space="preserve">. The minimum limits of policies of insurance required of Tenant under this Lease shall in no event limit the liability of Tenant under this Lease. Such insurance shall (i) name Landlord, its subsidiaries and affiliates, its property manager (if any) and any other party the Landlord so specifies, as an additional insured or loss payee, as applicable, including Landlord’s managing agent, if any; (ii) be issued by an insurance company having a rating of not less than A:IX in Best’s Insurance Guide or which is otherwise acceptable to Landlord and licensed to do business in the State of California; (iv) be primary insurance as to all claims thereunder and provide that any insurance carried by Landlord is excess and is non-contributing with any insurance required of Tenant; (v) be in form and content reasonably acceptable to Landlord;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- 37 -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and (vi) provide that said insurance shall not be canceled or coverage changed unless thirty (30) days’ prior written notice shall have been given to Landlord and any mortgagee of Landlord (unless such cancellation is the result of non-payment of premiums). Tenant shall deliver said policy or policies or certificates thereof to Landlord on or before the Lease Commencement Date and at least ten (10) days before the expiration dates thereof. In the event Tenant shall fail to procure such insurance, or to deliver such policies or certificate, Landlord may, at its option, procure such policies for the account of Tenant, and the cost thereof shall be paid to Landlord within five (5) days after delivery to Tenant of bills therefor.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10.5</w:t>
      </w:r>
    </w:p>
    <w:p>
      <w:pPr>
        <w:pStyle w:val="TextBody"/>
        <w:bidi w:val="0"/>
        <w:spacing w:before="0" w:after="240"/>
        <w:jc w:val="left"/>
        <w:rPr/>
      </w:pPr>
      <w:r>
        <w:rPr>
          <w:rFonts w:ascii="Times New Roman" w:hAnsi="Times New Roman"/>
          <w:b/>
          <w:color w:val="000000"/>
          <w:sz w:val="20"/>
          <w:u w:val="single"/>
        </w:rPr>
        <w:t>Subrogation</w:t>
      </w:r>
      <w:r>
        <w:rPr>
          <w:rFonts w:ascii="Times New Roman" w:hAnsi="Times New Roman"/>
          <w:color w:val="000000"/>
          <w:sz w:val="20"/>
        </w:rPr>
        <w:t>. Landlord and Tenant hereby agree to look solely to, and seek recovery only from, their respective insurance carriers in the event of a property or business interruption loss to the extent that such coverage is agreed to be provided hereunder. The parties each hereby waive all rights and claims against each other for such losses, and waive all rights of subrogation of their respective insurers, provided such waiver of subrogation shall not affect the right to the insured to recover thereunder. The parties agree that their respective insurance policies do now, or shall, contain the waiver of subrogation.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10.6</w:t>
      </w:r>
    </w:p>
    <w:p>
      <w:pPr>
        <w:pStyle w:val="TextBody"/>
        <w:bidi w:val="0"/>
        <w:spacing w:before="0" w:after="240"/>
        <w:jc w:val="left"/>
        <w:rPr/>
      </w:pPr>
      <w:r>
        <w:rPr>
          <w:rFonts w:ascii="Times New Roman" w:hAnsi="Times New Roman"/>
          <w:b/>
          <w:color w:val="000000"/>
          <w:sz w:val="20"/>
          <w:u w:val="single"/>
        </w:rPr>
        <w:t>Additional Insurance Obligations</w:t>
      </w:r>
      <w:r>
        <w:rPr>
          <w:rFonts w:ascii="Times New Roman" w:hAnsi="Times New Roman"/>
          <w:color w:val="000000"/>
          <w:sz w:val="20"/>
        </w:rPr>
        <w:t xml:space="preserve">. Tenant shall carry and maintain during the entire Lease Term, at Tenant’s sole cost and expense, increased amounts of the insurance required to be carried by Tenant pursuant to this </w:t>
      </w:r>
      <w:r>
        <w:rPr>
          <w:rFonts w:ascii="Times New Roman" w:hAnsi="Times New Roman"/>
          <w:color w:val="000000"/>
          <w:sz w:val="20"/>
          <w:u w:val="single"/>
        </w:rPr>
        <w:t>Article 10</w:t>
      </w:r>
      <w:r>
        <w:rPr>
          <w:color w:val="000000"/>
        </w:rPr>
        <w:t xml:space="preserve"> </w:t>
      </w:r>
      <w:r>
        <w:rPr>
          <w:rFonts w:ascii="Times New Roman" w:hAnsi="Times New Roman"/>
          <w:color w:val="000000"/>
          <w:sz w:val="20"/>
        </w:rPr>
        <w:t>and such other reasonable types of insurance coverage and in such reasonable amounts covering the Premises and Tenant’s operations therein, as may be reasonably requested by Landlord or Landlord’s lender, but in no event in excess of the amounts and types of insurance then being required by landlords of buildings comparable to and in the vicinity of the Building.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w:t>
      </w:r>
    </w:p>
    <w:p>
      <w:pPr>
        <w:pStyle w:val="TextBody"/>
        <w:bidi w:val="0"/>
        <w:spacing w:before="0" w:after="240"/>
        <w:jc w:val="left"/>
        <w:rPr/>
      </w:pPr>
      <w:r>
        <w:rPr>
          <w:rFonts w:ascii="Times New Roman" w:hAnsi="Times New Roman"/>
          <w:b/>
          <w:color w:val="000000"/>
          <w:sz w:val="20"/>
        </w:rPr>
        <w:t>DAMAGE AND DESTRUCTION</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11.1</w:t>
      </w:r>
    </w:p>
    <w:p>
      <w:pPr>
        <w:pStyle w:val="TextBody"/>
        <w:bidi w:val="0"/>
        <w:spacing w:before="0" w:after="240"/>
        <w:jc w:val="left"/>
        <w:rPr/>
      </w:pPr>
      <w:r>
        <w:rPr>
          <w:rFonts w:ascii="Times New Roman" w:hAnsi="Times New Roman"/>
          <w:b/>
          <w:color w:val="000000"/>
          <w:sz w:val="20"/>
          <w:u w:val="single"/>
        </w:rPr>
        <w:t>Repair of Damage to Premises by Landlord</w:t>
      </w:r>
      <w:r>
        <w:rPr>
          <w:rFonts w:ascii="Times New Roman" w:hAnsi="Times New Roman"/>
          <w:color w:val="000000"/>
          <w:sz w:val="20"/>
        </w:rPr>
        <w:t xml:space="preserve">. Tenant shall promptly notify Landlord of any damage to the Premises resulting from fire or any other casualty. If the Premises or any Common Areas serving or providing access to the Premises shall be damaged by fire or other casualty, Landlord shall promptly and diligently, subject to reasonable delays for insurance adjustment or other matters beyond Landlord’s reasonable control, and subject to all other terms of this </w:t>
      </w:r>
      <w:r>
        <w:rPr>
          <w:rFonts w:ascii="Times New Roman" w:hAnsi="Times New Roman"/>
          <w:color w:val="000000"/>
          <w:sz w:val="20"/>
          <w:u w:val="single"/>
        </w:rPr>
        <w:t>Article 11</w:t>
      </w:r>
      <w:r>
        <w:rPr>
          <w:rFonts w:ascii="Times New Roman" w:hAnsi="Times New Roman"/>
          <w:color w:val="000000"/>
          <w:sz w:val="20"/>
        </w:rPr>
        <w:t>, restore the Base Building and such Common Areas, and the Tenant Improvements, Original Improvements and Alterations made to the Premises by Tenant. Such restoration shall be to substantially the same condition of the Base Building and the Common Areas, the Tenant Improvements, Original Improvements and Alterations made to the Premises by Tenant prior to the casualty, except for modifications required by zoning and building codes and other laws or any other commercially reasonable modifications to the Common Areas deemed desirable by Landlord, which are consistent with the character of the Project, provided that access to the Premises shall not be unreasonably impaired and provided that the number of and general location of parking for Tenant’s benefit is not altered. Upon the occurrence of any damage to the Premises, upon notice (the “</w:t>
      </w:r>
      <w:r>
        <w:rPr>
          <w:rFonts w:ascii="Times New Roman" w:hAnsi="Times New Roman"/>
          <w:b/>
          <w:color w:val="000000"/>
          <w:sz w:val="20"/>
        </w:rPr>
        <w:t>Landlord Repair Notice</w:t>
      </w:r>
      <w:r>
        <w:rPr>
          <w:color w:val="000000"/>
        </w:rPr>
        <w:t>”</w:t>
      </w:r>
      <w:r>
        <w:rPr>
          <w:rFonts w:ascii="Times New Roman" w:hAnsi="Times New Roman"/>
          <w:color w:val="000000"/>
          <w:sz w:val="20"/>
        </w:rPr>
        <w:t xml:space="preserve">) to Tenant from Landlord, Tenant shall assign to Landlord (or to any party designated by Landlord) all insurance proceeds payable to Tenant under Tenant’s insurance required under </w:t>
      </w:r>
      <w:r>
        <w:rPr>
          <w:rFonts w:ascii="Times New Roman" w:hAnsi="Times New Roman"/>
          <w:color w:val="000000"/>
          <w:sz w:val="20"/>
          <w:u w:val="single"/>
        </w:rPr>
        <w:t>Section 10.3</w:t>
      </w:r>
      <w:r>
        <w:rPr>
          <w:color w:val="000000"/>
        </w:rPr>
        <w:t xml:space="preserve"> </w:t>
      </w:r>
      <w:r>
        <w:rPr>
          <w:rFonts w:ascii="Times New Roman" w:hAnsi="Times New Roman"/>
          <w:color w:val="000000"/>
          <w:sz w:val="20"/>
        </w:rPr>
        <w:t>of this Lease, and Landlord shall repair any injury or damage to the Tenant Improvements and the Original Improvements installed in the Premises and shall return such Tenant Improvements and Original Improvements to their original condition; provided that if the cost of such repair by Landlord exceeds the amount of</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- 38 -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insurance proceeds received by Landlord from Tenant’s insurance carrier (including by taking into account any deductible or self-insured retention), as assigned by Tenant, the cost of such repairs shall be paid by Tenant to Landlord prior to Landlord’s commencement of repair of the damage. Tenant shall in addition cooperate with requests for information regarding any repairs from Landlord’s insurer(s) by providing the requested information within ten (10) days after Tenant receives the request. Landlord shall not be liable for any inconvenience or annoyance to Tenant or its visitors, or injury to Tenant’s business resulting in any way from such damage or the repair thereof; provided however, that if such fire or other casualty shall have damaged the Premises or Common Areas necessary to Tenant’s occupancy, and any portion of the Premises are not occupied by Tenant as a result thereof, then during the time and to the extent the Premises are unfit for occupancy and not occupied by Tenant, the Rent shall be abated in proportion to the ratio that the amount of rentable square feet of the Premises which is unfit for occupancy for the purposes permitted under this Lease bears to the total rentable square feet of the Premises.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11.2</w:t>
      </w:r>
    </w:p>
    <w:p>
      <w:pPr>
        <w:pStyle w:val="TextBody"/>
        <w:bidi w:val="0"/>
        <w:spacing w:before="0" w:after="240"/>
        <w:jc w:val="left"/>
        <w:rPr/>
      </w:pPr>
      <w:r>
        <w:rPr>
          <w:rFonts w:ascii="Times New Roman" w:hAnsi="Times New Roman"/>
          <w:b/>
          <w:color w:val="000000"/>
          <w:sz w:val="20"/>
          <w:u w:val="single"/>
        </w:rPr>
        <w:t>Landlord’s Option to Repair</w:t>
      </w:r>
      <w:r>
        <w:rPr>
          <w:rFonts w:ascii="Times New Roman" w:hAnsi="Times New Roman"/>
          <w:color w:val="000000"/>
          <w:sz w:val="20"/>
        </w:rPr>
        <w:t xml:space="preserve">. Notwithstanding the terms of </w:t>
      </w:r>
      <w:r>
        <w:rPr>
          <w:rFonts w:ascii="Times New Roman" w:hAnsi="Times New Roman"/>
          <w:color w:val="000000"/>
          <w:sz w:val="20"/>
          <w:u w:val="single"/>
        </w:rPr>
        <w:t>Section 11.1</w:t>
      </w:r>
      <w:r>
        <w:rPr>
          <w:color w:val="000000"/>
        </w:rPr>
        <w:t xml:space="preserve"> </w:t>
      </w:r>
      <w:r>
        <w:rPr>
          <w:rFonts w:ascii="Times New Roman" w:hAnsi="Times New Roman"/>
          <w:color w:val="000000"/>
          <w:sz w:val="20"/>
        </w:rPr>
        <w:t>of this Lease, Landlord may elect not to rebuild and/or restore the Premises, Building and/or Project, and instead terminate this Lease, by notifying Tenant in writing of such termination within sixty (60) days after the date of discovery of the damage, such notice to include a termination date giving Tenant sixty (60) days to vacate the Premises, but Landlord may so elect only if the Building or Project shall be damaged by fire or other casualty or cause, whether or not the Premises are affected, and one or more of the following conditions is present: (i) in Landlord’s reasonable judgment, repairs cannot reasonably be completed within one hundred eighty (180) days after the date of discovery of the damage (when such repairs are made without the payment of overtime or other premiums); (ii) the holder of any mortgage on the Building or Project or ground lessor with respect to the Building or Project shall require that the insurance proceeds or any portion thereof be used to retire the mortgage debt, or shall terminate the ground lease, as the case may be; (iii) at least $500,000.00 of the cost to repair the damage is not covered by Landlord’s insurance policies (provided that any amounts payable as part of a deductible with respect to Landlord’s insurance policies shall be deemed to be not covered by Landlord’s insurance policies) (and would not have been covered had Landlord carried the policies that Landlord is required to carry pursuant to the terms of this Lease); or (iv) the damage occurs during the last twelve (12) months of the Lease Term; provided, however, that if Landlord does not elect to terminate this Lease pursuant to Landlord’s termination right as provided above, and the repairs cannot, in the reasonable opinion of Landlord, be completed within one hundred eighty (180) days after the date of discovery of the damage, then Tenant may elect, no earlier than sixty (60) days after the date of the damage and not later than ninety (90) days after the date of such damage, to terminate this Lease by written notice to Landlord effective as of the date specified in the notice, which date shall not be less than thirty (30) days nor more than sixty (60) days after the date such notice is given by Tenant. Furthermore, if neither Landlord nor Tenant has terminated this Lease, and the repairs are not actually completed within two hundred seventy (270) days after being commenced, Tenant shall have the right to terminate this Lease during the first five (5) business days of each calendar month following the end of such period until such time as the repairs are complete, by notice to Landlord (the “</w:t>
      </w:r>
      <w:r>
        <w:rPr>
          <w:rFonts w:ascii="Times New Roman" w:hAnsi="Times New Roman"/>
          <w:b/>
          <w:color w:val="000000"/>
          <w:sz w:val="20"/>
        </w:rPr>
        <w:t>Damage Termination Notice</w:t>
      </w:r>
      <w:r>
        <w:rPr>
          <w:color w:val="000000"/>
        </w:rPr>
        <w:t>”</w:t>
      </w:r>
      <w:r>
        <w:rPr>
          <w:rFonts w:ascii="Times New Roman" w:hAnsi="Times New Roman"/>
          <w:color w:val="000000"/>
          <w:sz w:val="20"/>
        </w:rPr>
        <w:t>), effective as of a date set forth in the Damage Termination Notice (the “</w:t>
      </w:r>
      <w:r>
        <w:rPr>
          <w:rFonts w:ascii="Times New Roman" w:hAnsi="Times New Roman"/>
          <w:b/>
          <w:color w:val="000000"/>
          <w:sz w:val="20"/>
        </w:rPr>
        <w:t>Damage Termination Date</w:t>
      </w:r>
      <w:r>
        <w:rPr>
          <w:color w:val="000000"/>
        </w:rPr>
        <w:t>”</w:t>
      </w:r>
      <w:r>
        <w:rPr>
          <w:rFonts w:ascii="Times New Roman" w:hAnsi="Times New Roman"/>
          <w:color w:val="000000"/>
          <w:sz w:val="20"/>
        </w:rPr>
        <w:t>), which Damage Termination Date shall not be less than five (5) business days following the end of each such month. Notwithstanding the foregoing, if Tenant delivers a Damage Termination Notice to Landlord, then Landlord shall have the right to suspend the occurrence of the Damage Termination Date for a period ending thirty (30) days after the Damage Termination Date set forth in the Damage Termination Notice by delivering to Tenant, within five (5) business days of Landlord’s receipt of the Damage Termination Notice, a certificate of Landlord’s contractor responsible for the repair of the damage certifying that it is such contractor’s good faith judgment that the repairs shall be substantially completed within thirty (30) days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- 39 -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after the Damage Termination Date. If repairs shall be substantially completed prior to the expiration of such thirty</w:t>
        <w:noBreakHyphen/>
        <w:t xml:space="preserve">day period, then the Damage Termination Notice shall be of no force or effect, but if the repairs shall not be substantially completed within such thirty-day period, then this Lease shall terminate upon the expiration of such thirty-day period. Notwithstanding the provisions of this </w:t>
      </w:r>
      <w:r>
        <w:rPr>
          <w:rFonts w:ascii="Times New Roman" w:hAnsi="Times New Roman"/>
          <w:color w:val="000000"/>
          <w:sz w:val="20"/>
          <w:u w:val="single"/>
        </w:rPr>
        <w:t>Section 11.2</w:t>
      </w:r>
      <w:r>
        <w:rPr>
          <w:rFonts w:ascii="Times New Roman" w:hAnsi="Times New Roman"/>
          <w:color w:val="000000"/>
          <w:sz w:val="20"/>
        </w:rPr>
        <w:t xml:space="preserve">, Tenant shall have the right to terminate this Lease under this </w:t>
      </w:r>
      <w:r>
        <w:rPr>
          <w:rFonts w:ascii="Times New Roman" w:hAnsi="Times New Roman"/>
          <w:color w:val="000000"/>
          <w:sz w:val="20"/>
          <w:u w:val="single"/>
        </w:rPr>
        <w:t>Section 11.2</w:t>
      </w:r>
      <w:r>
        <w:rPr>
          <w:rFonts w:ascii="Times New Roman" w:hAnsi="Times New Roman"/>
          <w:color w:val="000000"/>
          <w:sz w:val="20"/>
        </w:rPr>
        <w:t xml:space="preserve"> only if each of the following conditions is satisfied: (a) the damage to the Project by fire or other casualty was not caused by the gross negligence or intentional act of Tenant or its partners or subpartners and their respective officers, agents, servants, employees, and independent contractors; (b) Tenant is not then in default under this Lease beyond the applicable notice and cure period provided in this Lease; (c) as a result of the damage, Tenant cannot reasonably conduct business from the Premises; and, (d) as a result of the damage to the Project, Tenant does not occupy or use the Premises at all.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11.3</w:t>
      </w:r>
    </w:p>
    <w:p>
      <w:pPr>
        <w:pStyle w:val="TextBody"/>
        <w:bidi w:val="0"/>
        <w:spacing w:before="0" w:after="240"/>
        <w:jc w:val="left"/>
        <w:rPr/>
      </w:pPr>
      <w:r>
        <w:rPr>
          <w:rFonts w:ascii="Times New Roman" w:hAnsi="Times New Roman"/>
          <w:b/>
          <w:color w:val="000000"/>
          <w:sz w:val="20"/>
          <w:u w:val="single"/>
        </w:rPr>
        <w:t>Waiver of Statutory Provisions</w:t>
      </w:r>
      <w:r>
        <w:rPr>
          <w:rFonts w:ascii="Times New Roman" w:hAnsi="Times New Roman"/>
          <w:color w:val="000000"/>
          <w:sz w:val="20"/>
        </w:rPr>
        <w:t xml:space="preserve">. The provisions of this Lease, including this </w:t>
      </w:r>
      <w:r>
        <w:rPr>
          <w:rFonts w:ascii="Times New Roman" w:hAnsi="Times New Roman"/>
          <w:color w:val="000000"/>
          <w:sz w:val="20"/>
          <w:u w:val="single"/>
        </w:rPr>
        <w:t>Article 11</w:t>
      </w:r>
      <w:r>
        <w:rPr>
          <w:rFonts w:ascii="Times New Roman" w:hAnsi="Times New Roman"/>
          <w:color w:val="000000"/>
          <w:sz w:val="20"/>
        </w:rPr>
        <w:t>, constitute an express agreement between Landlord and Tenant with respect to any and all damage to, or destruction of, all or any part of the Premises, the Building or the Project, and any statute or regulation of the State of California, including, without limitation, Sections 1932(2) and 1933(4) of the California Civil Code, with respect to any rights or obligations concerning damage or destruction in the absence of an express agreement between the parties, and any other statute or regulation, now or hereafter in effect, shall have no application to this Lease or any damage or destruction to all or any part of the Premises, the Building or the Project.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w:t>
      </w:r>
    </w:p>
    <w:p>
      <w:pPr>
        <w:pStyle w:val="TextBody"/>
        <w:bidi w:val="0"/>
        <w:spacing w:before="0" w:after="240"/>
        <w:jc w:val="left"/>
        <w:rPr/>
      </w:pPr>
      <w:r>
        <w:rPr>
          <w:rFonts w:ascii="Times New Roman" w:hAnsi="Times New Roman"/>
          <w:b/>
          <w:color w:val="000000"/>
          <w:sz w:val="20"/>
        </w:rPr>
        <w:t xml:space="preserve">NONWAIVER. </w:t>
      </w:r>
      <w:r>
        <w:rPr>
          <w:rFonts w:ascii="Times New Roman" w:hAnsi="Times New Roman"/>
          <w:color w:val="000000"/>
          <w:sz w:val="20"/>
        </w:rPr>
        <w:t>No provision of this Lease shall be deemed waived by either party hereto unless expressly waived in a writing signed thereby. The waiver by either party hereto of any breach of any term, covenant or condition herein contained shall not be deemed to be a waiver of any subsequent breach of same or any other term, covenant or condition herein contained. The subsequent acceptance of Rent hereunder by Landlord shall not be deemed to be a waiver of any preceding breach by Tenant of any term, covenant or condition of this Lease, other than the failure of Tenant to pay the particular Rent so accepted, regardless of Landlord’s knowledge of such preceding breach at the time of acceptance of such Rent. No acceptance of a lesser amount than the Rent herein stipulated shall be deemed a waiver of Landlord’s right to receive the full amount due, nor shall any endorsement or statement on any check or payment or any letter accompanying such check or payment be deemed an accord and satisfaction, and Landlord may accept such check or payment without prejudice to Landlord’s right to recover the full amount due. No receipt of monies by Landlord from Tenant after the termination of this Lease shall in any way alter the length of the Lease Term or of Tenant’s right of possession hereunder, or after the giving of any notice shall reinstate, continue or extend the Lease Term or affect any notice given Tenant prior to the receipt of such monies, it being agreed that after the service of notice or the commencement of a suit, or after final judgment for possession of the Premises, Landlord may receive and collect any Rent due, and the payment of said Rent shall not waive or affect said notice, suit or judgment.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w:t>
      </w:r>
    </w:p>
    <w:p>
      <w:pPr>
        <w:pStyle w:val="TextBody"/>
        <w:bidi w:val="0"/>
        <w:spacing w:before="0" w:after="240"/>
        <w:jc w:val="left"/>
        <w:rPr/>
      </w:pPr>
      <w:r>
        <w:rPr>
          <w:rFonts w:ascii="Times New Roman" w:hAnsi="Times New Roman"/>
          <w:b/>
          <w:color w:val="000000"/>
          <w:sz w:val="20"/>
        </w:rPr>
        <w:t xml:space="preserve">CONDEMNATION. </w:t>
      </w:r>
      <w:r>
        <w:rPr>
          <w:rFonts w:ascii="Times New Roman" w:hAnsi="Times New Roman"/>
          <w:color w:val="000000"/>
          <w:sz w:val="20"/>
        </w:rPr>
        <w:t>If the whole or any part of the Premises, Building or Project shall be taken by power of eminent domain or condemned by any competent authority for any public or</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- 40 -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quasi-public use or purpose, or if any adjacent property or street shall be so taken or condemned, or reconfigured or vacated by such authority in such manner as to require the use, reconstruction or remodeling of any part of the Premises, Building or Project, or if Landlord shall grant a deed or other instrument in lieu of such taking by eminent domain or condemnation, Landlord shall have the option to terminate this Lease effective as of the date possession is required to be surrendered to the authority. Tenant shall not because of such taking assert any claim against Landlord or the authority for any compensation because of such taking and Landlord shall be entitled to the entire award or payment in connection therewith, except that Tenant shall have the right to file any separate claim available to Tenant for any taking of Tenant’s personal property and fixtures belonging to Tenant and removable by Tenant upon expiration of the Lease Term pursuant to the terms of this Lease, and for moving expenses, so long as such claims do not diminish the award available to Landlord, its ground lessor with respect to the Building or Project or its mortgagee, and such claim is payable separately to Tenant. All Rent shall be apportioned as of the date of such termination. If any part of the Premises shall be taken, and this Lease shall not be so terminated, the Rent shall be proportionately abated. Tenant hereby waives any and all rights it might otherwise have pursuant to Section 1265.130 of The California Code of Civil Procedure. Notwithstanding anything to the contrary contained in this </w:t>
      </w:r>
      <w:r>
        <w:rPr>
          <w:rFonts w:ascii="Times New Roman" w:hAnsi="Times New Roman"/>
          <w:color w:val="000000"/>
          <w:sz w:val="20"/>
          <w:u w:val="single"/>
        </w:rPr>
        <w:t>Article 13</w:t>
      </w:r>
      <w:r>
        <w:rPr>
          <w:rFonts w:ascii="Times New Roman" w:hAnsi="Times New Roman"/>
          <w:color w:val="000000"/>
          <w:sz w:val="20"/>
        </w:rPr>
        <w:t>, in the event of a temporary taking of all or any portion of the Premises for a period of one hundred and eighty (180) days or less, then this Lease shall not terminate but the Base Rent and the Additional Rent shall be abated for the period of such taking in proportion to the ratio that the amount of rentable square feet of the Premises taken bears to the total rentable square feet of the Premises. Landlord shall be entitled to receive the entire award made in connection with any such temporary taking.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w:t>
      </w:r>
    </w:p>
    <w:p>
      <w:pPr>
        <w:pStyle w:val="TextBody"/>
        <w:bidi w:val="0"/>
        <w:spacing w:before="0" w:after="240"/>
        <w:jc w:val="left"/>
        <w:rPr/>
      </w:pPr>
      <w:r>
        <w:rPr>
          <w:rFonts w:ascii="Times New Roman" w:hAnsi="Times New Roman"/>
          <w:b/>
          <w:color w:val="000000"/>
          <w:sz w:val="20"/>
        </w:rPr>
        <w:t>ASSIGNMENT AND SUBLETTING</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14.1</w:t>
      </w:r>
    </w:p>
    <w:p>
      <w:pPr>
        <w:pStyle w:val="TextBody"/>
        <w:bidi w:val="0"/>
        <w:spacing w:before="0" w:after="240"/>
        <w:jc w:val="left"/>
        <w:rPr/>
      </w:pPr>
      <w:r>
        <w:rPr>
          <w:rFonts w:ascii="Times New Roman" w:hAnsi="Times New Roman"/>
          <w:b/>
          <w:color w:val="000000"/>
          <w:sz w:val="20"/>
          <w:u w:val="single"/>
        </w:rPr>
        <w:t>Transfers</w:t>
      </w:r>
      <w:r>
        <w:rPr>
          <w:rFonts w:ascii="Times New Roman" w:hAnsi="Times New Roman"/>
          <w:color w:val="000000"/>
          <w:sz w:val="20"/>
        </w:rPr>
        <w:t>. Tenant shall not, without the prior written consent of Landlord, assign, mortgage, pledge, hypothecate, encumber, or permit any lien to attach to, or otherwise transfer, this Lease or any interest hereunder, permit any assignment, or other transfer of this Lease or any interest hereunder by operation of law, sublet the Premises or any part thereof, or enter into any license or concession agreements or otherwise permit the occupancy or use of the Premises or any part thereof by any persons other than Tenant and its employees and contractors (all of the foregoing are hereinafter sometimes referred to collectively as “</w:t>
      </w:r>
      <w:r>
        <w:rPr>
          <w:rFonts w:ascii="Times New Roman" w:hAnsi="Times New Roman"/>
          <w:b/>
          <w:color w:val="000000"/>
          <w:sz w:val="20"/>
        </w:rPr>
        <w:t>Transfers</w:t>
      </w:r>
      <w:r>
        <w:rPr>
          <w:color w:val="000000"/>
        </w:rPr>
        <w:t xml:space="preserve">” </w:t>
      </w:r>
      <w:r>
        <w:rPr>
          <w:rFonts w:ascii="Times New Roman" w:hAnsi="Times New Roman"/>
          <w:color w:val="000000"/>
          <w:sz w:val="20"/>
        </w:rPr>
        <w:t>and any person to whom any Transfer is made or sought to be made is hereinafter sometimes referred to as a “</w:t>
      </w:r>
      <w:r>
        <w:rPr>
          <w:rFonts w:ascii="Times New Roman" w:hAnsi="Times New Roman"/>
          <w:b/>
          <w:color w:val="000000"/>
          <w:sz w:val="20"/>
        </w:rPr>
        <w:t>Transferee</w:t>
      </w:r>
      <w:r>
        <w:rPr>
          <w:color w:val="000000"/>
        </w:rPr>
        <w:t>”</w:t>
      </w:r>
      <w:r>
        <w:rPr>
          <w:rFonts w:ascii="Times New Roman" w:hAnsi="Times New Roman"/>
          <w:color w:val="000000"/>
          <w:sz w:val="20"/>
        </w:rPr>
        <w:t>). If Tenant desires Landlord’s consent to any Transfer, Tenant shall notify Landlord in writing, which notice (the “</w:t>
      </w:r>
      <w:r>
        <w:rPr>
          <w:rFonts w:ascii="Times New Roman" w:hAnsi="Times New Roman"/>
          <w:b/>
          <w:color w:val="000000"/>
          <w:sz w:val="20"/>
        </w:rPr>
        <w:t>Transfer Notice</w:t>
      </w:r>
      <w:r>
        <w:rPr>
          <w:color w:val="000000"/>
        </w:rPr>
        <w:t>”</w:t>
      </w:r>
      <w:r>
        <w:rPr>
          <w:rFonts w:ascii="Times New Roman" w:hAnsi="Times New Roman"/>
          <w:color w:val="000000"/>
          <w:sz w:val="20"/>
        </w:rPr>
        <w:t>) shall include (i) the proposed effective date of the Transfer, which shall not be less than thirty (30) days nor more than one hundred eighty (180) days after the date of delivery of the Transfer Notice, (ii) a description of the portion of the Premises to be transferred (the “</w:t>
      </w:r>
      <w:r>
        <w:rPr>
          <w:rFonts w:ascii="Times New Roman" w:hAnsi="Times New Roman"/>
          <w:b/>
          <w:color w:val="000000"/>
          <w:sz w:val="20"/>
        </w:rPr>
        <w:t>Subject Space</w:t>
      </w:r>
      <w:r>
        <w:rPr>
          <w:color w:val="000000"/>
        </w:rPr>
        <w:t>”</w:t>
      </w:r>
      <w:r>
        <w:rPr>
          <w:rFonts w:ascii="Times New Roman" w:hAnsi="Times New Roman"/>
          <w:color w:val="000000"/>
          <w:sz w:val="20"/>
        </w:rPr>
        <w:t>), (iii) all of the terms of the proposed Transfer and the consideration therefor, including calculation of the “</w:t>
      </w:r>
      <w:r>
        <w:rPr>
          <w:rFonts w:ascii="Times New Roman" w:hAnsi="Times New Roman"/>
          <w:b/>
          <w:color w:val="000000"/>
          <w:sz w:val="20"/>
        </w:rPr>
        <w:t>Transfer Premium</w:t>
      </w:r>
      <w:r>
        <w:rPr>
          <w:color w:val="000000"/>
        </w:rPr>
        <w:t>”</w:t>
      </w:r>
      <w:r>
        <w:rPr>
          <w:rFonts w:ascii="Times New Roman" w:hAnsi="Times New Roman"/>
          <w:color w:val="000000"/>
          <w:sz w:val="20"/>
        </w:rPr>
        <w:t xml:space="preserve">, as that term is defined in </w:t>
      </w:r>
      <w:r>
        <w:rPr>
          <w:rFonts w:ascii="Times New Roman" w:hAnsi="Times New Roman"/>
          <w:color w:val="000000"/>
          <w:sz w:val="20"/>
          <w:u w:val="single"/>
        </w:rPr>
        <w:t>Section 14.3</w:t>
      </w:r>
      <w:r>
        <w:rPr>
          <w:color w:val="000000"/>
        </w:rPr>
        <w:t xml:space="preserve"> </w:t>
      </w:r>
      <w:r>
        <w:rPr>
          <w:rFonts w:ascii="Times New Roman" w:hAnsi="Times New Roman"/>
          <w:color w:val="000000"/>
          <w:sz w:val="20"/>
        </w:rPr>
        <w:t xml:space="preserve">below, in connection with such Transfer, the name and address of the proposed Transferee, and a copy of all existing executed and/or proposed documentation pertaining to the proposed Transfer, and (iv) current financial statements of the proposed Transferee certified by an officer, partner or owner thereof, business credit and personal references and history of the proposed Transferee and any other information reasonably required by Landlord which will enable Landlord to determine the financial responsibility, character, and reputation of the proposed Transferee, nature of such Transferee’s business and proposed use of the Subject Space (provided that Landlord agrees to execute a commercially reasonable confidentiality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- 41 -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agreement cover the disclosure of such financial statements). Any Transfer made without Landlord’s prior written consent shall, at Landlord’s option, be null, void and of no effect, and shall, at Landlord’s option, constitute a default by Tenant under this Lease. Whether or not Landlord consents to any proposed Transfer, Tenant shall pay Landlord’s reasonable review and processing fees, as well as any reasonable professional fees (including, without limitation, attorneys’, accountants’, architects’, engineers’ and consultants’ fees) incurred by Landlord, within thirty (30) days after written request by Landlord, not to exceed Two Thousand Five Hundred and No/100 Dollars ($2,500.00) for a Transfer in the ordinary course of business.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14.2</w:t>
      </w:r>
    </w:p>
    <w:p>
      <w:pPr>
        <w:pStyle w:val="TextBody"/>
        <w:bidi w:val="0"/>
        <w:spacing w:before="0" w:after="240"/>
        <w:jc w:val="left"/>
        <w:rPr/>
      </w:pPr>
      <w:r>
        <w:rPr>
          <w:rFonts w:ascii="Times New Roman" w:hAnsi="Times New Roman"/>
          <w:b/>
          <w:color w:val="000000"/>
          <w:sz w:val="20"/>
          <w:u w:val="single"/>
        </w:rPr>
        <w:t>Landlord’s Consent</w:t>
      </w:r>
      <w:r>
        <w:rPr>
          <w:rFonts w:ascii="Times New Roman" w:hAnsi="Times New Roman"/>
          <w:color w:val="000000"/>
          <w:sz w:val="20"/>
        </w:rPr>
        <w:t>. Landlord shall not unreasonably withhold, condition or delay its consent to any proposed Transfer of the Subject Space to the Transferee on the terms specified in the Transfer Notice, and shall grant or withhold its consent within ten (10) business days following Landlord’s receipt of a complete Transfer Notice. If Landlord fails to respond within such ten (10) business day period, then Tenant may send Landlord a reminder notice setting forth such failure containing the following sentence at the top of such notice in bold, capitalized font at least twelve (12) points in size: “</w:t>
      </w:r>
      <w:r>
        <w:rPr>
          <w:rFonts w:ascii="Times New Roman" w:hAnsi="Times New Roman"/>
          <w:b/>
          <w:color w:val="000000"/>
          <w:sz w:val="20"/>
        </w:rPr>
        <w:t>LANDLORD’S FAILURE TO RESPOND TO THIS NOTICE WITHIN FIVE (5) BUSINESS DAYS SHALL RESULT IN LANDLORD’S DEEMED APPROVAL OF TENANT’S REQUEST FOR TRANSFER</w:t>
      </w:r>
      <w:r>
        <w:rPr>
          <w:color w:val="000000"/>
        </w:rPr>
        <w:t xml:space="preserve">” </w:t>
      </w:r>
      <w:r>
        <w:rPr>
          <w:rFonts w:ascii="Times New Roman" w:hAnsi="Times New Roman"/>
          <w:color w:val="000000"/>
          <w:sz w:val="20"/>
        </w:rPr>
        <w:t>(the “</w:t>
      </w:r>
      <w:r>
        <w:rPr>
          <w:rFonts w:ascii="Times New Roman" w:hAnsi="Times New Roman"/>
          <w:b/>
          <w:color w:val="000000"/>
          <w:sz w:val="20"/>
        </w:rPr>
        <w:t>Transfer Reminder Notice</w:t>
      </w:r>
      <w:r>
        <w:rPr>
          <w:color w:val="000000"/>
        </w:rPr>
        <w:t>”</w:t>
      </w:r>
      <w:r>
        <w:rPr>
          <w:rFonts w:ascii="Times New Roman" w:hAnsi="Times New Roman"/>
          <w:color w:val="000000"/>
          <w:sz w:val="20"/>
        </w:rPr>
        <w:t>). Any such Transfer Reminder Notice shall include a complete copy of Tenant’s Transfer Notice. If Landlord fails to respond within five (5) business days after receipt of a Transfer Reminder Notice, then Tenant’s Transfer for which Tenant requested Landlord’s approval shall be deemed approved by Landlord. Without limitation as to other reasonable grounds for withholding consent, the parties hereby agree that it shall be reasonable under this Lease and under any applicable law for Landlord to withhold consent to any proposed Transfer where one or more of the following apply: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14.2.1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Transferee is of a character or reputation or engaged in a business which is not consistent with the quality of the Building or the Project;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14.2.2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Transferee is either a governmental agency or instrumentality thereof;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14.2.3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Transferee is not a party of reasonable financial worth and/or financial stability in light of the responsibilities to be undertaken in connection with the Transfer on the date consent is requested, taking into account that Tenant shall remain fully liable under this Lease following such Transfer; 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14.2.4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proposed Transfer would cause a violation of another lease for space in the Project, or would give an occupant of the Project a right to cancel its lease (provided that Landlord shall inform Tenant if a proposed Transfer would cause a violation of another lease for space in the Project, or would give an occupant of the Project a right to cancel its lease, within five (5) business days of Landlord’s receipt of both (i) a written request therefor from Tenant and (ii) information regarding such proposed Transfer which is adequate for Landlord to make such a determination).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Landlord consents to any Transfer pursuant to the terms of this Section 14.2 (and does not exercise any recapture rights Landlord may have under Section 14.4 of this Lease), Tenant may within six (6) months after Landlord’s consent, but not later than the expiration of said six-month</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- 42 -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period, enter into such Transfer of the Premises or portion thereof, upon substantially the same terms and conditions as are set forth in the Transfer Notice furnished by Tenant to Landlord pursuant to </w:t>
      </w:r>
      <w:r>
        <w:rPr>
          <w:rFonts w:ascii="Times New Roman" w:hAnsi="Times New Roman"/>
          <w:color w:val="000000"/>
          <w:sz w:val="20"/>
          <w:u w:val="single"/>
        </w:rPr>
        <w:t>Section 14.1</w:t>
      </w:r>
      <w:r>
        <w:rPr>
          <w:rFonts w:ascii="Times New Roman" w:hAnsi="Times New Roman"/>
          <w:color w:val="000000"/>
          <w:sz w:val="20"/>
        </w:rPr>
        <w:t xml:space="preserve"> of this Lease, provided that if there are any changes in the terms and conditions from those specified in the Transfer Notice such that Landlord would initially have been entitled to refuse its consent to such Transfer under this </w:t>
      </w:r>
      <w:r>
        <w:rPr>
          <w:rFonts w:ascii="Times New Roman" w:hAnsi="Times New Roman"/>
          <w:color w:val="000000"/>
          <w:sz w:val="20"/>
          <w:u w:val="single"/>
        </w:rPr>
        <w:t>Section 14.2</w:t>
      </w:r>
      <w:r>
        <w:rPr>
          <w:rFonts w:ascii="Times New Roman" w:hAnsi="Times New Roman"/>
          <w:color w:val="000000"/>
          <w:sz w:val="20"/>
        </w:rPr>
        <w:t xml:space="preserve">, Tenant shall again submit the Transfer to Landlord for its approval and other action under this </w:t>
      </w:r>
      <w:r>
        <w:rPr>
          <w:rFonts w:ascii="Times New Roman" w:hAnsi="Times New Roman"/>
          <w:color w:val="000000"/>
          <w:sz w:val="20"/>
          <w:u w:val="single"/>
        </w:rPr>
        <w:t>Article 14</w:t>
      </w:r>
      <w:r>
        <w:rPr>
          <w:rFonts w:ascii="Times New Roman" w:hAnsi="Times New Roman"/>
          <w:color w:val="000000"/>
          <w:sz w:val="20"/>
        </w:rPr>
        <w:t xml:space="preserve"> (including Landlord’s right of recapture, if any, under </w:t>
      </w:r>
      <w:r>
        <w:rPr>
          <w:rFonts w:ascii="Times New Roman" w:hAnsi="Times New Roman"/>
          <w:color w:val="000000"/>
          <w:sz w:val="20"/>
          <w:u w:val="single"/>
        </w:rPr>
        <w:t>Section 14.4</w:t>
      </w:r>
      <w:r>
        <w:rPr>
          <w:rFonts w:ascii="Times New Roman" w:hAnsi="Times New Roman"/>
          <w:color w:val="000000"/>
          <w:sz w:val="20"/>
        </w:rPr>
        <w:t xml:space="preserve"> of this Lease). Notwithstanding anything to the contrary in this Lease, if Tenant or any proposed Transferee claims that Landlord has unreasonably withheld, conditioned or delayed its consent under </w:t>
      </w:r>
      <w:r>
        <w:rPr>
          <w:rFonts w:ascii="Times New Roman" w:hAnsi="Times New Roman"/>
          <w:color w:val="000000"/>
          <w:sz w:val="20"/>
          <w:u w:val="single"/>
        </w:rPr>
        <w:t>Section 14.2</w:t>
      </w:r>
      <w:r>
        <w:rPr>
          <w:rFonts w:ascii="Times New Roman" w:hAnsi="Times New Roman"/>
          <w:color w:val="000000"/>
          <w:sz w:val="20"/>
        </w:rPr>
        <w:t xml:space="preserve"> or otherwise has breached or acted unreasonably under this </w:t>
      </w:r>
      <w:r>
        <w:rPr>
          <w:rFonts w:ascii="Times New Roman" w:hAnsi="Times New Roman"/>
          <w:color w:val="000000"/>
          <w:sz w:val="20"/>
          <w:u w:val="single"/>
        </w:rPr>
        <w:t>Article 14</w:t>
      </w:r>
      <w:r>
        <w:rPr>
          <w:rFonts w:ascii="Times New Roman" w:hAnsi="Times New Roman"/>
          <w:color w:val="000000"/>
          <w:sz w:val="20"/>
        </w:rPr>
        <w:t>, their sole remedies shall be a suit for contract damages (other than damages for injury to, or interference with, Tenant’s business including, without limitation, loss of profits, however occurring) or declaratory judgment and an injunction for the relief sought, and Tenant hereby waives all other remedies, including, without limitation, any right at law or equity to terminate this Lease, on its own behalf and, to the extent permitted under all applicable laws, on behalf of the proposed Transferee.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14.3</w:t>
      </w:r>
    </w:p>
    <w:p>
      <w:pPr>
        <w:pStyle w:val="TextBody"/>
        <w:bidi w:val="0"/>
        <w:spacing w:before="0" w:after="240"/>
        <w:jc w:val="left"/>
        <w:rPr/>
      </w:pPr>
      <w:r>
        <w:rPr>
          <w:rFonts w:ascii="Times New Roman" w:hAnsi="Times New Roman"/>
          <w:b/>
          <w:color w:val="000000"/>
          <w:sz w:val="20"/>
          <w:u w:val="single"/>
        </w:rPr>
        <w:t>Transfer Premium</w:t>
      </w:r>
      <w:r>
        <w:rPr>
          <w:rFonts w:ascii="Times New Roman" w:hAnsi="Times New Roman"/>
          <w:color w:val="000000"/>
          <w:sz w:val="20"/>
        </w:rPr>
        <w:t>. If Landlord consents to a Transfer, as a condition thereto which the parties hereby agree is reasonable, Tenant shall pay to Landlord fifty percent (50%) of any “</w:t>
      </w:r>
      <w:r>
        <w:rPr>
          <w:rFonts w:ascii="Times New Roman" w:hAnsi="Times New Roman"/>
          <w:b/>
          <w:color w:val="000000"/>
          <w:sz w:val="20"/>
        </w:rPr>
        <w:t>Transfer Premium</w:t>
      </w:r>
      <w:r>
        <w:rPr>
          <w:rFonts w:ascii="Times New Roman" w:hAnsi="Times New Roman"/>
          <w:color w:val="000000"/>
          <w:sz w:val="20"/>
        </w:rPr>
        <w:t xml:space="preserve">,” as that term is defined in this </w:t>
      </w:r>
      <w:r>
        <w:rPr>
          <w:rFonts w:ascii="Times New Roman" w:hAnsi="Times New Roman"/>
          <w:color w:val="000000"/>
          <w:sz w:val="20"/>
          <w:u w:val="single"/>
        </w:rPr>
        <w:t>Section 14.3</w:t>
      </w:r>
      <w:r>
        <w:rPr>
          <w:rFonts w:ascii="Times New Roman" w:hAnsi="Times New Roman"/>
          <w:color w:val="000000"/>
          <w:sz w:val="20"/>
        </w:rPr>
        <w:t>, received by Tenant from such Transferee. “</w:t>
      </w:r>
      <w:r>
        <w:rPr>
          <w:rFonts w:ascii="Times New Roman" w:hAnsi="Times New Roman"/>
          <w:b/>
          <w:color w:val="000000"/>
          <w:sz w:val="20"/>
        </w:rPr>
        <w:t>Transfer Premium</w:t>
      </w:r>
      <w:r>
        <w:rPr>
          <w:color w:val="000000"/>
        </w:rPr>
        <w:t xml:space="preserve">” </w:t>
      </w:r>
      <w:r>
        <w:rPr>
          <w:rFonts w:ascii="Times New Roman" w:hAnsi="Times New Roman"/>
          <w:color w:val="000000"/>
          <w:sz w:val="20"/>
        </w:rPr>
        <w:t>shall mean all rent, additional rent or other consideration payable by such Transferee in connection with the Transfer in excess of the Rent and Additional Rent payable by Tenant under this Lease during the term of the Transfer on a per rentable square foot basis if less than all of the Premises is transferred, and after deduction of (i) any costs of improvements made to the Subject Space in connection with such Transfer, (ii) brokerage commissions paid in connection with such Transfer, and (iii) reasonable legal and marketing fees or costs incurred in connection with such Transfer. “</w:t>
      </w:r>
      <w:r>
        <w:rPr>
          <w:rFonts w:ascii="Times New Roman" w:hAnsi="Times New Roman"/>
          <w:b/>
          <w:color w:val="000000"/>
          <w:sz w:val="20"/>
        </w:rPr>
        <w:t>Transfer Premium</w:t>
      </w:r>
      <w:r>
        <w:rPr>
          <w:color w:val="000000"/>
        </w:rPr>
        <w:t xml:space="preserve">” </w:t>
      </w:r>
      <w:r>
        <w:rPr>
          <w:rFonts w:ascii="Times New Roman" w:hAnsi="Times New Roman"/>
          <w:color w:val="000000"/>
          <w:sz w:val="20"/>
        </w:rPr>
        <w:t>shall also include, but not be limited to, key money, bonus money or other cash consideration paid by Transferee to Tenant in connection with such Transfer, and any payment in excess of fair market value for services rendered by Tenant to Transferee or for assets, fixtures, inventory, equipment, or furniture transferred by Tenant to Transferee in connection with such Transfer. The determination of the amount of Landlord’s applicable share of the Transfer Premium shall be made on a monthly basis as rent or other consideration is received by Tenant under the Transfer.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14.4</w:t>
      </w:r>
    </w:p>
    <w:p>
      <w:pPr>
        <w:pStyle w:val="TextBody"/>
        <w:bidi w:val="0"/>
        <w:spacing w:before="0" w:after="240"/>
        <w:jc w:val="left"/>
        <w:rPr/>
      </w:pPr>
      <w:r>
        <w:rPr>
          <w:rFonts w:ascii="Times New Roman" w:hAnsi="Times New Roman"/>
          <w:b/>
          <w:color w:val="000000"/>
          <w:sz w:val="20"/>
          <w:u w:val="single"/>
        </w:rPr>
        <w:t>Landlord’s Option as to Subject Space</w:t>
      </w:r>
      <w:r>
        <w:rPr>
          <w:rFonts w:ascii="Times New Roman" w:hAnsi="Times New Roman"/>
          <w:color w:val="000000"/>
          <w:sz w:val="20"/>
        </w:rPr>
        <w:t xml:space="preserve">. Notwithstanding anything to the contrary contained in this </w:t>
      </w:r>
      <w:r>
        <w:rPr>
          <w:rFonts w:ascii="Times New Roman" w:hAnsi="Times New Roman"/>
          <w:color w:val="000000"/>
          <w:sz w:val="20"/>
          <w:u w:val="single"/>
        </w:rPr>
        <w:t>Article 14</w:t>
      </w:r>
      <w:r>
        <w:rPr>
          <w:rFonts w:ascii="Times New Roman" w:hAnsi="Times New Roman"/>
          <w:color w:val="000000"/>
          <w:sz w:val="20"/>
        </w:rPr>
        <w:t>, in the event Tenant contemplates a Transfer which, together with all prior Transfers then remaining in effect, would cause fifty percent (50%) or more of the Premises to be Transferred for more than fifty percent (50%) of the then remaining Lease Term (taking into account any extension of the Lease Term which has irrevocably exercised by Tenant), Tenant shall give Landlord notice (the “</w:t>
      </w:r>
      <w:r>
        <w:rPr>
          <w:rFonts w:ascii="Times New Roman" w:hAnsi="Times New Roman"/>
          <w:b/>
          <w:color w:val="000000"/>
          <w:sz w:val="20"/>
        </w:rPr>
        <w:t>Intention to Transfer Notice</w:t>
      </w:r>
      <w:r>
        <w:rPr>
          <w:color w:val="000000"/>
        </w:rPr>
        <w:t>”</w:t>
      </w:r>
      <w:r>
        <w:rPr>
          <w:rFonts w:ascii="Times New Roman" w:hAnsi="Times New Roman"/>
          <w:color w:val="000000"/>
          <w:sz w:val="20"/>
        </w:rPr>
        <w:t>) of such contemplated Transfer (whether or not the contemplated Transferee or the terms of such contemplated Transfer have been determined). The Intention to Transfer Notice shall specify the portion of and amount of rentable square feet of the Premises which Tenant intends to Transfer (the “</w:t>
      </w:r>
      <w:r>
        <w:rPr>
          <w:rFonts w:ascii="Times New Roman" w:hAnsi="Times New Roman"/>
          <w:b/>
          <w:color w:val="000000"/>
          <w:sz w:val="20"/>
        </w:rPr>
        <w:t>Contemplated Transfer Space</w:t>
      </w:r>
      <w:r>
        <w:rPr>
          <w:color w:val="000000"/>
        </w:rPr>
        <w:t>”</w:t>
      </w:r>
      <w:r>
        <w:rPr>
          <w:rFonts w:ascii="Times New Roman" w:hAnsi="Times New Roman"/>
          <w:color w:val="000000"/>
          <w:sz w:val="20"/>
        </w:rPr>
        <w:t>), the contemplated date of commencement of the Contemplated Transfer (the “</w:t>
      </w:r>
      <w:r>
        <w:rPr>
          <w:rFonts w:ascii="Times New Roman" w:hAnsi="Times New Roman"/>
          <w:b/>
          <w:color w:val="000000"/>
          <w:sz w:val="20"/>
        </w:rPr>
        <w:t>Contemplated Effective Date</w:t>
      </w:r>
      <w:r>
        <w:rPr>
          <w:color w:val="000000"/>
        </w:rPr>
        <w:t>”</w:t>
      </w:r>
      <w:r>
        <w:rPr>
          <w:rFonts w:ascii="Times New Roman" w:hAnsi="Times New Roman"/>
          <w:color w:val="000000"/>
          <w:sz w:val="20"/>
        </w:rPr>
        <w:t xml:space="preserve">), and the contemplated length of the term of such contemplated Transfer, and shall specify that such Intention to Transfer Notice is delivered to Landlord pursuant to this </w:t>
      </w:r>
      <w:r>
        <w:rPr>
          <w:rFonts w:ascii="Times New Roman" w:hAnsi="Times New Roman"/>
          <w:color w:val="000000"/>
          <w:sz w:val="20"/>
          <w:u w:val="single"/>
        </w:rPr>
        <w:t>Section 14.4</w:t>
      </w:r>
      <w:r>
        <w:rPr>
          <w:color w:val="000000"/>
        </w:rPr>
        <w:t xml:space="preserve"> </w:t>
      </w:r>
      <w:r>
        <w:rPr>
          <w:rFonts w:ascii="Times New Roman" w:hAnsi="Times New Roman"/>
          <w:color w:val="000000"/>
          <w:sz w:val="20"/>
        </w:rPr>
        <w:t>in order to allow Landlord to elect to recapture the Contemplated Transfer Space. Thereafter, Landlord shall have the option, by giving written notice to Tenant within ten</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- 43 -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(10) Business Days after receipt of any Intention to Transfer Notice, to recapture the Contemplated Transfer Space. Such recapture shall cancel and terminate this Lease with respect to such Contemplated Transfer Space as of the Contemplated Effective Date. In the event of a recapture by Landlord, if this Lease shall be canceled with respect to less than the entire Premises, the Rent reserved herein shall be prorated on the basis of the number of rentable square feet retained by Tenant in proportion to the number of rentable square feet contained in the Premises, and this Lease as so amended shall continue thereafter in full force and effect, and upon request of either party, the parties shall execute written confirmation of the same. If Landlord declines, or fails to elect in a timely manner, to recapture such Contemplated Transfer Space under this </w:t>
      </w:r>
      <w:r>
        <w:rPr>
          <w:rFonts w:ascii="Times New Roman" w:hAnsi="Times New Roman"/>
          <w:color w:val="000000"/>
          <w:sz w:val="20"/>
          <w:u w:val="single"/>
        </w:rPr>
        <w:t>Section 14.4</w:t>
      </w:r>
      <w:r>
        <w:rPr>
          <w:rFonts w:ascii="Times New Roman" w:hAnsi="Times New Roman"/>
          <w:color w:val="000000"/>
          <w:sz w:val="20"/>
        </w:rPr>
        <w:t xml:space="preserve">, then, subject to the other terms of this </w:t>
      </w:r>
      <w:r>
        <w:rPr>
          <w:rFonts w:ascii="Times New Roman" w:hAnsi="Times New Roman"/>
          <w:color w:val="000000"/>
          <w:sz w:val="20"/>
          <w:u w:val="single"/>
        </w:rPr>
        <w:t>Article 14</w:t>
      </w:r>
      <w:r>
        <w:rPr>
          <w:rFonts w:ascii="Times New Roman" w:hAnsi="Times New Roman"/>
          <w:color w:val="000000"/>
          <w:sz w:val="20"/>
        </w:rPr>
        <w:t>, for a period of nine (9) months (the “</w:t>
      </w:r>
      <w:r>
        <w:rPr>
          <w:rFonts w:ascii="Times New Roman" w:hAnsi="Times New Roman"/>
          <w:b/>
          <w:color w:val="000000"/>
          <w:sz w:val="20"/>
        </w:rPr>
        <w:t>Nine Month Period</w:t>
      </w:r>
      <w:r>
        <w:rPr>
          <w:rFonts w:ascii="Times New Roman" w:hAnsi="Times New Roman"/>
          <w:color w:val="000000"/>
          <w:sz w:val="20"/>
        </w:rPr>
        <w:t xml:space="preserve">”) commencing on the last day of such ten (10) Business Day period, Landlord shall not have any right to recapture the Contemplated Transfer Space with respect to any Transfer made during the Nine Month Period, provided that any such Transfer is substantially on the terms set forth in the Intention to Transfer Notice, and provided further that any such Transfer shall be subject to the remaining terms of this </w:t>
      </w:r>
      <w:r>
        <w:rPr>
          <w:rFonts w:ascii="Times New Roman" w:hAnsi="Times New Roman"/>
          <w:color w:val="000000"/>
          <w:sz w:val="20"/>
          <w:u w:val="single"/>
        </w:rPr>
        <w:t>Article 14</w:t>
      </w:r>
      <w:r>
        <w:rPr>
          <w:rFonts w:ascii="Times New Roman" w:hAnsi="Times New Roman"/>
          <w:color w:val="000000"/>
          <w:sz w:val="20"/>
        </w:rPr>
        <w:t xml:space="preserve">. If such a Transfer is not so consummated within the Nine Month Period (or if a Transfer is so consummated, then upon the expiration of the term of any Transfer of such Contemplated Transfer Space consummated within such Nine Month Period), Tenant shall again be required to submit a new Intention to Transfer Notice to Landlord with respect any contemplated Transfer, as provided above in this </w:t>
      </w:r>
      <w:r>
        <w:rPr>
          <w:rFonts w:ascii="Times New Roman" w:hAnsi="Times New Roman"/>
          <w:color w:val="000000"/>
          <w:sz w:val="20"/>
          <w:u w:val="single"/>
        </w:rPr>
        <w:t>Section 14.4</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14.5</w:t>
      </w:r>
    </w:p>
    <w:p>
      <w:pPr>
        <w:pStyle w:val="TextBody"/>
        <w:bidi w:val="0"/>
        <w:spacing w:before="0" w:after="240"/>
        <w:jc w:val="left"/>
        <w:rPr/>
      </w:pPr>
      <w:r>
        <w:rPr>
          <w:rFonts w:ascii="Times New Roman" w:hAnsi="Times New Roman"/>
          <w:b/>
          <w:color w:val="000000"/>
          <w:sz w:val="20"/>
          <w:u w:val="single"/>
        </w:rPr>
        <w:t>Effect of Transfer</w:t>
      </w:r>
      <w:r>
        <w:rPr>
          <w:rFonts w:ascii="Times New Roman" w:hAnsi="Times New Roman"/>
          <w:color w:val="000000"/>
          <w:sz w:val="20"/>
        </w:rPr>
        <w:t>. If Landlord consents to a Transfer, (i) the terms and conditions of this Lease shall in no way be deemed to have been waived or modified, (ii) such consent shall not be deemed consent to any further Transfer by either Tenant or a Transferee, (iii) Tenant shall deliver to Landlord, promptly after execution, an original executed copy of all documentation pertaining to the Transfer in form reasonably acceptable to Landlord, (iv) Tenant shall furnish upon Landlord’s request a complete statement, certified by an independent certified public accountant, or Tenant’s chief financial officer, setting forth in detail the computation of any Transfer Premium Tenant has derived and shall derive from such Transfer, and (v) no Transfer relating to this Lease or agreement entered into with respect thereto, whether with or without Landlord’s consent, shall relieve Tenant or any guarantor of this Lease from any liability under this Lease, including, without limitation, in connection with the Subject Space. Landlord or its authorized representatives shall have the right at all reasonable times to audit the books, records and papers of Tenant relating to any Transfer, and shall have the right to make copies thereof. If the Transfer Premium respecting any Transfer shall be found understated, Tenant shall, within thirty (30) days after demand, pay the deficiency, and if understated by more than three percent (3%), Tenant shall pay Landlord’s costs of such audit.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14.6</w:t>
      </w:r>
    </w:p>
    <w:p>
      <w:pPr>
        <w:pStyle w:val="TextBody"/>
        <w:bidi w:val="0"/>
        <w:spacing w:before="0" w:after="240"/>
        <w:jc w:val="left"/>
        <w:rPr/>
      </w:pPr>
      <w:r>
        <w:rPr>
          <w:rFonts w:ascii="Times New Roman" w:hAnsi="Times New Roman"/>
          <w:b/>
          <w:color w:val="000000"/>
          <w:sz w:val="20"/>
          <w:u w:val="single"/>
        </w:rPr>
        <w:t>Additional Transfers</w:t>
      </w:r>
      <w:r>
        <w:rPr>
          <w:rFonts w:ascii="Times New Roman" w:hAnsi="Times New Roman"/>
          <w:color w:val="000000"/>
          <w:sz w:val="20"/>
        </w:rPr>
        <w:t xml:space="preserve">. Except in connection with a transfer to a Permitted Transferee under </w:t>
      </w:r>
      <w:r>
        <w:rPr>
          <w:rFonts w:ascii="Times New Roman" w:hAnsi="Times New Roman"/>
          <w:color w:val="000000"/>
          <w:sz w:val="20"/>
          <w:u w:val="single"/>
        </w:rPr>
        <w:t>Section 14.8</w:t>
      </w:r>
      <w:r>
        <w:rPr>
          <w:rFonts w:ascii="Times New Roman" w:hAnsi="Times New Roman"/>
          <w:color w:val="000000"/>
          <w:sz w:val="20"/>
        </w:rPr>
        <w:t>, below, for purposes of this Lease, the term “</w:t>
      </w:r>
      <w:r>
        <w:rPr>
          <w:rFonts w:ascii="Times New Roman" w:hAnsi="Times New Roman"/>
          <w:b/>
          <w:color w:val="000000"/>
          <w:sz w:val="20"/>
        </w:rPr>
        <w:t>Transfer</w:t>
      </w:r>
      <w:r>
        <w:rPr>
          <w:color w:val="000000"/>
        </w:rPr>
        <w:t xml:space="preserve">” </w:t>
      </w:r>
      <w:r>
        <w:rPr>
          <w:rFonts w:ascii="Times New Roman" w:hAnsi="Times New Roman"/>
          <w:color w:val="000000"/>
          <w:sz w:val="20"/>
        </w:rPr>
        <w:t>shall also include (i) if Tenant is a partnership, the withdrawal or change, voluntary, involuntary or by operation of law, of fifty percent (50%) or more of the partners, or transfer of fifty percent (50%) or more of partnership interests, within a twelve (12)-month period, or the dissolution of the partnership without immediate reconstitution thereof, and (ii) if Tenant is a closely held corporation (</w:t>
      </w:r>
      <w:r>
        <w:rPr>
          <w:rFonts w:ascii="Times New Roman" w:hAnsi="Times New Roman"/>
          <w:i/>
          <w:color w:val="000000"/>
          <w:sz w:val="20"/>
        </w:rPr>
        <w:t>,.(.</w:t>
      </w:r>
      <w:r>
        <w:rPr>
          <w:rFonts w:ascii="Times New Roman" w:hAnsi="Times New Roman"/>
          <w:color w:val="000000"/>
          <w:sz w:val="20"/>
        </w:rPr>
        <w:t>, whose stock is not publicly held and not traded through an exchange or over the counter), (A) the dissolution, merger, consolidation or other reorganization of Tenant or (B) the sale or other transfer of an aggregate of fifty percent (50%) or more of the voting shares of Tenant (other than to immediate family members by reason of gift or death), within a twelve (12)-month period, or (C) the sale, mortgage, hypothecation or pledge of an aggregate of fifty percent (50%) or more of the value of the unencumbered assets of Tenant within a twelve (12)-month period.</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- 44 -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14.7</w:t>
      </w:r>
    </w:p>
    <w:p>
      <w:pPr>
        <w:pStyle w:val="TextBody"/>
        <w:bidi w:val="0"/>
        <w:spacing w:before="0" w:after="240"/>
        <w:jc w:val="left"/>
        <w:rPr/>
      </w:pPr>
      <w:r>
        <w:rPr>
          <w:rFonts w:ascii="Times New Roman" w:hAnsi="Times New Roman"/>
          <w:b/>
          <w:color w:val="000000"/>
          <w:sz w:val="20"/>
          <w:u w:val="single"/>
        </w:rPr>
        <w:t>Occurrence of Default</w:t>
      </w:r>
      <w:r>
        <w:rPr>
          <w:rFonts w:ascii="Times New Roman" w:hAnsi="Times New Roman"/>
          <w:color w:val="000000"/>
          <w:sz w:val="20"/>
        </w:rPr>
        <w:t xml:space="preserve">. Any Transfer hereunder shall be subordinate and subject to the provisions of this Lease, and if this Lease shall be terminated during the term of any Transfer, Landlord shall have the right to: (i) treat such Transfer as cancelled and repossess the Subject Space by any lawful means, or (ii) require that such Transferee attorn to and recognize Landlord as its landlord under any such Transfer. If Tenant shall be in default under this Lease (beyond any applicable notice and cure periods set forth in this Lease), Landlord is hereby irrevocably authorized, as Tenant’s agent and attorney-in-fact, to direct any Transferee to make all payments under or in connection with the Transfer directly to Landlord (which Landlord shall apply towards Tenant’s obligations under this Lease) until such default is cured. Such Transferee shall rely on any representation by Landlord that Tenant is in default hereunder, without any need for confirmation thereof by Tenant. Upon any assignment, the assignee shall assume in writing all obligations and covenants of Tenant thereafter to be performed or observed under this Lease. No collection or acceptance of rent by Landlord from any Transferee shall be deemed a waiver of any provision of this </w:t>
      </w:r>
      <w:r>
        <w:rPr>
          <w:rFonts w:ascii="Times New Roman" w:hAnsi="Times New Roman"/>
          <w:color w:val="000000"/>
          <w:sz w:val="20"/>
          <w:u w:val="single"/>
        </w:rPr>
        <w:t>Article 14</w:t>
      </w:r>
      <w:r>
        <w:rPr>
          <w:color w:val="000000"/>
        </w:rPr>
        <w:t xml:space="preserve"> </w:t>
      </w:r>
      <w:r>
        <w:rPr>
          <w:rFonts w:ascii="Times New Roman" w:hAnsi="Times New Roman"/>
          <w:color w:val="000000"/>
          <w:sz w:val="20"/>
        </w:rPr>
        <w:t>or the approval of any Transferee or a release of Tenant from any obligation under this Lease, whether theretofore or thereafter accruing. In no event shall Landlord’s enforcement of any provision of this Lease against any Transferee be deemed a waiver of Landlord’s right to enforce any term of this Lease against Tenant or any other person. If Tenant’s obligations hereunder have been guaranteed, Landlord’s consent to any Transfer shall not be effective unless the guarantor also consents to such Transfer.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14.8</w:t>
      </w:r>
    </w:p>
    <w:p>
      <w:pPr>
        <w:pStyle w:val="TextBody"/>
        <w:bidi w:val="0"/>
        <w:spacing w:before="0" w:after="240"/>
        <w:jc w:val="left"/>
        <w:rPr/>
      </w:pPr>
      <w:r>
        <w:rPr>
          <w:rFonts w:ascii="Times New Roman" w:hAnsi="Times New Roman"/>
          <w:b/>
          <w:color w:val="000000"/>
          <w:sz w:val="20"/>
          <w:u w:val="single"/>
        </w:rPr>
        <w:t>Deemed Consent Transfers</w:t>
      </w:r>
      <w:r>
        <w:rPr>
          <w:rFonts w:ascii="Times New Roman" w:hAnsi="Times New Roman"/>
          <w:color w:val="000000"/>
          <w:sz w:val="20"/>
        </w:rPr>
        <w:t xml:space="preserve">. Notwithstanding anything to the contrary contained in this Lease, (A) an assignment or subletting of all or a portion of the Premises to an affiliate of Tenant (an entity which is controlled by, controls, or is under common control with, Tenant as of the date of this Lease), (B) a sale of corporate shares of capital stock in Tenant in connection with an initial public offering of Tenant’s stock on a nationally-recognized stock exchange, (C) a transfer of member interests or stock in Tenant in connection with any financing or any other member interest or stock transfer, (D) an assignment of this Lease to an entity which acquires all or substantially all of the stock or assets of Tenant, or (E) an assignment of this Lease to an entity which is the resulting entity of a merger or consolidation of Tenant during the Lease Term, shall not be deemed a Transfer requiring Landlord’s consent under this </w:t>
      </w:r>
      <w:r>
        <w:rPr>
          <w:rFonts w:ascii="Times New Roman" w:hAnsi="Times New Roman"/>
          <w:color w:val="000000"/>
          <w:sz w:val="20"/>
          <w:u w:val="single"/>
        </w:rPr>
        <w:t>Article 14</w:t>
      </w:r>
      <w:r>
        <w:rPr>
          <w:color w:val="000000"/>
        </w:rPr>
        <w:t xml:space="preserve"> </w:t>
      </w:r>
      <w:r>
        <w:rPr>
          <w:rFonts w:ascii="Times New Roman" w:hAnsi="Times New Roman"/>
          <w:color w:val="000000"/>
          <w:sz w:val="20"/>
        </w:rPr>
        <w:t xml:space="preserve">and shall not be subject to the provisions of </w:t>
      </w:r>
      <w:r>
        <w:rPr>
          <w:rFonts w:ascii="Times New Roman" w:hAnsi="Times New Roman"/>
          <w:color w:val="000000"/>
          <w:sz w:val="20"/>
          <w:u w:val="single"/>
        </w:rPr>
        <w:t>Sections 14.3</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14.5</w:t>
      </w:r>
      <w:r>
        <w:rPr>
          <w:color w:val="000000"/>
        </w:rPr>
        <w:t xml:space="preserve"> </w:t>
      </w:r>
      <w:r>
        <w:rPr>
          <w:rFonts w:ascii="Times New Roman" w:hAnsi="Times New Roman"/>
          <w:color w:val="000000"/>
          <w:sz w:val="20"/>
        </w:rPr>
        <w:t xml:space="preserve">above (any such assignee or sublessee described in items (A) through (E) of this </w:t>
      </w:r>
      <w:r>
        <w:rPr>
          <w:rFonts w:ascii="Times New Roman" w:hAnsi="Times New Roman"/>
          <w:color w:val="000000"/>
          <w:sz w:val="20"/>
          <w:u w:val="single"/>
        </w:rPr>
        <w:t>Section 14.8</w:t>
      </w:r>
      <w:r>
        <w:rPr>
          <w:color w:val="000000"/>
        </w:rPr>
        <w:t xml:space="preserve"> </w:t>
      </w:r>
      <w:r>
        <w:rPr>
          <w:rFonts w:ascii="Times New Roman" w:hAnsi="Times New Roman"/>
          <w:color w:val="000000"/>
          <w:sz w:val="20"/>
        </w:rPr>
        <w:t>hereinafter referred to as a “</w:t>
      </w:r>
      <w:r>
        <w:rPr>
          <w:rFonts w:ascii="Times New Roman" w:hAnsi="Times New Roman"/>
          <w:b/>
          <w:color w:val="000000"/>
          <w:sz w:val="20"/>
        </w:rPr>
        <w:t>Permitted Transferee</w:t>
      </w:r>
      <w:r>
        <w:rPr>
          <w:color w:val="000000"/>
        </w:rPr>
        <w:t>”</w:t>
      </w:r>
      <w:r>
        <w:rPr>
          <w:rFonts w:ascii="Times New Roman" w:hAnsi="Times New Roman"/>
          <w:color w:val="000000"/>
          <w:sz w:val="20"/>
        </w:rPr>
        <w:t>), provided that (i) Tenant notifies Landlord promptly upon the effective date of any such assignment or sublease and promptly supplies Landlord with any documents or information reasonably requested by Landlord regarding such transfer or transferee as set forth above, (ii) Tenant is not in default, beyond any applicable notice and cure period, and such assignment or sublease is not a subterfuge by Tenant to avoid its obligations under this Lease, (iii) such Permitted Transferee (or the Tenant entity immediately preceding the Permitted Transfer (the “</w:t>
      </w:r>
      <w:r>
        <w:rPr>
          <w:rFonts w:ascii="Times New Roman" w:hAnsi="Times New Roman"/>
          <w:b/>
          <w:color w:val="000000"/>
          <w:sz w:val="20"/>
        </w:rPr>
        <w:t>Prior Tenant</w:t>
      </w:r>
      <w:r>
        <w:rPr>
          <w:color w:val="000000"/>
        </w:rPr>
        <w:t>”</w:t>
      </w:r>
      <w:r>
        <w:rPr>
          <w:rFonts w:ascii="Times New Roman" w:hAnsi="Times New Roman"/>
          <w:color w:val="000000"/>
          <w:sz w:val="20"/>
        </w:rPr>
        <w:t>), if such Prior Tenant remains the Tenant under this Lease) shall have a tangible net worth (not including goodwill as an asset) computed in accordance with generally accepted accounting principles (“</w:t>
      </w:r>
      <w:r>
        <w:rPr>
          <w:rFonts w:ascii="Times New Roman" w:hAnsi="Times New Roman"/>
          <w:b/>
          <w:color w:val="000000"/>
          <w:sz w:val="20"/>
        </w:rPr>
        <w:t>Net Worth</w:t>
      </w:r>
      <w:r>
        <w:rPr>
          <w:color w:val="000000"/>
        </w:rPr>
        <w:t>”</w:t>
      </w:r>
      <w:r>
        <w:rPr>
          <w:rFonts w:ascii="Times New Roman" w:hAnsi="Times New Roman"/>
          <w:color w:val="000000"/>
          <w:sz w:val="20"/>
        </w:rPr>
        <w:t>) at least equal to the Net Worth of Tenant on the day immediately preceding the effective date of such assignment or sublease; provided that if the Prior Tenant is a surviving entity of such Permitted Transfer but is no longer the Tenant under this Lease, and such Prior Tenant remains liable under this Lease, then Tenant may combine the Net Worth of the Prior Tenant and the</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- 45 -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Permitted Transferee to satisfy the foregoing Net Worth requirement; provided further that, in the event of a subletting of all or a portion of the Premises to an affiliate of Tenant pursuant to item (A) above, Tenant may combine the Net Worth of Tenant and such affiliate of Tenant to satisfy the foregoing Net Worth requirement, and (iv) no assignment relating to this Lease, whether with or without Landlord’s consent, shall relieve Tenant from any liability under this Lease, and, in the event of an assignment of Tenant’s entire interest in this Lease, the liability of Tenant and such transferee (other than a transferee pursuant to a stock or member interest transfer whereby this Lease is not actually assigned to a new entity) shall be joint and several. An assignee of Tenant’s entire interest in this Lease who qualifies as a Permitted Transferee may also be referred to herein as a “</w:t>
      </w:r>
      <w:r>
        <w:rPr>
          <w:rFonts w:ascii="Times New Roman" w:hAnsi="Times New Roman"/>
          <w:b/>
          <w:color w:val="000000"/>
          <w:sz w:val="20"/>
        </w:rPr>
        <w:t>Permitted Transferee Assignee</w:t>
      </w:r>
      <w:r>
        <w:rPr>
          <w:rFonts w:ascii="Times New Roman" w:hAnsi="Times New Roman"/>
          <w:color w:val="000000"/>
          <w:sz w:val="20"/>
        </w:rPr>
        <w:t xml:space="preserve">.” “Control,” as used in this </w:t>
      </w:r>
      <w:r>
        <w:rPr>
          <w:rFonts w:ascii="Times New Roman" w:hAnsi="Times New Roman"/>
          <w:color w:val="000000"/>
          <w:sz w:val="20"/>
          <w:u w:val="single"/>
        </w:rPr>
        <w:t>Section 14.8</w:t>
      </w:r>
      <w:r>
        <w:rPr>
          <w:rFonts w:ascii="Times New Roman" w:hAnsi="Times New Roman"/>
          <w:color w:val="000000"/>
          <w:sz w:val="20"/>
        </w:rPr>
        <w:t>, shall mean the ownership, directly or indirectly, of at least fifty</w:t>
        <w:noBreakHyphen/>
        <w:t>one percent (51%) of the voting securities of, or possession of the right to vote, in the ordinary direction of its affairs, of at least fifty-one percent (51%) of the voting interest in, any person or entity.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15.</w:t>
      </w:r>
    </w:p>
    <w:p>
      <w:pPr>
        <w:pStyle w:val="TextBody"/>
        <w:bidi w:val="0"/>
        <w:spacing w:before="0" w:after="240"/>
        <w:jc w:val="left"/>
        <w:rPr/>
      </w:pPr>
      <w:r>
        <w:rPr>
          <w:rFonts w:ascii="Times New Roman" w:hAnsi="Times New Roman"/>
          <w:b/>
          <w:color w:val="000000"/>
          <w:sz w:val="20"/>
        </w:rPr>
        <w:t>SURRENDER OF PREMISES; OWNERSHIP AND REMOVAL OF TRADE FIXTURES</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15.1</w:t>
      </w:r>
    </w:p>
    <w:p>
      <w:pPr>
        <w:pStyle w:val="TextBody"/>
        <w:bidi w:val="0"/>
        <w:spacing w:before="0" w:after="240"/>
        <w:jc w:val="left"/>
        <w:rPr/>
      </w:pPr>
      <w:r>
        <w:rPr>
          <w:rFonts w:ascii="Times New Roman" w:hAnsi="Times New Roman"/>
          <w:b/>
          <w:color w:val="000000"/>
          <w:sz w:val="20"/>
          <w:u w:val="single"/>
        </w:rPr>
        <w:t>Surrender of Premises</w:t>
      </w:r>
      <w:r>
        <w:rPr>
          <w:rFonts w:ascii="Times New Roman" w:hAnsi="Times New Roman"/>
          <w:color w:val="000000"/>
          <w:sz w:val="20"/>
        </w:rPr>
        <w:t>. No act or thing done by Landlord or any agent or employee of Landlord during the Lease Term shall be deemed to constitute an acceptance by Landlord of a surrender of the Premises unless such intent is specifically acknowledged in writing by Landlord. The delivery of keys to the Premises to Landlord or any agent or employee of Landlord shall not constitute a surrender of the Premises or effect a termination of this Lease, whether or not the keys are thereafter retained by Landlord, and notwithstanding such delivery Tenant shall be entitled to the return of such keys at any reasonable time upon request until this Lease shall have been properly terminated. The voluntary or other surrender of this Lease by Tenant, whether accepted by Landlord or not, or a mutual termination hereof, shall not work a merger, and at the option of Landlord shall operate as an assignment to Landlord of all subleases or subtenancies affecting the Premises or terminate any or all such sublessees or subtenancies.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15.2</w:t>
      </w:r>
    </w:p>
    <w:p>
      <w:pPr>
        <w:pStyle w:val="TextBody"/>
        <w:bidi w:val="0"/>
        <w:spacing w:before="0" w:after="240"/>
        <w:jc w:val="left"/>
        <w:rPr/>
      </w:pPr>
      <w:r>
        <w:rPr>
          <w:rFonts w:ascii="Times New Roman" w:hAnsi="Times New Roman"/>
          <w:b/>
          <w:color w:val="000000"/>
          <w:sz w:val="20"/>
          <w:u w:val="single"/>
        </w:rPr>
        <w:t>Removal of Tenant Property by Tenant</w:t>
      </w:r>
      <w:r>
        <w:rPr>
          <w:rFonts w:ascii="Times New Roman" w:hAnsi="Times New Roman"/>
          <w:color w:val="000000"/>
          <w:sz w:val="20"/>
        </w:rPr>
        <w:t xml:space="preserve">. Upon the expiration of the Lease Term, or upon any earlier termination of this Lease, Tenant shall, subject to the provisions of this </w:t>
      </w:r>
      <w:r>
        <w:rPr>
          <w:rFonts w:ascii="Times New Roman" w:hAnsi="Times New Roman"/>
          <w:color w:val="000000"/>
          <w:sz w:val="20"/>
          <w:u w:val="single"/>
        </w:rPr>
        <w:t>Article 15</w:t>
      </w:r>
      <w:r>
        <w:rPr>
          <w:rFonts w:ascii="Times New Roman" w:hAnsi="Times New Roman"/>
          <w:color w:val="000000"/>
          <w:sz w:val="20"/>
        </w:rPr>
        <w:t>, quit and surrender possession of the Premises to Landlord in as good order and condition as when Tenant took possession and as thereafter improved by Landlord and/or Tenant, reasonable wear and tear, repairs which are specifically made the responsibility of Landlord hereunder, and/or damage due to casualty, excepted. Upon such expiration or termination, Tenant shall, without expense to Landlord, remove or cause to be removed from the Premises all debris and rubbish, and such items of furniture, equipment, free-standing cabinet work, movable partitions and other articles of personal property owned by Tenant or installed or placed by Tenant at its expense in the Premises, and such similar articles of any other persons claiming under Tenant, as Landlord may, in its sole discretion, require to be removed, and Tenant shall repair at its own expense all damage to the Premises and Building resulting from such removal; provided, however, in no event shall Tenant be obligated to (i) repair or replace any floor coverings or wall coverings, (ii) to repaint, or (iii) patch small holes in the walls and floors, provided in each case there has not been unreasonable wear and tear.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15.3</w:t>
      </w:r>
    </w:p>
    <w:p>
      <w:pPr>
        <w:pStyle w:val="TextBody"/>
        <w:bidi w:val="0"/>
        <w:spacing w:before="0" w:after="240"/>
        <w:jc w:val="left"/>
        <w:rPr/>
      </w:pPr>
      <w:r>
        <w:rPr>
          <w:rFonts w:ascii="Times New Roman" w:hAnsi="Times New Roman"/>
          <w:b/>
          <w:color w:val="000000"/>
          <w:sz w:val="20"/>
          <w:u w:val="single"/>
        </w:rPr>
        <w:t>Environmental Assessment</w:t>
      </w:r>
      <w:r>
        <w:rPr>
          <w:rFonts w:ascii="Times New Roman" w:hAnsi="Times New Roman"/>
          <w:color w:val="000000"/>
          <w:sz w:val="20"/>
        </w:rPr>
        <w:t>. In connection with its surrender of the Premises, Tenant shall submit to Landlord, at least one hundred twenty (120) days prior to the expiration</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- 46 -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date of this Lease (or in the event of an earlier termination of this Lease, as soon as reasonably possible following such termination), an environmental Assessment of the Premises by a competent and experienced environmental engineer or engineering firm reasonably satisfactory to Landlord (pursuant to a contract approved by Landlord and providing that Landlord can rely on the Environmental Assessment), which (i) evidences that the Premises are in a clean and safe condition and free and clear of any Hazardous Materials; and (ii) includes a review of the Premises by an environmental consultant for asbestos, mold, fungus, spores, and other moisture conditions, on-site chemical use, and lead-based paint. If such Environmental Assessment reveals that remediation or Clean-up is required under any Environmental Laws, Tenant shall submit a remediation plan prepared by a recognized environmental consultant and shall be responsible for all costs of remediation and Clean-up, as more particularly provided in </w:t>
      </w:r>
      <w:r>
        <w:rPr>
          <w:rFonts w:ascii="Times New Roman" w:hAnsi="Times New Roman"/>
          <w:color w:val="000000"/>
          <w:sz w:val="20"/>
          <w:u w:val="single"/>
        </w:rPr>
        <w:t>Section 5.3</w:t>
      </w:r>
      <w:r>
        <w:rPr>
          <w:rFonts w:ascii="Times New Roman" w:hAnsi="Times New Roman"/>
          <w:color w:val="000000"/>
          <w:sz w:val="20"/>
        </w:rPr>
        <w:t>, above.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16.</w:t>
      </w:r>
    </w:p>
    <w:p>
      <w:pPr>
        <w:pStyle w:val="TextBody"/>
        <w:bidi w:val="0"/>
        <w:spacing w:before="0" w:after="240"/>
        <w:jc w:val="left"/>
        <w:rPr/>
      </w:pPr>
      <w:r>
        <w:rPr>
          <w:rFonts w:ascii="Times New Roman" w:hAnsi="Times New Roman"/>
          <w:b/>
          <w:color w:val="000000"/>
          <w:sz w:val="20"/>
        </w:rPr>
        <w:t>HOLDING OVER</w:t>
      </w:r>
      <w:r>
        <w:rPr>
          <w:rFonts w:ascii="Times New Roman" w:hAnsi="Times New Roman"/>
          <w:color w:val="000000"/>
          <w:sz w:val="20"/>
        </w:rPr>
        <w:t xml:space="preserve">. If Tenant holds over after the expiration of the Lease Term or earlier termination thereof, with the express or implied consent of Landlord, such tenancy shall be from month-to-month only, and shall not constitute a renewal hereof or an extension for any further term. If Tenant holds over after the expiration of the Lease Term of earlier termination thereof, without the express or implied consent of Landlord, such tenancy shall be deemed to be a tenancy by sufferance only, and shall not constitute a renewal hereof or an extension for any further term. In either case, Base Rent shall be payable at a monthly rate equal to the product of (i) the Base Rent applicable during the last rental period of the Lease Term under this Lease or for the first month immediately following the earlier termination of the Lease Term, as applicable, and (ii) a percentage equal to 125% during the first (1st) month immediately following the expiration or earlier termination of the Lease Term, 150% during the second (2nd) and third (3rd) months immediately following the expiration or earlier termination of the Lease Term, and 200% thereafter. Such month-to-month tenancy or tenancy by sufferance, as the case may be, shall be subject to every other applicable term, covenant and agreement contained herein. Nothing contained in this </w:t>
      </w:r>
      <w:r>
        <w:rPr>
          <w:rFonts w:ascii="Times New Roman" w:hAnsi="Times New Roman"/>
          <w:color w:val="000000"/>
          <w:sz w:val="20"/>
          <w:u w:val="single"/>
        </w:rPr>
        <w:t>Article 16</w:t>
      </w:r>
      <w:r>
        <w:rPr>
          <w:color w:val="000000"/>
        </w:rPr>
        <w:t xml:space="preserve"> </w:t>
      </w:r>
      <w:r>
        <w:rPr>
          <w:rFonts w:ascii="Times New Roman" w:hAnsi="Times New Roman"/>
          <w:color w:val="000000"/>
          <w:sz w:val="20"/>
        </w:rPr>
        <w:t xml:space="preserve">shall be construed as consent by Landlord to any holding over by Tenant, and Landlord expressly reserves the right to require Tenant to surrender possession of the Premises to Landlord as provided in this Lease upon the expiration or other termination of this Lease. The provisions of this </w:t>
      </w:r>
      <w:r>
        <w:rPr>
          <w:rFonts w:ascii="Times New Roman" w:hAnsi="Times New Roman"/>
          <w:color w:val="000000"/>
          <w:sz w:val="20"/>
          <w:u w:val="single"/>
        </w:rPr>
        <w:t>Article 16</w:t>
      </w:r>
      <w:r>
        <w:rPr>
          <w:color w:val="000000"/>
        </w:rPr>
        <w:t xml:space="preserve"> </w:t>
      </w:r>
      <w:r>
        <w:rPr>
          <w:rFonts w:ascii="Times New Roman" w:hAnsi="Times New Roman"/>
          <w:color w:val="000000"/>
          <w:sz w:val="20"/>
        </w:rPr>
        <w:t>shall not be deemed to limit or constitute a waiver of any other rights or remedies of Landlord provided herein or at law. If Tenant fails to surrender the Premises on or before the date that occurs thirty (30) days following the termination or expiration of this Lease, then, in addition to any other liabilities to Landlord accruing therefrom, Tenant shall protect, defend, indemnify and hold Landlord harmless from all loss, costs (including reasonable attorneys’ fees) and liability resulting from such failure, including, without limiting the generality of the foregoing, any claims made by any succeeding tenant founded upon such failure to surrender and any lost profits to Landlord resulting therefrom.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17.</w:t>
      </w:r>
    </w:p>
    <w:p>
      <w:pPr>
        <w:pStyle w:val="TextBody"/>
        <w:bidi w:val="0"/>
        <w:spacing w:before="0" w:after="240"/>
        <w:jc w:val="left"/>
        <w:rPr/>
      </w:pPr>
      <w:r>
        <w:rPr>
          <w:rFonts w:ascii="Times New Roman" w:hAnsi="Times New Roman"/>
          <w:b/>
          <w:color w:val="000000"/>
          <w:sz w:val="20"/>
        </w:rPr>
        <w:t>ESTOPPEL CERTIFICATES</w:t>
      </w:r>
      <w:r>
        <w:rPr>
          <w:rFonts w:ascii="Times New Roman" w:hAnsi="Times New Roman"/>
          <w:color w:val="000000"/>
          <w:sz w:val="20"/>
        </w:rPr>
        <w:t>. Within ten (10) business days following a request in writing by Landlord, Tenant shall execute, acknowledge and deliver to Landlord an estoppel certificate, which, as submitted by Landlord, shall be substantially in the form of Exhibit E, attached hereto (or such other form as may be reasonably required by any prospective mortgagee or purchaser of the Project, or any portion thereof), indicating therein any exceptions thereto that may exist at that time, and shall also contain any other information reasonably requested by Landlord or Landlord’s mortgagee or prospective mortgagee. Any such certificate may be relied upon by any prospective mortgagee or purchaser of all or any portion of the Project. At any time during the Lease Term, Landlord may require Tenant to provide Landlord with a current financial</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- 47 -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statement and financial statements of the two (2) years prior to the current financial statement year (provided that Landlord and any other recipient thereof shall execute a commercially reasonable non-disclosure agreement to protect the confidentiality of such statements). Such statements shall be prepared in accordance with generally accepted accounting principles and, if such is the normal practice of Tenant, shall be audited by an independent certified public accountant. Failure of Tenant to timely execute, acknowledge and deliver such estoppel certificate, if not cured within an additional three (3) business days after notice from Landlord pursuant to </w:t>
      </w:r>
      <w:r>
        <w:rPr>
          <w:rFonts w:ascii="Times New Roman" w:hAnsi="Times New Roman"/>
          <w:color w:val="000000"/>
          <w:sz w:val="20"/>
          <w:u w:val="single"/>
        </w:rPr>
        <w:t>Section 19.1.4</w:t>
      </w:r>
      <w:r>
        <w:rPr>
          <w:rFonts w:ascii="Times New Roman" w:hAnsi="Times New Roman"/>
          <w:color w:val="000000"/>
          <w:sz w:val="20"/>
        </w:rPr>
        <w:t>, below, shall constitute an acceptance of the Premises and an acknowledgment by Tenant that statements included in the estoppel certificate are true and correct, without exception.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18.</w:t>
      </w:r>
    </w:p>
    <w:p>
      <w:pPr>
        <w:pStyle w:val="TextBody"/>
        <w:bidi w:val="0"/>
        <w:spacing w:before="0" w:after="240"/>
        <w:jc w:val="left"/>
        <w:rPr/>
      </w:pPr>
      <w:r>
        <w:rPr>
          <w:rFonts w:ascii="Times New Roman" w:hAnsi="Times New Roman"/>
          <w:b/>
          <w:color w:val="000000"/>
          <w:sz w:val="20"/>
        </w:rPr>
        <w:t>SUBORDINATION</w:t>
      </w:r>
      <w:r>
        <w:rPr>
          <w:rFonts w:ascii="Times New Roman" w:hAnsi="Times New Roman"/>
          <w:color w:val="000000"/>
          <w:sz w:val="20"/>
        </w:rPr>
        <w:t>. This Lease shall be subject and subordinate to all present and future ground or underlying leases of the Building or Project and to the lien of any mortgage, trust deed or other encumbrances now or hereafter in force against the Building or Project or any part thereof, if any, and to all renewals, extensions, modifications, consolidations and replacements thereof, and to all advances made or hereafter to be made upon the security of such mortgages or trust deeds, unless the holders of such mortgages, trust deeds or other encumbrances, or the lessors under such ground lease or underlying leases, require in writing that this Lease be superior thereto (collectively, the “</w:t>
      </w:r>
      <w:r>
        <w:rPr>
          <w:rFonts w:ascii="Times New Roman" w:hAnsi="Times New Roman"/>
          <w:b/>
          <w:color w:val="000000"/>
          <w:sz w:val="20"/>
        </w:rPr>
        <w:t>Superior Holders</w:t>
      </w:r>
      <w:r>
        <w:rPr>
          <w:color w:val="000000"/>
        </w:rPr>
        <w:t>”</w:t>
      </w:r>
      <w:r>
        <w:rPr>
          <w:rFonts w:ascii="Times New Roman" w:hAnsi="Times New Roman"/>
          <w:color w:val="000000"/>
          <w:sz w:val="20"/>
        </w:rPr>
        <w:t>); provided, however, (a) Landlord represents that there are no Superior Holders as of the date of this Lease and (b) in connection with any future Superior Holders, Landlord shall deliver to Tenant a commercially reasonable subordination non-disturbance and attornment agreement executed by such Superior Holder (an “</w:t>
      </w:r>
      <w:r>
        <w:rPr>
          <w:rFonts w:ascii="Times New Roman" w:hAnsi="Times New Roman"/>
          <w:b/>
          <w:color w:val="000000"/>
          <w:sz w:val="20"/>
        </w:rPr>
        <w:t>SNDA</w:t>
      </w:r>
      <w:r>
        <w:rPr>
          <w:color w:val="000000"/>
        </w:rPr>
        <w:t>”</w:t>
      </w:r>
      <w:r>
        <w:rPr>
          <w:rFonts w:ascii="Times New Roman" w:hAnsi="Times New Roman"/>
          <w:color w:val="000000"/>
          <w:sz w:val="20"/>
        </w:rPr>
        <w:t>) (which requires such Superior Holder to, among other things, accept this Lease, and not to disturb Tenant’s possession, so long as no default, beyond any applicable notice and cure period, is then in existence). Tenant covenants and agrees in the event any proceedings are brought for the foreclosure of any such mortgage or deed in lieu thereof (or if any ground lease is terminated), to attorn, without any deductions or set-offs whatsoever, to the lienholder or purchaser or any successors thereto upon any such foreclosure sale or deed in lieu thereof (or to the ground lessor), if so requested to do so by such purchaser or lienholder or ground lessor, and to recognize such purchaser or lienholder or ground lessor as the lessor under this Lease, provided such lienholder or purchaser or ground lessor shall agree to accept this Lease and not disturb Tenant’s occupancy, so long as Tenant timely pays the rent and observes and performs the terms, covenants and conditions of this Lease to be observed and performed by Tenant (beyond any applicable notice and cure periods). Landlord’s interest herein may be assigned as security at any time to any lienholder. Tenant shall, within ten (10) days of request by Landlord, execute such further commercially reasonable instruments or assurances as Landlord may reasonably deem necessary to evidence or confirm the subordination or superiority of this Lease to any such mortgages, trust deeds, ground leases or underlying leases. Tenant waives the provisions of any current or future statute, rule or law which may give or purport to give Tenant any right or election to terminate or otherwise adversely affect this Lease and the obligations of the Tenant hereunder in the event of any foreclosure proceeding or sale.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w:t>
      </w:r>
    </w:p>
    <w:p>
      <w:pPr>
        <w:pStyle w:val="TextBody"/>
        <w:bidi w:val="0"/>
        <w:spacing w:before="0" w:after="240"/>
        <w:jc w:val="left"/>
        <w:rPr/>
      </w:pPr>
      <w:r>
        <w:rPr>
          <w:rFonts w:ascii="Times New Roman" w:hAnsi="Times New Roman"/>
          <w:b/>
          <w:color w:val="000000"/>
          <w:sz w:val="20"/>
        </w:rPr>
        <w:t>DEFAULTS; REMEDIES</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19.1</w:t>
      </w:r>
    </w:p>
    <w:p>
      <w:pPr>
        <w:pStyle w:val="TextBody"/>
        <w:bidi w:val="0"/>
        <w:spacing w:before="0" w:after="240"/>
        <w:jc w:val="left"/>
        <w:rPr/>
      </w:pPr>
      <w:r>
        <w:rPr>
          <w:rFonts w:ascii="Times New Roman" w:hAnsi="Times New Roman"/>
          <w:b/>
          <w:color w:val="000000"/>
          <w:sz w:val="20"/>
          <w:u w:val="single"/>
        </w:rPr>
        <w:t>Events of Default</w:t>
      </w:r>
      <w:r>
        <w:rPr>
          <w:rFonts w:ascii="Times New Roman" w:hAnsi="Times New Roman"/>
          <w:color w:val="000000"/>
          <w:sz w:val="20"/>
        </w:rPr>
        <w:t xml:space="preserve">. The occurrence of any of the following shall constitute a default of this Lease by Tenant and Landlord shall not exercise any of the Landlord remedies set forth in </w:t>
      </w:r>
      <w:r>
        <w:rPr>
          <w:rFonts w:ascii="Times New Roman" w:hAnsi="Times New Roman"/>
          <w:color w:val="000000"/>
          <w:sz w:val="20"/>
          <w:u w:val="single"/>
        </w:rPr>
        <w:t>Section 19.2</w:t>
      </w:r>
      <w:r>
        <w:rPr>
          <w:rFonts w:ascii="Times New Roman" w:hAnsi="Times New Roman"/>
          <w:color w:val="000000"/>
          <w:sz w:val="20"/>
        </w:rPr>
        <w:t>, below (or any other remedy at law or equity except to the extent expressly set forth in this Lease), until one or more of the following has occurred:</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- 48 -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19.1.1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failure by Tenant to pay any Rent or any other charge required to be paid under this Lease, or any part thereof, when due, which failure is not cured within five (5) business days after written notice from Landlord that said amount was not paid when due; 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19.1.2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failure by Tenant to observe or perform any other provision, covenant or condition of this Lease to be observed or performed by Tenant where such failure continues for thirty (30) days after written notice thereof from Landlord to Tenant; provided that if the nature of such default is such that the same cannot reasonably be cured within a thirty (30) day period, Tenant shall not be deemed to be in default if it diligently commences such cure within such period and thereafter diligently proceeds to rectify and cure such default; 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19.1.3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Abandonment of the Premises by Tenant pursuant to Section 1915.3 of the California Civil Code; 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19.1.4</w:t>
      </w:r>
    </w:p>
    <w:p>
      <w:pPr>
        <w:pStyle w:val="TextBody"/>
        <w:bidi w:val="0"/>
        <w:spacing w:before="0" w:after="240"/>
        <w:jc w:val="left"/>
        <w:rPr/>
      </w:pPr>
      <w:r>
        <w:rPr>
          <w:rFonts w:ascii="Times New Roman" w:hAnsi="Times New Roman"/>
          <w:color w:val="000000"/>
          <w:sz w:val="20"/>
        </w:rPr>
        <w:t xml:space="preserve">The failure by Tenant to observe or perform according to the provisions of </w:t>
      </w:r>
      <w:r>
        <w:rPr>
          <w:rFonts w:ascii="Times New Roman" w:hAnsi="Times New Roman"/>
          <w:color w:val="000000"/>
          <w:sz w:val="20"/>
          <w:u w:val="single"/>
        </w:rPr>
        <w:t>Articles 17</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18</w:t>
      </w:r>
      <w:r>
        <w:rPr>
          <w:color w:val="000000"/>
        </w:rPr>
        <w:t xml:space="preserve"> </w:t>
      </w:r>
      <w:r>
        <w:rPr>
          <w:rFonts w:ascii="Times New Roman" w:hAnsi="Times New Roman"/>
          <w:color w:val="000000"/>
          <w:sz w:val="20"/>
        </w:rPr>
        <w:t xml:space="preserve">of this Lease, or Tenant’s use of the Premises in violation of </w:t>
      </w:r>
      <w:r>
        <w:rPr>
          <w:rFonts w:ascii="Times New Roman" w:hAnsi="Times New Roman"/>
          <w:color w:val="000000"/>
          <w:sz w:val="20"/>
          <w:u w:val="single"/>
        </w:rPr>
        <w:t>Section 5.1</w:t>
      </w:r>
      <w:r>
        <w:rPr>
          <w:color w:val="000000"/>
        </w:rPr>
        <w:t xml:space="preserve"> </w:t>
      </w:r>
      <w:r>
        <w:rPr>
          <w:rFonts w:ascii="Times New Roman" w:hAnsi="Times New Roman"/>
          <w:color w:val="000000"/>
          <w:sz w:val="20"/>
        </w:rPr>
        <w:t xml:space="preserve">and/or </w:t>
      </w:r>
      <w:r>
        <w:rPr>
          <w:rFonts w:ascii="Times New Roman" w:hAnsi="Times New Roman"/>
          <w:color w:val="000000"/>
          <w:sz w:val="20"/>
          <w:u w:val="single"/>
        </w:rPr>
        <w:t>Section 5.2</w:t>
      </w:r>
      <w:r>
        <w:rPr>
          <w:color w:val="000000"/>
        </w:rPr>
        <w:t xml:space="preserve"> </w:t>
      </w:r>
      <w:r>
        <w:rPr>
          <w:rFonts w:ascii="Times New Roman" w:hAnsi="Times New Roman"/>
          <w:color w:val="000000"/>
          <w:sz w:val="20"/>
        </w:rPr>
        <w:t xml:space="preserve">(specifically excluding the first (1st) sentence of </w:t>
      </w:r>
      <w:r>
        <w:rPr>
          <w:rFonts w:ascii="Times New Roman" w:hAnsi="Times New Roman"/>
          <w:color w:val="000000"/>
          <w:sz w:val="20"/>
          <w:u w:val="single"/>
        </w:rPr>
        <w:t>Section 5.2</w:t>
      </w:r>
      <w:r>
        <w:rPr>
          <w:color w:val="000000"/>
        </w:rPr>
        <w:t xml:space="preserve"> </w:t>
      </w:r>
      <w:r>
        <w:rPr>
          <w:rFonts w:ascii="Times New Roman" w:hAnsi="Times New Roman"/>
          <w:color w:val="000000"/>
          <w:sz w:val="20"/>
        </w:rPr>
        <w:t xml:space="preserve">of this Lease, as </w:t>
      </w:r>
      <w:r>
        <w:rPr>
          <w:rFonts w:ascii="Times New Roman" w:hAnsi="Times New Roman"/>
          <w:color w:val="000000"/>
          <w:sz w:val="20"/>
          <w:u w:val="single"/>
        </w:rPr>
        <w:t>Section 19.1.2</w:t>
      </w:r>
      <w:r>
        <w:rPr>
          <w:color w:val="000000"/>
        </w:rPr>
        <w:t xml:space="preserve"> </w:t>
      </w:r>
      <w:r>
        <w:rPr>
          <w:rFonts w:ascii="Times New Roman" w:hAnsi="Times New Roman"/>
          <w:color w:val="000000"/>
          <w:sz w:val="20"/>
        </w:rPr>
        <w:t xml:space="preserve">above shall apply with respect to the failure by Tenant to observe or perform according to the provisions of the first (1st) sentence of </w:t>
      </w:r>
      <w:r>
        <w:rPr>
          <w:rFonts w:ascii="Times New Roman" w:hAnsi="Times New Roman"/>
          <w:color w:val="000000"/>
          <w:sz w:val="20"/>
          <w:u w:val="single"/>
        </w:rPr>
        <w:t>Section 5.2</w:t>
      </w:r>
      <w:r>
        <w:rPr>
          <w:color w:val="000000"/>
        </w:rPr>
        <w:t xml:space="preserve"> </w:t>
      </w:r>
      <w:r>
        <w:rPr>
          <w:rFonts w:ascii="Times New Roman" w:hAnsi="Times New Roman"/>
          <w:color w:val="000000"/>
          <w:sz w:val="20"/>
        </w:rPr>
        <w:t xml:space="preserve">of this Lease) of this Lease, or if Tenant completes a Transfer in violation of </w:t>
      </w:r>
      <w:r>
        <w:rPr>
          <w:rFonts w:ascii="Times New Roman" w:hAnsi="Times New Roman"/>
          <w:color w:val="000000"/>
          <w:sz w:val="20"/>
          <w:u w:val="single"/>
        </w:rPr>
        <w:t>Article 14</w:t>
      </w:r>
      <w:r>
        <w:rPr>
          <w:color w:val="000000"/>
        </w:rPr>
        <w:t xml:space="preserve"> </w:t>
      </w:r>
      <w:r>
        <w:rPr>
          <w:rFonts w:ascii="Times New Roman" w:hAnsi="Times New Roman"/>
          <w:color w:val="000000"/>
          <w:sz w:val="20"/>
        </w:rPr>
        <w:t>of this Lease, in any of such cases where such failure continues for more than five (5) business days after notice from Landlord; 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notice periods provided herein are in lieu of, and not in addition to, any notice periods provided by law.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19.2</w:t>
      </w:r>
    </w:p>
    <w:p>
      <w:pPr>
        <w:pStyle w:val="TextBody"/>
        <w:bidi w:val="0"/>
        <w:spacing w:before="0" w:after="240"/>
        <w:jc w:val="left"/>
        <w:rPr/>
      </w:pPr>
      <w:r>
        <w:rPr>
          <w:rFonts w:ascii="Times New Roman" w:hAnsi="Times New Roman"/>
          <w:b/>
          <w:color w:val="000000"/>
          <w:sz w:val="20"/>
          <w:u w:val="single"/>
        </w:rPr>
        <w:t>Remedies Upon Default</w:t>
      </w:r>
      <w:r>
        <w:rPr>
          <w:rFonts w:ascii="Times New Roman" w:hAnsi="Times New Roman"/>
          <w:color w:val="000000"/>
          <w:sz w:val="20"/>
        </w:rPr>
        <w:t>. Upon the occurrence of any event of default by Tenant, beyond any applicable notice and cure period expressly set forth in this Lease, Landlord shall have, in addition to any other remedies available to Landlord at law or in equity (all of which remedies shall be distinct, separate and cumulative), the option to pursue any one or more of the following remedies, each and all of which shall be cumulative and nonexclusive, without any notice or demand whatsoever.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19.2.1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Terminate this Lease,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any claim or damages therefor; and Landlord may recover from Tenant the following: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worth at the time of award of the unpaid rent which has been earned at the time of such termination; plus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worth at the time of award of the amount by which the unpaid rent which would have been earned after termination until the time of award exceeds the amount of such rental loss that Tenant proves could have been reasonably avoided; plus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- 49 -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worth at the time of award of the amount by which the unpaid rent for the balance of the Lease Term after the time of award exceeds the amount of such rental loss that Tenant proves could have been reasonably avoided; plus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other amount necessary to compensate Landlord for all the detriment proximately caused by Tenant’s failure to perform its obligations under this Lease or which in the ordinary course of things would be likely to result therefrom, specifically including but not limited to, brokerage commissions and advertising expenses incurred, expenses of remodeling the Premises or any portion thereof for a new tenant, whether for the same or a different use, and any special concessions made to obtain a new tenant;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At Landlord’s election, such other amounts in addition to or in lieu of the foregoing as may be permitted from time to time by applicable law.</w:t>
      </w:r>
    </w:p>
    <w:p>
      <w:pPr>
        <w:pStyle w:val="TextBody"/>
        <w:bidi w:val="0"/>
        <w:spacing w:before="0" w:after="240"/>
        <w:jc w:val="left"/>
        <w:rPr>
          <w:rFonts w:ascii="Times New Roman" w:hAnsi="Times New Roman"/>
          <w:sz w:val="20"/>
        </w:rPr>
      </w:pPr>
      <w:r>
        <w:rPr>
          <w:rFonts w:ascii="Times New Roman" w:hAnsi="Times New Roman"/>
          <w:color w:val="000000"/>
          <w:sz w:val="20"/>
        </w:rPr>
        <w:t>The term “</w:t>
      </w:r>
      <w:r>
        <w:rPr>
          <w:rFonts w:ascii="Times New Roman" w:hAnsi="Times New Roman"/>
          <w:b/>
          <w:color w:val="000000"/>
          <w:sz w:val="20"/>
        </w:rPr>
        <w:t>rent</w:t>
      </w:r>
      <w:r>
        <w:rPr>
          <w:rFonts w:ascii="Times New Roman" w:hAnsi="Times New Roman"/>
          <w:color w:val="000000"/>
          <w:sz w:val="20"/>
        </w:rPr>
        <w:t xml:space="preserve">” as used in this </w:t>
      </w:r>
      <w:r>
        <w:rPr>
          <w:rFonts w:ascii="Times New Roman" w:hAnsi="Times New Roman"/>
          <w:color w:val="000000"/>
          <w:sz w:val="20"/>
          <w:u w:val="single"/>
        </w:rPr>
        <w:t>Section 19.2</w:t>
      </w:r>
      <w:r>
        <w:rPr>
          <w:rFonts w:ascii="Times New Roman" w:hAnsi="Times New Roman"/>
          <w:color w:val="000000"/>
          <w:sz w:val="20"/>
        </w:rPr>
        <w:t xml:space="preserve"> shall be deemed to be and to mean all sums of every nature required to be paid by Tenant pursuant to the terms of this Lease, whether to Landlord or to others. As used in </w:t>
      </w:r>
      <w:r>
        <w:rPr>
          <w:rFonts w:ascii="Times New Roman" w:hAnsi="Times New Roman"/>
          <w:color w:val="000000"/>
          <w:sz w:val="20"/>
          <w:u w:val="single"/>
        </w:rPr>
        <w:t>Sections 19.2.1(i)</w:t>
      </w:r>
      <w:r>
        <w:rPr>
          <w:rFonts w:ascii="Times New Roman" w:hAnsi="Times New Roman"/>
          <w:color w:val="000000"/>
          <w:sz w:val="20"/>
        </w:rPr>
        <w:t xml:space="preserve"> and </w:t>
      </w:r>
      <w:r>
        <w:rPr>
          <w:rFonts w:ascii="Times New Roman" w:hAnsi="Times New Roman"/>
          <w:color w:val="000000"/>
          <w:sz w:val="20"/>
          <w:u w:val="single"/>
        </w:rPr>
        <w:t>(ii)</w:t>
      </w:r>
      <w:r>
        <w:rPr>
          <w:rFonts w:ascii="Times New Roman" w:hAnsi="Times New Roman"/>
          <w:color w:val="000000"/>
          <w:sz w:val="20"/>
        </w:rPr>
        <w:t xml:space="preserve">, above, the “worth at the time of award” shall be computed by allowing interest at the rate set forth in </w:t>
      </w:r>
      <w:r>
        <w:rPr>
          <w:rFonts w:ascii="Times New Roman" w:hAnsi="Times New Roman"/>
          <w:color w:val="000000"/>
          <w:sz w:val="20"/>
          <w:u w:val="single"/>
        </w:rPr>
        <w:t>Article 25</w:t>
      </w:r>
      <w:r>
        <w:rPr>
          <w:rFonts w:ascii="Times New Roman" w:hAnsi="Times New Roman"/>
          <w:color w:val="000000"/>
          <w:sz w:val="20"/>
        </w:rPr>
        <w:t xml:space="preserve"> of this Lease, but in no case greater than the maximum amount of such interest permitted by law. As used in </w:t>
      </w:r>
      <w:r>
        <w:rPr>
          <w:rFonts w:ascii="Times New Roman" w:hAnsi="Times New Roman"/>
          <w:color w:val="000000"/>
          <w:sz w:val="20"/>
          <w:u w:val="single"/>
        </w:rPr>
        <w:t>Section 19.2.1(iii)</w:t>
      </w:r>
      <w:r>
        <w:rPr>
          <w:rFonts w:ascii="Times New Roman" w:hAnsi="Times New Roman"/>
          <w:color w:val="000000"/>
          <w:sz w:val="20"/>
        </w:rPr>
        <w:t xml:space="preserve"> above, the “</w:t>
      </w:r>
      <w:r>
        <w:rPr>
          <w:rFonts w:ascii="Times New Roman" w:hAnsi="Times New Roman"/>
          <w:b/>
          <w:color w:val="000000"/>
          <w:sz w:val="20"/>
        </w:rPr>
        <w:t>worth at the time of award</w:t>
      </w:r>
      <w:r>
        <w:rPr>
          <w:rFonts w:ascii="Times New Roman" w:hAnsi="Times New Roman"/>
          <w:color w:val="000000"/>
          <w:sz w:val="20"/>
        </w:rPr>
        <w:t>” shall be computed by discounting such amount at the discount rate of the Federal Reserve Bank of San Francisco at the time of award plus one percent (1%).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19.2.2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Landlord shall have the remedy described in California Civil Code Section 1951.4 (lessor may continue lease in effect after lessee’s breach and abandonment and recover rent as it becomes due, if lessee has the right to sublet or assign, subject only to reasonable limitations). Accordingly, if Landlord does not elect to terminate this Lease on account of any default by Tenant, Landlord may, from time to time, without terminating this Lease, enforce all of its rights and remedies under this Lease, including the right to recover all rent as it becomes due.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19.2.3</w:t>
      </w:r>
    </w:p>
    <w:p>
      <w:pPr>
        <w:pStyle w:val="TextBody"/>
        <w:bidi w:val="0"/>
        <w:spacing w:before="0" w:after="240"/>
        <w:jc w:val="left"/>
        <w:rPr/>
      </w:pPr>
      <w:r>
        <w:rPr>
          <w:rFonts w:ascii="Times New Roman" w:hAnsi="Times New Roman"/>
          <w:color w:val="000000"/>
          <w:sz w:val="20"/>
        </w:rPr>
        <w:t xml:space="preserve">Landlord shall at all times have the rights and remedies (which shall be cumulative with each other and cumulative and in addition to those rights and remedies available under </w:t>
      </w:r>
      <w:r>
        <w:rPr>
          <w:rFonts w:ascii="Times New Roman" w:hAnsi="Times New Roman"/>
          <w:color w:val="000000"/>
          <w:sz w:val="20"/>
          <w:u w:val="single"/>
        </w:rPr>
        <w:t>Sections 19.2.1</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19.2.2</w:t>
      </w:r>
      <w:r>
        <w:rPr>
          <w:rFonts w:ascii="Times New Roman" w:hAnsi="Times New Roman"/>
          <w:color w:val="000000"/>
          <w:sz w:val="20"/>
        </w:rPr>
        <w:t>, above, or any law or other provision of this Lease), without prior demand or notice except as required by applicable law, to seek any declaratory, injunctive or other equitable relief, and specifically enforce this Lease, or restrain or enjoin a violation or breach of any provision hereof.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19.3</w:t>
      </w:r>
    </w:p>
    <w:p>
      <w:pPr>
        <w:pStyle w:val="TextBody"/>
        <w:bidi w:val="0"/>
        <w:spacing w:before="0" w:after="240"/>
        <w:jc w:val="left"/>
        <w:rPr/>
      </w:pPr>
      <w:r>
        <w:rPr>
          <w:rFonts w:ascii="Times New Roman" w:hAnsi="Times New Roman"/>
          <w:b/>
          <w:color w:val="000000"/>
          <w:sz w:val="20"/>
          <w:u w:val="single"/>
        </w:rPr>
        <w:t>Subleases of Tenant</w:t>
      </w:r>
      <w:r>
        <w:rPr>
          <w:rFonts w:ascii="Times New Roman" w:hAnsi="Times New Roman"/>
          <w:color w:val="000000"/>
          <w:sz w:val="20"/>
        </w:rPr>
        <w:t xml:space="preserve">. Whether or not Landlord elects to terminate this Lease on account of any default by Tenant, as set forth in this </w:t>
      </w:r>
      <w:r>
        <w:rPr>
          <w:rFonts w:ascii="Times New Roman" w:hAnsi="Times New Roman"/>
          <w:color w:val="000000"/>
          <w:sz w:val="20"/>
          <w:u w:val="single"/>
        </w:rPr>
        <w:t>Article 19</w:t>
      </w:r>
      <w:r>
        <w:rPr>
          <w:rFonts w:ascii="Times New Roman" w:hAnsi="Times New Roman"/>
          <w:color w:val="000000"/>
          <w:sz w:val="20"/>
        </w:rPr>
        <w:t>,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In the event of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- 50 -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19.4</w:t>
      </w:r>
    </w:p>
    <w:p>
      <w:pPr>
        <w:pStyle w:val="TextBody"/>
        <w:bidi w:val="0"/>
        <w:spacing w:before="0" w:after="240"/>
        <w:jc w:val="left"/>
        <w:rPr/>
      </w:pPr>
      <w:r>
        <w:rPr>
          <w:rFonts w:ascii="Times New Roman" w:hAnsi="Times New Roman"/>
          <w:b/>
          <w:color w:val="000000"/>
          <w:sz w:val="20"/>
          <w:u w:val="single"/>
        </w:rPr>
        <w:t>Efforts to Relet</w:t>
      </w:r>
      <w:r>
        <w:rPr>
          <w:rFonts w:ascii="Times New Roman" w:hAnsi="Times New Roman"/>
          <w:color w:val="000000"/>
          <w:sz w:val="20"/>
        </w:rPr>
        <w:t>. No re-entry or repossession, repairs, maintenance, changes, alterations and additions, reletting, appointment of a receiver to protect Landlord’s interests hereunder, or any other action or omission by Landlord shall be construed as an election by Landlord to terminate this Lease or Tenant’s right to possession, or to accept a surrender of the Premises, nor shall same operate to release Tenant in whole or in part from any of Tenant’s obligations hereunder, unless express written notice of such intention is sent by Landlord to Tenant. Tenant hereby irrevocably waives any right otherwise available under any law to redeem or reinstate this Lease.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19.5</w:t>
      </w:r>
    </w:p>
    <w:p>
      <w:pPr>
        <w:pStyle w:val="TextBody"/>
        <w:bidi w:val="0"/>
        <w:spacing w:before="0" w:after="240"/>
        <w:jc w:val="left"/>
        <w:rPr/>
      </w:pPr>
      <w:r>
        <w:rPr>
          <w:rFonts w:ascii="Times New Roman" w:hAnsi="Times New Roman"/>
          <w:b/>
          <w:color w:val="000000"/>
          <w:sz w:val="20"/>
          <w:u w:val="single"/>
        </w:rPr>
        <w:t>Landlord Default</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19.5.1</w:t>
      </w:r>
    </w:p>
    <w:p>
      <w:pPr>
        <w:pStyle w:val="TextBody"/>
        <w:bidi w:val="0"/>
        <w:spacing w:before="0" w:after="240"/>
        <w:jc w:val="left"/>
        <w:rPr/>
      </w:pPr>
      <w:r>
        <w:rPr>
          <w:rFonts w:ascii="Times New Roman" w:hAnsi="Times New Roman"/>
          <w:b/>
          <w:color w:val="000000"/>
          <w:sz w:val="20"/>
          <w:u w:val="single"/>
        </w:rPr>
        <w:t>General</w:t>
      </w:r>
      <w:r>
        <w:rPr>
          <w:rFonts w:ascii="Times New Roman" w:hAnsi="Times New Roman"/>
          <w:color w:val="000000"/>
          <w:sz w:val="20"/>
        </w:rPr>
        <w:t>. Notwithstanding anything to the contrary set forth in this Lease, Landlord shall not be in default in the performance of any obligation required to be performed by Landlord pursuant to this Lease unless Landlord fails to perform such obligation within thirty (30) days after the receipt of notice from Tenant specifying in detail Landlord’s failure to perform; provided, however, if the nature of Landlord’s obligation is such that more than thirty (30) days are required for its performance, then Landlord shall not be in default under this Lease if it shall commence such performance within such thirty (30) day period and thereafter diligently pursue the same to completion. Upon any such default by Landlord under this Lease, Tenant may, except as otherwise specifically provided in this Lease to the contrary, exercise any of its rights provided at law or in equity.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19.5.2</w:t>
      </w:r>
    </w:p>
    <w:p>
      <w:pPr>
        <w:pStyle w:val="TextBody"/>
        <w:bidi w:val="0"/>
        <w:spacing w:before="0" w:after="240"/>
        <w:jc w:val="left"/>
        <w:rPr/>
      </w:pPr>
      <w:r>
        <w:rPr>
          <w:rFonts w:ascii="Times New Roman" w:hAnsi="Times New Roman"/>
          <w:b/>
          <w:color w:val="000000"/>
          <w:sz w:val="20"/>
          <w:u w:val="single"/>
        </w:rPr>
        <w:t>Abatement of Rent</w:t>
      </w:r>
      <w:r>
        <w:rPr>
          <w:rFonts w:ascii="Times New Roman" w:hAnsi="Times New Roman"/>
          <w:color w:val="000000"/>
          <w:sz w:val="20"/>
        </w:rPr>
        <w:t>. Notwithstanding anything to the contrary in this Lease, in the event that Tenant is prevented from using, and does not use, the Premises or any portion thereof, as a result of (i) any repair, maintenance or alteration performed by Landlord, or which Landlord failed to perform, after the Lease Commencement Date and required by this Lease, which substantially interferes with Tenant’s use of the Premises, or (ii) any failure to provide services, utilities or access to the Premises as required to be provided by Landlord under this Lease, but excluding any utility or service that Tenant contracts directly with such utility or service provider, or, (iii) the negligence or intentional acts of Landlord or any Landlord Party (including without limitation any breach of this Lease by Landlord), or (iv) material interference with Tenant’s parking rights hereunder caused by any negligent or intentional acts of Landlord or any Landlord Party (provided that the terms of this item (iv) shall not be applicable to the extent Landlord provides Tenant with Reasonable Alternate Parking) (any such set of circumstances as set forth in items (i), (ii), (iii) or (iv), above, to be known as an “</w:t>
      </w:r>
      <w:r>
        <w:rPr>
          <w:rFonts w:ascii="Times New Roman" w:hAnsi="Times New Roman"/>
          <w:b/>
          <w:color w:val="000000"/>
          <w:sz w:val="20"/>
        </w:rPr>
        <w:t>Abatement Event</w:t>
      </w:r>
      <w:r>
        <w:rPr>
          <w:color w:val="000000"/>
        </w:rPr>
        <w:t>”</w:t>
      </w:r>
      <w:r>
        <w:rPr>
          <w:rFonts w:ascii="Times New Roman" w:hAnsi="Times New Roman"/>
          <w:color w:val="000000"/>
          <w:sz w:val="20"/>
        </w:rPr>
        <w:t>), then Tenant shall give Landlord notice of such Abatement Event, and if such Abatement Event continues for five (5) consecutive business days after Landlord’s receipt of any such notice (the “</w:t>
      </w:r>
      <w:r>
        <w:rPr>
          <w:rFonts w:ascii="Times New Roman" w:hAnsi="Times New Roman"/>
          <w:b/>
          <w:color w:val="000000"/>
          <w:sz w:val="20"/>
        </w:rPr>
        <w:t>Eligibility Period</w:t>
      </w:r>
      <w:r>
        <w:rPr>
          <w:color w:val="000000"/>
        </w:rPr>
        <w:t>”</w:t>
      </w:r>
      <w:r>
        <w:rPr>
          <w:rFonts w:ascii="Times New Roman" w:hAnsi="Times New Roman"/>
          <w:color w:val="000000"/>
          <w:sz w:val="20"/>
        </w:rPr>
        <w:t>), then the Base Rent, Tenant’s Share of Direct Expenses, and Tenant’s obligation to pay for parking (to the extent not utilized by Tenant) shall be abated or reduced, as the case may be, after expiration of the Eligibility Period for such time that Tenant continues to be so prevented from using, and does not use for the normal conduct of Tenant’s business, the Premises or a portion thereof, in the proportion that the rentable area of the portion of the Premises that Tenant is prevented from using, and does not use, bears to the total rentable area of the Premises; provided, however, in the event that Tenant is prevented from using, and does not use, a portion of the Premises for a period of time in excess of the Eligibility Period and the remaining portion of the Premises is not sufficient to allow Tenant to effectively conduct its business therein, and if Tenant does not conduct its business from such remaining portion, then for such time after expiration of</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- 51 -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the Eligibility Period during which Tenant is so prevented from effectively conducting its business therein, the Base Rent and Tenant’s Share of Direct Expenses for the entire Premises and Tenant’s obligation to pay for parking shall be abated for such time as Tenant continues to be so prevented from using, and does not use, the Premises. If, however, Tenant reoccupies any portion of the Premises during such period, the Rent allocable to such reoccupied portion, based on the proportion that the rentable area of such reoccupied portion of the Premises bears to the total rentable area of the Premises, shall be payable by Tenant from the date Tenant reoccupies such portion of the Premises. To the extent an Abatement Event is caused by an event covered by </w:t>
      </w:r>
      <w:r>
        <w:rPr>
          <w:rFonts w:ascii="Times New Roman" w:hAnsi="Times New Roman"/>
          <w:color w:val="000000"/>
          <w:sz w:val="20"/>
          <w:u w:val="single"/>
        </w:rPr>
        <w:t>Articles 11</w:t>
      </w:r>
      <w:r>
        <w:rPr>
          <w:rFonts w:ascii="Times New Roman" w:hAnsi="Times New Roman"/>
          <w:color w:val="000000"/>
          <w:sz w:val="20"/>
        </w:rPr>
        <w:t xml:space="preserve"> or </w:t>
      </w:r>
      <w:r>
        <w:rPr>
          <w:rFonts w:ascii="Times New Roman" w:hAnsi="Times New Roman"/>
          <w:color w:val="000000"/>
          <w:sz w:val="20"/>
          <w:u w:val="single"/>
        </w:rPr>
        <w:t>13</w:t>
      </w:r>
      <w:r>
        <w:rPr>
          <w:rFonts w:ascii="Times New Roman" w:hAnsi="Times New Roman"/>
          <w:color w:val="000000"/>
          <w:sz w:val="20"/>
        </w:rPr>
        <w:t xml:space="preserve"> of this Lease, then Tenant’s right to abate rent shall be governed by the terms of such </w:t>
      </w:r>
      <w:r>
        <w:rPr>
          <w:rFonts w:ascii="Times New Roman" w:hAnsi="Times New Roman"/>
          <w:color w:val="000000"/>
          <w:sz w:val="20"/>
          <w:u w:val="single"/>
        </w:rPr>
        <w:t>Article 11</w:t>
      </w:r>
      <w:r>
        <w:rPr>
          <w:rFonts w:ascii="Times New Roman" w:hAnsi="Times New Roman"/>
          <w:color w:val="000000"/>
          <w:sz w:val="20"/>
        </w:rPr>
        <w:t xml:space="preserve"> or </w:t>
      </w:r>
      <w:r>
        <w:rPr>
          <w:rFonts w:ascii="Times New Roman" w:hAnsi="Times New Roman"/>
          <w:color w:val="000000"/>
          <w:sz w:val="20"/>
          <w:u w:val="single"/>
        </w:rPr>
        <w:t>13</w:t>
      </w:r>
      <w:r>
        <w:rPr>
          <w:rFonts w:ascii="Times New Roman" w:hAnsi="Times New Roman"/>
          <w:color w:val="000000"/>
          <w:sz w:val="20"/>
        </w:rPr>
        <w:t xml:space="preserve">, as applicable, and the Eligibility Period shall not be applicable thereto. Such right to abate Base Rent and Tenant’s Share of Direct Expenses and parking charges (to the extent not utilized by Tenant) shall be Tenant’s sole and exclusive remedy for rent abatement at law or in equity for an Abatement Event. Except as provided in this </w:t>
      </w:r>
      <w:r>
        <w:rPr>
          <w:rFonts w:ascii="Times New Roman" w:hAnsi="Times New Roman"/>
          <w:color w:val="000000"/>
          <w:sz w:val="20"/>
          <w:u w:val="single"/>
        </w:rPr>
        <w:t>Section 19.5.2</w:t>
      </w:r>
      <w:r>
        <w:rPr>
          <w:rFonts w:ascii="Times New Roman" w:hAnsi="Times New Roman"/>
          <w:color w:val="000000"/>
          <w:sz w:val="20"/>
        </w:rPr>
        <w:t>, nothing contained herein shall be interpreted to mean that Tenant is excused from paying Rent due hereunder. As used herein, “</w:t>
      </w:r>
      <w:r>
        <w:rPr>
          <w:rFonts w:ascii="Times New Roman" w:hAnsi="Times New Roman"/>
          <w:b/>
          <w:color w:val="000000"/>
          <w:sz w:val="20"/>
        </w:rPr>
        <w:t>Reasonable Alternate Parking</w:t>
      </w:r>
      <w:r>
        <w:rPr>
          <w:rFonts w:ascii="Times New Roman" w:hAnsi="Times New Roman"/>
          <w:color w:val="000000"/>
          <w:sz w:val="20"/>
        </w:rPr>
        <w:t>” shall mean reasonable alternative parking that is either (a) within a reasonable walking distance to the Premises, or (b) if Landlord provides a reasonable shuttle service, at Landlord’s sole cost and expense and not as an Operating Expense, between the alternate parking location and the Building, a shuttle service that does not require more than a ten (10) minute ride from the alternate parking location to the Building (or vice versa) (the “</w:t>
      </w:r>
      <w:r>
        <w:rPr>
          <w:rFonts w:ascii="Times New Roman" w:hAnsi="Times New Roman"/>
          <w:b/>
          <w:color w:val="000000"/>
          <w:sz w:val="20"/>
        </w:rPr>
        <w:t>Shuttle Service</w:t>
      </w:r>
      <w:r>
        <w:rPr>
          <w:rFonts w:ascii="Times New Roman" w:hAnsi="Times New Roman"/>
          <w:color w:val="000000"/>
          <w:sz w:val="20"/>
        </w:rPr>
        <w:t>”) and the Shuttle Service lasts no more than 30 days.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20.</w:t>
      </w:r>
    </w:p>
    <w:p>
      <w:pPr>
        <w:pStyle w:val="TextBody"/>
        <w:bidi w:val="0"/>
        <w:spacing w:before="0" w:after="240"/>
        <w:jc w:val="left"/>
        <w:rPr/>
      </w:pPr>
      <w:r>
        <w:rPr>
          <w:rFonts w:ascii="Times New Roman" w:hAnsi="Times New Roman"/>
          <w:b/>
          <w:color w:val="000000"/>
          <w:sz w:val="20"/>
        </w:rPr>
        <w:t>COVENANT OF QUIET ENJOYMENT</w:t>
      </w:r>
      <w:r>
        <w:rPr>
          <w:rFonts w:ascii="Times New Roman" w:hAnsi="Times New Roman"/>
          <w:color w:val="000000"/>
          <w:sz w:val="20"/>
        </w:rPr>
        <w:t>. Landlord covenants that Tenant, on paying the Rent, charges for services and other payments herein reserved and on keeping, observing and performing all the other terms, covenants, conditions, provisions and agreements herein contained on the part of Tenant to be kept, observed and performed, shall, during the Lease Term, peaceably and quietly have, hold and enjoy the Premises subject to the terms, covenants, conditions, provisions and agreements hereof without interference by any persons lawfully claiming by or through Landlord. The foregoing covenant is in lieu of any other covenant express or implied.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21.</w:t>
      </w:r>
    </w:p>
    <w:p>
      <w:pPr>
        <w:pStyle w:val="TextBody"/>
        <w:bidi w:val="0"/>
        <w:spacing w:before="0" w:after="240"/>
        <w:jc w:val="left"/>
        <w:rPr/>
      </w:pPr>
      <w:r>
        <w:rPr>
          <w:rFonts w:ascii="Times New Roman" w:hAnsi="Times New Roman"/>
          <w:b/>
          <w:color w:val="000000"/>
          <w:sz w:val="20"/>
        </w:rPr>
        <w:t>SECURITY DEPOSIT</w:t>
      </w:r>
      <w:r>
        <w:rPr>
          <w:rFonts w:ascii="Times New Roman" w:hAnsi="Times New Roman"/>
          <w:color w:val="000000"/>
          <w:sz w:val="20"/>
        </w:rPr>
        <w:t>. Concurrently with Tenant’s execution of this Lease, Tenant shall deposit with Landlord a security deposit (the “</w:t>
      </w:r>
      <w:r>
        <w:rPr>
          <w:rFonts w:ascii="Times New Roman" w:hAnsi="Times New Roman"/>
          <w:b/>
          <w:color w:val="000000"/>
          <w:sz w:val="20"/>
        </w:rPr>
        <w:t>Security Deposit</w:t>
      </w:r>
      <w:r>
        <w:rPr>
          <w:color w:val="000000"/>
        </w:rPr>
        <w:t>”</w:t>
      </w:r>
      <w:r>
        <w:rPr>
          <w:rFonts w:ascii="Times New Roman" w:hAnsi="Times New Roman"/>
          <w:color w:val="000000"/>
          <w:sz w:val="20"/>
        </w:rPr>
        <w:t xml:space="preserve">) in the amount set forth in </w:t>
      </w:r>
      <w:r>
        <w:rPr>
          <w:rFonts w:ascii="Times New Roman" w:hAnsi="Times New Roman"/>
          <w:color w:val="000000"/>
          <w:sz w:val="20"/>
          <w:u w:val="single"/>
        </w:rPr>
        <w:t>Section 8</w:t>
      </w:r>
      <w:r>
        <w:rPr>
          <w:color w:val="000000"/>
        </w:rPr>
        <w:t xml:space="preserve"> </w:t>
      </w:r>
      <w:r>
        <w:rPr>
          <w:rFonts w:ascii="Times New Roman" w:hAnsi="Times New Roman"/>
          <w:color w:val="000000"/>
          <w:sz w:val="20"/>
        </w:rPr>
        <w:t>of the Summary, as security for the faithful performance by Tenant of all of its obligations under this Lease. If Tenant defaults (beyond any applicable notice and cure period expressly set forth in this Lease) with respect to any provisions of this Lease, including, but not limited to, the provisions relating to the payment of Rent, the removal of property and the repair of resultant damage, Landlord may, without notice to Tenant, but shall not be required to apply all or any part of the Security Deposit for the payment of any Rent or any other sum in default and Tenant shall, upon demand therefor, restore the Security Deposit to its original amount. Any unapplied portion of the Security Deposit shall be returned to Tenant, or, at Landlord’s option, to the last assignee of Tenant’s interest hereunder, within thirty (30) days following the expiration of the Lease Term. Tenant shall not be entitled to any interest on the Security Deposit. Tenant hereby irrevocably waives and relinquishes any and all rights, benefits, or protections, if any, Tenant now has, or in the future may have, under Section 1950.7 of the California Civil Code, any successor statute, and all other provisions of law, now or hereafter in effect, including, but not limited to, any provision of law which (i) establishes the time frame by which a landlord must refund a security deposit under a lease, and/or (ii) provides that a landlord may claim from a security deposit only those sums reasonably necessary to remedy defaults in the payment of rent, to repair damage</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- 52 -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caused by a tenant or to clean the subject premises. Tenant acknowledges and agrees that (a) any statutory time frames for the return of a security deposit are superseded by the express period identified in this </w:t>
      </w:r>
      <w:r>
        <w:rPr>
          <w:rFonts w:ascii="Times New Roman" w:hAnsi="Times New Roman"/>
          <w:color w:val="000000"/>
          <w:sz w:val="20"/>
          <w:u w:val="single"/>
        </w:rPr>
        <w:t>Article 21</w:t>
      </w:r>
      <w:r>
        <w:rPr>
          <w:rFonts w:ascii="Times New Roman" w:hAnsi="Times New Roman"/>
          <w:color w:val="000000"/>
          <w:sz w:val="20"/>
        </w:rPr>
        <w:t xml:space="preserve">, above, and (b) rather than be so limited, Landlord may claim from the Security Deposit (1) any and all sums expressly identified in this </w:t>
      </w:r>
      <w:r>
        <w:rPr>
          <w:rFonts w:ascii="Times New Roman" w:hAnsi="Times New Roman"/>
          <w:color w:val="000000"/>
          <w:sz w:val="20"/>
          <w:u w:val="single"/>
        </w:rPr>
        <w:t>Article 21</w:t>
      </w:r>
      <w:r>
        <w:rPr>
          <w:rFonts w:ascii="Times New Roman" w:hAnsi="Times New Roman"/>
          <w:color w:val="000000"/>
          <w:sz w:val="20"/>
        </w:rPr>
        <w:t>, above, and (2) any additional sums reasonably necessary to compensate Landlord for any and all losses or damages caused by Tenant’s default of this Lease, including, but not limited to, all damages or rent due upon termination of Lease pursuant to Section 1951.2 of the California Civil Code.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22.</w:t>
      </w:r>
    </w:p>
    <w:p>
      <w:pPr>
        <w:pStyle w:val="TextBody"/>
        <w:bidi w:val="0"/>
        <w:spacing w:before="0" w:after="240"/>
        <w:jc w:val="left"/>
        <w:rPr/>
      </w:pPr>
      <w:r>
        <w:rPr>
          <w:rFonts w:ascii="Times New Roman" w:hAnsi="Times New Roman"/>
          <w:b/>
          <w:color w:val="000000"/>
          <w:sz w:val="20"/>
        </w:rPr>
        <w:t>COMMUNICATIONS AND COMPUTER LINE</w:t>
      </w:r>
      <w:r>
        <w:rPr>
          <w:rFonts w:ascii="Times New Roman" w:hAnsi="Times New Roman"/>
          <w:color w:val="000000"/>
          <w:sz w:val="20"/>
        </w:rPr>
        <w:t>. Tenant may install, maintain, replace, remove or use any communications or computer wires and cables serving the Premises (collectively, the “</w:t>
      </w:r>
      <w:r>
        <w:rPr>
          <w:rFonts w:ascii="Times New Roman" w:hAnsi="Times New Roman"/>
          <w:b/>
          <w:color w:val="000000"/>
          <w:sz w:val="20"/>
        </w:rPr>
        <w:t>Lines</w:t>
      </w:r>
      <w:r>
        <w:rPr>
          <w:color w:val="000000"/>
        </w:rPr>
        <w:t>”</w:t>
      </w:r>
      <w:r>
        <w:rPr>
          <w:rFonts w:ascii="Times New Roman" w:hAnsi="Times New Roman"/>
          <w:color w:val="000000"/>
          <w:sz w:val="20"/>
        </w:rPr>
        <w:t xml:space="preserve">), provided that Tenant shall obtain Landlord’s prior written consent (which shall not be unreasonably withheld, conditioned or delayed), use an experienced and qualified contractor reasonably approved in writing by Landlord, and comply with all of the other provisions of </w:t>
      </w:r>
      <w:r>
        <w:rPr>
          <w:rFonts w:ascii="Times New Roman" w:hAnsi="Times New Roman"/>
          <w:color w:val="000000"/>
          <w:sz w:val="20"/>
          <w:u w:val="single"/>
        </w:rPr>
        <w:t>Articles 7</w:t>
      </w:r>
      <w:r>
        <w:rPr>
          <w:color w:val="000000"/>
        </w:rPr>
        <w:t xml:space="preserve"> </w:t>
      </w:r>
      <w:r>
        <w:rPr>
          <w:rFonts w:ascii="Times New Roman" w:hAnsi="Times New Roman"/>
          <w:color w:val="000000"/>
          <w:sz w:val="20"/>
        </w:rPr>
        <w:t>and 8 of this Lease. Tenant shall pay all costs in connection therewith. Landlord reserves the right, upon notice to Tenant prior to the expiration or earlier termination of this Lease, to require that Tenant, at Tenant’s sole cost and expense, remove any Lines located in or serving the Premises prior to the expiration or earlier termination of this Lease.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23.</w:t>
      </w:r>
    </w:p>
    <w:p>
      <w:pPr>
        <w:pStyle w:val="TextBody"/>
        <w:bidi w:val="0"/>
        <w:spacing w:before="0" w:after="240"/>
        <w:jc w:val="left"/>
        <w:rPr/>
      </w:pPr>
      <w:r>
        <w:rPr>
          <w:rFonts w:ascii="Times New Roman" w:hAnsi="Times New Roman"/>
          <w:b/>
          <w:color w:val="000000"/>
          <w:sz w:val="20"/>
        </w:rPr>
        <w:t>SIGNS</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23.1</w:t>
      </w:r>
    </w:p>
    <w:p>
      <w:pPr>
        <w:pStyle w:val="TextBody"/>
        <w:bidi w:val="0"/>
        <w:spacing w:before="0" w:after="240"/>
        <w:jc w:val="left"/>
        <w:rPr/>
      </w:pPr>
      <w:r>
        <w:rPr>
          <w:rFonts w:ascii="Times New Roman" w:hAnsi="Times New Roman"/>
          <w:b/>
          <w:color w:val="000000"/>
          <w:sz w:val="20"/>
          <w:u w:val="single"/>
        </w:rPr>
        <w:t>Exterior Signage</w:t>
      </w:r>
      <w:r>
        <w:rPr>
          <w:rFonts w:ascii="Times New Roman" w:hAnsi="Times New Roman"/>
          <w:color w:val="000000"/>
          <w:sz w:val="20"/>
        </w:rPr>
        <w:t xml:space="preserve">. Subject to Applicable Laws, the terms and conditions of this </w:t>
      </w:r>
      <w:r>
        <w:rPr>
          <w:rFonts w:ascii="Times New Roman" w:hAnsi="Times New Roman"/>
          <w:color w:val="000000"/>
          <w:sz w:val="20"/>
          <w:u w:val="single"/>
        </w:rPr>
        <w:t>Article 23</w:t>
      </w:r>
      <w:r>
        <w:rPr>
          <w:color w:val="000000"/>
        </w:rPr>
        <w:t xml:space="preserve"> </w:t>
      </w:r>
      <w:r>
        <w:rPr>
          <w:rFonts w:ascii="Times New Roman" w:hAnsi="Times New Roman"/>
          <w:color w:val="000000"/>
          <w:sz w:val="20"/>
        </w:rPr>
        <w:t>below and Landlord’s prior written approval, which shall not be unreasonably withheld, conditioned or delayed, and provided all signs are compatible with the Project’s sign criteria and are in keeping with the quality, design and style of the Building and Project, Tenant, at its sole cost and expense, may install (i) identification signage on one (1) slot on each of those certain two (2) existing monument signs (the “</w:t>
      </w:r>
      <w:r>
        <w:rPr>
          <w:rFonts w:ascii="Times New Roman" w:hAnsi="Times New Roman"/>
          <w:b/>
          <w:color w:val="000000"/>
          <w:sz w:val="20"/>
        </w:rPr>
        <w:t>Monuments</w:t>
      </w:r>
      <w:r>
        <w:rPr>
          <w:color w:val="000000"/>
        </w:rPr>
        <w:t>”</w:t>
      </w:r>
      <w:r>
        <w:rPr>
          <w:rFonts w:ascii="Times New Roman" w:hAnsi="Times New Roman"/>
          <w:color w:val="000000"/>
          <w:sz w:val="20"/>
        </w:rPr>
        <w:t xml:space="preserve">) located adjacent to the Building, as set forth on </w:t>
      </w:r>
      <w:r>
        <w:rPr>
          <w:rFonts w:ascii="Times New Roman" w:hAnsi="Times New Roman"/>
          <w:b/>
          <w:color w:val="000000"/>
          <w:sz w:val="20"/>
        </w:rPr>
        <w:t xml:space="preserve">Exhibit G </w:t>
      </w:r>
      <w:r>
        <w:rPr>
          <w:rFonts w:ascii="Times New Roman" w:hAnsi="Times New Roman"/>
          <w:color w:val="000000"/>
          <w:sz w:val="20"/>
        </w:rPr>
        <w:t>attached hereto, (ii) one (1) identification sign located on the exterior of the Building in one (1) location to be mutually and reasonably determined by Landlord and Tenant (the “</w:t>
      </w:r>
      <w:r>
        <w:rPr>
          <w:rFonts w:ascii="Times New Roman" w:hAnsi="Times New Roman"/>
          <w:b/>
          <w:color w:val="000000"/>
          <w:sz w:val="20"/>
        </w:rPr>
        <w:t>Building Exterior Signage</w:t>
      </w:r>
      <w:r>
        <w:rPr>
          <w:color w:val="000000"/>
        </w:rPr>
        <w:t>”</w:t>
      </w:r>
      <w:r>
        <w:rPr>
          <w:rFonts w:ascii="Times New Roman" w:hAnsi="Times New Roman"/>
          <w:color w:val="000000"/>
          <w:sz w:val="20"/>
        </w:rPr>
        <w:t>) and (iii) Building standard tenant directory signage at the entrance to the Building (collectively, “</w:t>
      </w:r>
      <w:r>
        <w:rPr>
          <w:rFonts w:ascii="Times New Roman" w:hAnsi="Times New Roman"/>
          <w:b/>
          <w:color w:val="000000"/>
          <w:sz w:val="20"/>
        </w:rPr>
        <w:t>Tenant’s Signage</w:t>
      </w:r>
      <w:r>
        <w:rPr>
          <w:color w:val="000000"/>
        </w:rPr>
        <w:t>”</w:t>
      </w:r>
      <w:r>
        <w:rPr>
          <w:rFonts w:ascii="Times New Roman" w:hAnsi="Times New Roman"/>
          <w:color w:val="000000"/>
          <w:sz w:val="20"/>
        </w:rPr>
        <w:t xml:space="preserve">); provided, however, in no event shall Tenant’s Signage include an “Objectionable Name,” as that term is defined in </w:t>
      </w:r>
      <w:r>
        <w:rPr>
          <w:rFonts w:ascii="Times New Roman" w:hAnsi="Times New Roman"/>
          <w:color w:val="000000"/>
          <w:sz w:val="20"/>
          <w:u w:val="single"/>
        </w:rPr>
        <w:t>Section 23.2</w:t>
      </w:r>
      <w:r>
        <w:rPr>
          <w:rFonts w:ascii="Times New Roman" w:hAnsi="Times New Roman"/>
          <w:color w:val="000000"/>
          <w:sz w:val="20"/>
        </w:rPr>
        <w:t xml:space="preserve">, of this Lease. Notwithstanding the foregoing, in no event shall the Building Exterior Signage, at any time, prevent the other then tenant(s) of the Building (specifically excluding Tenant) from maintaining (i) at least one (1) identification sign, in the aggregate, located on the exterior of the Building, or (ii) exterior signage on at least fifty percent (50%) of the Permitted Signage Area (as that term is defined below) of the Building, in the aggregate. All such signage shall be subject to Tenant’s obtaining all required governmental approvals and shall conform to all Applicable Laws, including, without limitation, zoning laws) and then-existing Underlying Documents. The location of Tenant’s identification signage slot on each of the two (2) Monuments is set forth on </w:t>
      </w:r>
      <w:r>
        <w:rPr>
          <w:rFonts w:ascii="Times New Roman" w:hAnsi="Times New Roman"/>
          <w:b/>
          <w:color w:val="000000"/>
          <w:sz w:val="20"/>
        </w:rPr>
        <w:t xml:space="preserve">Exhibit G </w:t>
      </w:r>
      <w:r>
        <w:rPr>
          <w:rFonts w:ascii="Times New Roman" w:hAnsi="Times New Roman"/>
          <w:color w:val="000000"/>
          <w:sz w:val="20"/>
        </w:rPr>
        <w:t>attached hereto. All permitted signs shall be maintained by Tenant at its expense in a first</w:t>
        <w:noBreakHyphen/>
        <w:t>class and safe condition and appearance. All costs associated with Tenant’s Signage, including, without limitation, the costs to purchase, install and maintain Tenant’s Signage, shall be borne exclusively by Tenant. Upon the expiration or earlier termination of this Lease, Tenant shall remove all of its signs at Tenant’s sole cost and expense. The graphics, materials, color, design, lettering, lighting, size, illumination, specifications and exact location of Tenant’s Signage (collectively, the “</w:t>
      </w:r>
      <w:r>
        <w:rPr>
          <w:rFonts w:ascii="Times New Roman" w:hAnsi="Times New Roman"/>
          <w:b/>
          <w:color w:val="000000"/>
          <w:sz w:val="20"/>
        </w:rPr>
        <w:t>Sign Specifications</w:t>
      </w:r>
      <w:r>
        <w:rPr>
          <w:color w:val="000000"/>
        </w:rPr>
        <w:t>”</w:t>
      </w:r>
      <w:r>
        <w:rPr>
          <w:rFonts w:ascii="Times New Roman" w:hAnsi="Times New Roman"/>
          <w:color w:val="000000"/>
          <w:sz w:val="20"/>
        </w:rPr>
        <w:t>) shall be subject to the prior written approval of Landlord, which approval shall not be unreasonably withheld, conditioned or delayed, and shall be consistent and compatible with</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- 53 -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the quality and nature of the Project. Tenant hereby acknowledges that, notwithstanding Landlord’s approval of Tenant’s Signage, Landlord has made no representation or warranty to Tenant with respect to the probability of obtaining all necessary governmental approvals and permits for Tenant’s Signage. In the event Tenant does not receive the necessary governmental approvals and permits for Tenant’s Signage, Tenant’s and Landlord’s rights and obligations under the remaining terms, covenants and conditions of this Lease shall be unaffected. For purposes hereof, “</w:t>
      </w:r>
      <w:r>
        <w:rPr>
          <w:rFonts w:ascii="Times New Roman" w:hAnsi="Times New Roman"/>
          <w:b/>
          <w:color w:val="000000"/>
          <w:sz w:val="20"/>
        </w:rPr>
        <w:t>Permitted Signage Area</w:t>
      </w:r>
      <w:r>
        <w:rPr>
          <w:rFonts w:ascii="Times New Roman" w:hAnsi="Times New Roman"/>
          <w:color w:val="000000"/>
          <w:sz w:val="20"/>
        </w:rPr>
        <w:t>” shall mean the square footage of the surface area of the exterior of the Building that would be available and permitted for exterior tenant signage in accordance with Applicable Laws (including, without limitation, zoning laws) based on the assumption that the Building Exterior Signage is not installed on the Building.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23.2</w:t>
      </w:r>
    </w:p>
    <w:p>
      <w:pPr>
        <w:pStyle w:val="TextBody"/>
        <w:bidi w:val="0"/>
        <w:spacing w:before="0" w:after="240"/>
        <w:jc w:val="left"/>
        <w:rPr/>
      </w:pPr>
      <w:r>
        <w:rPr>
          <w:rFonts w:ascii="Times New Roman" w:hAnsi="Times New Roman"/>
          <w:b/>
          <w:color w:val="000000"/>
          <w:sz w:val="20"/>
          <w:u w:val="single"/>
        </w:rPr>
        <w:t>Objectionable Name</w:t>
      </w:r>
      <w:r>
        <w:rPr>
          <w:rFonts w:ascii="Times New Roman" w:hAnsi="Times New Roman"/>
          <w:color w:val="000000"/>
          <w:sz w:val="20"/>
        </w:rPr>
        <w:t>. Tenant’s Signage shall not include a name or logo which relates to an entity which is of a character or reputation, or is associated with a political faction or orientation, which is inconsistent with the quality of the Project, or which would otherwise reasonably offend a landlord of the Comparable Buildings (an “</w:t>
      </w:r>
      <w:r>
        <w:rPr>
          <w:rFonts w:ascii="Times New Roman" w:hAnsi="Times New Roman"/>
          <w:b/>
          <w:color w:val="000000"/>
          <w:sz w:val="20"/>
        </w:rPr>
        <w:t>Objectionable Name</w:t>
      </w:r>
      <w:r>
        <w:rPr>
          <w:color w:val="000000"/>
        </w:rPr>
        <w:t>”</w:t>
      </w:r>
      <w:r>
        <w:rPr>
          <w:rFonts w:ascii="Times New Roman" w:hAnsi="Times New Roman"/>
          <w:color w:val="000000"/>
          <w:sz w:val="20"/>
        </w:rPr>
        <w:t>). The parties hereby agree that the following name, or any reasonable derivation thereof, shall be deemed not to constitute an Objectionable Name: “BioAtla, LLC.”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23.3</w:t>
      </w:r>
    </w:p>
    <w:p>
      <w:pPr>
        <w:pStyle w:val="TextBody"/>
        <w:bidi w:val="0"/>
        <w:spacing w:before="0" w:after="240"/>
        <w:jc w:val="left"/>
        <w:rPr/>
      </w:pPr>
      <w:r>
        <w:rPr>
          <w:rFonts w:ascii="Times New Roman" w:hAnsi="Times New Roman"/>
          <w:b/>
          <w:color w:val="000000"/>
          <w:sz w:val="20"/>
          <w:u w:val="single"/>
        </w:rPr>
        <w:t>Prohibited Signage and Other Items</w:t>
      </w:r>
      <w:r>
        <w:rPr>
          <w:rFonts w:ascii="Times New Roman" w:hAnsi="Times New Roman"/>
          <w:color w:val="000000"/>
          <w:sz w:val="20"/>
        </w:rPr>
        <w:t>. Any signs, notices, logos, pictures, names or advertisements which are installed and that have not been separately approved by Landlord may be removed without notice by Landlord at the sole expense of Tenant. Any window coverings, or blinds shall be subject to the prior approval of Landlord, which shall not be unreasonably withheld, conditioned or delayed. Any signs or other items visible from the exterior of the Premises or Building (other than Tenant’s Signage or window coverings or blinds), shall be subject to the prior approval of Landlord, in its sole discretion.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23.4</w:t>
      </w:r>
    </w:p>
    <w:p>
      <w:pPr>
        <w:pStyle w:val="TextBody"/>
        <w:bidi w:val="0"/>
        <w:spacing w:before="0" w:after="240"/>
        <w:jc w:val="left"/>
        <w:rPr/>
      </w:pPr>
      <w:r>
        <w:rPr>
          <w:rFonts w:ascii="Times New Roman" w:hAnsi="Times New Roman"/>
          <w:b/>
          <w:color w:val="000000"/>
          <w:sz w:val="20"/>
          <w:u w:val="single"/>
        </w:rPr>
        <w:t>Termination of Right to Tenant’s Signage</w:t>
      </w:r>
      <w:r>
        <w:rPr>
          <w:rFonts w:ascii="Times New Roman" w:hAnsi="Times New Roman"/>
          <w:color w:val="000000"/>
          <w:sz w:val="20"/>
        </w:rPr>
        <w:t xml:space="preserve">. The rights contained in this </w:t>
      </w:r>
      <w:r>
        <w:rPr>
          <w:rFonts w:ascii="Times New Roman" w:hAnsi="Times New Roman"/>
          <w:color w:val="000000"/>
          <w:sz w:val="20"/>
          <w:u w:val="single"/>
        </w:rPr>
        <w:t>Article 23</w:t>
      </w:r>
      <w:r>
        <w:rPr>
          <w:color w:val="000000"/>
        </w:rPr>
        <w:t xml:space="preserve"> </w:t>
      </w:r>
      <w:r>
        <w:rPr>
          <w:rFonts w:ascii="Times New Roman" w:hAnsi="Times New Roman"/>
          <w:color w:val="000000"/>
          <w:sz w:val="20"/>
        </w:rPr>
        <w:t>shall be personal to Original Tenant and its Permitted Transferee Assignee, and may only be exercised and maintained by such parties (and not any other assignee, sublessee or other transferee of the Original Tenant’s interest in this Lease) to the extent (</w:t>
      </w:r>
      <w:r>
        <w:rPr>
          <w:rFonts w:ascii="Times New Roman" w:hAnsi="Times New Roman"/>
          <w:i/>
          <w:color w:val="000000"/>
          <w:sz w:val="20"/>
        </w:rPr>
        <w:t>:</w:t>
      </w:r>
      <w:r>
        <w:rPr>
          <w:rFonts w:ascii="Times New Roman" w:hAnsi="Times New Roman"/>
          <w:color w:val="000000"/>
          <w:sz w:val="20"/>
        </w:rPr>
        <w:t xml:space="preserve">) they are not in default under this Lease (beyond any applicable notice and cure period) </w:t>
      </w:r>
      <w:r>
        <w:rPr>
          <w:rFonts w:ascii="Times New Roman" w:hAnsi="Times New Roman"/>
          <w:i/>
          <w:color w:val="000000"/>
          <w:sz w:val="20"/>
        </w:rPr>
        <w:t xml:space="preserve">and </w:t>
      </w:r>
      <w:r>
        <w:rPr>
          <w:rFonts w:ascii="Times New Roman" w:hAnsi="Times New Roman"/>
          <w:color w:val="000000"/>
          <w:sz w:val="20"/>
        </w:rPr>
        <w:t>(y) with respect to the monument signage and the Building Exterior Signage, if they occupy the entire Premises.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24.</w:t>
      </w:r>
    </w:p>
    <w:p>
      <w:pPr>
        <w:pStyle w:val="TextBody"/>
        <w:bidi w:val="0"/>
        <w:spacing w:before="0" w:after="240"/>
        <w:jc w:val="left"/>
        <w:rPr/>
      </w:pPr>
      <w:r>
        <w:rPr>
          <w:rFonts w:ascii="Times New Roman" w:hAnsi="Times New Roman"/>
          <w:b/>
          <w:color w:val="000000"/>
          <w:sz w:val="20"/>
        </w:rPr>
        <w:t>COMPLIANCE WITH LAW</w:t>
      </w:r>
      <w:r>
        <w:rPr>
          <w:rFonts w:ascii="Times New Roman" w:hAnsi="Times New Roman"/>
          <w:color w:val="000000"/>
          <w:sz w:val="20"/>
        </w:rPr>
        <w:t>. Tenant shall not do anything or suffer anything to be done in or about the Premises or the Project which will in any way conflict with any law, statute, ordinance or other governmental rule, regulation or requirement now in force or which may hereafter be enacted or promulgated (collectively, “</w:t>
      </w:r>
      <w:r>
        <w:rPr>
          <w:rFonts w:ascii="Times New Roman" w:hAnsi="Times New Roman"/>
          <w:b/>
          <w:color w:val="000000"/>
          <w:sz w:val="20"/>
        </w:rPr>
        <w:t>Applicable Laws</w:t>
      </w:r>
      <w:r>
        <w:rPr>
          <w:color w:val="000000"/>
        </w:rPr>
        <w:t>”</w:t>
      </w:r>
      <w:r>
        <w:rPr>
          <w:rFonts w:ascii="Times New Roman" w:hAnsi="Times New Roman"/>
          <w:color w:val="000000"/>
          <w:sz w:val="20"/>
        </w:rPr>
        <w:t xml:space="preserve">). Except as otherwise specifically set forth in </w:t>
      </w:r>
      <w:r>
        <w:rPr>
          <w:rFonts w:ascii="Times New Roman" w:hAnsi="Times New Roman"/>
          <w:color w:val="000000"/>
          <w:sz w:val="20"/>
          <w:u w:val="single"/>
        </w:rPr>
        <w:t>Section 1.2</w:t>
      </w:r>
      <w:r>
        <w:rPr>
          <w:color w:val="000000"/>
        </w:rPr>
        <w:t xml:space="preserve"> </w:t>
      </w:r>
      <w:r>
        <w:rPr>
          <w:rFonts w:ascii="Times New Roman" w:hAnsi="Times New Roman"/>
          <w:color w:val="000000"/>
          <w:sz w:val="20"/>
        </w:rPr>
        <w:t>of the Tenant Work Letter, at its sole cost and expense, Tenant shall promptly comply with any Applicable Laws which relate to the Building (including, without limitation, the Base Building), but not with respect to any Common Areas located outside the Building unless and to the extent such obligations are triggered by Alterations made by Tenant to the Premises to the extent such Alterations are not normal and customary business office improvements, or triggered by the Tenant Improvements to the extent such Tenant Improvements are not expressly depicted on the Space Plan or are not normal and customary business office improvements, or triggered by Tenant’s use of the Premises for non-general office use (“</w:t>
      </w:r>
      <w:r>
        <w:rPr>
          <w:rFonts w:ascii="Times New Roman" w:hAnsi="Times New Roman"/>
          <w:b/>
          <w:color w:val="000000"/>
          <w:sz w:val="20"/>
        </w:rPr>
        <w:t>Tenant’s Compliance With Law Obligations</w:t>
      </w:r>
      <w:r>
        <w:rPr>
          <w:color w:val="000000"/>
        </w:rPr>
        <w:t>”</w:t>
      </w:r>
      <w:r>
        <w:rPr>
          <w:rFonts w:ascii="Times New Roman" w:hAnsi="Times New Roman"/>
          <w:color w:val="000000"/>
          <w:sz w:val="20"/>
        </w:rPr>
        <w:t xml:space="preserve">). Except as otherwise specifically set forth in </w:t>
      </w:r>
      <w:r>
        <w:rPr>
          <w:rFonts w:ascii="Times New Roman" w:hAnsi="Times New Roman"/>
          <w:color w:val="000000"/>
          <w:sz w:val="20"/>
          <w:u w:val="single"/>
        </w:rPr>
        <w:t>Section 1.2</w:t>
      </w:r>
      <w:r>
        <w:rPr>
          <w:color w:val="000000"/>
        </w:rPr>
        <w:t xml:space="preserve"> </w:t>
      </w:r>
      <w:r>
        <w:rPr>
          <w:rFonts w:ascii="Times New Roman" w:hAnsi="Times New Roman"/>
          <w:color w:val="000000"/>
          <w:sz w:val="20"/>
        </w:rPr>
        <w:t>of the Tenant Work Letter, Should any standard or regulation now or hereafter be imposed on</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- 54 -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Landlord or Tenant by a state, federal or local governmental body charged with the establishment, regulation and enforcement of occupational, health or safety standards for employers, employees, landlords or tenants, then Tenant agrees, at its sole cost and expense, to comply promptly with such standards or regulations. Tenant shall be responsible, at its sole cost and expense, to make all alterations to the Premises as are required to comply with Tenant’s Compliance With Law Obligations. Landlord shall comply with all Applicable Laws relating to the Base Building, provided that compliance with such Applicable Laws is not the responsibility of Tenant under this Lease, and provided further that Landlord’s failure to comply therewith would prohibit Tenant from obtaining or maintaining a certificate of occupancy for the Premises, or would unreasonably affect the safety of Tenant’s employees. The judgment of any court of competent jurisdiction or the admission of Tenant in any judicial action, regardless of whether Landlord is a party thereto, that Tenant has violated any of said governmental measures, shall be conclusive of that fact as between Landlord and Tenant. For purposes of Section 1938 of the California Civil Code, Landlord hereby discloses to Tenant, and Tenant hereby acknowledges, that the Project, Building and Premises have not undergone inspection by a Certified Access Specialist (CASp). As required by Section 1938(e) of the California Civil Code, Landlord hereby states as 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the foregoing, Landlord and Tenant hereby agree as follows: (a) any CASp inspection requested by Tenant shall be conducted, at Tenant’s sole cost and expense, by a CASp approved in advance by Landlord, while any CASp inspection initiated by Landlord shall be conducted, at Landlord’s sole cost and expense, by a CASp designated by Landlord; and (b) with respect to improvements or repairs required to correct violations discovered during a CASp inspection initiated by Tenant, pursuant to this </w:t>
      </w:r>
      <w:r>
        <w:rPr>
          <w:rFonts w:ascii="Times New Roman" w:hAnsi="Times New Roman"/>
          <w:color w:val="000000"/>
          <w:sz w:val="20"/>
          <w:u w:val="single"/>
        </w:rPr>
        <w:t>Article 24</w:t>
      </w:r>
      <w:r>
        <w:rPr>
          <w:rFonts w:ascii="Times New Roman" w:hAnsi="Times New Roman"/>
          <w:color w:val="000000"/>
          <w:sz w:val="20"/>
        </w:rPr>
        <w:t xml:space="preserve"> above, Tenant, at its cost, is responsible for making any repairs within the Premises to correct violations of construction-related accessibility standards (except as expressly set forth in the Tenant Work Letter); and, if anything done by or for Tenant in its use or occupancy of the Premises shall require repairs to the Building (outside the Premises) to correct violations of construction-related accessibility standards, then Tenant shall, at Landlord’s option, either perform such repairs at Tenant’s sole cost and expense or reimburse Landlord upon demand, as Additional Rent, for the cost to Landlord of performing such repairs, provided that Landlord shall be solely responsible for the costs of performing such improvements or repairs to correct such violations of construction-related accessibility standards if such violations were discovered during a CASp inspection initiated by Landlord.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25.</w:t>
      </w:r>
    </w:p>
    <w:p>
      <w:pPr>
        <w:pStyle w:val="TextBody"/>
        <w:bidi w:val="0"/>
        <w:spacing w:before="0" w:after="240"/>
        <w:jc w:val="left"/>
        <w:rPr/>
      </w:pPr>
      <w:r>
        <w:rPr>
          <w:rFonts w:ascii="Times New Roman" w:hAnsi="Times New Roman"/>
          <w:b/>
          <w:color w:val="000000"/>
          <w:sz w:val="20"/>
        </w:rPr>
        <w:t>LATE CHARGES</w:t>
      </w:r>
      <w:r>
        <w:rPr>
          <w:rFonts w:ascii="Times New Roman" w:hAnsi="Times New Roman"/>
          <w:color w:val="000000"/>
          <w:sz w:val="20"/>
        </w:rPr>
        <w:t>. If any installment of Rent or any other sum due from Tenant shall not be received by Landlord or Landlord’s designee within five (5) business days after Tenant’s receipt of written notice from Landlord that said amount is due, then Tenant shall pay to Landlord a late charge equal to five percent (5%) of the overdue amount plus any reasonable attorneys’ fees incurred by Landlord by reason of Tenant’s failure to pay Rent and/or other charges when due hereunder. The late charge shall be deemed Additional Rent and the right to require it shall be in</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- 55 -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addition to all of Landlord’s other rights and remedies hereunder or at law and shall not be construed as liquidated damages or as limiting Landlord’s remedies in any manner. In addition to the late charge described above, any Rent or other amounts owing hereunder which are not paid within ten (10) days after the date they are due shall bear interest from the date when due until paid at a rate per annum equal to the lesser of (i) the annual “Bank Prime Loan” rate cited in the Federal Reserve Statistical Release Publication G.13(415), published on the first Tuesday of each calendar month (or such other comparable index as Landlord and Tenant shall reasonably agree upon if such rate ceases to be published) plus four (4) percentage points, and (ii) the highest rate permitted by applicable law.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26.</w:t>
      </w:r>
    </w:p>
    <w:p>
      <w:pPr>
        <w:pStyle w:val="TextBody"/>
        <w:bidi w:val="0"/>
        <w:spacing w:before="0" w:after="240"/>
        <w:jc w:val="left"/>
        <w:rPr/>
      </w:pPr>
      <w:r>
        <w:rPr>
          <w:rFonts w:ascii="Times New Roman" w:hAnsi="Times New Roman"/>
          <w:b/>
          <w:color w:val="000000"/>
          <w:sz w:val="20"/>
        </w:rPr>
        <w:t>LANDLORD’S RIGHT TO CURE DEFAULT; PAYMENTS BY TENANT</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26.1</w:t>
      </w:r>
    </w:p>
    <w:p>
      <w:pPr>
        <w:pStyle w:val="TextBody"/>
        <w:bidi w:val="0"/>
        <w:spacing w:before="0" w:after="240"/>
        <w:jc w:val="left"/>
        <w:rPr/>
      </w:pPr>
      <w:r>
        <w:rPr>
          <w:rFonts w:ascii="Times New Roman" w:hAnsi="Times New Roman"/>
          <w:b/>
          <w:color w:val="000000"/>
          <w:sz w:val="20"/>
          <w:u w:val="single"/>
        </w:rPr>
        <w:t>Landlord’s Cure</w:t>
      </w:r>
      <w:r>
        <w:rPr>
          <w:rFonts w:ascii="Times New Roman" w:hAnsi="Times New Roman"/>
          <w:color w:val="000000"/>
          <w:sz w:val="20"/>
        </w:rPr>
        <w:t xml:space="preserve">. All covenants and agreements to be kept or performed by Tenant under this Lease shall be performed by Tenant at Tenant’s sole cost and expense and without any reduction of Rent, except to the extent, if any, otherwise expressly provided herein. If Tenant shall fail to perform any obligation under this Lease, and such failure shall continue in excess of the time allowed under </w:t>
      </w:r>
      <w:r>
        <w:rPr>
          <w:rFonts w:ascii="Times New Roman" w:hAnsi="Times New Roman"/>
          <w:color w:val="000000"/>
          <w:sz w:val="20"/>
          <w:u w:val="single"/>
        </w:rPr>
        <w:t>Section 19.1.2</w:t>
      </w:r>
      <w:r>
        <w:rPr>
          <w:rFonts w:ascii="Times New Roman" w:hAnsi="Times New Roman"/>
          <w:color w:val="000000"/>
          <w:sz w:val="20"/>
        </w:rPr>
        <w:t>, above, Landlord may, but shall not be obligated to, after providing Tenant with at least five (5) business days’ notice that Landlord intends to so cure (except in the event of an emergency, where no prior notice shall be required, except that Landlord shall nonetheless use commercially reasonable efforts to notify Tenant), make any such payment or perform any such act on Tenant’s part without waiving its rights based upon any default of Tenant and without releasing Tenant from any obligations hereunder.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26.2</w:t>
      </w:r>
    </w:p>
    <w:p>
      <w:pPr>
        <w:pStyle w:val="TextBody"/>
        <w:bidi w:val="0"/>
        <w:spacing w:before="0" w:after="240"/>
        <w:jc w:val="left"/>
        <w:rPr/>
      </w:pPr>
      <w:r>
        <w:rPr>
          <w:rFonts w:ascii="Times New Roman" w:hAnsi="Times New Roman"/>
          <w:b/>
          <w:color w:val="000000"/>
          <w:sz w:val="20"/>
          <w:u w:val="single"/>
        </w:rPr>
        <w:t>Tenant’s Reimbursement</w:t>
      </w:r>
      <w:r>
        <w:rPr>
          <w:rFonts w:ascii="Times New Roman" w:hAnsi="Times New Roman"/>
          <w:color w:val="000000"/>
          <w:sz w:val="20"/>
        </w:rPr>
        <w:t xml:space="preserve">. Except as may be specifically provided to the contrary in this Lease, Tenant shall pay to Landlord, upon delivery by Landlord to Tenant of statements therefor, sums equal to expenditures reasonably made and obligations incurred by Landlord in connection with the remedying by Landlord of Tenant’s defaults pursuant to the provisions of </w:t>
      </w:r>
      <w:r>
        <w:rPr>
          <w:rFonts w:ascii="Times New Roman" w:hAnsi="Times New Roman"/>
          <w:color w:val="000000"/>
          <w:sz w:val="20"/>
          <w:u w:val="single"/>
        </w:rPr>
        <w:t>Section 26.1</w:t>
      </w:r>
      <w:r>
        <w:rPr>
          <w:rFonts w:ascii="Times New Roman" w:hAnsi="Times New Roman"/>
          <w:color w:val="000000"/>
          <w:sz w:val="20"/>
        </w:rPr>
        <w:t xml:space="preserve">. Tenant’s obligations under this </w:t>
      </w:r>
      <w:r>
        <w:rPr>
          <w:rFonts w:ascii="Times New Roman" w:hAnsi="Times New Roman"/>
          <w:color w:val="000000"/>
          <w:sz w:val="20"/>
          <w:u w:val="single"/>
        </w:rPr>
        <w:t>Section 26.2</w:t>
      </w:r>
      <w:r>
        <w:rPr>
          <w:color w:val="000000"/>
        </w:rPr>
        <w:t xml:space="preserve"> </w:t>
      </w:r>
      <w:r>
        <w:rPr>
          <w:rFonts w:ascii="Times New Roman" w:hAnsi="Times New Roman"/>
          <w:color w:val="000000"/>
          <w:sz w:val="20"/>
        </w:rPr>
        <w:t>shall survive the expiration or sooner termination of the Lease Term.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27.</w:t>
      </w:r>
    </w:p>
    <w:p>
      <w:pPr>
        <w:pStyle w:val="TextBody"/>
        <w:bidi w:val="0"/>
        <w:spacing w:before="0" w:after="240"/>
        <w:jc w:val="left"/>
        <w:rPr/>
      </w:pPr>
      <w:r>
        <w:rPr>
          <w:rFonts w:ascii="Times New Roman" w:hAnsi="Times New Roman"/>
          <w:b/>
          <w:color w:val="000000"/>
          <w:sz w:val="20"/>
        </w:rPr>
        <w:t>ENTRY BY LANDLORD</w:t>
      </w:r>
      <w:r>
        <w:rPr>
          <w:rFonts w:ascii="Times New Roman" w:hAnsi="Times New Roman"/>
          <w:color w:val="000000"/>
          <w:sz w:val="20"/>
        </w:rPr>
        <w:t xml:space="preserve">. Landlord reserves the right at all reasonable times and upon not less than one (1) business days’ notice to Tenant (except in the case of an emergency) to enter the Premises to (i) inspect them; (ii) show the Premises to prospective purchasers, or to current or prospective mortgagees, ground or underlying lessors or insurers or, during the last twelve (12) months of the Lease Term, to prospective tenants; (iii) post notices of nonresponsibility (to the extent applicable pursuant to then applicable law); (iv) to the extent permitted or required by express provisions of this Lease, to alter, improve or repair the Premises or the Building, or for structural alterations, repairs or improvements to the Building or the Building’s systems and equipment, or (v) exercise its rights under </w:t>
      </w:r>
      <w:r>
        <w:rPr>
          <w:rFonts w:ascii="Times New Roman" w:hAnsi="Times New Roman"/>
          <w:color w:val="000000"/>
          <w:sz w:val="20"/>
          <w:u w:val="single"/>
        </w:rPr>
        <w:t>Article 26</w:t>
      </w:r>
      <w:r>
        <w:rPr>
          <w:color w:val="000000"/>
        </w:rPr>
        <w:t xml:space="preserve"> </w:t>
      </w:r>
      <w:r>
        <w:rPr>
          <w:rFonts w:ascii="Times New Roman" w:hAnsi="Times New Roman"/>
          <w:color w:val="000000"/>
          <w:sz w:val="20"/>
        </w:rPr>
        <w:t>of this Lease, above. Landlord may make any such entries without the abatement of Rent, except as otherwise provided in this Lease, and may take such reasonable steps as required to accomplish the stated purposes. Except in the event of an emergency, Landlord shall employ commercially reasonable efforts to minimize interference with the conduct of Tenant’s business in connection with entries into the Premises. In an emergency, Landlord shall have the right to use any means that Landlord may deem proper to open the doors in and to the Premises. Provided that Landlord employs commercially reasonable efforts to minimize interference with the conduct of Tenant’s business in connection with entries into the</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- 56 -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Premises, Tenant hereby waives any claims for any loss of occupancy or quiet enjoyment of the Premises, and any other loss occasioned thereby. Any entry into the Premises by Landlord in the manner hereinbefore described shall not be deemed to be a forcible or unlawful entry into, or a detainer of, the Premises, or an actual or constructive eviction of Tenant from any portion of the Premises. No provision of this Lease shall be construed as obligating Landlord to perform any repairs, alterations or decorations except as otherwise expressly agreed to be performed by Landlord herein.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28.</w:t>
      </w:r>
    </w:p>
    <w:p>
      <w:pPr>
        <w:pStyle w:val="TextBody"/>
        <w:bidi w:val="0"/>
        <w:spacing w:before="0" w:after="240"/>
        <w:jc w:val="left"/>
        <w:rPr/>
      </w:pPr>
      <w:r>
        <w:rPr>
          <w:rFonts w:ascii="Times New Roman" w:hAnsi="Times New Roman"/>
          <w:b/>
          <w:color w:val="000000"/>
          <w:sz w:val="20"/>
        </w:rPr>
        <w:t>TENANT PARKING</w:t>
      </w:r>
      <w:r>
        <w:rPr>
          <w:rFonts w:ascii="Times New Roman" w:hAnsi="Times New Roman"/>
          <w:color w:val="000000"/>
          <w:sz w:val="20"/>
        </w:rPr>
        <w:t xml:space="preserve">. Tenant shall have the right, but not the obligation, to use, the amount of unreserved parking spaces set forth in Section 9 of the Summary, in the on-site parking facility (or facilities) which serve the Project. Tenant shall abide by all reasonable non-discriminatory rules and regulations which are prescribed from time to time for the orderly operation and use of the Project parking facility where the parking spaces are located (including any sticker or other identification system established by Landlord and the prohibition of vehicle repair and maintenance activities in the Project parking facilities), and shall cooperate in seeing that Tenant’s employees and visitors also comply with such rules and regulations. Tenant’s use of the Project parking facility shall be at Tenant’s sole risk and Tenant acknowledges and agrees that Landlord shall have no liability whatsoever for damage to the vehicles of Tenant, its employees and/or visitors, or for other personal injury or property damage or theft relating to or connected with the parking rights granted herein or any of Tenant’s, its employees’ and/or visitors’ use of the parking facilities, provided that the foregoing shall not limit Landlord’s liability, if any, pursuant to applicable law for personal injury and property damage to the extent caused by the gross negligence or willful misconduct of Landlord, its agents, employees or contractors. Tenant shall pay to Landlord for its use of the unreserved parking spaces on a monthly basis at the prevailing rate charged from time to time for parking within the Project parking facility; provided that during the initial Lease Term, such unreserved parking spaces shall be provided at no additional charge to Tenant (other than Operating Expenses to the extent allowed by the terms of </w:t>
      </w:r>
      <w:r>
        <w:rPr>
          <w:rFonts w:ascii="Times New Roman" w:hAnsi="Times New Roman"/>
          <w:color w:val="000000"/>
          <w:sz w:val="20"/>
          <w:u w:val="single"/>
        </w:rPr>
        <w:t>Section 4.2.4</w:t>
      </w:r>
      <w:r>
        <w:rPr>
          <w:color w:val="000000"/>
        </w:rPr>
        <w:t xml:space="preserve"> </w:t>
      </w:r>
      <w:r>
        <w:rPr>
          <w:rFonts w:ascii="Times New Roman" w:hAnsi="Times New Roman"/>
          <w:color w:val="000000"/>
          <w:sz w:val="20"/>
        </w:rPr>
        <w:t>of this Lease); provided further that Tenant shall also be responsible for the full amount of any taxes imposed by any governmental authority in connection with the renting of such unreserved parking spaces by Tenant or the use of the Project parking facility by Tenant.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w:t>
      </w:r>
    </w:p>
    <w:p>
      <w:pPr>
        <w:pStyle w:val="TextBody"/>
        <w:bidi w:val="0"/>
        <w:spacing w:before="0" w:after="240"/>
        <w:jc w:val="left"/>
        <w:rPr/>
      </w:pPr>
      <w:r>
        <w:rPr>
          <w:rFonts w:ascii="Times New Roman" w:hAnsi="Times New Roman"/>
          <w:b/>
          <w:color w:val="000000"/>
          <w:sz w:val="20"/>
        </w:rPr>
        <w:t>MISCELLANEOUS PROVISIONS</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29.1</w:t>
      </w:r>
    </w:p>
    <w:p>
      <w:pPr>
        <w:pStyle w:val="TextBody"/>
        <w:bidi w:val="0"/>
        <w:spacing w:before="0" w:after="240"/>
        <w:jc w:val="left"/>
        <w:rPr/>
      </w:pPr>
      <w:r>
        <w:rPr>
          <w:rFonts w:ascii="Times New Roman" w:hAnsi="Times New Roman"/>
          <w:b/>
          <w:color w:val="000000"/>
          <w:sz w:val="20"/>
          <w:u w:val="single"/>
        </w:rPr>
        <w:t>Terms; Captions</w:t>
      </w:r>
      <w:r>
        <w:rPr>
          <w:rFonts w:ascii="Times New Roman" w:hAnsi="Times New Roman"/>
          <w:color w:val="000000"/>
          <w:sz w:val="20"/>
        </w:rPr>
        <w:t>. The words “</w:t>
      </w:r>
      <w:r>
        <w:rPr>
          <w:rFonts w:ascii="Times New Roman" w:hAnsi="Times New Roman"/>
          <w:b/>
          <w:color w:val="000000"/>
          <w:sz w:val="20"/>
        </w:rPr>
        <w:t>Landlord</w:t>
      </w:r>
      <w:r>
        <w:rPr>
          <w:color w:val="000000"/>
        </w:rPr>
        <w:t xml:space="preserve">” </w:t>
      </w:r>
      <w:r>
        <w:rPr>
          <w:rFonts w:ascii="Times New Roman" w:hAnsi="Times New Roman"/>
          <w:color w:val="000000"/>
          <w:sz w:val="20"/>
        </w:rPr>
        <w:t>and “</w:t>
      </w:r>
      <w:r>
        <w:rPr>
          <w:rFonts w:ascii="Times New Roman" w:hAnsi="Times New Roman"/>
          <w:b/>
          <w:color w:val="000000"/>
          <w:sz w:val="20"/>
        </w:rPr>
        <w:t>Tenant</w:t>
      </w:r>
      <w:r>
        <w:rPr>
          <w:color w:val="000000"/>
        </w:rPr>
        <w:t xml:space="preserve">” </w:t>
      </w:r>
      <w:r>
        <w:rPr>
          <w:rFonts w:ascii="Times New Roman" w:hAnsi="Times New Roman"/>
          <w:color w:val="000000"/>
          <w:sz w:val="20"/>
        </w:rPr>
        <w:t>as used herein shall include the plural as well as the singular. The necessary grammatical changes required to make the provisions hereof apply either to corporations or partnerships or individuals, men or women, as the case may require, shall in all cases be assumed as though in each case fully expressed. The captions of Articles and Sections are for convenience only and shall not be deemed to limit, construe, affect or alter the meaning of such Articles and Sections.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29.2</w:t>
      </w:r>
    </w:p>
    <w:p>
      <w:pPr>
        <w:pStyle w:val="TextBody"/>
        <w:bidi w:val="0"/>
        <w:spacing w:before="0" w:after="240"/>
        <w:jc w:val="left"/>
        <w:rPr/>
      </w:pPr>
      <w:r>
        <w:rPr>
          <w:rFonts w:ascii="Times New Roman" w:hAnsi="Times New Roman"/>
          <w:b/>
          <w:color w:val="000000"/>
          <w:sz w:val="20"/>
          <w:u w:val="single"/>
        </w:rPr>
        <w:t>Binding Effect</w:t>
      </w:r>
      <w:r>
        <w:rPr>
          <w:rFonts w:ascii="Times New Roman" w:hAnsi="Times New Roman"/>
          <w:color w:val="000000"/>
          <w:sz w:val="20"/>
        </w:rPr>
        <w:t xml:space="preserve">. Subject to all other provisions of this Lease, each of the covenants, conditions and provisions of this Lease shall extend to and shall, as the case may require, bind or inure to the benefit not only of Landlord and of Tenant, but also of their respective heirs, personal representatives, successors or assigns, provided this clause shall not permit any assignment by Tenant contrary to the provisions of </w:t>
      </w:r>
      <w:r>
        <w:rPr>
          <w:rFonts w:ascii="Times New Roman" w:hAnsi="Times New Roman"/>
          <w:color w:val="000000"/>
          <w:sz w:val="20"/>
          <w:u w:val="single"/>
        </w:rPr>
        <w:t>Article 14</w:t>
      </w:r>
      <w:r>
        <w:rPr>
          <w:color w:val="000000"/>
        </w:rPr>
        <w:t xml:space="preserve"> </w:t>
      </w:r>
      <w:r>
        <w:rPr>
          <w:rFonts w:ascii="Times New Roman" w:hAnsi="Times New Roman"/>
          <w:color w:val="000000"/>
          <w:sz w:val="20"/>
        </w:rPr>
        <w:t>of this Lease.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29.3</w:t>
      </w:r>
    </w:p>
    <w:p>
      <w:pPr>
        <w:pStyle w:val="TextBody"/>
        <w:bidi w:val="0"/>
        <w:spacing w:before="0" w:after="240"/>
        <w:jc w:val="left"/>
        <w:rPr/>
      </w:pPr>
      <w:r>
        <w:rPr>
          <w:rFonts w:ascii="Times New Roman" w:hAnsi="Times New Roman"/>
          <w:b/>
          <w:color w:val="000000"/>
          <w:sz w:val="20"/>
          <w:u w:val="single"/>
        </w:rPr>
        <w:t>No Air Rights</w:t>
      </w:r>
      <w:r>
        <w:rPr>
          <w:rFonts w:ascii="Times New Roman" w:hAnsi="Times New Roman"/>
          <w:color w:val="000000"/>
          <w:sz w:val="20"/>
        </w:rPr>
        <w:t>. No rights to any view or to light or air over any property, whether belonging to Landlord or any other person, are granted to Tenant by this Lease. If at any time any</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- 57 -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windows of the Premises are temporarily (for no more than thirty (30) days) darkened or the light or view therefrom is obstructed by reason of any repairs, improvements, maintenance or cleaning in or about the Project, the same shall be without liability to Landlord and without any reduction or diminution of Tenant’s obligations under this Lease, provided that Landlord shall use its reasonable efforts to minimize any such obstructions.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29.4</w:t>
      </w:r>
    </w:p>
    <w:p>
      <w:pPr>
        <w:pStyle w:val="TextBody"/>
        <w:bidi w:val="0"/>
        <w:spacing w:before="0" w:after="240"/>
        <w:jc w:val="left"/>
        <w:rPr/>
      </w:pPr>
      <w:r>
        <w:rPr>
          <w:rFonts w:ascii="Times New Roman" w:hAnsi="Times New Roman"/>
          <w:b/>
          <w:color w:val="000000"/>
          <w:sz w:val="20"/>
          <w:u w:val="single"/>
        </w:rPr>
        <w:t>Modification of Lease</w:t>
      </w:r>
      <w:r>
        <w:rPr>
          <w:rFonts w:ascii="Times New Roman" w:hAnsi="Times New Roman"/>
          <w:color w:val="000000"/>
          <w:sz w:val="20"/>
        </w:rPr>
        <w:t>. Should any current or prospective mortgagee or ground lessor for the Building or Project require a modification of this Lease, which modification will not cause an increased cost or expense to Tenant or in any other way adversely change the rights and obligations of Tenant hereunder, then and in such event, Tenant agrees that this Lease may be so modified and agrees to execute whatever documents are reasonably required therefor and to deliver the same to Landlord within ten (10) business days following a request therefor. At the request of Landlord or any mortgagee or ground lessor, Tenant agrees to execute a short form of Lease and deliver the same to Landlord within ten (10) business days following the request therefor.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29.5</w:t>
      </w:r>
    </w:p>
    <w:p>
      <w:pPr>
        <w:pStyle w:val="TextBody"/>
        <w:bidi w:val="0"/>
        <w:spacing w:before="0" w:after="240"/>
        <w:jc w:val="left"/>
        <w:rPr/>
      </w:pPr>
      <w:r>
        <w:rPr>
          <w:rFonts w:ascii="Times New Roman" w:hAnsi="Times New Roman"/>
          <w:b/>
          <w:color w:val="000000"/>
          <w:sz w:val="20"/>
          <w:u w:val="single"/>
        </w:rPr>
        <w:t>Transfer of Landlord’s Interest</w:t>
      </w:r>
      <w:r>
        <w:rPr>
          <w:rFonts w:ascii="Times New Roman" w:hAnsi="Times New Roman"/>
          <w:color w:val="000000"/>
          <w:sz w:val="20"/>
        </w:rPr>
        <w:t>. Tenant acknowledges that Landlord has the right to transfer all or any portion of its interest in the Project or Building and in this Lease, and Tenant agrees that in the event of any such transfer, Landlord shall automatically be released from all liability under this Lease arising after the date of transfer and Tenant agrees to look solely to such transferee for the performance of Landlord’s obligations hereunder after the date of transfer and such transferee shall be deemed to have fully assumed and be liable for all obligations of this Lease to be performed by Landlord, including the return of any Security Deposit, and Tenant shall attorn to such transferee.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29.6</w:t>
      </w:r>
    </w:p>
    <w:p>
      <w:pPr>
        <w:pStyle w:val="TextBody"/>
        <w:bidi w:val="0"/>
        <w:spacing w:before="0" w:after="240"/>
        <w:jc w:val="left"/>
        <w:rPr/>
      </w:pPr>
      <w:r>
        <w:rPr>
          <w:rFonts w:ascii="Times New Roman" w:hAnsi="Times New Roman"/>
          <w:b/>
          <w:color w:val="000000"/>
          <w:sz w:val="20"/>
          <w:u w:val="single"/>
        </w:rPr>
        <w:t>Prohibition Against Recording</w:t>
      </w:r>
      <w:r>
        <w:rPr>
          <w:rFonts w:ascii="Times New Roman" w:hAnsi="Times New Roman"/>
          <w:color w:val="000000"/>
          <w:sz w:val="20"/>
        </w:rPr>
        <w:t xml:space="preserve">. Except as provided in </w:t>
      </w:r>
      <w:r>
        <w:rPr>
          <w:rFonts w:ascii="Times New Roman" w:hAnsi="Times New Roman"/>
          <w:color w:val="000000"/>
          <w:sz w:val="20"/>
          <w:u w:val="single"/>
        </w:rPr>
        <w:t>Section 29.4</w:t>
      </w:r>
      <w:r>
        <w:rPr>
          <w:color w:val="000000"/>
        </w:rPr>
        <w:t xml:space="preserve"> </w:t>
      </w:r>
      <w:r>
        <w:rPr>
          <w:rFonts w:ascii="Times New Roman" w:hAnsi="Times New Roman"/>
          <w:color w:val="000000"/>
          <w:sz w:val="20"/>
        </w:rPr>
        <w:t>of this Lease, neither this Lease, nor any memorandum, affidavit or other writing with respect thereto, shall be recorded by Tenant or by anyone acting through, under or on behalf of Tenant.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29.7</w:t>
      </w:r>
    </w:p>
    <w:p>
      <w:pPr>
        <w:pStyle w:val="TextBody"/>
        <w:bidi w:val="0"/>
        <w:spacing w:before="0" w:after="240"/>
        <w:jc w:val="left"/>
        <w:rPr/>
      </w:pPr>
      <w:r>
        <w:rPr>
          <w:rFonts w:ascii="Times New Roman" w:hAnsi="Times New Roman"/>
          <w:b/>
          <w:color w:val="000000"/>
          <w:sz w:val="20"/>
          <w:u w:val="single"/>
        </w:rPr>
        <w:t>Landlord’s Title</w:t>
      </w:r>
      <w:r>
        <w:rPr>
          <w:rFonts w:ascii="Times New Roman" w:hAnsi="Times New Roman"/>
          <w:color w:val="000000"/>
          <w:sz w:val="20"/>
        </w:rPr>
        <w:t>. Landlord’s title is and always shall be paramount to the title of Tenant. Nothing herein contained shall empower Tenant to do any act which can, shall or may encumber the title of Landlord.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29.8</w:t>
      </w:r>
    </w:p>
    <w:p>
      <w:pPr>
        <w:pStyle w:val="TextBody"/>
        <w:bidi w:val="0"/>
        <w:spacing w:before="0" w:after="240"/>
        <w:jc w:val="left"/>
        <w:rPr/>
      </w:pPr>
      <w:r>
        <w:rPr>
          <w:rFonts w:ascii="Times New Roman" w:hAnsi="Times New Roman"/>
          <w:b/>
          <w:color w:val="000000"/>
          <w:sz w:val="20"/>
          <w:u w:val="single"/>
        </w:rPr>
        <w:t>Relationship of Parties</w:t>
      </w:r>
      <w:r>
        <w:rPr>
          <w:rFonts w:ascii="Times New Roman" w:hAnsi="Times New Roman"/>
          <w:color w:val="000000"/>
          <w:sz w:val="20"/>
        </w:rPr>
        <w:t>. Nothing contained in this Lease shall be deemed or construed by the parties hereto or by any third party to create the relationship of principal and agent, partnership, joint venturer or any association between Landlord and Tenant.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29.9</w:t>
      </w:r>
    </w:p>
    <w:p>
      <w:pPr>
        <w:pStyle w:val="TextBody"/>
        <w:bidi w:val="0"/>
        <w:spacing w:before="0" w:after="240"/>
        <w:jc w:val="left"/>
        <w:rPr/>
      </w:pPr>
      <w:r>
        <w:rPr>
          <w:rFonts w:ascii="Times New Roman" w:hAnsi="Times New Roman"/>
          <w:b/>
          <w:color w:val="000000"/>
          <w:sz w:val="20"/>
          <w:u w:val="single"/>
        </w:rPr>
        <w:t>Application of Payments</w:t>
      </w:r>
      <w:r>
        <w:rPr>
          <w:rFonts w:ascii="Times New Roman" w:hAnsi="Times New Roman"/>
          <w:color w:val="000000"/>
          <w:sz w:val="20"/>
        </w:rPr>
        <w:t>. Landlord shall have the right to apply payments received from Tenant pursuant to this Lease, regardless of Tenant’s designation of such payments, to satisfy any obligations of Tenant hereunder, in such order and amounts as Landlord, in its sole discretion, may elect.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29.10</w:t>
      </w:r>
    </w:p>
    <w:p>
      <w:pPr>
        <w:pStyle w:val="TextBody"/>
        <w:bidi w:val="0"/>
        <w:spacing w:before="0" w:after="240"/>
        <w:jc w:val="left"/>
        <w:rPr/>
      </w:pPr>
      <w:r>
        <w:rPr>
          <w:rFonts w:ascii="Times New Roman" w:hAnsi="Times New Roman"/>
          <w:b/>
          <w:color w:val="000000"/>
          <w:sz w:val="20"/>
          <w:u w:val="single"/>
        </w:rPr>
        <w:t>Time of Essence</w:t>
      </w:r>
      <w:r>
        <w:rPr>
          <w:rFonts w:ascii="Times New Roman" w:hAnsi="Times New Roman"/>
          <w:color w:val="000000"/>
          <w:sz w:val="20"/>
        </w:rPr>
        <w:t>. Time is of the essence with respect to the performance of every provision of this Lease in which time of performance is a factor.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29.11</w:t>
      </w:r>
    </w:p>
    <w:p>
      <w:pPr>
        <w:pStyle w:val="TextBody"/>
        <w:bidi w:val="0"/>
        <w:spacing w:before="0" w:after="240"/>
        <w:jc w:val="left"/>
        <w:rPr/>
      </w:pPr>
      <w:r>
        <w:rPr>
          <w:rFonts w:ascii="Times New Roman" w:hAnsi="Times New Roman"/>
          <w:b/>
          <w:color w:val="000000"/>
          <w:sz w:val="20"/>
          <w:u w:val="single"/>
        </w:rPr>
        <w:t>Partial Invalidity</w:t>
      </w:r>
      <w:r>
        <w:rPr>
          <w:rFonts w:ascii="Times New Roman" w:hAnsi="Times New Roman"/>
          <w:color w:val="000000"/>
          <w:sz w:val="20"/>
        </w:rPr>
        <w:t>. If any term, provision or condition contained in this Lease shall, to any extent, be invalid or unenforceable, the remainder of this Lease, or the application of such term, provision or condition to persons or circumstances other than those with respect to which it is invalid or unenforceable, shall not be affected thereby, and each and every other term, provision and condition of this Lease shall be valid and enforceable to the fullest extent possible permitted by law.</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- 58 -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29.12</w:t>
      </w:r>
    </w:p>
    <w:p>
      <w:pPr>
        <w:pStyle w:val="TextBody"/>
        <w:bidi w:val="0"/>
        <w:spacing w:before="0" w:after="240"/>
        <w:jc w:val="left"/>
        <w:rPr/>
      </w:pPr>
      <w:r>
        <w:rPr>
          <w:rFonts w:ascii="Times New Roman" w:hAnsi="Times New Roman"/>
          <w:b/>
          <w:color w:val="000000"/>
          <w:sz w:val="20"/>
          <w:u w:val="single"/>
        </w:rPr>
        <w:t>No Warranty</w:t>
      </w:r>
      <w:r>
        <w:rPr>
          <w:rFonts w:ascii="Times New Roman" w:hAnsi="Times New Roman"/>
          <w:color w:val="000000"/>
          <w:sz w:val="20"/>
        </w:rPr>
        <w:t>. In executing and delivering this Lease, Tenant has not relied on any representations, including, but not limited to, any representation as to the amount of any item comprising Additional Rent or the amount of the Additional Rent in the aggregate or that Landlord is furnishing the same services to other tenants, at all, on the same level or on the same basis, or any warranty or any statement of Landlord which is not set forth herein or in one or more of the exhibits attached hereto.</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29.13</w:t>
      </w:r>
    </w:p>
    <w:p>
      <w:pPr>
        <w:pStyle w:val="TextBody"/>
        <w:bidi w:val="0"/>
        <w:spacing w:before="0" w:after="240"/>
        <w:jc w:val="left"/>
        <w:rPr/>
      </w:pPr>
      <w:r>
        <w:rPr>
          <w:rFonts w:ascii="Times New Roman" w:hAnsi="Times New Roman"/>
          <w:b/>
          <w:color w:val="000000"/>
          <w:sz w:val="20"/>
          <w:u w:val="single"/>
        </w:rPr>
        <w:t>Landlord Exculpation</w:t>
      </w:r>
      <w:r>
        <w:rPr>
          <w:rFonts w:ascii="Times New Roman" w:hAnsi="Times New Roman"/>
          <w:color w:val="000000"/>
          <w:sz w:val="20"/>
        </w:rPr>
        <w:t xml:space="preserve">. The liability of Landlord or the Landlord Parties to Tenant for any default by Landlord under this Lease or arising in connection herewith or with Landlord’s operation, management, leasing, repair, renovation, alteration or any other matter relating to the Project or the Premises shall be limited solely and exclusively to an amount which is equal to the lesser of (a) the interest of Landlord in the Building or (b) the equity interest Landlord would have in the Building if the Building were encumbered by third-party debt in an amount equal to sixty percent (60%) of the value of the Building (as such value is reasonably determined by Landlord), in either case including any sales or insurance proceeds received by Landlord or the Landlord Parties in connection with the Project, Building or Premises. Neither Landlord, nor any of the Landlord Parties shall have any personal liability therefor, and Tenant hereby expressly waives and releases such personal liability on behalf of itself and all persons claiming by, through or under Tenant. The limitations of liability contained in this </w:t>
      </w:r>
      <w:r>
        <w:rPr>
          <w:rFonts w:ascii="Times New Roman" w:hAnsi="Times New Roman"/>
          <w:color w:val="000000"/>
          <w:sz w:val="20"/>
          <w:u w:val="single"/>
        </w:rPr>
        <w:t>Section 29.13</w:t>
      </w:r>
      <w:r>
        <w:rPr>
          <w:color w:val="000000"/>
        </w:rPr>
        <w:t xml:space="preserve"> </w:t>
      </w:r>
      <w:r>
        <w:rPr>
          <w:rFonts w:ascii="Times New Roman" w:hAnsi="Times New Roman"/>
          <w:color w:val="000000"/>
          <w:sz w:val="20"/>
        </w:rPr>
        <w:t xml:space="preserve">shall inure to the benefit of Landlord’s and the Landlord Parties’ present and future partners, beneficiaries, officers, directors, trustees, shareholders, agents and employees, and their respective partners, heirs, successors and assigns. Under no circumstances shall any present or future partner of Landlord (if Landlord is a partnership), or trustee or beneficiary (if Landlord or any partner of Landlord is a trust), have any liability for the performance of Landlord’s obligations under this Lease. Notwithstanding any contrary provision herein, nothing in this Lease shall impose any obligations on Tenant or Landlord to be responsible or liable for, and each hereby releases the other from all liability for, consequential, indirect, special or punitive damages (including but not limited to, damages with respect to loss of profits, loss of rents or other revenues, loss of business opportunity, loss of goodwill or loss of use, in each case, however occurring, or loss to inventory, scientific research, scientific experiments, laboratory animals, products, specimens, samples, and/or scientific, business, accounting and other records of every kind and description kept at the premises and any and all income derived or derivable therefrom, other than those consequential damages incurred by Landlord in connection with a holdover of the Premises by Tenant after the expiration or earlier termination of this Lease as set forth in </w:t>
      </w:r>
      <w:r>
        <w:rPr>
          <w:rFonts w:ascii="Times New Roman" w:hAnsi="Times New Roman"/>
          <w:color w:val="000000"/>
          <w:sz w:val="20"/>
          <w:u w:val="single"/>
        </w:rPr>
        <w:t>Article 16</w:t>
      </w:r>
      <w:r>
        <w:rPr>
          <w:rFonts w:ascii="Times New Roman" w:hAnsi="Times New Roman"/>
          <w:color w:val="000000"/>
          <w:sz w:val="20"/>
        </w:rPr>
        <w:t>, above.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29.14</w:t>
      </w:r>
    </w:p>
    <w:p>
      <w:pPr>
        <w:pStyle w:val="TextBody"/>
        <w:bidi w:val="0"/>
        <w:spacing w:before="0" w:after="240"/>
        <w:jc w:val="left"/>
        <w:rPr/>
      </w:pPr>
      <w:r>
        <w:rPr>
          <w:rFonts w:ascii="Times New Roman" w:hAnsi="Times New Roman"/>
          <w:b/>
          <w:color w:val="000000"/>
          <w:sz w:val="20"/>
          <w:u w:val="single"/>
        </w:rPr>
        <w:t>Entire Agreement</w:t>
      </w:r>
      <w:r>
        <w:rPr>
          <w:rFonts w:ascii="Times New Roman" w:hAnsi="Times New Roman"/>
          <w:color w:val="000000"/>
          <w:sz w:val="20"/>
        </w:rPr>
        <w:t>. It is understood and acknowledged that there are no oral agreements between the parties hereto affecting this Lease and this Lease constitutes the parties’ entire agreement with respect to the leasing of the Premises and supersedes and cancels any and all previous negotiations, arrangements, brochures, agreements and understandings, if any, between the parties hereto or displayed by Landlord to Tenant with respect to the subject matter thereof, and none thereof shall be used to interpret or construe this Lease. None of the terms, covenants, conditions or provisions of this Lease can be modified, deleted or added to except in writing signed by the parties hereto.</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- 59 -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29.15</w:t>
      </w:r>
    </w:p>
    <w:p>
      <w:pPr>
        <w:pStyle w:val="TextBody"/>
        <w:bidi w:val="0"/>
        <w:spacing w:before="0" w:after="240"/>
        <w:jc w:val="left"/>
        <w:rPr/>
      </w:pPr>
      <w:r>
        <w:rPr>
          <w:rFonts w:ascii="Times New Roman" w:hAnsi="Times New Roman"/>
          <w:b/>
          <w:color w:val="000000"/>
          <w:sz w:val="20"/>
          <w:u w:val="single"/>
        </w:rPr>
        <w:t>Right to Lease</w:t>
      </w:r>
      <w:r>
        <w:rPr>
          <w:rFonts w:ascii="Times New Roman" w:hAnsi="Times New Roman"/>
          <w:color w:val="000000"/>
          <w:sz w:val="20"/>
        </w:rPr>
        <w:t>. Landlord reserves the absolute right to effect such other tenancies in the Project as Landlord in the exercise of its sole business judgment shall determine to best promote the interests of the Building or Project. Tenant does not rely on the fact, nor does Landlord represent, that any specific tenant or type or number of tenants shall, during the Lease Term, occupy any space in the Building or Project.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29.16</w:t>
      </w:r>
    </w:p>
    <w:p>
      <w:pPr>
        <w:pStyle w:val="TextBody"/>
        <w:bidi w:val="0"/>
        <w:spacing w:before="0" w:after="240"/>
        <w:jc w:val="left"/>
        <w:rPr/>
      </w:pPr>
      <w:r>
        <w:rPr>
          <w:rFonts w:ascii="Times New Roman" w:hAnsi="Times New Roman"/>
          <w:b/>
          <w:color w:val="000000"/>
          <w:sz w:val="20"/>
          <w:u w:val="single"/>
        </w:rPr>
        <w:t>Force Majeure</w:t>
      </w:r>
      <w:r>
        <w:rPr>
          <w:rFonts w:ascii="Times New Roman" w:hAnsi="Times New Roman"/>
          <w:color w:val="000000"/>
          <w:sz w:val="20"/>
        </w:rPr>
        <w:t>. Any prevention, delay or stoppage due to strikes, lockouts, labor disputes, acts of God, acts of war, terrorist acts, inability to obtain services, labor, or materials or reasonable substitutes therefor, governmental actions, civil commotions, fire or other casualty, and other causes beyond the reasonable control of the party obligated to perform, except with respect to the obligations imposed with regard to Rent and other monetary amounts to be paid by either party to the other pursuant to this Lease (collectively, a “</w:t>
      </w:r>
      <w:r>
        <w:rPr>
          <w:rFonts w:ascii="Times New Roman" w:hAnsi="Times New Roman"/>
          <w:b/>
          <w:color w:val="000000"/>
          <w:sz w:val="20"/>
        </w:rPr>
        <w:t>Force Majeure</w:t>
      </w:r>
      <w:r>
        <w:rPr>
          <w:color w:val="000000"/>
        </w:rPr>
        <w:t>”</w:t>
      </w:r>
      <w:r>
        <w:rPr>
          <w:rFonts w:ascii="Times New Roman" w:hAnsi="Times New Roman"/>
          <w:color w:val="000000"/>
          <w:sz w:val="20"/>
        </w:rPr>
        <w:t>), notwithstanding anything to the contrary contained in this Lease, shall excuse the performance of such party for a period equal to any such prevention, delay or stoppage and, therefore, if this Lease specifies a time period for performance of an obligation of either party, that time period shall be extended by the period of any delay in such party’s performance caused by a Force Majeure.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29.17</w:t>
      </w:r>
    </w:p>
    <w:p>
      <w:pPr>
        <w:pStyle w:val="TextBody"/>
        <w:bidi w:val="0"/>
        <w:spacing w:before="0" w:after="240"/>
        <w:jc w:val="left"/>
        <w:rPr/>
      </w:pPr>
      <w:r>
        <w:rPr>
          <w:rFonts w:ascii="Times New Roman" w:hAnsi="Times New Roman"/>
          <w:b/>
          <w:color w:val="000000"/>
          <w:sz w:val="20"/>
          <w:u w:val="single"/>
        </w:rPr>
        <w:t>Waiver of Redemption by Tenant</w:t>
      </w:r>
      <w:r>
        <w:rPr>
          <w:rFonts w:ascii="Times New Roman" w:hAnsi="Times New Roman"/>
          <w:color w:val="000000"/>
          <w:sz w:val="20"/>
        </w:rPr>
        <w:t>. Tenant hereby waives, for Tenant and for all those claiming under Tenant, any and all rights now or hereafter existing to redeem by order or judgment of any court or by any legal process or writ, Tenant’s right of occupancy of the Premises after any termination of this Lease.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29.18</w:t>
      </w:r>
    </w:p>
    <w:p>
      <w:pPr>
        <w:pStyle w:val="TextBody"/>
        <w:bidi w:val="0"/>
        <w:spacing w:before="0" w:after="240"/>
        <w:jc w:val="left"/>
        <w:rPr/>
      </w:pPr>
      <w:r>
        <w:rPr>
          <w:rFonts w:ascii="Times New Roman" w:hAnsi="Times New Roman"/>
          <w:b/>
          <w:color w:val="000000"/>
          <w:sz w:val="20"/>
          <w:u w:val="single"/>
        </w:rPr>
        <w:t>Notices</w:t>
      </w:r>
      <w:r>
        <w:rPr>
          <w:rFonts w:ascii="Times New Roman" w:hAnsi="Times New Roman"/>
          <w:color w:val="000000"/>
          <w:sz w:val="20"/>
        </w:rPr>
        <w:t>. All notices, demands, statements, designations, approvals or other communications (collectively, “</w:t>
      </w:r>
      <w:r>
        <w:rPr>
          <w:rFonts w:ascii="Times New Roman" w:hAnsi="Times New Roman"/>
          <w:b/>
          <w:color w:val="000000"/>
          <w:sz w:val="20"/>
        </w:rPr>
        <w:t>Notices</w:t>
      </w:r>
      <w:r>
        <w:rPr>
          <w:color w:val="000000"/>
        </w:rPr>
        <w:t>”</w:t>
      </w:r>
      <w:r>
        <w:rPr>
          <w:rFonts w:ascii="Times New Roman" w:hAnsi="Times New Roman"/>
          <w:color w:val="000000"/>
          <w:sz w:val="20"/>
        </w:rPr>
        <w:t>) given or required to be given by either party to the other hereunder or by law shall be in writing, shall be (A) sent by United States certified or registered mail, postage prepaid, return receipt requested (“</w:t>
      </w:r>
      <w:r>
        <w:rPr>
          <w:rFonts w:ascii="Times New Roman" w:hAnsi="Times New Roman"/>
          <w:b/>
          <w:color w:val="000000"/>
          <w:sz w:val="20"/>
        </w:rPr>
        <w:t>Mail</w:t>
      </w:r>
      <w:r>
        <w:rPr>
          <w:color w:val="000000"/>
        </w:rPr>
        <w:t>”</w:t>
      </w:r>
      <w:r>
        <w:rPr>
          <w:rFonts w:ascii="Times New Roman" w:hAnsi="Times New Roman"/>
          <w:color w:val="000000"/>
          <w:sz w:val="20"/>
        </w:rPr>
        <w:t xml:space="preserve">), (B) delivered by a nationally recognized overnight courier that provides proof of delivery, or (C) delivered personally. Any Notice shall be sent, transmitted, or delivered, as the case may be, to Tenant at the appropriate address set forth in </w:t>
      </w:r>
      <w:r>
        <w:rPr>
          <w:rFonts w:ascii="Times New Roman" w:hAnsi="Times New Roman"/>
          <w:color w:val="000000"/>
          <w:sz w:val="20"/>
          <w:u w:val="single"/>
        </w:rPr>
        <w:t>Section 10</w:t>
      </w:r>
      <w:r>
        <w:rPr>
          <w:color w:val="000000"/>
        </w:rPr>
        <w:t xml:space="preserve"> </w:t>
      </w:r>
      <w:r>
        <w:rPr>
          <w:rFonts w:ascii="Times New Roman" w:hAnsi="Times New Roman"/>
          <w:color w:val="000000"/>
          <w:sz w:val="20"/>
        </w:rPr>
        <w:t>of the Summary, or to such other place as Tenant may from time to time designate in a Notice to Landlord, or to Landlord at the addresses set forth below, or to such other places as Landlord may from time to time designate in a Notice to Tenant. Any Notice will be deemed given upon actual (or attempted but refused) delivery. As of the date of this Lease, any Notices to Landlord must be sent, transmitted, or delivered, as the case may be, to the following addresses:</w:t>
      </w:r>
    </w:p>
    <w:p>
      <w:pPr>
        <w:pStyle w:val="TextBody"/>
        <w:bidi w:val="0"/>
        <w:jc w:val="left"/>
        <w:rPr>
          <w:rFonts w:ascii="Times New Roman" w:hAnsi="Times New Roman"/>
          <w:color w:val="000000"/>
          <w:sz w:val="20"/>
        </w:rPr>
      </w:pPr>
      <w:r>
        <w:rPr>
          <w:rFonts w:ascii="Times New Roman" w:hAnsi="Times New Roman"/>
          <w:color w:val="000000"/>
          <w:sz w:val="20"/>
        </w:rPr>
        <w:t>HCP Torreyana, LLC</w:t>
      </w:r>
    </w:p>
    <w:p>
      <w:pPr>
        <w:pStyle w:val="TextBody"/>
        <w:bidi w:val="0"/>
        <w:jc w:val="left"/>
        <w:rPr>
          <w:rFonts w:ascii="Times New Roman" w:hAnsi="Times New Roman"/>
          <w:color w:val="000000"/>
          <w:sz w:val="20"/>
        </w:rPr>
      </w:pPr>
      <w:r>
        <w:rPr>
          <w:rFonts w:ascii="Times New Roman" w:hAnsi="Times New Roman"/>
          <w:color w:val="000000"/>
          <w:sz w:val="20"/>
        </w:rPr>
        <w:t>c/o HCP, Inc.</w:t>
      </w:r>
    </w:p>
    <w:p>
      <w:pPr>
        <w:pStyle w:val="TextBody"/>
        <w:bidi w:val="0"/>
        <w:jc w:val="left"/>
        <w:rPr>
          <w:rFonts w:ascii="Times New Roman" w:hAnsi="Times New Roman"/>
          <w:color w:val="000000"/>
          <w:sz w:val="20"/>
        </w:rPr>
      </w:pPr>
      <w:r>
        <w:rPr>
          <w:rFonts w:ascii="Times New Roman" w:hAnsi="Times New Roman"/>
          <w:color w:val="000000"/>
          <w:sz w:val="20"/>
        </w:rPr>
        <w:t>420 Stevens Avenue, Suite 170</w:t>
      </w:r>
    </w:p>
    <w:p>
      <w:pPr>
        <w:pStyle w:val="TextBody"/>
        <w:bidi w:val="0"/>
        <w:jc w:val="left"/>
        <w:rPr>
          <w:rFonts w:ascii="Times New Roman" w:hAnsi="Times New Roman"/>
          <w:color w:val="000000"/>
          <w:sz w:val="20"/>
        </w:rPr>
      </w:pPr>
      <w:r>
        <w:rPr>
          <w:rFonts w:ascii="Times New Roman" w:hAnsi="Times New Roman"/>
          <w:color w:val="000000"/>
          <w:sz w:val="20"/>
        </w:rPr>
        <w:t>Solana Beach, California 92075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Attention: Mike Dorris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with a copy to:</w:t>
      </w:r>
    </w:p>
    <w:p>
      <w:pPr>
        <w:pStyle w:val="TextBody"/>
        <w:bidi w:val="0"/>
        <w:jc w:val="left"/>
        <w:rPr>
          <w:rFonts w:ascii="Times New Roman" w:hAnsi="Times New Roman"/>
          <w:color w:val="000000"/>
          <w:sz w:val="20"/>
        </w:rPr>
      </w:pPr>
      <w:r>
        <w:rPr>
          <w:rFonts w:ascii="Times New Roman" w:hAnsi="Times New Roman"/>
          <w:color w:val="000000"/>
          <w:sz w:val="20"/>
        </w:rPr>
        <w:t>HCP Torreyana, LLC</w:t>
      </w:r>
    </w:p>
    <w:p>
      <w:pPr>
        <w:pStyle w:val="TextBody"/>
        <w:bidi w:val="0"/>
        <w:jc w:val="left"/>
        <w:rPr>
          <w:rFonts w:ascii="Times New Roman" w:hAnsi="Times New Roman"/>
          <w:color w:val="000000"/>
          <w:sz w:val="20"/>
        </w:rPr>
      </w:pPr>
      <w:r>
        <w:rPr>
          <w:rFonts w:ascii="Times New Roman" w:hAnsi="Times New Roman"/>
          <w:color w:val="000000"/>
          <w:sz w:val="20"/>
        </w:rPr>
        <w:t>c/o HCP, Inc.</w:t>
      </w:r>
    </w:p>
    <w:p>
      <w:pPr>
        <w:pStyle w:val="TextBody"/>
        <w:bidi w:val="0"/>
        <w:jc w:val="left"/>
        <w:rPr>
          <w:rFonts w:ascii="Times New Roman" w:hAnsi="Times New Roman"/>
          <w:color w:val="000000"/>
          <w:sz w:val="20"/>
        </w:rPr>
      </w:pPr>
      <w:r>
        <w:rPr>
          <w:rFonts w:ascii="Times New Roman" w:hAnsi="Times New Roman"/>
          <w:color w:val="000000"/>
          <w:sz w:val="20"/>
        </w:rPr>
        <w:t>1920 Main Street, Suite 1200</w:t>
      </w:r>
    </w:p>
    <w:p>
      <w:pPr>
        <w:pStyle w:val="TextBody"/>
        <w:bidi w:val="0"/>
        <w:jc w:val="left"/>
        <w:rPr>
          <w:rFonts w:ascii="Times New Roman" w:hAnsi="Times New Roman"/>
          <w:color w:val="000000"/>
          <w:sz w:val="20"/>
        </w:rPr>
      </w:pPr>
      <w:r>
        <w:rPr>
          <w:rFonts w:ascii="Times New Roman" w:hAnsi="Times New Roman"/>
          <w:color w:val="000000"/>
          <w:sz w:val="20"/>
        </w:rPr>
        <w:t>Irvine, CA 92614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Attn: Legal Department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- 60 -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and</w:t>
      </w:r>
    </w:p>
    <w:p>
      <w:pPr>
        <w:pStyle w:val="TextBody"/>
        <w:bidi w:val="0"/>
        <w:jc w:val="left"/>
        <w:rPr>
          <w:rFonts w:ascii="Times New Roman" w:hAnsi="Times New Roman"/>
          <w:color w:val="000000"/>
          <w:sz w:val="20"/>
        </w:rPr>
      </w:pPr>
      <w:r>
        <w:rPr>
          <w:rFonts w:ascii="Times New Roman" w:hAnsi="Times New Roman"/>
          <w:color w:val="000000"/>
          <w:sz w:val="20"/>
        </w:rPr>
        <w:t>Allen Matkins Leck Gamble Mallory &amp; Natsis LLP</w:t>
      </w:r>
    </w:p>
    <w:p>
      <w:pPr>
        <w:pStyle w:val="TextBody"/>
        <w:bidi w:val="0"/>
        <w:jc w:val="left"/>
        <w:rPr>
          <w:rFonts w:ascii="Times New Roman" w:hAnsi="Times New Roman"/>
          <w:color w:val="000000"/>
          <w:sz w:val="20"/>
        </w:rPr>
      </w:pPr>
      <w:r>
        <w:rPr>
          <w:rFonts w:ascii="Times New Roman" w:hAnsi="Times New Roman"/>
          <w:color w:val="000000"/>
          <w:sz w:val="20"/>
        </w:rPr>
        <w:t>1901 Avenue of the Stars, Suite 1800</w:t>
      </w:r>
    </w:p>
    <w:p>
      <w:pPr>
        <w:pStyle w:val="TextBody"/>
        <w:bidi w:val="0"/>
        <w:jc w:val="left"/>
        <w:rPr>
          <w:rFonts w:ascii="Times New Roman" w:hAnsi="Times New Roman"/>
          <w:color w:val="000000"/>
          <w:sz w:val="20"/>
        </w:rPr>
      </w:pPr>
      <w:r>
        <w:rPr>
          <w:rFonts w:ascii="Times New Roman" w:hAnsi="Times New Roman"/>
          <w:color w:val="000000"/>
          <w:sz w:val="20"/>
        </w:rPr>
        <w:t>Los Angeles, California 90067</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Attention: Anton N. Natsis, Esq.</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29.19</w:t>
      </w:r>
    </w:p>
    <w:p>
      <w:pPr>
        <w:pStyle w:val="TextBody"/>
        <w:bidi w:val="0"/>
        <w:spacing w:before="0" w:after="240"/>
        <w:jc w:val="left"/>
        <w:rPr/>
      </w:pPr>
      <w:r>
        <w:rPr>
          <w:rFonts w:ascii="Times New Roman" w:hAnsi="Times New Roman"/>
          <w:b/>
          <w:color w:val="000000"/>
          <w:sz w:val="20"/>
          <w:u w:val="single"/>
        </w:rPr>
        <w:t>Joint and Several</w:t>
      </w:r>
      <w:r>
        <w:rPr>
          <w:rFonts w:ascii="Times New Roman" w:hAnsi="Times New Roman"/>
          <w:color w:val="000000"/>
          <w:sz w:val="20"/>
        </w:rPr>
        <w:t>. If there is more than one tenant, the obligations imposed upon Tenant under this Lease shall be joint and several.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29.20</w:t>
      </w:r>
    </w:p>
    <w:p>
      <w:pPr>
        <w:pStyle w:val="TextBody"/>
        <w:bidi w:val="0"/>
        <w:spacing w:before="0" w:after="240"/>
        <w:jc w:val="left"/>
        <w:rPr/>
      </w:pPr>
      <w:r>
        <w:rPr>
          <w:rFonts w:ascii="Times New Roman" w:hAnsi="Times New Roman"/>
          <w:b/>
          <w:color w:val="000000"/>
          <w:sz w:val="20"/>
          <w:u w:val="single"/>
        </w:rPr>
        <w:t>Authority</w:t>
      </w:r>
      <w:r>
        <w:rPr>
          <w:rFonts w:ascii="Times New Roman" w:hAnsi="Times New Roman"/>
          <w:color w:val="000000"/>
          <w:sz w:val="20"/>
        </w:rPr>
        <w:t>. If Tenant is a corporation, trust or partnership, each individual executing this Lease on behalf of Tenant hereby represents and warrants that Tenant is a duly formed and existing entity qualified to do business in the State of California and that Tenant has full right and authority to execute and deliver this Lease and that each person signing on behalf of Tenant is authorized to do so. In such event, Tenant shall, within ten (10) days after execution of this Lease, deliver to Landlord satisfactory evidence of such authority and, if a corporation, upon demand by Landlord, also deliver to Landlord satisfactory evidence of (i) good standing in Tenant’s state of incorporation and (ii) qualification to do business in the State of California.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29.21</w:t>
      </w:r>
    </w:p>
    <w:p>
      <w:pPr>
        <w:pStyle w:val="TextBody"/>
        <w:bidi w:val="0"/>
        <w:spacing w:before="0" w:after="240"/>
        <w:jc w:val="left"/>
        <w:rPr/>
      </w:pPr>
      <w:r>
        <w:rPr>
          <w:rFonts w:ascii="Times New Roman" w:hAnsi="Times New Roman"/>
          <w:b/>
          <w:color w:val="000000"/>
          <w:sz w:val="20"/>
          <w:u w:val="single"/>
        </w:rPr>
        <w:t>Attorneys’ Fees</w:t>
      </w:r>
      <w:r>
        <w:rPr>
          <w:rFonts w:ascii="Times New Roman" w:hAnsi="Times New Roman"/>
          <w:color w:val="000000"/>
          <w:sz w:val="20"/>
        </w:rPr>
        <w:t>. In the event that either Landlord or Tenant should bring suit for the possession of the Premises, for the recovery of any sum due under this Lease, or because of the breach of any provision of this Lease or for any other relief against the other, then all costs and expenses, including reasonable attorneys’ fees, incurred by the prevailing party therein shall be paid by the other party, which obligation on the part of the other party shall be deemed to have accrued on the date of the commencement of such action and shall be enforceable whether or not the action is prosecuted to judgment.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29.22</w:t>
      </w:r>
    </w:p>
    <w:p>
      <w:pPr>
        <w:pStyle w:val="TextBody"/>
        <w:bidi w:val="0"/>
        <w:spacing w:before="0" w:after="240"/>
        <w:jc w:val="left"/>
        <w:rPr/>
      </w:pPr>
      <w:r>
        <w:rPr>
          <w:rFonts w:ascii="Times New Roman" w:hAnsi="Times New Roman"/>
          <w:b/>
          <w:color w:val="000000"/>
          <w:sz w:val="20"/>
          <w:u w:val="single"/>
        </w:rPr>
        <w:t>Governing Law; WAIVER OF TRIAL BY JURY</w:t>
      </w:r>
      <w:r>
        <w:rPr>
          <w:rFonts w:ascii="Times New Roman" w:hAnsi="Times New Roman"/>
          <w:color w:val="000000"/>
          <w:sz w:val="20"/>
        </w:rPr>
        <w:t>. This Lease shall be construed and enforced in accordance with the laws of the State of California. IN ANY ACTION OR PROCEEDING ARISING HEREFROM, LANDLORD AND TENANT HEREBY CONSENT TO (I) THE JURISDICTION OF ANY COMPETENT COURT WITHIN THE STATE OF CALIFORNIA, (II) SERVICE OF PROCESS BY ANY MEANS AUTHORIZED BY CALIFORNIA LAW, AND (III) IN THE INTEREST OF SAVING TIME AND EXPENSE, TRIAL WITHOUT A JURY IN ANY ACTION, PROCEEDING OR COUNTERCLAIM BROUGHT BY EITHER OF THE PARTIES HERETO AGAINST THE OTHER OR THEIR SUCCESSORS IN RESPECT OF ANY MATTER ARISING OUT OF OR IN CONNECTION WITH THIS LEASE, THE RELATIONSHIP OF</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- 61 -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LANDLORD AND TENANT, TENANT’S USE OR OCCUPANCY OF THE PREMISES, AND/OR ANY CLAIM FOR INJURY OR DAMAGE, OR ANY EMERGENCY OR STATUTORY REMEDY. IN THE EVENT LANDLORD COMMENCES ANY SUMMARY PROCEEDINGS OR ACTION FOR NONPAYMENT OF BASE RENT OR ADDITIONAL RENT, TENANT SHALL NOT INTERPOSE ANY COUNTERCLAIM OF ANY NATURE OR DESCRIPTION (UNLESS SUCH COUNTERCLAIM SHALL BE MANDATORY) IN ANY SUCH PROCEEDING OR ACTION, BUT SHALL BE RELEGATED TO AN INDEPENDENT ACTION AT LAW.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29.23</w:t>
      </w:r>
    </w:p>
    <w:p>
      <w:pPr>
        <w:pStyle w:val="TextBody"/>
        <w:bidi w:val="0"/>
        <w:spacing w:before="0" w:after="240"/>
        <w:jc w:val="left"/>
        <w:rPr/>
      </w:pPr>
      <w:r>
        <w:rPr>
          <w:rFonts w:ascii="Times New Roman" w:hAnsi="Times New Roman"/>
          <w:b/>
          <w:color w:val="000000"/>
          <w:sz w:val="20"/>
          <w:u w:val="single"/>
        </w:rPr>
        <w:t>Submission of Lease</w:t>
      </w:r>
      <w:r>
        <w:rPr>
          <w:rFonts w:ascii="Times New Roman" w:hAnsi="Times New Roman"/>
          <w:color w:val="000000"/>
          <w:sz w:val="20"/>
        </w:rPr>
        <w:t>. Submission of this instrument for examination or signature by Tenant does not constitute a reservation of, option for or option to lease, and it is not effective as a lease or otherwise until execution and delivery by both Landlord and Tenant.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29.24</w:t>
      </w:r>
    </w:p>
    <w:p>
      <w:pPr>
        <w:pStyle w:val="TextBody"/>
        <w:bidi w:val="0"/>
        <w:spacing w:before="0" w:after="240"/>
        <w:jc w:val="left"/>
        <w:rPr/>
      </w:pPr>
      <w:r>
        <w:rPr>
          <w:rFonts w:ascii="Times New Roman" w:hAnsi="Times New Roman"/>
          <w:b/>
          <w:color w:val="000000"/>
          <w:sz w:val="20"/>
          <w:u w:val="single"/>
        </w:rPr>
        <w:t>Brokers</w:t>
      </w:r>
      <w:r>
        <w:rPr>
          <w:rFonts w:ascii="Times New Roman" w:hAnsi="Times New Roman"/>
          <w:color w:val="000000"/>
          <w:sz w:val="20"/>
        </w:rPr>
        <w:t xml:space="preserve">. Landlord and Tenant hereby warrant to each other that they have had no dealings with any real estate broker or agent in connection with the negotiation of this Lease, excepting only the real estate brokers or agents specified in </w:t>
      </w:r>
      <w:r>
        <w:rPr>
          <w:rFonts w:ascii="Times New Roman" w:hAnsi="Times New Roman"/>
          <w:color w:val="000000"/>
          <w:sz w:val="20"/>
          <w:u w:val="single"/>
        </w:rPr>
        <w:t>Section 12</w:t>
      </w:r>
      <w:r>
        <w:rPr>
          <w:color w:val="000000"/>
        </w:rPr>
        <w:t xml:space="preserve"> </w:t>
      </w:r>
      <w:r>
        <w:rPr>
          <w:rFonts w:ascii="Times New Roman" w:hAnsi="Times New Roman"/>
          <w:color w:val="000000"/>
          <w:sz w:val="20"/>
        </w:rPr>
        <w:t>of the Summary (the “</w:t>
      </w:r>
      <w:r>
        <w:rPr>
          <w:rFonts w:ascii="Times New Roman" w:hAnsi="Times New Roman"/>
          <w:b/>
          <w:color w:val="000000"/>
          <w:sz w:val="20"/>
        </w:rPr>
        <w:t>Brokers</w:t>
      </w:r>
      <w:r>
        <w:rPr>
          <w:color w:val="000000"/>
        </w:rPr>
        <w:t>”</w:t>
      </w:r>
      <w:r>
        <w:rPr>
          <w:rFonts w:ascii="Times New Roman" w:hAnsi="Times New Roman"/>
          <w:color w:val="000000"/>
          <w:sz w:val="20"/>
        </w:rPr>
        <w:t xml:space="preserve">), and that they know of no other real estate broker or agent who is entitled to a commission in connection with this Lease.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other than the Brokers, occurring by, through, or under the indemnifying party. The terms of this </w:t>
      </w:r>
      <w:r>
        <w:rPr>
          <w:rFonts w:ascii="Times New Roman" w:hAnsi="Times New Roman"/>
          <w:color w:val="000000"/>
          <w:sz w:val="20"/>
          <w:u w:val="single"/>
        </w:rPr>
        <w:t>Section 29.24</w:t>
      </w:r>
      <w:r>
        <w:rPr>
          <w:color w:val="000000"/>
        </w:rPr>
        <w:t xml:space="preserve"> </w:t>
      </w:r>
      <w:r>
        <w:rPr>
          <w:rFonts w:ascii="Times New Roman" w:hAnsi="Times New Roman"/>
          <w:color w:val="000000"/>
          <w:sz w:val="20"/>
        </w:rPr>
        <w:t>shall survive the expiration or earlier termination of the Lease Term. Landlord shall pay the Brokers pursuant to the terms of separate commission agreements.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29.25</w:t>
      </w:r>
    </w:p>
    <w:p>
      <w:pPr>
        <w:pStyle w:val="TextBody"/>
        <w:bidi w:val="0"/>
        <w:spacing w:before="0" w:after="240"/>
        <w:jc w:val="left"/>
        <w:rPr/>
      </w:pPr>
      <w:r>
        <w:rPr>
          <w:rFonts w:ascii="Times New Roman" w:hAnsi="Times New Roman"/>
          <w:b/>
          <w:color w:val="000000"/>
          <w:sz w:val="20"/>
          <w:u w:val="single"/>
        </w:rPr>
        <w:t>Independent Covenants</w:t>
      </w:r>
      <w:r>
        <w:rPr>
          <w:rFonts w:ascii="Times New Roman" w:hAnsi="Times New Roman"/>
          <w:color w:val="000000"/>
          <w:sz w:val="20"/>
        </w:rPr>
        <w:t>. This Lease shall be construed as though the covenants herein between Landlord and Tenant are independent and not dependent and Tenant hereby expressly waives the benefit of any statute to the contrary and agrees that if Landlord fails to perform its obligations set forth herein, Tenant shall not be entitled to make any repairs or perform any acts hereunder at Landlord’s expense or to any setoff of the Rent or other amounts owing hereunder against Landlord.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29.26</w:t>
      </w:r>
    </w:p>
    <w:p>
      <w:pPr>
        <w:pStyle w:val="TextBody"/>
        <w:bidi w:val="0"/>
        <w:spacing w:before="0" w:after="240"/>
        <w:jc w:val="left"/>
        <w:rPr/>
      </w:pPr>
      <w:r>
        <w:rPr>
          <w:rFonts w:ascii="Times New Roman" w:hAnsi="Times New Roman"/>
          <w:b/>
          <w:color w:val="000000"/>
          <w:sz w:val="20"/>
          <w:u w:val="single"/>
        </w:rPr>
        <w:t>Project or Building Name, Address and Signage</w:t>
      </w:r>
      <w:r>
        <w:rPr>
          <w:rFonts w:ascii="Times New Roman" w:hAnsi="Times New Roman"/>
          <w:color w:val="000000"/>
          <w:sz w:val="20"/>
        </w:rPr>
        <w:t xml:space="preserve">. Landlord shall have the right, subject to the remaining terms of this Lease (including, without limitation, </w:t>
      </w:r>
      <w:r>
        <w:rPr>
          <w:rFonts w:ascii="Times New Roman" w:hAnsi="Times New Roman"/>
          <w:color w:val="000000"/>
          <w:sz w:val="20"/>
          <w:u w:val="single"/>
        </w:rPr>
        <w:t>Article 23</w:t>
      </w:r>
      <w:r>
        <w:rPr>
          <w:color w:val="000000"/>
        </w:rPr>
        <w:t xml:space="preserve"> </w:t>
      </w:r>
      <w:r>
        <w:rPr>
          <w:rFonts w:ascii="Times New Roman" w:hAnsi="Times New Roman"/>
          <w:color w:val="000000"/>
          <w:sz w:val="20"/>
        </w:rPr>
        <w:t>above), at any time to change the name and/or address of the Project or Building and to install, affix and maintain any and all signs on the exterior and on the interior of the Project (other than the interior of the Premises) as Landlord may, in Landlord’s sole discretion, desire. Tenant shall not use the name of the Project or Building or use pictures or illustrations of the Project or Building in advertising or other publicity or for any purpose other than as the address of the business to be conducted by Tenant in the Premises, without the prior written consent of Landlord, which shall not be unreasonably withheld, conditioned or delayed; provided, however, if Landlord approves of a picture or illustration of the Project or Building (which approval shall not be unreasonably withheld, conditioned or delayed), Tenant may use the same picture or illustration in other advertisements or other publicity provided such advertisements or other publicity does not identify or reference Landlord or any Landlord Party in any manner.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29.27</w:t>
      </w:r>
    </w:p>
    <w:p>
      <w:pPr>
        <w:pStyle w:val="TextBody"/>
        <w:bidi w:val="0"/>
        <w:spacing w:before="0" w:after="240"/>
        <w:jc w:val="left"/>
        <w:rPr/>
      </w:pPr>
      <w:r>
        <w:rPr>
          <w:rFonts w:ascii="Times New Roman" w:hAnsi="Times New Roman"/>
          <w:b/>
          <w:color w:val="000000"/>
          <w:sz w:val="20"/>
          <w:u w:val="single"/>
        </w:rPr>
        <w:t>Counterparts</w:t>
      </w:r>
      <w:r>
        <w:rPr>
          <w:rFonts w:ascii="Times New Roman" w:hAnsi="Times New Roman"/>
          <w:color w:val="000000"/>
          <w:sz w:val="20"/>
        </w:rPr>
        <w:t>. This Lease may be executed in counterparts with the same effect as if both parties hereto had executed the same document. Both counterparts shall be construed together and shall constitute a single lease.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29.28</w:t>
      </w:r>
    </w:p>
    <w:p>
      <w:pPr>
        <w:pStyle w:val="TextBody"/>
        <w:bidi w:val="0"/>
        <w:spacing w:before="0" w:after="240"/>
        <w:jc w:val="left"/>
        <w:rPr/>
      </w:pPr>
      <w:r>
        <w:rPr>
          <w:rFonts w:ascii="Times New Roman" w:hAnsi="Times New Roman"/>
          <w:b/>
          <w:color w:val="000000"/>
          <w:sz w:val="20"/>
        </w:rPr>
        <w:t>Confidentiality</w:t>
      </w:r>
      <w:r>
        <w:rPr>
          <w:rFonts w:ascii="Times New Roman" w:hAnsi="Times New Roman"/>
          <w:color w:val="000000"/>
          <w:sz w:val="20"/>
        </w:rPr>
        <w:t>. Landlord and Tenant acknowledge that the content of this Lease and any related documents are confidential information. Landlord and Tenant shall keep such confidential information strictly confidential and shall not disclose such confidential information to any person or entity other than Landlord’s and Tenant’s respective financial, legal, and space planning consultants. Notwithstanding the foregoing, Landlord or Tenant may disclose the terms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- 62 -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of this Lease and any of the other matters described in this Section as follows without violating the confidentiality provision contained in this Section: (i) such disclosures to existing or prospective lenders, purchasers, title companies, appraisers, and other third persons as may reasonably be necessary in order to conduct its business relating to the Project in a commercially reasonable manner; (ii) privileged communications including communications with counsel, accountants, and advisors; (iii) such disclosures as may be necessary or required by any governmental or regulatory authorities; (iv) such disclosures as may be required by law or by subpoena or any other similar court order or discovery request in any civil or criminal; (v) such disclosures as may be reasonably required to enforce the terms of this Lease or any rights and remedies under this Lease; (vi) such disclosures as are necessary in connection with any Transfers or any Permitted Transfers, and (vii) to the extent that disclosure is mandated by applicable law, the Securities Exchange Commission or the rules of any stock exchange upon which Landlord’s or Tenant’s (or Landlord or Tenant’s parent’s) shares are from time to time traded.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29.29</w:t>
      </w:r>
    </w:p>
    <w:p>
      <w:pPr>
        <w:pStyle w:val="TextBody"/>
        <w:bidi w:val="0"/>
        <w:spacing w:before="0" w:after="240"/>
        <w:jc w:val="left"/>
        <w:rPr/>
      </w:pPr>
      <w:r>
        <w:rPr>
          <w:rFonts w:ascii="Times New Roman" w:hAnsi="Times New Roman"/>
          <w:b/>
          <w:color w:val="000000"/>
          <w:sz w:val="20"/>
          <w:u w:val="single"/>
        </w:rPr>
        <w:t>Development of the Project</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29.29.1</w:t>
      </w:r>
    </w:p>
    <w:p>
      <w:pPr>
        <w:pStyle w:val="TextBody"/>
        <w:bidi w:val="0"/>
        <w:spacing w:before="0" w:after="240"/>
        <w:jc w:val="left"/>
        <w:rPr/>
      </w:pPr>
      <w:r>
        <w:rPr>
          <w:rFonts w:ascii="Times New Roman" w:hAnsi="Times New Roman"/>
          <w:b/>
          <w:color w:val="000000"/>
          <w:sz w:val="20"/>
          <w:u w:val="single"/>
        </w:rPr>
        <w:t>Subdivision</w:t>
      </w:r>
      <w:r>
        <w:rPr>
          <w:rFonts w:ascii="Times New Roman" w:hAnsi="Times New Roman"/>
          <w:color w:val="000000"/>
          <w:sz w:val="20"/>
        </w:rPr>
        <w:t>. Landlord reserves the right to subdivide all or a portion of the buildings and Common Areas, provided that no such subdivision shall limit or adversely affect in any material or unreasonable manner any rights of Tenant hereunder and all provisions of this Lease with respect to percentages of parking or space shall be calculated as if the Project had not been subdivided. Tenant agrees to execute and deliver, upon demand by Landlord and in the form requested by Landlord, any additional documents needed to conform this Lease to the circumstances resulting from a subdivision and any all maps in connection therewith. Notwithstanding anything to the contrary set forth in this Lease, the separate ownership of any buildings and/or Common Areas by an entity other than Landlord shall not affect the calculation of Direct Expenses or Tenant’s payment of Tenant’s Share of Direct Expenses.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29.29.2</w:t>
      </w:r>
    </w:p>
    <w:p>
      <w:pPr>
        <w:pStyle w:val="TextBody"/>
        <w:bidi w:val="0"/>
        <w:spacing w:before="0" w:after="240"/>
        <w:jc w:val="left"/>
        <w:rPr/>
      </w:pPr>
      <w:r>
        <w:rPr>
          <w:rFonts w:ascii="Times New Roman" w:hAnsi="Times New Roman"/>
          <w:b/>
          <w:color w:val="000000"/>
          <w:sz w:val="20"/>
          <w:u w:val="single"/>
        </w:rPr>
        <w:t>Construction of Property and Other Improvements</w:t>
      </w:r>
      <w:r>
        <w:rPr>
          <w:rFonts w:ascii="Times New Roman" w:hAnsi="Times New Roman"/>
          <w:color w:val="000000"/>
          <w:sz w:val="20"/>
        </w:rPr>
        <w:t xml:space="preserve">. Tenant acknowledges that portions of the Project may be under construction following Tenant’s occupancy of the Premises, and that such construction may result in levels of noise, dust, obstruction of access, etc. which are in excess of that present in a fully constructed project, provided that any such noise, dust or obstruction shall not unreasonably interfere with Tenant’s use of the Premises for the Permitted Use, access to or from the Premises or Tenant’s parking rights hereunder (except to the extent that Landlord provides Tenant with Reasonable Alternate Parking) or Tenant’s signage rights under </w:t>
      </w:r>
      <w:r>
        <w:rPr>
          <w:rFonts w:ascii="Times New Roman" w:hAnsi="Times New Roman"/>
          <w:color w:val="000000"/>
          <w:sz w:val="20"/>
          <w:u w:val="single"/>
        </w:rPr>
        <w:t>Article 23</w:t>
      </w:r>
      <w:r>
        <w:rPr>
          <w:color w:val="000000"/>
        </w:rPr>
        <w:t xml:space="preserve"> </w:t>
      </w:r>
      <w:r>
        <w:rPr>
          <w:rFonts w:ascii="Times New Roman" w:hAnsi="Times New Roman"/>
          <w:color w:val="000000"/>
          <w:sz w:val="20"/>
        </w:rPr>
        <w:t xml:space="preserve">above. Tenant hereby waives any and all rent offsets or claims of constructive eviction which may arise in connection with such demolition or construction to the extent consistent with the preceding proviso (except as otherwise expressly set forth in </w:t>
      </w:r>
      <w:r>
        <w:rPr>
          <w:rFonts w:ascii="Times New Roman" w:hAnsi="Times New Roman"/>
          <w:color w:val="000000"/>
          <w:sz w:val="20"/>
          <w:u w:val="single"/>
        </w:rPr>
        <w:t>Section 19.5.2</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29.30</w:t>
      </w:r>
    </w:p>
    <w:p>
      <w:pPr>
        <w:pStyle w:val="TextBody"/>
        <w:bidi w:val="0"/>
        <w:spacing w:before="0" w:after="240"/>
        <w:jc w:val="left"/>
        <w:rPr/>
      </w:pPr>
      <w:r>
        <w:rPr>
          <w:rFonts w:ascii="Times New Roman" w:hAnsi="Times New Roman"/>
          <w:b/>
          <w:color w:val="000000"/>
          <w:sz w:val="20"/>
          <w:u w:val="single"/>
        </w:rPr>
        <w:t>No Violation</w:t>
      </w:r>
      <w:r>
        <w:rPr>
          <w:rFonts w:ascii="Times New Roman" w:hAnsi="Times New Roman"/>
          <w:color w:val="000000"/>
          <w:sz w:val="20"/>
        </w:rPr>
        <w:t>. Tenant hereby warrants and represents that neither its execution of nor performance under this Lease shall cause Tenant to be in violation of any agreement, instrument, contract, law, rule or regulation by which Tenant is bound, and Tenant shall protect, defend, indemnify and hold Landlord harmless against any claims, demands, losses, damages, liabilities, costs and expenses, including, without limitation, reasonable attorneys’ fees and costs, arising from Tenant’s breach of this warranty and representation.</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- 63 -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29.31</w:t>
      </w:r>
    </w:p>
    <w:p>
      <w:pPr>
        <w:pStyle w:val="TextBody"/>
        <w:bidi w:val="0"/>
        <w:spacing w:before="0" w:after="240"/>
        <w:jc w:val="left"/>
        <w:rPr/>
      </w:pPr>
      <w:r>
        <w:rPr>
          <w:rFonts w:ascii="Times New Roman" w:hAnsi="Times New Roman"/>
          <w:b/>
          <w:color w:val="000000"/>
          <w:sz w:val="20"/>
          <w:u w:val="single"/>
        </w:rPr>
        <w:t>Transportation Management</w:t>
      </w:r>
      <w:r>
        <w:rPr>
          <w:rFonts w:ascii="Times New Roman" w:hAnsi="Times New Roman"/>
          <w:color w:val="000000"/>
          <w:sz w:val="20"/>
        </w:rPr>
        <w:t>. If and to the extent require by Applicable Laws, Tenant shall fully comply with all present or future programs intended to manage parking, transportation or traffic in and around the Project and/or the Building, and in connection therewith, Tenant shall take responsible action for the transportation planning and management of all employees located at the Premises by working directly with Landlord, any governmental transportation management organization or any other transportation-related committees or entities. Such programs may include, without limitation: (i) restrictions on the number of peak-hour vehicle trips generated by Tenant; (ii) increased vehicle occupancy; (iii) implementation of an in-house ridesharing program and an employee transportation coordinator; (iv) working with employees and any Project, Building or area-wide ridesharing program manager; (v) instituting employer-sponsored incentives (financial or in-kind) to encourage employees to rideshare; and (vi) utilizing flexible work shifts for employees.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29.32</w:t>
      </w:r>
    </w:p>
    <w:p>
      <w:pPr>
        <w:pStyle w:val="TextBody"/>
        <w:bidi w:val="0"/>
        <w:spacing w:before="0" w:after="240"/>
        <w:jc w:val="left"/>
        <w:rPr/>
      </w:pPr>
      <w:r>
        <w:rPr>
          <w:rFonts w:ascii="Times New Roman" w:hAnsi="Times New Roman"/>
          <w:b/>
          <w:color w:val="000000"/>
          <w:sz w:val="20"/>
          <w:u w:val="single"/>
        </w:rPr>
        <w:t>Rooftop Rights</w:t>
      </w:r>
      <w:r>
        <w:rPr>
          <w:rFonts w:ascii="Times New Roman" w:hAnsi="Times New Roman"/>
          <w:color w:val="000000"/>
          <w:sz w:val="20"/>
        </w:rPr>
        <w:t xml:space="preserve">. Subject to, (i) reasonable construction rules and regulations promulgated by Landlord (Landlord shall deliver a written copy of same to Tenant, as well as written notice of any future modifications thereto), (ii) the Building standards therefor, and (iii) the terms and conditions set forth in </w:t>
      </w:r>
      <w:r>
        <w:rPr>
          <w:rFonts w:ascii="Times New Roman" w:hAnsi="Times New Roman"/>
          <w:color w:val="000000"/>
          <w:sz w:val="20"/>
          <w:u w:val="single"/>
        </w:rPr>
        <w:t>Article 8</w:t>
      </w:r>
      <w:r>
        <w:rPr>
          <w:color w:val="000000"/>
        </w:rPr>
        <w:t xml:space="preserve"> </w:t>
      </w:r>
      <w:r>
        <w:rPr>
          <w:rFonts w:ascii="Times New Roman" w:hAnsi="Times New Roman"/>
          <w:color w:val="000000"/>
          <w:sz w:val="20"/>
        </w:rPr>
        <w:t xml:space="preserve">of this Lease and this </w:t>
      </w:r>
      <w:r>
        <w:rPr>
          <w:rFonts w:ascii="Times New Roman" w:hAnsi="Times New Roman"/>
          <w:color w:val="000000"/>
          <w:sz w:val="20"/>
          <w:u w:val="single"/>
        </w:rPr>
        <w:t>Section 29.32</w:t>
      </w:r>
      <w:r>
        <w:rPr>
          <w:rFonts w:ascii="Times New Roman" w:hAnsi="Times New Roman"/>
          <w:color w:val="000000"/>
          <w:sz w:val="20"/>
        </w:rPr>
        <w:t>, Tenant may install, repair, maintain and use, at Tenant’s sole cost and expense, but without the payment of any Base Rent, Additional Rent (except for electricity and other utility costs) or similar fee or charge, one (1) satellite dish or antenna, with the antenna not to exceed one (1) meter in diameter, on the roof of the Building for the sending and receiving of signals or broadcasts (provided that there shall be no generation or transmission of commercial signals or broadcasts) servicing the business conducted by Tenant from within the Premises (such satellite dishes are collectively defined as the “</w:t>
      </w:r>
      <w:r>
        <w:rPr>
          <w:rFonts w:ascii="Times New Roman" w:hAnsi="Times New Roman"/>
          <w:b/>
          <w:color w:val="000000"/>
          <w:sz w:val="20"/>
        </w:rPr>
        <w:t>Rooftop Equipment</w:t>
      </w:r>
      <w:r>
        <w:rPr>
          <w:color w:val="000000"/>
        </w:rPr>
        <w:t>”</w:t>
      </w:r>
      <w:r>
        <w:rPr>
          <w:rFonts w:ascii="Times New Roman" w:hAnsi="Times New Roman"/>
          <w:color w:val="000000"/>
          <w:sz w:val="20"/>
        </w:rPr>
        <w:t xml:space="preserve">). Tenant shall be solely responsible for any and all costs incurred or arising in connection with the Rooftop Equipment, including, but not limited to, costs of electricity and insurance related to the Rooftop Equipment. Landlord makes no representations or warranties whatsoever with respect to the condition of the roof of the Building, or the fitness or suitability of the roof of the Building for the installation, maintenance and operation of the Rooftop Equipment, including, without limitation, with respect to the quality and clarity of any receptions and transmissions to or from the Rooftop Equipment and the presence of any interference with such signals whether emanating from the Building or otherwise. The physical appearance and the size of the Rooftop Equipment shall be subject to Landlord’s reasonable approval, the location of any such Rooftop Equipment shall be mutually agreed upon by Landlord and Tenant, and Landlord may require Tenant to install screening around such Rooftop Equipment, at Tenant’s sole cost and expense, as reasonably designated by Landlord. Tenant shall service, maintain and repair such Rooftop Equipment, at Tenant’s sole cost and expense. In the event Tenant elects to exercise its right to install the Rooftop Equipment, then Tenant shall give Landlord prior notice thereof. Tenant shall reimburse to Landlord the actual and documented out-of-pocket costs reasonably incurred by Landlord in approving such Rooftop Equipment. Tenant’s rights under this </w:t>
      </w:r>
      <w:r>
        <w:rPr>
          <w:rFonts w:ascii="Times New Roman" w:hAnsi="Times New Roman"/>
          <w:color w:val="000000"/>
          <w:sz w:val="20"/>
          <w:u w:val="single"/>
        </w:rPr>
        <w:t>Section 29.32</w:t>
      </w:r>
      <w:r>
        <w:rPr>
          <w:color w:val="000000"/>
        </w:rPr>
        <w:t xml:space="preserve"> </w:t>
      </w:r>
      <w:r>
        <w:rPr>
          <w:rFonts w:ascii="Times New Roman" w:hAnsi="Times New Roman"/>
          <w:color w:val="000000"/>
          <w:sz w:val="20"/>
        </w:rPr>
        <w:t>shall terminate and shall be of no further force or effect upon the expiration or earlier termination of this Lease, or, in the event Tenant (or a Permitted Transferee ) no longer occupies the Premises. Prior to the expiration or earlier termination of this Lease, Tenant shall, as promptly as possible but in no event more than thirty (30) days thereafter, remove and restore the affected portion of the rooftop and the Building to the condition the rooftop and the Building would have been in had no such Rooftop Equipment been installed (reasonable wear and tear and damage from casualty excepted). Such Rooftop Equipment shall be installed pursuant to plans and specifications approved by Landlord (specifically including, without limitation, all mounting and waterproofing</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- 64 -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details), which approval will not be unreasonably withheld, conditioned, or delayed. Notwithstanding any such review or approval by Landlord, Tenant shall remain solely liable for any damage arising in connection with Tenant’s installation, use, maintenance and/or repair of such Rooftop Equipment, including, without limitation, any damage to a portion of the roof or roof membrane and any penetrations to the roof. Landlord and Tenant hereby acknowledge and agree that Landlord shall have no liability in connection with Tenant’s use, maintenance and/or repair of such Rooftop Equipment. Tenant shall be responsible, at Tenant’s sole cost and expense, for (i) obtaining all permits or other governmental approvals required in connection with the Rooftop Equipment, and (ii) installing, repairing and maintaining and causing the Rooftop Equipment to comply with all Applicable Laws. Tenant shall not be entitled to license its Rooftop Equipment to any third party, nor shall Tenant be permitted to receive any revenues, fees or any other consideration for the use of such Rooftop Equipment by a third party. Tenant’s right to install such Rooftop Equipment shall be non-exclusive, and Tenant hereby expressly acknowledges Landlord’s continued right (A) to itself, or any other tenant of the Building, utilize any portion of the rooftop of the Building, and (B) to re-sell, license or lease any rooftop space to an unaffiliated third party; provided, however, such Landlord (or third-party) use shall not materially interfere with (or preclude the installation of) Tenant’s Rooftop Equipment. Notwithstanding any provision to the contrary contained in this </w:t>
      </w:r>
      <w:r>
        <w:rPr>
          <w:rFonts w:ascii="Times New Roman" w:hAnsi="Times New Roman"/>
          <w:color w:val="000000"/>
          <w:sz w:val="20"/>
          <w:u w:val="single"/>
        </w:rPr>
        <w:t>Section 29.38</w:t>
      </w:r>
      <w:r>
        <w:rPr>
          <w:rFonts w:ascii="Times New Roman" w:hAnsi="Times New Roman"/>
          <w:color w:val="000000"/>
          <w:sz w:val="20"/>
        </w:rPr>
        <w:t xml:space="preserve">, in no event shall Tenant access the roof of the Building without first notifying Landlord of Tenant’s intention to do so (except in the case of an emergency). The rights contained in this </w:t>
      </w:r>
      <w:r>
        <w:rPr>
          <w:rFonts w:ascii="Times New Roman" w:hAnsi="Times New Roman"/>
          <w:color w:val="000000"/>
          <w:sz w:val="20"/>
          <w:u w:val="single"/>
        </w:rPr>
        <w:t>Section 29.38</w:t>
      </w:r>
      <w:r>
        <w:rPr>
          <w:rFonts w:ascii="Times New Roman" w:hAnsi="Times New Roman"/>
          <w:color w:val="000000"/>
          <w:sz w:val="20"/>
        </w:rPr>
        <w:t xml:space="preserve"> shall be personal to the Original Tenant and any Permitted Transferee Assignee, and may only be exercised by the Original Tenant or any Permitted Transferee Assignee (and not by any other assignee, sublessee or other transferee of Tenant’s interest in this Lease).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29.33</w:t>
      </w:r>
    </w:p>
    <w:p>
      <w:pPr>
        <w:pStyle w:val="TextBody"/>
        <w:bidi w:val="0"/>
        <w:spacing w:before="0" w:after="240"/>
        <w:jc w:val="left"/>
        <w:rPr/>
      </w:pPr>
      <w:r>
        <w:rPr>
          <w:rFonts w:ascii="Times New Roman" w:hAnsi="Times New Roman"/>
          <w:b/>
          <w:color w:val="000000"/>
          <w:sz w:val="20"/>
          <w:u w:val="single"/>
        </w:rPr>
        <w:t>Tenant’s Dog</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29.33.1</w:t>
      </w:r>
    </w:p>
    <w:p>
      <w:pPr>
        <w:pStyle w:val="TextBody"/>
        <w:bidi w:val="0"/>
        <w:spacing w:before="0" w:after="240"/>
        <w:jc w:val="left"/>
        <w:rPr/>
      </w:pPr>
      <w:r>
        <w:rPr>
          <w:rFonts w:ascii="Times New Roman" w:hAnsi="Times New Roman"/>
          <w:b/>
          <w:color w:val="000000"/>
          <w:sz w:val="20"/>
          <w:u w:val="single"/>
        </w:rPr>
        <w:t>In General</w:t>
      </w:r>
      <w:r>
        <w:rPr>
          <w:rFonts w:ascii="Times New Roman" w:hAnsi="Times New Roman"/>
          <w:color w:val="000000"/>
          <w:sz w:val="20"/>
        </w:rPr>
        <w:t xml:space="preserve">. Subject to the provisions of this </w:t>
      </w:r>
      <w:r>
        <w:rPr>
          <w:rFonts w:ascii="Times New Roman" w:hAnsi="Times New Roman"/>
          <w:color w:val="000000"/>
          <w:sz w:val="20"/>
          <w:u w:val="single"/>
        </w:rPr>
        <w:t>Section 29.33</w:t>
      </w:r>
      <w:r>
        <w:rPr>
          <w:rFonts w:ascii="Times New Roman" w:hAnsi="Times New Roman"/>
          <w:color w:val="000000"/>
          <w:sz w:val="20"/>
        </w:rPr>
        <w:t>, Tenant shall be permitted to bring one (1) dog into the Premises, which dog is owned by an officer of Tenant (“</w:t>
      </w:r>
      <w:r>
        <w:rPr>
          <w:rFonts w:ascii="Times New Roman" w:hAnsi="Times New Roman"/>
          <w:b/>
          <w:color w:val="000000"/>
          <w:sz w:val="20"/>
        </w:rPr>
        <w:t>Tenant’s Dog</w:t>
      </w:r>
      <w:r>
        <w:rPr>
          <w:color w:val="000000"/>
        </w:rPr>
        <w:t>”</w:t>
      </w:r>
      <w:r>
        <w:rPr>
          <w:rFonts w:ascii="Times New Roman" w:hAnsi="Times New Roman"/>
          <w:color w:val="000000"/>
          <w:sz w:val="20"/>
        </w:rPr>
        <w:t>); provided that in no event shall Tenant’s Dog be a Pit Bull Terrier, Rottweiler, Boxer, Chow Chow, Presa Canario, German Shepherd, Alaskan Malamute, Husky and Doberman Pinscher, or a mixture thereof. Tenant’s Dog shall be non-aggressive, fully domesticated and fully-vaccinated. Tenant’s Dog must be on a leash while in any area of the Project outside of the Premises. Within three (3) business days following Tenant’s receipt of Landlord’s request, Tenant shall provide Landlord with reasonable satisfactory evidence showing that all current vaccinations have been received by Tenant’s Dog Tenant’s Dog shall not be brought to the Project if it is ill or contracts a disease that could potentially threaten the health or wellbeing of any tenant or occupant of the Building (which diseases may include, but shall not be limited to, rabies, leptospirosis and Lyme disease). While in the Building, Tenant’s Dog must be taken directly to/from the Premises. Tenant shall not permit any objectionable dog related odors to emanate from the Premises, and in no event shall Tenant’s Dog be at the Project overnight. All bodily waste generated by Tenant’s Dog in or about the Project shall be promptly removed and disposed of in trash receptacles designated by Landlord, and any areas of the Project affected by such waste shall be cleaned and otherwise sanitized. Tenant’s Dog shall not be permitted to enter the Project if it has previously exhibited dangerously aggressive behavior.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29.33.2</w:t>
      </w:r>
    </w:p>
    <w:p>
      <w:pPr>
        <w:pStyle w:val="TextBody"/>
        <w:bidi w:val="0"/>
        <w:spacing w:before="0" w:after="240"/>
        <w:jc w:val="left"/>
        <w:rPr/>
      </w:pPr>
      <w:r>
        <w:rPr>
          <w:rFonts w:ascii="Times New Roman" w:hAnsi="Times New Roman"/>
          <w:b/>
          <w:color w:val="000000"/>
          <w:sz w:val="20"/>
          <w:u w:val="single"/>
        </w:rPr>
        <w:t>Costs and Expenses</w:t>
      </w:r>
      <w:r>
        <w:rPr>
          <w:rFonts w:ascii="Times New Roman" w:hAnsi="Times New Roman"/>
          <w:color w:val="000000"/>
          <w:sz w:val="20"/>
        </w:rPr>
        <w:t>. Tenant shall pay to Landlord, within ten (10) business days after demand, all costs incurred by Landlord in connection with Tenant’s Dog</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- 65 -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presence in the Building, Premises or Project, including, but not limited to, janitorial, waste disposal, landscaping, signage, repair, and legal costs and expenses. In the event Landlord receives any verbal or written complaints from any other tenant or occupant of the Project in connection with health-related issues (e.g., allergies) related to the presence of the Tenant’s Dog in the Premises, the Building or the Project, Landlord and Tenant shall promptly meet and mutually confer, in good faith, to determine appropriate mitigation measures to eliminate the causes of such complaints (which mitigation measures may include, without limitation, additional and/or different air filters to be installed in the Premises heating, air conditioning and ventilation system, or elsewhere in the Building), and Tenant shall cause such measures to be taken promptly at its sole cost or expense.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29.33.3</w:t>
      </w:r>
    </w:p>
    <w:p>
      <w:pPr>
        <w:pStyle w:val="TextBody"/>
        <w:bidi w:val="0"/>
        <w:spacing w:before="0" w:after="240"/>
        <w:jc w:val="left"/>
        <w:rPr/>
      </w:pPr>
      <w:r>
        <w:rPr>
          <w:rFonts w:ascii="Times New Roman" w:hAnsi="Times New Roman"/>
          <w:b/>
          <w:color w:val="000000"/>
          <w:sz w:val="20"/>
          <w:u w:val="single"/>
        </w:rPr>
        <w:t>Indemnity</w:t>
      </w:r>
      <w:r>
        <w:rPr>
          <w:rFonts w:ascii="Times New Roman" w:hAnsi="Times New Roman"/>
          <w:color w:val="000000"/>
          <w:sz w:val="20"/>
        </w:rPr>
        <w:t xml:space="preserve">. Tenant’s indemnification obligations under </w:t>
      </w:r>
      <w:r>
        <w:rPr>
          <w:rFonts w:ascii="Times New Roman" w:hAnsi="Times New Roman"/>
          <w:color w:val="000000"/>
          <w:sz w:val="20"/>
          <w:u w:val="single"/>
        </w:rPr>
        <w:t>Article 10</w:t>
      </w:r>
      <w:r>
        <w:rPr>
          <w:color w:val="000000"/>
        </w:rPr>
        <w:t xml:space="preserve"> </w:t>
      </w:r>
      <w:r>
        <w:rPr>
          <w:rFonts w:ascii="Times New Roman" w:hAnsi="Times New Roman"/>
          <w:color w:val="000000"/>
          <w:sz w:val="20"/>
        </w:rPr>
        <w:t xml:space="preserve">of this Lease shall apply to any claims relating to Tenant’s Dog (including, without limitation, bodily injury to persons in the Premises or Building or on the Project or property damage to the property of Landlord or any other tenant, subtenant, occupant, licensee or invitee of the Building or Project). Further, Tenant shall provide Landlord with evidence reasonably satisfactory to Landlord that Tenant’s insurance provided pursuant to </w:t>
      </w:r>
      <w:r>
        <w:rPr>
          <w:rFonts w:ascii="Times New Roman" w:hAnsi="Times New Roman"/>
          <w:color w:val="000000"/>
          <w:sz w:val="20"/>
          <w:u w:val="single"/>
        </w:rPr>
        <w:t>Article 10</w:t>
      </w:r>
      <w:r>
        <w:rPr>
          <w:color w:val="000000"/>
        </w:rPr>
        <w:t xml:space="preserve"> </w:t>
      </w:r>
      <w:r>
        <w:rPr>
          <w:rFonts w:ascii="Times New Roman" w:hAnsi="Times New Roman"/>
          <w:color w:val="000000"/>
          <w:sz w:val="20"/>
        </w:rPr>
        <w:t>of this Lease covers dog-related injuries and damage.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29.33.4</w:t>
      </w:r>
    </w:p>
    <w:p>
      <w:pPr>
        <w:pStyle w:val="TextBody"/>
        <w:bidi w:val="0"/>
        <w:spacing w:before="0" w:after="240"/>
        <w:jc w:val="left"/>
        <w:rPr/>
      </w:pPr>
      <w:r>
        <w:rPr>
          <w:rFonts w:ascii="Times New Roman" w:hAnsi="Times New Roman"/>
          <w:b/>
          <w:color w:val="000000"/>
          <w:sz w:val="20"/>
          <w:u w:val="single"/>
        </w:rPr>
        <w:t>Rights Personal to Original Tenant</w:t>
      </w:r>
      <w:r>
        <w:rPr>
          <w:rFonts w:ascii="Times New Roman" w:hAnsi="Times New Roman"/>
          <w:color w:val="000000"/>
          <w:sz w:val="20"/>
        </w:rPr>
        <w:t xml:space="preserve">. The right to bring Tenant’s Dog into the Premises pursuant to this </w:t>
      </w:r>
      <w:r>
        <w:rPr>
          <w:rFonts w:ascii="Times New Roman" w:hAnsi="Times New Roman"/>
          <w:color w:val="000000"/>
          <w:sz w:val="20"/>
          <w:u w:val="single"/>
        </w:rPr>
        <w:t>Section 29.33</w:t>
      </w:r>
      <w:r>
        <w:rPr>
          <w:color w:val="000000"/>
        </w:rPr>
        <w:t xml:space="preserve"> </w:t>
      </w:r>
      <w:r>
        <w:rPr>
          <w:rFonts w:ascii="Times New Roman" w:hAnsi="Times New Roman"/>
          <w:color w:val="000000"/>
          <w:sz w:val="20"/>
        </w:rPr>
        <w:t>is personal to the Original Tenant and its Permitted Transferee Assignee. If Tenant assigns the Lease or sublets all or any portion of the Premises, then, as to the entire Premises, upon such assignment, or, as to the portion of the Premises sublet, upon such subletting and until the expiration of such sublease, the right to bring Tenant’s Dog into such portion the Premises shall simultaneously terminate and be of no further force or effect.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[END OF DOCUMENT; SIGNATURES CONTAINED ON FOLLOWING PAGE]</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- 66 -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WITNESS WHEREOF, Landlord and Tenant have caused this Lease to be executed the day and date first above written.</w:t>
      </w:r>
    </w:p>
    <w:tbl>
      <w:tblPr>
        <w:tblW w:w="6302" w:type="dxa"/>
        <w:jc w:val="left"/>
        <w:tblInd w:w="0" w:type="dxa"/>
        <w:tblLayout w:type="fixed"/>
        <w:tblCellMar>
          <w:top w:w="28" w:type="dxa"/>
          <w:left w:w="28" w:type="dxa"/>
          <w:bottom w:w="28" w:type="dxa"/>
          <w:right w:w="28" w:type="dxa"/>
        </w:tblCellMar>
      </w:tblPr>
      <w:tblGrid>
        <w:gridCol w:w="3136"/>
        <w:gridCol w:w="3166"/>
      </w:tblGrid>
      <w:tr>
        <w:trPr/>
        <w:tc>
          <w:tcPr>
            <w:tcW w:w="3136"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r>
      <w:tr>
        <w:trPr/>
        <w:tc>
          <w:tcPr>
            <w:tcW w:w="313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20"/>
              </w:rPr>
            </w:pPr>
            <w:r>
              <w:rPr>
                <w:rFonts w:ascii="Times New Roman" w:hAnsi="Times New Roman"/>
                <w:color w:val="000000"/>
                <w:sz w:val="20"/>
                <w:u w:val="single"/>
              </w:rPr>
              <w:t>LANDLORD</w:t>
            </w:r>
            <w:r>
              <w:rPr>
                <w:rFonts w:ascii="Times New Roman" w:hAnsi="Times New Roman"/>
                <w:color w:val="000000"/>
                <w:sz w:val="20"/>
              </w:rPr>
              <w:t>:</w:t>
            </w:r>
          </w:p>
        </w:tc>
        <w:tc>
          <w:tcPr>
            <w:tcW w:w="316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20"/>
              </w:rPr>
            </w:pPr>
            <w:r>
              <w:rPr>
                <w:rFonts w:ascii="Times New Roman" w:hAnsi="Times New Roman"/>
                <w:color w:val="000000"/>
                <w:sz w:val="20"/>
                <w:u w:val="single"/>
              </w:rPr>
              <w:t>TENANT</w:t>
            </w:r>
            <w:r>
              <w:rPr>
                <w:rFonts w:ascii="Times New Roman" w:hAnsi="Times New Roman"/>
                <w:color w:val="000000"/>
                <w:sz w:val="20"/>
              </w:rPr>
              <w:t>:</w:t>
            </w:r>
          </w:p>
        </w:tc>
      </w:tr>
      <w:tr>
        <w:trPr/>
        <w:tc>
          <w:tcPr>
            <w:tcW w:w="313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 xml:space="preserve">HCP TORREY ANA, LLC, </w:t>
              <w:br/>
              <w:t>a Delaware limited liability company</w:t>
            </w:r>
          </w:p>
        </w:tc>
        <w:tc>
          <w:tcPr>
            <w:tcW w:w="316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 xml:space="preserve">BIOATLA, LLC </w:t>
              <w:br/>
              <w:t>a Delaware limited liability company</w:t>
            </w:r>
          </w:p>
        </w:tc>
      </w:tr>
      <w:tr>
        <w:trPr/>
        <w:tc>
          <w:tcPr>
            <w:tcW w:w="313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Jonathan M. Bergschneider</w:t>
            </w:r>
          </w:p>
        </w:tc>
        <w:tc>
          <w:tcPr>
            <w:tcW w:w="316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Jay M. Short</w:t>
            </w:r>
          </w:p>
        </w:tc>
      </w:tr>
      <w:tr>
        <w:trPr/>
        <w:tc>
          <w:tcPr>
            <w:tcW w:w="3136" w:type="dxa"/>
            <w:tcBorders/>
            <w:tcMar>
              <w:top w:w="0" w:type="dxa"/>
              <w:left w:w="0" w:type="dxa"/>
              <w:bottom w:w="0" w:type="dxa"/>
              <w:right w:w="0" w:type="dxa"/>
            </w:tcMar>
            <w:vAlign w:val="center"/>
          </w:tcPr>
          <w:p>
            <w:pPr>
              <w:pStyle w:val="TableContents"/>
              <w:pBdr>
                <w:bottom w:val="single" w:sz="4" w:space="1" w:color="000000"/>
              </w:pBdr>
              <w:bidi w:val="0"/>
              <w:jc w:val="left"/>
              <w:rPr>
                <w:rFonts w:ascii="Times New Roman" w:hAnsi="Times New Roman"/>
                <w:color w:val="000000"/>
                <w:sz w:val="20"/>
              </w:rPr>
            </w:pPr>
            <w:r>
              <w:rPr>
                <w:rFonts w:ascii="Times New Roman" w:hAnsi="Times New Roman"/>
                <w:color w:val="000000"/>
                <w:sz w:val="20"/>
              </w:rPr>
              <w:t>Jonathan M. Bergschneider</w:t>
            </w:r>
          </w:p>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Print Name</w:t>
            </w:r>
          </w:p>
        </w:tc>
        <w:tc>
          <w:tcPr>
            <w:tcW w:w="3166" w:type="dxa"/>
            <w:tcBorders/>
            <w:tcMar>
              <w:top w:w="0" w:type="dxa"/>
              <w:left w:w="0" w:type="dxa"/>
              <w:bottom w:w="0" w:type="dxa"/>
              <w:right w:w="0" w:type="dxa"/>
            </w:tcMar>
            <w:vAlign w:val="center"/>
          </w:tcPr>
          <w:p>
            <w:pPr>
              <w:pStyle w:val="TableContents"/>
              <w:pBdr>
                <w:bottom w:val="single" w:sz="4" w:space="1" w:color="000000"/>
              </w:pBdr>
              <w:bidi w:val="0"/>
              <w:jc w:val="left"/>
              <w:rPr>
                <w:rFonts w:ascii="Times New Roman" w:hAnsi="Times New Roman"/>
                <w:color w:val="000000"/>
                <w:sz w:val="20"/>
              </w:rPr>
            </w:pPr>
            <w:r>
              <w:rPr>
                <w:rFonts w:ascii="Times New Roman" w:hAnsi="Times New Roman"/>
                <w:color w:val="000000"/>
                <w:sz w:val="20"/>
              </w:rPr>
              <w:t>Jay M. Short</w:t>
            </w:r>
          </w:p>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Print Name</w:t>
            </w:r>
          </w:p>
        </w:tc>
      </w:tr>
      <w:tr>
        <w:trPr/>
        <w:tc>
          <w:tcPr>
            <w:tcW w:w="313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u w:val="single"/>
              </w:rPr>
            </w:pPr>
            <w:r>
              <w:rPr>
                <w:rFonts w:ascii="Times New Roman" w:hAnsi="Times New Roman"/>
                <w:color w:val="000000"/>
                <w:sz w:val="20"/>
                <w:u w:val="single"/>
              </w:rPr>
              <w:t>Its: Senior Managing Director</w:t>
            </w:r>
          </w:p>
        </w:tc>
        <w:tc>
          <w:tcPr>
            <w:tcW w:w="316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u w:val="single"/>
              </w:rPr>
            </w:pPr>
            <w:r>
              <w:rPr>
                <w:rFonts w:ascii="Times New Roman" w:hAnsi="Times New Roman"/>
                <w:color w:val="000000"/>
                <w:sz w:val="20"/>
                <w:u w:val="single"/>
              </w:rPr>
              <w:t>Its: Chairman, CEO and President</w:t>
            </w:r>
          </w:p>
          <w:p>
            <w:pPr>
              <w:pStyle w:val="TableContents"/>
              <w:bidi w:val="0"/>
              <w:spacing w:before="0" w:after="120"/>
              <w:jc w:val="left"/>
              <w:rPr>
                <w:rFonts w:ascii="Times New Roman" w:hAnsi="Times New Roman"/>
                <w:sz w:val="20"/>
              </w:rPr>
            </w:pPr>
            <w:r>
              <w:rPr>
                <w:rFonts w:ascii="Times New Roman" w:hAnsi="Times New Roman"/>
                <w:color w:val="000000"/>
                <w:sz w:val="20"/>
                <w:u w:val="single"/>
              </w:rPr>
              <w:t>By:</w:t>
            </w:r>
            <w:r>
              <w:rPr>
                <w:rFonts w:ascii="Times New Roman" w:hAnsi="Times New Roman"/>
                <w:color w:val="000000"/>
                <w:sz w:val="20"/>
              </w:rPr>
              <w:t xml:space="preserve"> </w:t>
            </w:r>
          </w:p>
          <w:p>
            <w:pPr>
              <w:pStyle w:val="TableContents"/>
              <w:pBdr>
                <w:bottom w:val="single" w:sz="4" w:space="1" w:color="000000"/>
              </w:pBdr>
              <w:bidi w:val="0"/>
              <w:jc w:val="left"/>
              <w:rPr/>
            </w:pPr>
            <w:r>
              <w:rPr/>
              <w:t> </w:t>
            </w:r>
          </w:p>
          <w:p>
            <w:pPr>
              <w:pStyle w:val="TableContents"/>
              <w:bidi w:val="0"/>
              <w:spacing w:before="0" w:after="120"/>
              <w:jc w:val="center"/>
              <w:rPr>
                <w:rFonts w:ascii="Times New Roman" w:hAnsi="Times New Roman"/>
                <w:color w:val="000000"/>
                <w:sz w:val="20"/>
                <w:u w:val="single"/>
              </w:rPr>
            </w:pPr>
            <w:r>
              <w:rPr>
                <w:rFonts w:ascii="Times New Roman" w:hAnsi="Times New Roman"/>
                <w:color w:val="000000"/>
                <w:sz w:val="20"/>
                <w:u w:val="single"/>
              </w:rPr>
              <w:t>Print Name</w:t>
            </w:r>
          </w:p>
        </w:tc>
      </w:tr>
    </w:tbl>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- 67 -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b/>
          <w:caps/>
          <w:color w:val="000000"/>
          <w:sz w:val="20"/>
          <w:u w:val="single"/>
        </w:rPr>
      </w:pPr>
      <w:r>
        <w:rPr>
          <w:rFonts w:ascii="Times New Roman" w:hAnsi="Times New Roman"/>
          <w:b/>
          <w:caps/>
          <w:color w:val="000000"/>
          <w:sz w:val="20"/>
          <w:u w:val="single"/>
        </w:rPr>
        <w:t>FIRST AMENDMENT TO</w:t>
        <w:br/>
        <w:t>11085 TORREYANA ROAD LEASE</w:t>
      </w:r>
    </w:p>
    <w:p>
      <w:pPr>
        <w:pStyle w:val="TextBody"/>
        <w:bidi w:val="0"/>
        <w:spacing w:before="0" w:after="240"/>
        <w:jc w:val="both"/>
        <w:rPr>
          <w:rFonts w:ascii="Times New Roman" w:hAnsi="Times New Roman"/>
          <w:sz w:val="20"/>
        </w:rPr>
      </w:pPr>
      <w:r>
        <w:rPr>
          <w:rFonts w:ascii="Times New Roman" w:hAnsi="Times New Roman"/>
          <w:color w:val="000000"/>
          <w:sz w:val="20"/>
        </w:rPr>
        <w:t>This First Amendment to Lease (this “</w:t>
      </w:r>
      <w:r>
        <w:rPr>
          <w:rFonts w:ascii="Times New Roman" w:hAnsi="Times New Roman"/>
          <w:b/>
          <w:color w:val="000000"/>
          <w:sz w:val="20"/>
        </w:rPr>
        <w:t>First Amendment</w:t>
      </w:r>
      <w:r>
        <w:rPr>
          <w:rFonts w:ascii="Times New Roman" w:hAnsi="Times New Roman"/>
          <w:color w:val="000000"/>
          <w:sz w:val="20"/>
        </w:rPr>
        <w:t>”) is made and entered into as of October 23, 2017, by and between HCP TORREYANA, LLC, a Delaware limited liability company (“</w:t>
      </w:r>
      <w:r>
        <w:rPr>
          <w:rFonts w:ascii="Times New Roman" w:hAnsi="Times New Roman"/>
          <w:b/>
          <w:color w:val="000000"/>
          <w:sz w:val="20"/>
        </w:rPr>
        <w:t>Landlord</w:t>
      </w:r>
      <w:r>
        <w:rPr>
          <w:rFonts w:ascii="Times New Roman" w:hAnsi="Times New Roman"/>
          <w:color w:val="000000"/>
          <w:sz w:val="20"/>
        </w:rPr>
        <w:t>”) and BIOATLA, LLC, a Delaware limited liability company (“</w:t>
      </w:r>
      <w:r>
        <w:rPr>
          <w:rFonts w:ascii="Times New Roman" w:hAnsi="Times New Roman"/>
          <w:b/>
          <w:color w:val="000000"/>
          <w:sz w:val="20"/>
        </w:rPr>
        <w:t>Tenant</w:t>
      </w:r>
      <w:r>
        <w:rPr>
          <w:rFonts w:ascii="Times New Roman" w:hAnsi="Times New Roman"/>
          <w:color w:val="000000"/>
          <w:sz w:val="20"/>
        </w:rPr>
        <w:t>”).</w:t>
      </w:r>
    </w:p>
    <w:p>
      <w:pPr>
        <w:pStyle w:val="TextBody"/>
        <w:bidi w:val="0"/>
        <w:spacing w:before="0" w:after="240"/>
        <w:jc w:val="center"/>
        <w:rPr>
          <w:rFonts w:ascii="Times New Roman" w:hAnsi="Times New Roman"/>
          <w:color w:val="000000"/>
          <w:sz w:val="20"/>
          <w:u w:val="single"/>
        </w:rPr>
      </w:pPr>
      <w:r>
        <w:rPr>
          <w:rFonts w:ascii="Times New Roman" w:hAnsi="Times New Roman"/>
          <w:color w:val="000000"/>
          <w:sz w:val="20"/>
          <w:u w:val="single"/>
        </w:rPr>
        <w:t>R E C I T A L S</w:t>
      </w:r>
    </w:p>
    <w:p>
      <w:pPr>
        <w:pStyle w:val="TextBody"/>
        <w:bidi w:val="0"/>
        <w:spacing w:before="0" w:after="240"/>
        <w:jc w:val="both"/>
        <w:rPr>
          <w:rFonts w:ascii="Times New Roman" w:hAnsi="Times New Roman"/>
          <w:sz w:val="20"/>
        </w:rPr>
      </w:pPr>
      <w:r>
        <w:rPr>
          <w:rFonts w:ascii="Times New Roman" w:hAnsi="Times New Roman"/>
          <w:color w:val="000000"/>
          <w:sz w:val="20"/>
        </w:rPr>
        <w:t>A. Landlord and Tenant are parties to that certain 11085 Torreyana Road Lease dated as of June 2, 2017 (the “</w:t>
      </w:r>
      <w:r>
        <w:rPr>
          <w:rFonts w:ascii="Times New Roman" w:hAnsi="Times New Roman"/>
          <w:b/>
          <w:color w:val="000000"/>
          <w:sz w:val="20"/>
        </w:rPr>
        <w:t>Lease</w:t>
      </w:r>
      <w:r>
        <w:rPr>
          <w:rFonts w:ascii="Times New Roman" w:hAnsi="Times New Roman"/>
          <w:color w:val="000000"/>
          <w:sz w:val="20"/>
        </w:rPr>
        <w:t>”), whereby Landlord leases to Tenant and Tenant leases from Landlord approximately 43,375 rentable square feet of space (the “</w:t>
      </w:r>
      <w:r>
        <w:rPr>
          <w:rFonts w:ascii="Times New Roman" w:hAnsi="Times New Roman"/>
          <w:b/>
          <w:color w:val="000000"/>
          <w:sz w:val="20"/>
        </w:rPr>
        <w:t>Premises</w:t>
      </w:r>
      <w:r>
        <w:rPr>
          <w:rFonts w:ascii="Times New Roman" w:hAnsi="Times New Roman"/>
          <w:color w:val="000000"/>
          <w:sz w:val="20"/>
        </w:rPr>
        <w:t>”) comprising the entire three-story building (the “</w:t>
      </w:r>
      <w:r>
        <w:rPr>
          <w:rFonts w:ascii="Times New Roman" w:hAnsi="Times New Roman"/>
          <w:b/>
          <w:color w:val="000000"/>
          <w:sz w:val="20"/>
        </w:rPr>
        <w:t>Building</w:t>
      </w:r>
      <w:r>
        <w:rPr>
          <w:rFonts w:ascii="Times New Roman" w:hAnsi="Times New Roman"/>
          <w:color w:val="000000"/>
          <w:sz w:val="20"/>
        </w:rPr>
        <w:t>”) located at 11085 Torreyana Road, San Diego, California.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Landlord and Tenant desire to amend the Lease on the terms and conditions set forth in this First Amendment.</w:t>
      </w:r>
    </w:p>
    <w:p>
      <w:pPr>
        <w:pStyle w:val="TextBody"/>
        <w:bidi w:val="0"/>
        <w:spacing w:before="0" w:after="240"/>
        <w:jc w:val="center"/>
        <w:rPr>
          <w:rFonts w:ascii="Times New Roman" w:hAnsi="Times New Roman"/>
          <w:sz w:val="20"/>
        </w:rPr>
      </w:pPr>
      <w:r>
        <w:rPr>
          <w:rFonts w:ascii="Times New Roman" w:hAnsi="Times New Roman"/>
          <w:color w:val="000000"/>
          <w:sz w:val="20"/>
          <w:u w:val="single"/>
        </w:rPr>
        <w:t>A</w:t>
      </w:r>
      <w:r>
        <w:rPr>
          <w:rFonts w:ascii="Times New Roman" w:hAnsi="Times New Roman"/>
          <w:color w:val="000000"/>
          <w:sz w:val="20"/>
        </w:rPr>
        <w:t xml:space="preserve"> </w:t>
      </w:r>
      <w:r>
        <w:rPr>
          <w:rFonts w:ascii="Times New Roman" w:hAnsi="Times New Roman"/>
          <w:color w:val="000000"/>
          <w:sz w:val="20"/>
          <w:u w:val="single"/>
        </w:rPr>
        <w:t>G</w:t>
      </w:r>
      <w:r>
        <w:rPr>
          <w:rFonts w:ascii="Times New Roman" w:hAnsi="Times New Roman"/>
          <w:color w:val="000000"/>
          <w:sz w:val="20"/>
        </w:rPr>
        <w:t xml:space="preserve"> </w:t>
      </w:r>
      <w:r>
        <w:rPr>
          <w:rFonts w:ascii="Times New Roman" w:hAnsi="Times New Roman"/>
          <w:color w:val="000000"/>
          <w:sz w:val="20"/>
          <w:u w:val="single"/>
        </w:rPr>
        <w:t>R</w:t>
      </w:r>
      <w:r>
        <w:rPr>
          <w:rFonts w:ascii="Times New Roman" w:hAnsi="Times New Roman"/>
          <w:color w:val="000000"/>
          <w:sz w:val="20"/>
        </w:rPr>
        <w:t xml:space="preserve"> </w:t>
      </w:r>
      <w:r>
        <w:rPr>
          <w:rFonts w:ascii="Times New Roman" w:hAnsi="Times New Roman"/>
          <w:color w:val="000000"/>
          <w:sz w:val="20"/>
          <w:u w:val="single"/>
        </w:rPr>
        <w:t>E</w:t>
      </w:r>
      <w:r>
        <w:rPr>
          <w:rFonts w:ascii="Times New Roman" w:hAnsi="Times New Roman"/>
          <w:color w:val="000000"/>
          <w:sz w:val="20"/>
        </w:rPr>
        <w:t xml:space="preserve"> </w:t>
      </w:r>
      <w:r>
        <w:rPr>
          <w:rFonts w:ascii="Times New Roman" w:hAnsi="Times New Roman"/>
          <w:color w:val="000000"/>
          <w:sz w:val="20"/>
          <w:u w:val="single"/>
        </w:rPr>
        <w:t>E</w:t>
      </w:r>
      <w:r>
        <w:rPr>
          <w:rFonts w:ascii="Times New Roman" w:hAnsi="Times New Roman"/>
          <w:color w:val="000000"/>
          <w:sz w:val="20"/>
        </w:rPr>
        <w:t xml:space="preserve"> </w:t>
      </w:r>
      <w:r>
        <w:rPr>
          <w:rFonts w:ascii="Times New Roman" w:hAnsi="Times New Roman"/>
          <w:color w:val="000000"/>
          <w:sz w:val="20"/>
          <w:u w:val="single"/>
        </w:rPr>
        <w:t>M</w:t>
      </w:r>
      <w:r>
        <w:rPr>
          <w:rFonts w:ascii="Times New Roman" w:hAnsi="Times New Roman"/>
          <w:color w:val="000000"/>
          <w:sz w:val="20"/>
        </w:rPr>
        <w:t xml:space="preserve"> </w:t>
      </w:r>
      <w:r>
        <w:rPr>
          <w:rFonts w:ascii="Times New Roman" w:hAnsi="Times New Roman"/>
          <w:color w:val="000000"/>
          <w:sz w:val="20"/>
          <w:u w:val="single"/>
        </w:rPr>
        <w:t>E</w:t>
      </w:r>
      <w:r>
        <w:rPr>
          <w:rFonts w:ascii="Times New Roman" w:hAnsi="Times New Roman"/>
          <w:color w:val="000000"/>
          <w:sz w:val="20"/>
        </w:rPr>
        <w:t xml:space="preserve"> </w:t>
      </w:r>
      <w:r>
        <w:rPr>
          <w:rFonts w:ascii="Times New Roman" w:hAnsi="Times New Roman"/>
          <w:color w:val="000000"/>
          <w:sz w:val="20"/>
          <w:u w:val="single"/>
        </w:rPr>
        <w:t>N</w:t>
      </w:r>
      <w:r>
        <w:rPr>
          <w:rFonts w:ascii="Times New Roman" w:hAnsi="Times New Roman"/>
          <w:color w:val="000000"/>
          <w:sz w:val="20"/>
        </w:rPr>
        <w:t xml:space="preserve"> </w:t>
      </w:r>
      <w:r>
        <w:rPr>
          <w:rFonts w:ascii="Times New Roman" w:hAnsi="Times New Roman"/>
          <w:color w:val="000000"/>
          <w:sz w:val="20"/>
          <w:u w:val="single"/>
        </w:rPr>
        <w:t>T</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b/>
          <w:color w:val="000000"/>
          <w:sz w:val="20"/>
        </w:rPr>
        <w:t>NOW, THEREFORE</w:t>
      </w:r>
      <w:r>
        <w:rPr>
          <w:rFonts w:ascii="Times New Roman" w:hAnsi="Times New Roman"/>
          <w:color w:val="000000"/>
          <w:sz w:val="20"/>
        </w:rPr>
        <w:t>, in consideration of the foregoing recitals and the mutual covenants contained herein, and for other good and valuable consideration, the receipt and sufficiency of which are hereby acknowledged, the parties hereto agree as follows.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pPr>
      <w:r>
        <w:rPr>
          <w:rFonts w:ascii="Times New Roman" w:hAnsi="Times New Roman"/>
          <w:b/>
          <w:color w:val="000000"/>
          <w:sz w:val="20"/>
          <w:u w:val="single"/>
        </w:rPr>
        <w:t>Defined Terms</w:t>
      </w:r>
      <w:r>
        <w:rPr>
          <w:rFonts w:ascii="Times New Roman" w:hAnsi="Times New Roman"/>
          <w:color w:val="000000"/>
          <w:sz w:val="20"/>
        </w:rPr>
        <w:t>. Except as explicitly set forth in this First Amendment, each initially capitalized term when used herein shall have the same respective meaning as is set forth in the Lease.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pPr>
      <w:r>
        <w:rPr>
          <w:rFonts w:ascii="Times New Roman" w:hAnsi="Times New Roman"/>
          <w:b/>
          <w:color w:val="000000"/>
          <w:sz w:val="20"/>
          <w:u w:val="single"/>
        </w:rPr>
        <w:t>Additional Allowance</w:t>
      </w:r>
      <w:r>
        <w:rPr>
          <w:rFonts w:ascii="Times New Roman" w:hAnsi="Times New Roman"/>
          <w:color w:val="000000"/>
          <w:sz w:val="20"/>
        </w:rPr>
        <w:t>. Notwithstanding anything in the Lease to the contrary, the amount of the Additional Allowance, as defined in Section 2.2 of the Tenant Work Letter is Four Hundred Ninety-Nine Thousand, Eight Hundred and 00/100 Dollars ($499,800.00).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pPr>
      <w:r>
        <w:rPr>
          <w:rFonts w:ascii="Times New Roman" w:hAnsi="Times New Roman"/>
          <w:b/>
          <w:color w:val="000000"/>
          <w:sz w:val="20"/>
          <w:u w:val="single"/>
        </w:rPr>
        <w:t>Tenant Delays</w:t>
      </w:r>
      <w:r>
        <w:rPr>
          <w:rFonts w:ascii="Times New Roman" w:hAnsi="Times New Roman"/>
          <w:color w:val="000000"/>
          <w:sz w:val="20"/>
        </w:rPr>
        <w:t>. As of the date of this First Amendment, Twenty-Eight (28) business days of delay have resulted from Tenant Delays per Section 4.2 of the Tenant Work Letter (Exhibit B) attached to the Lease.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both"/>
        <w:rPr/>
      </w:pPr>
      <w:r>
        <w:rPr>
          <w:rFonts w:ascii="Times New Roman" w:hAnsi="Times New Roman"/>
          <w:b/>
          <w:color w:val="000000"/>
          <w:sz w:val="20"/>
          <w:u w:val="single"/>
        </w:rPr>
        <w:t>No Other Modifications</w:t>
      </w:r>
      <w:r>
        <w:rPr>
          <w:rFonts w:ascii="Times New Roman" w:hAnsi="Times New Roman"/>
          <w:color w:val="000000"/>
          <w:sz w:val="20"/>
        </w:rPr>
        <w:t>. Except as otherwise provided herein, all other terms and provisions of the Lease shall remain in full force and effect, unmodified by this First Amendment.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both"/>
        <w:rPr/>
      </w:pPr>
      <w:r>
        <w:rPr>
          <w:rFonts w:ascii="Times New Roman" w:hAnsi="Times New Roman"/>
          <w:b/>
          <w:color w:val="000000"/>
          <w:sz w:val="20"/>
          <w:u w:val="single"/>
        </w:rPr>
        <w:t>Counterparts</w:t>
      </w:r>
      <w:r>
        <w:rPr>
          <w:rFonts w:ascii="Times New Roman" w:hAnsi="Times New Roman"/>
          <w:color w:val="000000"/>
          <w:sz w:val="20"/>
        </w:rPr>
        <w:t>. This First Amendment may be executed in any number of original counterparts. Any such counterpart, when executed, shall constitute an original of this First Amendment, and all such counterparts together shall constitute one and the same First Amendment.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240"/>
        <w:jc w:val="both"/>
        <w:rPr/>
      </w:pPr>
      <w:r>
        <w:rPr>
          <w:rFonts w:ascii="Times New Roman" w:hAnsi="Times New Roman"/>
          <w:b/>
          <w:color w:val="000000"/>
          <w:sz w:val="20"/>
          <w:u w:val="single"/>
        </w:rPr>
        <w:t>Conflict</w:t>
      </w:r>
      <w:r>
        <w:rPr>
          <w:rFonts w:ascii="Times New Roman" w:hAnsi="Times New Roman"/>
          <w:color w:val="000000"/>
          <w:sz w:val="20"/>
        </w:rPr>
        <w:t>. In the event of any conflict between the Lease and this First Amendment, this First Amendment shall prevail.</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WITNESS WHEREOF, the parties have entered into this First Amendment as of the date first set forth above.</w:t>
      </w:r>
    </w:p>
    <w:p>
      <w:pPr>
        <w:pStyle w:val="TextBody"/>
        <w:bidi w:val="0"/>
        <w:spacing w:before="0" w:after="240"/>
        <w:jc w:val="left"/>
        <w:rPr/>
      </w:pPr>
      <w:r>
        <w:rPr>
          <w:color w:val="000000"/>
        </w:rPr>
        <w:t>“</w:t>
      </w:r>
      <w:r>
        <w:rPr>
          <w:rFonts w:ascii="Times New Roman" w:hAnsi="Times New Roman"/>
          <w:b/>
          <w:color w:val="000000"/>
          <w:sz w:val="20"/>
        </w:rPr>
        <w:t>LANDLORD</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HCP TORREYANA, LLC,</w:t>
        <w:br/>
        <w:t>a Delaware limited liability company</w:t>
      </w:r>
    </w:p>
    <w:p>
      <w:pPr>
        <w:pStyle w:val="TextBody"/>
        <w:bidi w:val="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 xml:space="preserve">/s/ Michael Dorris </w:t>
      </w:r>
    </w:p>
    <w:p>
      <w:pPr>
        <w:pStyle w:val="TextBody"/>
        <w:bidi w:val="0"/>
        <w:jc w:val="left"/>
        <w:rPr>
          <w:rFonts w:ascii="Times New Roman" w:hAnsi="Times New Roman"/>
          <w:color w:val="000000"/>
          <w:sz w:val="20"/>
        </w:rPr>
      </w:pPr>
      <w:r>
        <w:rPr>
          <w:rFonts w:ascii="Times New Roman" w:hAnsi="Times New Roman"/>
          <w:color w:val="000000"/>
          <w:sz w:val="20"/>
        </w:rPr>
        <w:t>Name: Michael Dorris</w:t>
      </w:r>
    </w:p>
    <w:p>
      <w:pPr>
        <w:pStyle w:val="TextBody"/>
        <w:bidi w:val="0"/>
        <w:spacing w:before="0" w:after="480"/>
        <w:jc w:val="left"/>
        <w:rPr>
          <w:rFonts w:ascii="Times New Roman" w:hAnsi="Times New Roman"/>
          <w:color w:val="000000"/>
          <w:sz w:val="20"/>
        </w:rPr>
      </w:pPr>
      <w:r>
        <w:rPr>
          <w:rFonts w:ascii="Times New Roman" w:hAnsi="Times New Roman"/>
          <w:color w:val="000000"/>
          <w:sz w:val="20"/>
        </w:rPr>
        <w:t>Its: VP</w:t>
      </w:r>
    </w:p>
    <w:p>
      <w:pPr>
        <w:pStyle w:val="TextBody"/>
        <w:bidi w:val="0"/>
        <w:spacing w:before="0" w:after="240"/>
        <w:jc w:val="left"/>
        <w:rPr/>
      </w:pPr>
      <w:r>
        <w:rPr>
          <w:color w:val="000000"/>
        </w:rPr>
        <w:t>“</w:t>
      </w:r>
      <w:r>
        <w:rPr>
          <w:rFonts w:ascii="Times New Roman" w:hAnsi="Times New Roman"/>
          <w:b/>
          <w:color w:val="000000"/>
          <w:sz w:val="20"/>
        </w:rPr>
        <w:t>TENANT</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BIOATLA, LLC,</w:t>
        <w:br/>
        <w:t>a Delaware limited liability company</w:t>
      </w:r>
    </w:p>
    <w:p>
      <w:pPr>
        <w:pStyle w:val="TextBody"/>
        <w:bidi w:val="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 xml:space="preserve">/s/ Jay M. Short </w:t>
      </w:r>
    </w:p>
    <w:p>
      <w:pPr>
        <w:pStyle w:val="TextBody"/>
        <w:bidi w:val="0"/>
        <w:jc w:val="left"/>
        <w:rPr>
          <w:rFonts w:ascii="Times New Roman" w:hAnsi="Times New Roman"/>
          <w:color w:val="000000"/>
          <w:sz w:val="20"/>
        </w:rPr>
      </w:pPr>
      <w:r>
        <w:rPr>
          <w:rFonts w:ascii="Times New Roman" w:hAnsi="Times New Roman"/>
          <w:color w:val="000000"/>
          <w:sz w:val="20"/>
        </w:rPr>
        <w:t>Name: Jay M. Short</w:t>
      </w:r>
    </w:p>
    <w:p>
      <w:pPr>
        <w:pStyle w:val="TextBody"/>
        <w:bidi w:val="0"/>
        <w:spacing w:before="0" w:after="480"/>
        <w:jc w:val="left"/>
        <w:rPr>
          <w:rFonts w:ascii="Times New Roman" w:hAnsi="Times New Roman"/>
          <w:color w:val="000000"/>
          <w:sz w:val="20"/>
        </w:rPr>
      </w:pPr>
      <w:r>
        <w:rPr>
          <w:rFonts w:ascii="Times New Roman" w:hAnsi="Times New Roman"/>
          <w:color w:val="000000"/>
          <w:sz w:val="20"/>
        </w:rPr>
        <w:t>Its: CEO</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SECOND AMENDMENT TO LEASE</w:t>
      </w:r>
    </w:p>
    <w:p>
      <w:pPr>
        <w:pStyle w:val="TextBody"/>
        <w:bidi w:val="0"/>
        <w:spacing w:before="0" w:after="240"/>
        <w:jc w:val="both"/>
        <w:rPr>
          <w:rFonts w:ascii="Times New Roman" w:hAnsi="Times New Roman"/>
          <w:sz w:val="20"/>
        </w:rPr>
      </w:pPr>
      <w:r>
        <w:rPr>
          <w:rFonts w:ascii="Times New Roman" w:hAnsi="Times New Roman"/>
          <w:color w:val="000000"/>
          <w:sz w:val="20"/>
        </w:rPr>
        <w:t>This SECOND AMENDMENT TO LEASE (this “</w:t>
      </w:r>
      <w:r>
        <w:rPr>
          <w:rFonts w:ascii="Times New Roman" w:hAnsi="Times New Roman"/>
          <w:b/>
          <w:color w:val="000000"/>
          <w:sz w:val="20"/>
        </w:rPr>
        <w:t>Second Amendment</w:t>
      </w:r>
      <w:r>
        <w:rPr>
          <w:rFonts w:ascii="Times New Roman" w:hAnsi="Times New Roman"/>
          <w:color w:val="000000"/>
          <w:sz w:val="20"/>
        </w:rPr>
        <w:t>”) is made and entered into as of the 16th day of January, 2019, by and between HCP TORREYANA, LLC, a Delaware limited liability company (“</w:t>
      </w:r>
      <w:r>
        <w:rPr>
          <w:rFonts w:ascii="Times New Roman" w:hAnsi="Times New Roman"/>
          <w:b/>
          <w:color w:val="000000"/>
          <w:sz w:val="20"/>
        </w:rPr>
        <w:t>Landlord</w:t>
      </w:r>
      <w:r>
        <w:rPr>
          <w:rFonts w:ascii="Times New Roman" w:hAnsi="Times New Roman"/>
          <w:color w:val="000000"/>
          <w:sz w:val="20"/>
        </w:rPr>
        <w:t>”), and BIOATLA, LLC, a Delaware limited liability company (“</w:t>
      </w:r>
      <w:r>
        <w:rPr>
          <w:rFonts w:ascii="Times New Roman" w:hAnsi="Times New Roman"/>
          <w:b/>
          <w:color w:val="000000"/>
          <w:sz w:val="20"/>
        </w:rPr>
        <w:t>Tenant</w:t>
      </w:r>
      <w:r>
        <w:rPr>
          <w:rFonts w:ascii="Times New Roman" w:hAnsi="Times New Roman"/>
          <w:color w:val="000000"/>
          <w:sz w:val="20"/>
        </w:rPr>
        <w:t>”).</w:t>
      </w:r>
    </w:p>
    <w:p>
      <w:pPr>
        <w:pStyle w:val="TextBody"/>
        <w:bidi w:val="0"/>
        <w:spacing w:before="0" w:after="240"/>
        <w:jc w:val="center"/>
        <w:rPr>
          <w:rFonts w:ascii="Times New Roman" w:hAnsi="Times New Roman"/>
          <w:sz w:val="20"/>
        </w:rPr>
      </w:pPr>
      <w:r>
        <w:rPr>
          <w:rFonts w:ascii="Times New Roman" w:hAnsi="Times New Roman"/>
          <w:color w:val="000000"/>
          <w:sz w:val="20"/>
          <w:u w:val="single"/>
        </w:rPr>
        <w:t xml:space="preserve">R E C I T A L S </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A. Landlord and Tenant entered into that certain Lease dated June 2, 2017 (the “</w:t>
      </w:r>
      <w:r>
        <w:rPr>
          <w:rFonts w:ascii="Times New Roman" w:hAnsi="Times New Roman"/>
          <w:b/>
          <w:color w:val="000000"/>
          <w:sz w:val="20"/>
        </w:rPr>
        <w:t>Lease</w:t>
      </w:r>
      <w:r>
        <w:rPr>
          <w:rFonts w:ascii="Times New Roman" w:hAnsi="Times New Roman"/>
          <w:color w:val="000000"/>
          <w:sz w:val="20"/>
        </w:rPr>
        <w:t>”), whereby Landlord leases to Tenant and Tenant leases from Landlord approximately 20,825 rentable square feet of space (the “</w:t>
      </w:r>
      <w:r>
        <w:rPr>
          <w:rFonts w:ascii="Times New Roman" w:hAnsi="Times New Roman"/>
          <w:b/>
          <w:color w:val="000000"/>
          <w:sz w:val="20"/>
        </w:rPr>
        <w:t>Existing Premises</w:t>
      </w:r>
      <w:r>
        <w:rPr>
          <w:rFonts w:ascii="Times New Roman" w:hAnsi="Times New Roman"/>
          <w:color w:val="000000"/>
          <w:sz w:val="20"/>
        </w:rPr>
        <w:t>”) consisting of the entire first (1st) floor of that certain building located at 11085 Torreyana Road, San Diego, California 92121 (the “</w:t>
      </w:r>
      <w:r>
        <w:rPr>
          <w:rFonts w:ascii="Times New Roman" w:hAnsi="Times New Roman"/>
          <w:b/>
          <w:color w:val="000000"/>
          <w:sz w:val="20"/>
        </w:rPr>
        <w:t>Building</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B. Tenant desires to expand the Existing Premises to include that certain space consisting of approximately 22,552 rentable square feet of space commonly known as Suite 200 and located on the top floor of the Building (the “</w:t>
      </w:r>
      <w:r>
        <w:rPr>
          <w:rFonts w:ascii="Times New Roman" w:hAnsi="Times New Roman"/>
          <w:b/>
          <w:color w:val="000000"/>
          <w:sz w:val="20"/>
        </w:rPr>
        <w:t>Expansion Premises</w:t>
      </w:r>
      <w:r>
        <w:rPr>
          <w:rFonts w:ascii="Times New Roman" w:hAnsi="Times New Roman"/>
          <w:color w:val="000000"/>
          <w:sz w:val="20"/>
        </w:rPr>
        <w:t xml:space="preserve">”), as delineated on </w:t>
      </w:r>
      <w:r>
        <w:rPr>
          <w:rFonts w:ascii="Times New Roman" w:hAnsi="Times New Roman"/>
          <w:b/>
          <w:color w:val="000000"/>
          <w:sz w:val="20"/>
          <w:u w:val="single"/>
        </w:rPr>
        <w:t>Exhibit A</w:t>
      </w:r>
      <w:r>
        <w:rPr>
          <w:rFonts w:ascii="Times New Roman" w:hAnsi="Times New Roman"/>
          <w:color w:val="000000"/>
          <w:sz w:val="20"/>
        </w:rPr>
        <w:t xml:space="preserve"> attached hereto and made a part hereof, and to make other modifications to the Lease, and in connection therewith, Landlord and Tenant desire to amend the Lease as hereinafter provided.</w:t>
      </w:r>
    </w:p>
    <w:p>
      <w:pPr>
        <w:pStyle w:val="TextBody"/>
        <w:bidi w:val="0"/>
        <w:spacing w:before="0" w:after="240"/>
        <w:jc w:val="center"/>
        <w:rPr>
          <w:rFonts w:ascii="Times New Roman" w:hAnsi="Times New Roman"/>
          <w:sz w:val="20"/>
        </w:rPr>
      </w:pPr>
      <w:r>
        <w:rPr>
          <w:rFonts w:ascii="Times New Roman" w:hAnsi="Times New Roman"/>
          <w:color w:val="000000"/>
          <w:sz w:val="20"/>
          <w:u w:val="single"/>
        </w:rPr>
        <w:t xml:space="preserve">A G R E E M E N T </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NOW, THEREFORE, in consideration of the foregoing recitals and the mutual covenants contained herein, and for other good and valuable consideration, the receipt and sufficiency of which are hereby acknowledged, the parties hereto hereby agree as follows: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pPr>
      <w:r>
        <w:rPr>
          <w:rFonts w:ascii="Times New Roman" w:hAnsi="Times New Roman"/>
          <w:b/>
          <w:color w:val="000000"/>
          <w:sz w:val="20"/>
          <w:u w:val="single"/>
        </w:rPr>
        <w:t>Capitalized Terms</w:t>
      </w:r>
      <w:r>
        <w:rPr>
          <w:rFonts w:ascii="Times New Roman" w:hAnsi="Times New Roman"/>
          <w:color w:val="000000"/>
          <w:sz w:val="20"/>
        </w:rPr>
        <w:t>. All capitalized terms when used herein shall have the same meaning as is given such terms in the Lease unless expressly superseded by the terms of this Second Amendment.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pPr>
      <w:r>
        <w:rPr>
          <w:rFonts w:ascii="Times New Roman" w:hAnsi="Times New Roman"/>
          <w:b/>
          <w:color w:val="000000"/>
          <w:sz w:val="20"/>
          <w:u w:val="single"/>
        </w:rPr>
        <w:t>Modification of Premises</w:t>
      </w:r>
      <w:r>
        <w:rPr>
          <w:rFonts w:ascii="Times New Roman" w:hAnsi="Times New Roman"/>
          <w:color w:val="000000"/>
          <w:sz w:val="20"/>
        </w:rPr>
        <w:t>. Effective as of the date (the “</w:t>
      </w:r>
      <w:r>
        <w:rPr>
          <w:rFonts w:ascii="Times New Roman" w:hAnsi="Times New Roman"/>
          <w:b/>
          <w:color w:val="000000"/>
          <w:sz w:val="20"/>
        </w:rPr>
        <w:t>Expansion Commencement Date</w:t>
      </w:r>
      <w:r>
        <w:rPr>
          <w:color w:val="000000"/>
        </w:rPr>
        <w:t>”</w:t>
      </w:r>
      <w:r>
        <w:rPr>
          <w:rFonts w:ascii="Times New Roman" w:hAnsi="Times New Roman"/>
          <w:color w:val="000000"/>
          <w:sz w:val="20"/>
        </w:rPr>
        <w:t xml:space="preserve">) which is the earlier to occur of (i) the date upon which Tenant first commences to conduct business in the Expansion Premises, (ii) the “Substantial Completion,” as that term is defined in </w:t>
      </w:r>
      <w:r>
        <w:rPr>
          <w:rFonts w:ascii="Times New Roman" w:hAnsi="Times New Roman"/>
          <w:color w:val="000000"/>
          <w:sz w:val="20"/>
          <w:u w:val="single"/>
        </w:rPr>
        <w:t>Section 4.2.2.2</w:t>
      </w:r>
      <w:r>
        <w:rPr>
          <w:color w:val="000000"/>
        </w:rPr>
        <w:t xml:space="preserve"> </w:t>
      </w:r>
      <w:r>
        <w:rPr>
          <w:rFonts w:ascii="Times New Roman" w:hAnsi="Times New Roman"/>
          <w:color w:val="000000"/>
          <w:sz w:val="20"/>
        </w:rPr>
        <w:t xml:space="preserve">of the Tenant Work Letter attached hereto as </w:t>
      </w:r>
      <w:r>
        <w:rPr>
          <w:rFonts w:ascii="Times New Roman" w:hAnsi="Times New Roman"/>
          <w:b/>
          <w:color w:val="000000"/>
          <w:sz w:val="20"/>
          <w:u w:val="single"/>
        </w:rPr>
        <w:t>Exhibit B</w:t>
      </w:r>
      <w:r>
        <w:rPr>
          <w:color w:val="000000"/>
        </w:rPr>
        <w:t xml:space="preserve"> </w:t>
      </w:r>
      <w:r>
        <w:rPr>
          <w:rFonts w:ascii="Times New Roman" w:hAnsi="Times New Roman"/>
          <w:color w:val="000000"/>
          <w:sz w:val="20"/>
        </w:rPr>
        <w:t>(the “</w:t>
      </w:r>
      <w:r>
        <w:rPr>
          <w:rFonts w:ascii="Times New Roman" w:hAnsi="Times New Roman"/>
          <w:b/>
          <w:color w:val="000000"/>
          <w:sz w:val="20"/>
        </w:rPr>
        <w:t>Tenant Work Letter</w:t>
      </w:r>
      <w:r>
        <w:rPr>
          <w:color w:val="000000"/>
        </w:rPr>
        <w:t>”</w:t>
      </w:r>
      <w:r>
        <w:rPr>
          <w:rFonts w:ascii="Times New Roman" w:hAnsi="Times New Roman"/>
          <w:color w:val="000000"/>
          <w:sz w:val="20"/>
        </w:rPr>
        <w:t>), and (iii) July 1, 2019, Tenant shall lease from Landlord and Landlord shall lease to Tenant the Expansion Premises. Landlord and Tenant hereby acknowledge that such addition of the Expansion Premises to the Existing Premises shall, effective as of the Expansion Commencement Date, increase the size of the Premises to approximately 43,377 rentable square feet, consisting of all of the rentable area of the Building. The Existing Premises and the Expansion Premises may hereinafter collectively be referred to as the “</w:t>
      </w:r>
      <w:r>
        <w:rPr>
          <w:rFonts w:ascii="Times New Roman" w:hAnsi="Times New Roman"/>
          <w:b/>
          <w:color w:val="000000"/>
          <w:sz w:val="20"/>
        </w:rPr>
        <w:t>Premises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pPr>
      <w:r>
        <w:rPr>
          <w:rFonts w:ascii="Times New Roman" w:hAnsi="Times New Roman"/>
          <w:b/>
          <w:color w:val="000000"/>
          <w:sz w:val="20"/>
          <w:u w:val="single"/>
        </w:rPr>
        <w:t>Expansion Term</w:t>
      </w:r>
      <w:r>
        <w:rPr>
          <w:rFonts w:ascii="Times New Roman" w:hAnsi="Times New Roman"/>
          <w:color w:val="000000"/>
          <w:sz w:val="20"/>
        </w:rPr>
        <w:t>. Landlord and Tenant acknowledge that Tenant’s lease of the Existing Premises is scheduled to expire on February 28, 2025 (the “</w:t>
      </w:r>
      <w:r>
        <w:rPr>
          <w:rFonts w:ascii="Times New Roman" w:hAnsi="Times New Roman"/>
          <w:b/>
          <w:color w:val="000000"/>
          <w:sz w:val="20"/>
        </w:rPr>
        <w:t>Current Lease Expiration Date</w:t>
      </w:r>
      <w:r>
        <w:rPr>
          <w:color w:val="000000"/>
        </w:rPr>
        <w:t>”</w:t>
      </w:r>
      <w:r>
        <w:rPr>
          <w:rFonts w:ascii="Times New Roman" w:hAnsi="Times New Roman"/>
          <w:color w:val="000000"/>
          <w:sz w:val="20"/>
        </w:rPr>
        <w:t xml:space="preserve">), pursuant to the terms of the Lease. Notwithstanding anything to the contrary in the Lease, the term of Tenant’s lease of the Existing Premises shall expire coterminously with the term of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Tenant’s lease of the Expansion Premises on the date (the “</w:t>
      </w:r>
      <w:r>
        <w:rPr>
          <w:rFonts w:ascii="Times New Roman" w:hAnsi="Times New Roman"/>
          <w:b/>
          <w:color w:val="000000"/>
          <w:sz w:val="20"/>
        </w:rPr>
        <w:t>New Expiration Date</w:t>
      </w:r>
      <w:r>
        <w:rPr>
          <w:rFonts w:ascii="Times New Roman" w:hAnsi="Times New Roman"/>
          <w:color w:val="000000"/>
          <w:sz w:val="20"/>
        </w:rPr>
        <w:t>”) which is the later to occur of (i) the Current Lease Expiration Date, and (ii) the day immediately preceding the sixth (6th) anniversary of the Expansion Commencement Date if the Expansion Commencement Date shall be the first day of a calendar month; or, if the Expansion Commencement Date shall be other than the first day of a calendar month, then it shall mean the last day of the month in which the sixth (6th) anniversary of the Expansion Commencement Date occurs. The period of time commencing on the Expansion Commencement Date and terminating on the New Expiration Date, shall be referred to herein as the “</w:t>
      </w:r>
      <w:r>
        <w:rPr>
          <w:rFonts w:ascii="Times New Roman" w:hAnsi="Times New Roman"/>
          <w:b/>
          <w:color w:val="000000"/>
          <w:sz w:val="20"/>
        </w:rPr>
        <w:t>Expansion Term</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both"/>
        <w:rPr/>
      </w:pPr>
      <w:r>
        <w:rPr>
          <w:rFonts w:ascii="Times New Roman" w:hAnsi="Times New Roman"/>
          <w:b/>
          <w:color w:val="000000"/>
          <w:sz w:val="20"/>
          <w:u w:val="single"/>
        </w:rPr>
        <w:t>Option Term</w:t>
      </w:r>
      <w:r>
        <w:rPr>
          <w:rFonts w:ascii="Times New Roman" w:hAnsi="Times New Roman"/>
          <w:color w:val="000000"/>
          <w:sz w:val="20"/>
        </w:rPr>
        <w:t xml:space="preserve">. Tenant shall continue to have the right to extend the Lease Term pursuant to </w:t>
      </w:r>
      <w:r>
        <w:rPr>
          <w:rFonts w:ascii="Times New Roman" w:hAnsi="Times New Roman"/>
          <w:color w:val="000000"/>
          <w:sz w:val="20"/>
          <w:u w:val="single"/>
        </w:rPr>
        <w:t>Section 2.2</w:t>
      </w:r>
      <w:r>
        <w:rPr>
          <w:color w:val="000000"/>
        </w:rPr>
        <w:t xml:space="preserve"> </w:t>
      </w:r>
      <w:r>
        <w:rPr>
          <w:rFonts w:ascii="Times New Roman" w:hAnsi="Times New Roman"/>
          <w:color w:val="000000"/>
          <w:sz w:val="20"/>
        </w:rPr>
        <w:t xml:space="preserve">of the Lease; provided, however, Landlord and Tenant hereby acknowledge and agree that, effective as of the date of this Second Amendment, the following shall apply: (i) all references to “this Lease” or “the Lease” in </w:t>
      </w:r>
      <w:r>
        <w:rPr>
          <w:rFonts w:ascii="Times New Roman" w:hAnsi="Times New Roman"/>
          <w:color w:val="000000"/>
          <w:sz w:val="20"/>
          <w:u w:val="single"/>
        </w:rPr>
        <w:t>Section 2.2</w:t>
      </w:r>
      <w:r>
        <w:rPr>
          <w:color w:val="000000"/>
        </w:rPr>
        <w:t xml:space="preserve"> </w:t>
      </w:r>
      <w:r>
        <w:rPr>
          <w:rFonts w:ascii="Times New Roman" w:hAnsi="Times New Roman"/>
          <w:color w:val="000000"/>
          <w:sz w:val="20"/>
        </w:rPr>
        <w:t xml:space="preserve">of the Lease shall be deemed to be references to “the Lease, as amended”; and (ii) all references to the “Premises” in </w:t>
      </w:r>
      <w:r>
        <w:rPr>
          <w:rFonts w:ascii="Times New Roman" w:hAnsi="Times New Roman"/>
          <w:color w:val="000000"/>
          <w:sz w:val="20"/>
          <w:u w:val="single"/>
        </w:rPr>
        <w:t>Section 2.2</w:t>
      </w:r>
      <w:r>
        <w:rPr>
          <w:color w:val="000000"/>
        </w:rPr>
        <w:t xml:space="preserve"> </w:t>
      </w:r>
      <w:r>
        <w:rPr>
          <w:rFonts w:ascii="Times New Roman" w:hAnsi="Times New Roman"/>
          <w:color w:val="000000"/>
          <w:sz w:val="20"/>
        </w:rPr>
        <w:t>of the Lease shall be deemed to be references to the Existing Premises and the Expansion Premises.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both"/>
        <w:rPr/>
      </w:pPr>
      <w:r>
        <w:rPr>
          <w:rFonts w:ascii="Times New Roman" w:hAnsi="Times New Roman"/>
          <w:b/>
          <w:color w:val="000000"/>
          <w:sz w:val="20"/>
          <w:u w:val="single"/>
        </w:rPr>
        <w:t>Base Rent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5.1.</w:t>
      </w:r>
    </w:p>
    <w:p>
      <w:pPr>
        <w:pStyle w:val="TextBody"/>
        <w:bidi w:val="0"/>
        <w:spacing w:before="0" w:after="240"/>
        <w:jc w:val="both"/>
        <w:rPr/>
      </w:pPr>
      <w:r>
        <w:rPr>
          <w:rFonts w:ascii="Times New Roman" w:hAnsi="Times New Roman"/>
          <w:b/>
          <w:color w:val="000000"/>
          <w:sz w:val="20"/>
          <w:u w:val="single"/>
        </w:rPr>
        <w:t>Existing Premises</w:t>
      </w:r>
      <w:r>
        <w:rPr>
          <w:rFonts w:ascii="Times New Roman" w:hAnsi="Times New Roman"/>
          <w:color w:val="000000"/>
          <w:sz w:val="20"/>
        </w:rPr>
        <w:t>. Tenant shall continue to pay Base Rent for the Existing Premises in accordance with the terms of the Lease. Following The Current Lease Expiration Date and continuing through the New Expiration Date, Tenant shall continue to pay the same Monthly Installment of Base Rent (prorated for any partial calendar month) for the Existing Premises attributable to the last calendar month of the otherwise scheduled Lease Term.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5.2.</w:t>
      </w:r>
    </w:p>
    <w:p>
      <w:pPr>
        <w:pStyle w:val="TextBody"/>
        <w:bidi w:val="0"/>
        <w:spacing w:before="0" w:after="240"/>
        <w:jc w:val="both"/>
        <w:rPr/>
      </w:pPr>
      <w:r>
        <w:rPr>
          <w:rFonts w:ascii="Times New Roman" w:hAnsi="Times New Roman"/>
          <w:b/>
          <w:color w:val="000000"/>
          <w:sz w:val="20"/>
          <w:u w:val="single"/>
        </w:rPr>
        <w:t>Expansion Premises</w:t>
      </w:r>
      <w:r>
        <w:rPr>
          <w:rFonts w:ascii="Times New Roman" w:hAnsi="Times New Roman"/>
          <w:color w:val="000000"/>
          <w:sz w:val="20"/>
        </w:rPr>
        <w:t>. Commencing on the Expansion Commencement Date, and continuing throughout the Expansion Term, Tenant shall pay to Landlord monthly installments of Base Rent for the Expansion Premises as follows:</w:t>
      </w:r>
    </w:p>
    <w:tbl>
      <w:tblPr>
        <w:tblW w:w="10205" w:type="dxa"/>
        <w:jc w:val="left"/>
        <w:tblInd w:w="0" w:type="dxa"/>
        <w:tblLayout w:type="fixed"/>
        <w:tblCellMar>
          <w:top w:w="28" w:type="dxa"/>
          <w:left w:w="28" w:type="dxa"/>
          <w:bottom w:w="28" w:type="dxa"/>
          <w:right w:w="28" w:type="dxa"/>
        </w:tblCellMar>
      </w:tblPr>
      <w:tblGrid>
        <w:gridCol w:w="1447"/>
        <w:gridCol w:w="1529"/>
        <w:gridCol w:w="2672"/>
        <w:gridCol w:w="4557"/>
      </w:tblGrid>
      <w:tr>
        <w:trPr/>
        <w:tc>
          <w:tcPr>
            <w:tcW w:w="1447"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4557" w:type="dxa"/>
            <w:tcBorders/>
            <w:vAlign w:val="center"/>
          </w:tcPr>
          <w:p>
            <w:pPr>
              <w:pStyle w:val="TableContents"/>
              <w:bidi w:val="0"/>
              <w:spacing w:before="0" w:after="283"/>
              <w:jc w:val="left"/>
              <w:rPr>
                <w:sz w:val="4"/>
                <w:szCs w:val="4"/>
              </w:rPr>
            </w:pPr>
            <w:r>
              <w:rPr>
                <w:sz w:val="4"/>
                <w:szCs w:val="4"/>
              </w:rPr>
            </w:r>
          </w:p>
        </w:tc>
      </w:tr>
      <w:tr>
        <w:trPr/>
        <w:tc>
          <w:tcPr>
            <w:tcW w:w="1447"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sz w:val="20"/>
              </w:rPr>
            </w:pPr>
            <w:r>
              <w:rPr>
                <w:rFonts w:ascii="Times New Roman" w:hAnsi="Times New Roman"/>
                <w:color w:val="000000"/>
                <w:sz w:val="20"/>
              </w:rPr>
              <w:t>Expansion Lease</w:t>
              <w:br/>
            </w:r>
            <w:r>
              <w:rPr>
                <w:rFonts w:ascii="Times New Roman" w:hAnsi="Times New Roman"/>
                <w:color w:val="000000"/>
                <w:sz w:val="20"/>
                <w:u w:val="single"/>
              </w:rPr>
              <w:t>Year</w:t>
            </w:r>
            <w:r>
              <w:rPr>
                <w:rFonts w:ascii="Times New Roman" w:hAnsi="Times New Roman"/>
                <w:color w:val="000000"/>
                <w:sz w:val="20"/>
              </w:rPr>
              <w:t>*</w:t>
            </w:r>
          </w:p>
        </w:tc>
        <w:tc>
          <w:tcPr>
            <w:tcW w:w="1529"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u w:val="single"/>
              </w:rPr>
            </w:pPr>
            <w:r>
              <w:rPr>
                <w:rFonts w:ascii="Times New Roman" w:hAnsi="Times New Roman"/>
                <w:color w:val="000000"/>
                <w:sz w:val="20"/>
                <w:u w:val="single"/>
              </w:rPr>
              <w:t>Annual Base Rent</w:t>
            </w:r>
          </w:p>
        </w:tc>
        <w:tc>
          <w:tcPr>
            <w:tcW w:w="2672"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sz w:val="20"/>
              </w:rPr>
            </w:pPr>
            <w:r>
              <w:rPr>
                <w:rFonts w:ascii="Times New Roman" w:hAnsi="Times New Roman"/>
                <w:color w:val="000000"/>
                <w:sz w:val="20"/>
              </w:rPr>
              <w:t xml:space="preserve">Monthly Installment </w:t>
            </w:r>
            <w:r>
              <w:rPr>
                <w:rFonts w:ascii="Times New Roman" w:hAnsi="Times New Roman"/>
                <w:color w:val="000000"/>
                <w:sz w:val="20"/>
                <w:u w:val="single"/>
              </w:rPr>
              <w:t>of Base Rent</w:t>
            </w:r>
          </w:p>
        </w:tc>
        <w:tc>
          <w:tcPr>
            <w:tcW w:w="4557"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sz w:val="20"/>
              </w:rPr>
            </w:pPr>
            <w:r>
              <w:rPr>
                <w:rFonts w:ascii="Times New Roman" w:hAnsi="Times New Roman"/>
                <w:color w:val="000000"/>
                <w:sz w:val="20"/>
              </w:rPr>
              <w:t xml:space="preserve">Approximate Monthly Base Rent per </w:t>
            </w:r>
            <w:r>
              <w:rPr>
                <w:rFonts w:ascii="Times New Roman" w:hAnsi="Times New Roman"/>
                <w:color w:val="000000"/>
                <w:sz w:val="20"/>
                <w:u w:val="single"/>
              </w:rPr>
              <w:t>Rentable Square Foot</w:t>
            </w:r>
          </w:p>
        </w:tc>
      </w:tr>
      <w:tr>
        <w:trPr/>
        <w:tc>
          <w:tcPr>
            <w:tcW w:w="1447"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0"/>
              </w:rPr>
            </w:pPr>
            <w:r>
              <w:rPr>
                <w:rFonts w:ascii="Times New Roman" w:hAnsi="Times New Roman"/>
                <w:color w:val="000000"/>
                <w:sz w:val="20"/>
              </w:rPr>
              <w:t>1</w:t>
            </w:r>
          </w:p>
        </w:tc>
        <w:tc>
          <w:tcPr>
            <w:tcW w:w="1529"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$240,855.36</w:t>
            </w:r>
          </w:p>
        </w:tc>
        <w:tc>
          <w:tcPr>
            <w:tcW w:w="2672"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$20,071.28</w:t>
            </w:r>
          </w:p>
        </w:tc>
        <w:tc>
          <w:tcPr>
            <w:tcW w:w="4557"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$0.89</w:t>
            </w:r>
          </w:p>
        </w:tc>
      </w:tr>
      <w:tr>
        <w:trPr/>
        <w:tc>
          <w:tcPr>
            <w:tcW w:w="1447"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0"/>
              </w:rPr>
            </w:pPr>
            <w:r>
              <w:rPr>
                <w:rFonts w:ascii="Times New Roman" w:hAnsi="Times New Roman"/>
                <w:color w:val="000000"/>
                <w:sz w:val="20"/>
              </w:rPr>
              <w:t>2</w:t>
            </w:r>
          </w:p>
        </w:tc>
        <w:tc>
          <w:tcPr>
            <w:tcW w:w="1529"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$335,573.76</w:t>
            </w:r>
          </w:p>
        </w:tc>
        <w:tc>
          <w:tcPr>
            <w:tcW w:w="2672"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$27,964.48</w:t>
            </w:r>
          </w:p>
        </w:tc>
        <w:tc>
          <w:tcPr>
            <w:tcW w:w="4557"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$1.24</w:t>
            </w:r>
          </w:p>
        </w:tc>
      </w:tr>
      <w:tr>
        <w:trPr/>
        <w:tc>
          <w:tcPr>
            <w:tcW w:w="1447"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0"/>
              </w:rPr>
            </w:pPr>
            <w:r>
              <w:rPr>
                <w:rFonts w:ascii="Times New Roman" w:hAnsi="Times New Roman"/>
                <w:color w:val="000000"/>
                <w:sz w:val="20"/>
              </w:rPr>
              <w:t>3</w:t>
            </w:r>
          </w:p>
        </w:tc>
        <w:tc>
          <w:tcPr>
            <w:tcW w:w="1529"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$552,072.96</w:t>
            </w:r>
          </w:p>
        </w:tc>
        <w:tc>
          <w:tcPr>
            <w:tcW w:w="2672"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$46,006.08</w:t>
            </w:r>
          </w:p>
        </w:tc>
        <w:tc>
          <w:tcPr>
            <w:tcW w:w="4557"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$2.04</w:t>
            </w:r>
          </w:p>
        </w:tc>
      </w:tr>
      <w:tr>
        <w:trPr/>
        <w:tc>
          <w:tcPr>
            <w:tcW w:w="1447"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0"/>
              </w:rPr>
            </w:pPr>
            <w:r>
              <w:rPr>
                <w:rFonts w:ascii="Times New Roman" w:hAnsi="Times New Roman"/>
                <w:color w:val="000000"/>
                <w:sz w:val="20"/>
              </w:rPr>
              <w:t>4</w:t>
            </w:r>
          </w:p>
        </w:tc>
        <w:tc>
          <w:tcPr>
            <w:tcW w:w="1529"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$646,791.36</w:t>
            </w:r>
          </w:p>
        </w:tc>
        <w:tc>
          <w:tcPr>
            <w:tcW w:w="2672"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$53,899.28</w:t>
            </w:r>
          </w:p>
        </w:tc>
        <w:tc>
          <w:tcPr>
            <w:tcW w:w="4557"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$2.39</w:t>
            </w:r>
          </w:p>
        </w:tc>
      </w:tr>
      <w:tr>
        <w:trPr/>
        <w:tc>
          <w:tcPr>
            <w:tcW w:w="1447"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0"/>
              </w:rPr>
            </w:pPr>
            <w:r>
              <w:rPr>
                <w:rFonts w:ascii="Times New Roman" w:hAnsi="Times New Roman"/>
                <w:color w:val="000000"/>
                <w:sz w:val="20"/>
              </w:rPr>
              <w:t>5</w:t>
            </w:r>
          </w:p>
        </w:tc>
        <w:tc>
          <w:tcPr>
            <w:tcW w:w="1529"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$660,322.56</w:t>
            </w:r>
          </w:p>
        </w:tc>
        <w:tc>
          <w:tcPr>
            <w:tcW w:w="2672"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$55,026.88</w:t>
            </w:r>
          </w:p>
        </w:tc>
        <w:tc>
          <w:tcPr>
            <w:tcW w:w="4557"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$2.44</w:t>
            </w:r>
          </w:p>
        </w:tc>
      </w:tr>
      <w:tr>
        <w:trPr/>
        <w:tc>
          <w:tcPr>
            <w:tcW w:w="1447"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0"/>
              </w:rPr>
            </w:pPr>
            <w:r>
              <w:rPr>
                <w:rFonts w:ascii="Times New Roman" w:hAnsi="Times New Roman"/>
                <w:color w:val="000000"/>
                <w:sz w:val="20"/>
              </w:rPr>
              <w:t>6</w:t>
            </w:r>
          </w:p>
        </w:tc>
        <w:tc>
          <w:tcPr>
            <w:tcW w:w="1529"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$687,384.96</w:t>
            </w:r>
          </w:p>
        </w:tc>
        <w:tc>
          <w:tcPr>
            <w:tcW w:w="2672"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$57,282.08</w:t>
            </w:r>
          </w:p>
        </w:tc>
        <w:tc>
          <w:tcPr>
            <w:tcW w:w="4557"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$2.54</w:t>
            </w:r>
          </w:p>
        </w:tc>
      </w:tr>
    </w:tbl>
    <w:p>
      <w:pPr>
        <w:pStyle w:val="TextBody"/>
        <w:bidi w:val="0"/>
        <w:spacing w:before="0" w:after="240"/>
        <w:jc w:val="both"/>
        <w:rPr>
          <w:rFonts w:ascii="Times New Roman" w:hAnsi="Times New Roman"/>
          <w:sz w:val="20"/>
        </w:rPr>
      </w:pPr>
      <w:r>
        <w:rPr>
          <w:rFonts w:ascii="Times New Roman" w:hAnsi="Times New Roman"/>
          <w:color w:val="000000"/>
          <w:sz w:val="20"/>
        </w:rPr>
        <w:t>* For purposes of this Second Amendment, the term “</w:t>
      </w:r>
      <w:r>
        <w:rPr>
          <w:rFonts w:ascii="Times New Roman" w:hAnsi="Times New Roman"/>
          <w:b/>
          <w:color w:val="000000"/>
          <w:sz w:val="20"/>
        </w:rPr>
        <w:t>Expansion Lease Year</w:t>
      </w:r>
      <w:r>
        <w:rPr>
          <w:rFonts w:ascii="Times New Roman" w:hAnsi="Times New Roman"/>
          <w:color w:val="000000"/>
          <w:sz w:val="20"/>
        </w:rPr>
        <w:t>” shall mean each consecutive twelve (12) month period during the Expansion Term; provided, however, that the first (1st) Expansion Lease Year shall commence on the Expansion Commencement Date and end on the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last day of the month in which the first anniversary of the Expansion Commencement Date occurs (or if the Expansion Commencement Date is the first (1st) day of a calendar month, then the first (1st) Expansion Lease Year shall commence on the Expansion Commencement Date and end on the day immediately preceding the first (1st) anniversary of the Expansion Commencement Date), and further provided that the last Expansion Lease Year shall end on the New Expiration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240"/>
        <w:jc w:val="both"/>
        <w:rPr/>
      </w:pPr>
      <w:r>
        <w:rPr>
          <w:rFonts w:ascii="Times New Roman" w:hAnsi="Times New Roman"/>
          <w:b/>
          <w:color w:val="000000"/>
          <w:sz w:val="20"/>
          <w:u w:val="single"/>
        </w:rPr>
        <w:t>Tenant’s Share of Building Direct Expenses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6.1.</w:t>
      </w:r>
    </w:p>
    <w:p>
      <w:pPr>
        <w:pStyle w:val="TextBody"/>
        <w:bidi w:val="0"/>
        <w:spacing w:before="0" w:after="240"/>
        <w:jc w:val="both"/>
        <w:rPr/>
      </w:pPr>
      <w:r>
        <w:rPr>
          <w:rFonts w:ascii="Times New Roman" w:hAnsi="Times New Roman"/>
          <w:b/>
          <w:color w:val="000000"/>
          <w:sz w:val="20"/>
          <w:u w:val="single"/>
        </w:rPr>
        <w:t>Existing Premises</w:t>
      </w:r>
      <w:r>
        <w:rPr>
          <w:rFonts w:ascii="Times New Roman" w:hAnsi="Times New Roman"/>
          <w:color w:val="000000"/>
          <w:sz w:val="20"/>
        </w:rPr>
        <w:t>. Tenant shall continue to pay Tenant’s Share of Direct Expenses arising or accruing prior the Expansion Commencement Date in connection with the Existing Premises in accordance with the terms of the Lease.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6.2.</w:t>
      </w:r>
    </w:p>
    <w:p>
      <w:pPr>
        <w:pStyle w:val="TextBody"/>
        <w:bidi w:val="0"/>
        <w:spacing w:before="0" w:after="240"/>
        <w:jc w:val="both"/>
        <w:rPr/>
      </w:pPr>
      <w:r>
        <w:rPr>
          <w:rFonts w:ascii="Times New Roman" w:hAnsi="Times New Roman"/>
          <w:b/>
          <w:color w:val="000000"/>
          <w:sz w:val="20"/>
          <w:u w:val="single"/>
        </w:rPr>
        <w:t>Expansion Premises</w:t>
      </w:r>
      <w:r>
        <w:rPr>
          <w:rFonts w:ascii="Times New Roman" w:hAnsi="Times New Roman"/>
          <w:color w:val="000000"/>
          <w:sz w:val="20"/>
        </w:rPr>
        <w:t>. Commencing on the Expansion Commencement Date, and continuing throughout the Expansion Term, Tenant shall pay Tenant’s Share of Direct Expenses in connection with the Expansion Premises in accordance with the terms of the Lease, provided that with respect to the calculation of Tenant’s Share of Direct Expenses in connection with the Expansion Premises, Tenant’s Share shall equal 51.99%.</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240"/>
        <w:jc w:val="both"/>
        <w:rPr/>
      </w:pPr>
      <w:r>
        <w:rPr>
          <w:rFonts w:ascii="Times New Roman" w:hAnsi="Times New Roman"/>
          <w:b/>
          <w:color w:val="000000"/>
          <w:sz w:val="20"/>
          <w:u w:val="single"/>
        </w:rPr>
        <w:t>Expansion Improvements</w:t>
      </w:r>
      <w:r>
        <w:rPr>
          <w:rFonts w:ascii="Times New Roman" w:hAnsi="Times New Roman"/>
          <w:color w:val="000000"/>
          <w:sz w:val="20"/>
        </w:rPr>
        <w:t>. Except as specifically set forth herein, Landlord shall not be obligated to provide or pay for any improvement work or services related to the improvement of the Existing Premises or the Expansion Premises, and Tenant shall continue to accept the Existing Premises, and accept the Expansion Premises in their presently existing, “as- is” condition. Notwithstanding the foregoing, Landlord shall provide Tenant with the Tenant Improvement Allowance and Tenant shall construct the improvements in the Expansion Premises pursuant to the terms of the Tenant Work Letter.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8.</w:t>
      </w:r>
    </w:p>
    <w:p>
      <w:pPr>
        <w:pStyle w:val="TextBody"/>
        <w:bidi w:val="0"/>
        <w:spacing w:before="0" w:after="240"/>
        <w:jc w:val="both"/>
        <w:rPr/>
      </w:pPr>
      <w:r>
        <w:rPr>
          <w:rFonts w:ascii="Times New Roman" w:hAnsi="Times New Roman"/>
          <w:b/>
          <w:color w:val="000000"/>
          <w:sz w:val="20"/>
          <w:u w:val="single"/>
        </w:rPr>
        <w:t>Broker</w:t>
      </w:r>
      <w:r>
        <w:rPr>
          <w:rFonts w:ascii="Times New Roman" w:hAnsi="Times New Roman"/>
          <w:color w:val="000000"/>
          <w:sz w:val="20"/>
        </w:rPr>
        <w:t>. Landlord and Tenant hereby warrant to each other that they have had no dealings with any real estate broker or agent in connection with the negotiation of this Second Amendment other than Cresa and CBRE (the “</w:t>
      </w:r>
      <w:r>
        <w:rPr>
          <w:rFonts w:ascii="Times New Roman" w:hAnsi="Times New Roman"/>
          <w:b/>
          <w:color w:val="000000"/>
          <w:sz w:val="20"/>
        </w:rPr>
        <w:t>Brokers</w:t>
      </w:r>
      <w:r>
        <w:rPr>
          <w:color w:val="000000"/>
        </w:rPr>
        <w:t>”</w:t>
      </w:r>
      <w:r>
        <w:rPr>
          <w:rFonts w:ascii="Times New Roman" w:hAnsi="Times New Roman"/>
          <w:color w:val="000000"/>
          <w:sz w:val="20"/>
        </w:rPr>
        <w:t xml:space="preserve">), and that they know of no other real estate broker or agent who is entitled to a commission in connection with this Second Amendment. Each party agrees to indemnify and defend the other party against and hold the other party harmless from and against any and all claims, demands, losses, liabilities, lawsuits, judgments, and costs and expenses (including, without limitation, reasonable attorneys’ fees) with respect to any leasing commission or equivalent compensation alleged to be owing on account of the indemnifying party’s dealings with any real estate broker or agent, other than the Brokers, occurring by, through, or under the indemnifying party. The terms of this </w:t>
      </w:r>
      <w:r>
        <w:rPr>
          <w:rFonts w:ascii="Times New Roman" w:hAnsi="Times New Roman"/>
          <w:color w:val="000000"/>
          <w:sz w:val="20"/>
          <w:u w:val="single"/>
        </w:rPr>
        <w:t>Section 8</w:t>
      </w:r>
      <w:r>
        <w:rPr>
          <w:color w:val="000000"/>
        </w:rPr>
        <w:t xml:space="preserve"> </w:t>
      </w:r>
      <w:r>
        <w:rPr>
          <w:rFonts w:ascii="Times New Roman" w:hAnsi="Times New Roman"/>
          <w:color w:val="000000"/>
          <w:sz w:val="20"/>
        </w:rPr>
        <w:t>shall survive the expiration or earlier termination of the term of the Lease, as hereby amended.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w:t>
      </w:r>
    </w:p>
    <w:p>
      <w:pPr>
        <w:pStyle w:val="TextBody"/>
        <w:bidi w:val="0"/>
        <w:spacing w:before="0" w:after="240"/>
        <w:jc w:val="both"/>
        <w:rPr/>
      </w:pPr>
      <w:r>
        <w:rPr>
          <w:rFonts w:ascii="Times New Roman" w:hAnsi="Times New Roman"/>
          <w:b/>
          <w:color w:val="000000"/>
          <w:sz w:val="20"/>
          <w:u w:val="single"/>
        </w:rPr>
        <w:t>Parking</w:t>
      </w:r>
      <w:r>
        <w:rPr>
          <w:rFonts w:ascii="Times New Roman" w:hAnsi="Times New Roman"/>
          <w:color w:val="000000"/>
          <w:sz w:val="20"/>
        </w:rPr>
        <w:t>. In addition to Tenant’s parking rights set forth in the Lease, effective as of the Expansion Commencement Date and continuing throughout the entire Expansion Term, in connection with Tenant’s lease of the Expansion Premises, Tenant shall have the right, but not the obligation, to use up to twenty-nine (29) unreserved parking spaces at the parking facilities of Landlord’s neighboring office/laboratory project currently known as “Torrey Pines Science Park” and sixty-one (61) reserved parking spaces at the Building parking facilities, subject to the terms of Article 28 of the Lease.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w:t>
      </w:r>
    </w:p>
    <w:p>
      <w:pPr>
        <w:pStyle w:val="TextBody"/>
        <w:bidi w:val="0"/>
        <w:spacing w:before="0" w:after="240"/>
        <w:jc w:val="both"/>
        <w:rPr/>
      </w:pPr>
      <w:r>
        <w:rPr>
          <w:rFonts w:ascii="Times New Roman" w:hAnsi="Times New Roman"/>
          <w:b/>
          <w:color w:val="000000"/>
          <w:sz w:val="20"/>
          <w:u w:val="single"/>
        </w:rPr>
        <w:t>Security Deposit</w:t>
      </w:r>
      <w:r>
        <w:rPr>
          <w:rFonts w:ascii="Times New Roman" w:hAnsi="Times New Roman"/>
          <w:color w:val="000000"/>
          <w:sz w:val="20"/>
        </w:rPr>
        <w:t xml:space="preserve">. Notwithstanding anything in the Lease to the contrary, the Security Deposit held by Landlord pursuant to the Lease, as amended hereby, shall equal One Hundred Fifty-Four Thousand Ninety-Five and 92/100 Dollars ($154,095.92). Landlord and Tenant acknowledge that, in accordance with </w:t>
      </w:r>
      <w:r>
        <w:rPr>
          <w:rFonts w:ascii="Times New Roman" w:hAnsi="Times New Roman"/>
          <w:color w:val="000000"/>
          <w:sz w:val="20"/>
          <w:u w:val="single"/>
        </w:rPr>
        <w:t>Article 21</w:t>
      </w:r>
      <w:r>
        <w:rPr>
          <w:color w:val="000000"/>
        </w:rPr>
        <w:t xml:space="preserve"> </w:t>
      </w:r>
      <w:r>
        <w:rPr>
          <w:rFonts w:ascii="Times New Roman" w:hAnsi="Times New Roman"/>
          <w:color w:val="000000"/>
          <w:sz w:val="20"/>
        </w:rPr>
        <w:t>of the Lease, Tenant has previously delivered the sum of Ninety-Six Thousand Eight Hundred Thirteen and 84/100 Dollars ($96,813.84) (the “</w:t>
      </w:r>
      <w:r>
        <w:rPr>
          <w:rFonts w:ascii="Times New Roman" w:hAnsi="Times New Roman"/>
          <w:b/>
          <w:color w:val="000000"/>
          <w:sz w:val="20"/>
        </w:rPr>
        <w:t>Existing Security Deposit</w:t>
      </w:r>
      <w:r>
        <w:rPr>
          <w:color w:val="000000"/>
        </w:rPr>
        <w:t>”</w:t>
      </w:r>
      <w:r>
        <w:rPr>
          <w:rFonts w:ascii="Times New Roman" w:hAnsi="Times New Roman"/>
          <w:color w:val="000000"/>
          <w:sz w:val="20"/>
        </w:rPr>
        <w:t>) to Landlord as security for the faithful performance by Tenant of the terms, covenants and conditions of the Lease. Concurrently with Tenant’s execution of this Second Amendment, Tenant shall deposit with Landlord an amount equal to Fifty-Seven Thousand Two Hundred Eighty-Two and 08/100 Dollars ($57,282.08) to be held by Landlord as a part of the Security Deposit. To the extent that the total amount held by Landlord at any time as security for the Lease, as hereby amended, is less than One Hundred Fifty-Four Thousand Ninety-Five and 92/100 Dollars ($154,095.92), Tenant shall pay the difference to Landlord within ten (10) days following Tenant’s receipt of notice thereof from Landlord.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11.</w:t>
      </w:r>
    </w:p>
    <w:p>
      <w:pPr>
        <w:pStyle w:val="TextBody"/>
        <w:bidi w:val="0"/>
        <w:spacing w:before="0" w:after="240"/>
        <w:jc w:val="both"/>
        <w:rPr/>
      </w:pPr>
      <w:r>
        <w:rPr>
          <w:rFonts w:ascii="Times New Roman" w:hAnsi="Times New Roman"/>
          <w:b/>
          <w:color w:val="000000"/>
          <w:sz w:val="20"/>
          <w:u w:val="single"/>
        </w:rPr>
        <w:t>Statutory Disclosure and Related Terms</w:t>
      </w:r>
      <w:r>
        <w:rPr>
          <w:rFonts w:ascii="Times New Roman" w:hAnsi="Times New Roman"/>
          <w:color w:val="000000"/>
          <w:sz w:val="20"/>
        </w:rPr>
        <w:t xml:space="preserve">. For purposes of Section 1938(a) of the California Civil Code, Landlord hereby discloses to Tenant, and Tenant hereby acknowledges, that the Expansion Premises have not undergone inspection by a Certified Access Specialist (CASp). As required by Section 1938(e) of the California Civil Code, Landlord hereby states as follows: “A Certified Access Specialist (CASp) can inspect the subject Expansion Premises and determine whether the subject Expansion Premises comply with all of the applicable construction-related accessibility standards under state law. Although state law does not require a CASp inspection of the subject Expansion Premises, the commercial property owner or lessor may not prohibit the lessee or tenant from obtaining a CASp inspection of the subject Expansion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Expansion Premises.” In furtherance of the foregoing, Landlord and Tenant hereby agree as follows: (a) any CASp inspection requested by Tenant shall be conducted, at Tenant’s sole cost and expense, by a CASp approved in advance by Landlord, while any CASp inspection initiated by Landlord shall be conducted, at Landlord’s sole cost and expense, by a CASp designated by Landlord; (b) with respect to improvements or repairs required to correct violations discovered during a CASp inspection initiated by Tenant, pursuant to </w:t>
      </w:r>
      <w:r>
        <w:rPr>
          <w:rFonts w:ascii="Times New Roman" w:hAnsi="Times New Roman"/>
          <w:color w:val="000000"/>
          <w:sz w:val="20"/>
          <w:u w:val="single"/>
        </w:rPr>
        <w:t>Article 24</w:t>
      </w:r>
      <w:r>
        <w:rPr>
          <w:color w:val="000000"/>
        </w:rPr>
        <w:t xml:space="preserve"> </w:t>
      </w:r>
      <w:r>
        <w:rPr>
          <w:rFonts w:ascii="Times New Roman" w:hAnsi="Times New Roman"/>
          <w:color w:val="000000"/>
          <w:sz w:val="20"/>
        </w:rPr>
        <w:t xml:space="preserve">of the Lease, Tenant, at its sole cost and expense, shall be responsible for making any improvements or repairs within the Expansion Premises to correct violations of construction-related accessibility standards; and (c) if anything done by or for Tenant in its use or occupancy of the Expansion Premises shall require any improvements or repairs to the Building or Project (outside the Expansion Premises) to correct violations of construction-related accessibility standards, then Tenant shall, at Landlord’s option, either perform such repairs at Tenant’s sole cost and expense or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reimburse Landlord upon demand, as Additional Rent, for the cost to Landlord of performing such repairs, provided that Landlord shall be solely responsible for the costs of performing such improvements or repairs to correct such violations of construction-related accessibility standards if such violations were discovered during a CASp inspection initiated by Landlord. The terms of this Section 11 do not amend or reduce the obligations of Landlord and Tenant set forth in Article 24 of the Lease regarding compliance with Applicable Laws, but apply solely to the obligations of Landlord and Tenant in connection with Tenant’s election to conduct a CASp inspection hereunder.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Further Modification. Except as set forth in this Second Amendment, all of the terms and provisions of the Lease shall apply with respect to the Expansion Premises and shall remain unmodified and in full force and effect.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[signatures follow on next page]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WITNESS WHEREOF, this Second Amendment has been executed as of the day and year first above written.</w:t>
      </w:r>
    </w:p>
    <w:tbl>
      <w:tblPr>
        <w:tblW w:w="6302" w:type="dxa"/>
        <w:jc w:val="left"/>
        <w:tblInd w:w="0" w:type="dxa"/>
        <w:tblLayout w:type="fixed"/>
        <w:tblCellMar>
          <w:top w:w="28" w:type="dxa"/>
          <w:left w:w="28" w:type="dxa"/>
          <w:bottom w:w="28" w:type="dxa"/>
          <w:right w:w="28" w:type="dxa"/>
        </w:tblCellMar>
      </w:tblPr>
      <w:tblGrid>
        <w:gridCol w:w="3136"/>
        <w:gridCol w:w="3166"/>
      </w:tblGrid>
      <w:tr>
        <w:trPr/>
        <w:tc>
          <w:tcPr>
            <w:tcW w:w="3136"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r>
      <w:tr>
        <w:trPr/>
        <w:tc>
          <w:tcPr>
            <w:tcW w:w="3136" w:type="dxa"/>
            <w:tcBorders/>
            <w:tcMar>
              <w:top w:w="0" w:type="dxa"/>
              <w:left w:w="0" w:type="dxa"/>
              <w:bottom w:w="0" w:type="dxa"/>
              <w:right w:w="0" w:type="dxa"/>
            </w:tcMar>
            <w:vAlign w:val="center"/>
          </w:tcPr>
          <w:p>
            <w:pPr>
              <w:pStyle w:val="TableContents"/>
              <w:bidi w:val="0"/>
              <w:spacing w:before="0" w:after="240"/>
              <w:jc w:val="left"/>
              <w:rPr>
                <w:color w:val="000000"/>
              </w:rPr>
            </w:pPr>
            <w:r>
              <w:rPr>
                <w:color w:val="000000"/>
              </w:rPr>
              <w:t>“</w:t>
            </w:r>
            <w:r>
              <w:rPr>
                <w:rFonts w:ascii="Times New Roman" w:hAnsi="Times New Roman"/>
                <w:color w:val="000000"/>
                <w:sz w:val="20"/>
              </w:rPr>
              <w:t>LANDLORD”</w:t>
            </w:r>
          </w:p>
        </w:tc>
        <w:tc>
          <w:tcPr>
            <w:tcW w:w="3166" w:type="dxa"/>
            <w:tcBorders/>
            <w:tcMar>
              <w:top w:w="0" w:type="dxa"/>
              <w:left w:w="0" w:type="dxa"/>
              <w:bottom w:w="0" w:type="dxa"/>
              <w:right w:w="0" w:type="dxa"/>
            </w:tcMar>
            <w:vAlign w:val="center"/>
          </w:tcPr>
          <w:p>
            <w:pPr>
              <w:pStyle w:val="TableContents"/>
              <w:bidi w:val="0"/>
              <w:spacing w:before="0" w:after="240"/>
              <w:jc w:val="left"/>
              <w:rPr>
                <w:color w:val="000000"/>
              </w:rPr>
            </w:pPr>
            <w:r>
              <w:rPr>
                <w:color w:val="000000"/>
              </w:rPr>
              <w:t>“</w:t>
            </w:r>
            <w:r>
              <w:rPr>
                <w:rFonts w:ascii="Times New Roman" w:hAnsi="Times New Roman"/>
                <w:color w:val="000000"/>
                <w:sz w:val="20"/>
              </w:rPr>
              <w:t>TENANT”</w:t>
            </w:r>
          </w:p>
        </w:tc>
      </w:tr>
      <w:tr>
        <w:trPr/>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HCP TORREYANA, LLC,</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BIOATLA, LLC,</w:t>
            </w:r>
          </w:p>
        </w:tc>
      </w:tr>
      <w:tr>
        <w:trPr/>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Delaware limited liability company</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Delaware limited liability company</w:t>
            </w:r>
          </w:p>
        </w:tc>
      </w:tr>
      <w:tr>
        <w:trPr/>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Michael Dorris</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Jay Short</w:t>
            </w:r>
          </w:p>
        </w:tc>
      </w:tr>
      <w:tr>
        <w:trPr/>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Michael Dorris</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Jay Short</w:t>
            </w:r>
          </w:p>
        </w:tc>
      </w:tr>
      <w:tr>
        <w:trPr/>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Its: Vice President</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Its: Chairman &amp; CEO</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b/>
          <w:caps/>
          <w:color w:val="000000"/>
          <w:sz w:val="20"/>
          <w:u w:val="single"/>
        </w:rPr>
      </w:pPr>
      <w:r>
        <w:rPr>
          <w:rFonts w:ascii="Times New Roman" w:hAnsi="Times New Roman"/>
          <w:b/>
          <w:caps/>
          <w:color w:val="000000"/>
          <w:sz w:val="20"/>
          <w:u w:val="single"/>
        </w:rPr>
        <w:t>EXHIBIT A</w:t>
      </w:r>
    </w:p>
    <w:p>
      <w:pPr>
        <w:pStyle w:val="TextBody"/>
        <w:bidi w:val="0"/>
        <w:spacing w:before="0" w:after="480"/>
        <w:jc w:val="center"/>
        <w:rPr>
          <w:rFonts w:ascii="Times New Roman" w:hAnsi="Times New Roman"/>
          <w:b/>
          <w:caps/>
          <w:color w:val="000000"/>
          <w:sz w:val="20"/>
          <w:u w:val="single"/>
        </w:rPr>
      </w:pPr>
      <w:r>
        <w:rPr>
          <w:rFonts w:ascii="Times New Roman" w:hAnsi="Times New Roman"/>
          <w:b/>
          <w:caps/>
          <w:color w:val="000000"/>
          <w:sz w:val="20"/>
          <w:u w:val="single"/>
        </w:rPr>
        <w:t>OUTLINE OF EXPANSION PREMISES</w:t>
      </w:r>
    </w:p>
    <w:p>
      <w:pPr>
        <w:pStyle w:val="TextBody"/>
        <w:bidi w:val="0"/>
        <w:spacing w:before="0" w:after="720"/>
        <w:jc w:val="center"/>
        <w:rPr/>
      </w:pPr>
      <w:r>
        <w:rPr/>
        <w:drawing>
          <wp:inline distT="0" distB="0" distL="0" distR="0">
            <wp:extent cx="3686175" cy="4743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86175" cy="4743450"/>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b/>
          <w:caps/>
          <w:color w:val="000000"/>
          <w:sz w:val="20"/>
          <w:u w:val="single"/>
        </w:rPr>
      </w:pPr>
      <w:r>
        <w:rPr>
          <w:rFonts w:ascii="Times New Roman" w:hAnsi="Times New Roman"/>
          <w:b/>
          <w:caps/>
          <w:color w:val="000000"/>
          <w:sz w:val="20"/>
          <w:u w:val="single"/>
        </w:rPr>
        <w:t>EXHIBIT B</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TENANT WORK LETTER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Tenant Work Letter shall set forth the terms and conditions relating to the initial improvement of the Expansion Premises for Tenant following the date of this Second Amendment. This Tenant Work Letter is essentially organized chronologically and addresses the issues of construction, in sequence, as such issues will arise during construction in the Expansion Premises.</w:t>
      </w:r>
    </w:p>
    <w:p>
      <w:pPr>
        <w:pStyle w:val="TextBody"/>
        <w:bidi w:val="0"/>
        <w:spacing w:before="0" w:after="240"/>
        <w:jc w:val="center"/>
        <w:rPr>
          <w:rFonts w:ascii="Times New Roman" w:hAnsi="Times New Roman"/>
          <w:b/>
          <w:caps/>
          <w:color w:val="000000"/>
          <w:sz w:val="20"/>
          <w:u w:val="single"/>
        </w:rPr>
      </w:pPr>
      <w:r>
        <w:rPr>
          <w:rFonts w:ascii="Times New Roman" w:hAnsi="Times New Roman"/>
          <w:b/>
          <w:caps/>
          <w:color w:val="000000"/>
          <w:sz w:val="20"/>
          <w:u w:val="single"/>
        </w:rPr>
        <w:t>SECTION 1</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br/>
        <w:br/>
        <w:t>CONDITION OF EXPANSION PREMISES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Tenant acknowledges that except as provided below, Tenant shall accept the Expansion Premises in their existing, “as-is” condition on the date of delivery thereof to Tenant. Except for the payment of the Tenant Improvement Allowance as provided in </w:t>
      </w:r>
      <w:r>
        <w:rPr>
          <w:rFonts w:ascii="Times New Roman" w:hAnsi="Times New Roman"/>
          <w:color w:val="000000"/>
          <w:sz w:val="20"/>
          <w:u w:val="single"/>
        </w:rPr>
        <w:t>Section 2</w:t>
      </w:r>
      <w:r>
        <w:rPr>
          <w:rFonts w:ascii="Times New Roman" w:hAnsi="Times New Roman"/>
          <w:color w:val="000000"/>
          <w:sz w:val="20"/>
        </w:rPr>
        <w:t>, below, Landlord shall have no obligation to make or pay for any improvements to the Expansion Premises. Notwithstanding anything set forth in this Second Amendment to the contrary (but without limiting any other repair and maintenance obligations of Landlord that are expressly set forth in the Lease, as amended), upon the Expansion Commencement Date, Landlord shall cause (i) the Base Building to be in good working condition and repair, (ii) the Base Building and the Common Area to be compliant with Applicable Laws which were enacted and enforced as of the Lease Commencement Date to the extent necessary to obtain or maintain a certificate of occupancy (or its legal equivalent) for the Expansion Premises for general office use (collectively, the “</w:t>
      </w:r>
      <w:r>
        <w:rPr>
          <w:rFonts w:ascii="Times New Roman" w:hAnsi="Times New Roman"/>
          <w:b/>
          <w:color w:val="000000"/>
          <w:sz w:val="20"/>
        </w:rPr>
        <w:t>Delivery Conditions</w:t>
      </w:r>
      <w:r>
        <w:rPr>
          <w:rFonts w:ascii="Times New Roman" w:hAnsi="Times New Roman"/>
          <w:color w:val="000000"/>
          <w:sz w:val="20"/>
        </w:rPr>
        <w:t>”). Further, Landlord shall, at Landlord’s sole cost and expense (which shall not be deemed an Operating Expense), make such repairs or replacements as necessary to satisfy the Delivery Conditions; provided that Tenant delivers written notice thereof to Landlord prior to the date that occurs thirty (30) days following Tenant’s occupancy of the Expansion Premises for the Permitted Use; and provided further that any such repair, replacement or work was not caused by the misuse, misconduct, damage, destruction, omissions, and/or negligence (collectively, “</w:t>
      </w:r>
      <w:r>
        <w:rPr>
          <w:rFonts w:ascii="Times New Roman" w:hAnsi="Times New Roman"/>
          <w:b/>
          <w:color w:val="000000"/>
          <w:sz w:val="20"/>
        </w:rPr>
        <w:t>Tenant Damage</w:t>
      </w:r>
      <w:r>
        <w:rPr>
          <w:rFonts w:ascii="Times New Roman" w:hAnsi="Times New Roman"/>
          <w:color w:val="000000"/>
          <w:sz w:val="20"/>
        </w:rPr>
        <w:t xml:space="preserve">”) of Tenant, its subtenants and/or assignees, if any, or any company which is acquired, sold or merged with Tenant, or by any modifications to the Tenant Improvements, Alterations, or other improvements constructed by or on behalf of Tenant. To the extent the Base Building is not in the Delivery Condition upon the Expansion Commencement Date as a result of Tenant Damage, then Tenant shall reimburse Landlord for an equitable proportion of the reasonable cost of such repair. If (1) it is determined that the Base Building was not in the Delivery Condition upon the Expansion Commencement Date, and (2) Tenant delivers written notice thereof to Landlord prior to the date that occurs thirty (30) days following Tenant’s occupancy of the Expansion Premises for the Permitted Use, then Landlord shall not be liable to Tenant for any damages, but as Tenant’s sole remedy (but without limiting Tenant’s right to abate Base Rent, Tenant’s Share of Direct Expenses and any parking charges in accordance with the terms and conditions of </w:t>
      </w:r>
      <w:r>
        <w:rPr>
          <w:rFonts w:ascii="Times New Roman" w:hAnsi="Times New Roman"/>
          <w:color w:val="000000"/>
          <w:sz w:val="20"/>
          <w:u w:val="single"/>
        </w:rPr>
        <w:t>Section 19.5.2</w:t>
      </w:r>
      <w:r>
        <w:rPr>
          <w:rFonts w:ascii="Times New Roman" w:hAnsi="Times New Roman"/>
          <w:color w:val="000000"/>
          <w:sz w:val="20"/>
        </w:rPr>
        <w:t xml:space="preserve"> of the Lease), Landlord shall, at no cost to Tenant (and which shall not be included in Operating Expenses), subject to the terms and conditions of this </w:t>
      </w:r>
      <w:r>
        <w:rPr>
          <w:rFonts w:ascii="Times New Roman" w:hAnsi="Times New Roman"/>
          <w:color w:val="000000"/>
          <w:sz w:val="20"/>
          <w:u w:val="single"/>
        </w:rPr>
        <w:t>Section 1</w:t>
      </w:r>
      <w:r>
        <w:rPr>
          <w:rFonts w:ascii="Times New Roman" w:hAnsi="Times New Roman"/>
          <w:color w:val="000000"/>
          <w:sz w:val="20"/>
        </w:rPr>
        <w:t xml:space="preserve"> above, promptly commence such work or take such other action as may be necessary to cause the Delivery Conditions to be satisfied, all to the extent not caused by Tenant Damage, and Landlord shall thereafter diligently pursue the same to completion.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b/>
          <w:caps/>
          <w:color w:val="000000"/>
          <w:sz w:val="20"/>
          <w:u w:val="single"/>
        </w:rPr>
      </w:pPr>
      <w:r>
        <w:rPr>
          <w:rFonts w:ascii="Times New Roman" w:hAnsi="Times New Roman"/>
          <w:b/>
          <w:caps/>
          <w:color w:val="000000"/>
          <w:sz w:val="20"/>
          <w:u w:val="single"/>
        </w:rPr>
        <w:t>SECTION 2</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br/>
        <w:br/>
        <w:t>TENANT IMPROVEMENTS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2.1</w:t>
      </w:r>
    </w:p>
    <w:p>
      <w:pPr>
        <w:pStyle w:val="TextBody"/>
        <w:bidi w:val="0"/>
        <w:spacing w:before="0" w:after="240"/>
        <w:jc w:val="both"/>
        <w:rPr/>
      </w:pPr>
      <w:r>
        <w:rPr>
          <w:rFonts w:ascii="Times New Roman" w:hAnsi="Times New Roman"/>
          <w:b/>
          <w:color w:val="000000"/>
          <w:sz w:val="20"/>
          <w:u w:val="single"/>
        </w:rPr>
        <w:t>Tenant Improvement Allowance</w:t>
      </w:r>
      <w:r>
        <w:rPr>
          <w:rFonts w:ascii="Times New Roman" w:hAnsi="Times New Roman"/>
          <w:color w:val="000000"/>
          <w:sz w:val="20"/>
        </w:rPr>
        <w:t>. Tenant shall be entitled to a one-time tenant improvement allowance (the “</w:t>
      </w:r>
      <w:r>
        <w:rPr>
          <w:rFonts w:ascii="Times New Roman" w:hAnsi="Times New Roman"/>
          <w:b/>
          <w:color w:val="000000"/>
          <w:sz w:val="20"/>
        </w:rPr>
        <w:t>Tenant Improvement Allowance</w:t>
      </w:r>
      <w:r>
        <w:rPr>
          <w:color w:val="000000"/>
        </w:rPr>
        <w:t>”</w:t>
      </w:r>
      <w:r>
        <w:rPr>
          <w:rFonts w:ascii="Times New Roman" w:hAnsi="Times New Roman"/>
          <w:color w:val="000000"/>
          <w:sz w:val="20"/>
        </w:rPr>
        <w:t xml:space="preserve">) in the amount of Three Hundred Thousand and No/100 Dollars ($300,000.00), for the costs relating to the initial design and construction of Tenant’s improvements, which are permanently affixed to the Expansion Premises or which are “Tenant Improvement Allowance Items,” as that term is defined in </w:t>
      </w:r>
      <w:r>
        <w:rPr>
          <w:rFonts w:ascii="Times New Roman" w:hAnsi="Times New Roman"/>
          <w:color w:val="000000"/>
          <w:sz w:val="20"/>
          <w:u w:val="single"/>
        </w:rPr>
        <w:t>Section 2.2.1</w:t>
      </w:r>
      <w:r>
        <w:rPr>
          <w:rFonts w:ascii="Times New Roman" w:hAnsi="Times New Roman"/>
          <w:color w:val="000000"/>
          <w:sz w:val="20"/>
        </w:rPr>
        <w:t>, below (collectively, the “</w:t>
      </w:r>
      <w:r>
        <w:rPr>
          <w:rFonts w:ascii="Times New Roman" w:hAnsi="Times New Roman"/>
          <w:b/>
          <w:color w:val="000000"/>
          <w:sz w:val="20"/>
        </w:rPr>
        <w:t>Tenant Improvements</w:t>
      </w:r>
      <w:r>
        <w:rPr>
          <w:color w:val="000000"/>
        </w:rPr>
        <w:t>”</w:t>
      </w:r>
      <w:r>
        <w:rPr>
          <w:rFonts w:ascii="Times New Roman" w:hAnsi="Times New Roman"/>
          <w:color w:val="000000"/>
          <w:sz w:val="20"/>
        </w:rPr>
        <w:t xml:space="preserve">). In no event shall Landlord be obligated to make disbursements pursuant to this Tenant Work Letter or otherwise in connection with Tenant’s construction of the Tenant Improvements or any Tenant Improvement Allowance Items, as defined below, in a total amount which exceeds the sum of the Tenant Improvement Allowance. All Tenant Improvements for which the Tenant Improvement Allowance has been made available shall be deemed Landlord’s property under the terms of the Lease, as amended; provided, however, Landlord may, by written notice to Tenant given concurrently with Landlord’s approval of the “Final Working Drawings”, as that term is defined in </w:t>
      </w:r>
      <w:r>
        <w:rPr>
          <w:rFonts w:ascii="Times New Roman" w:hAnsi="Times New Roman"/>
          <w:color w:val="000000"/>
          <w:sz w:val="20"/>
          <w:u w:val="single"/>
        </w:rPr>
        <w:t>Section 3.3</w:t>
      </w:r>
      <w:r>
        <w:rPr>
          <w:rFonts w:ascii="Times New Roman" w:hAnsi="Times New Roman"/>
          <w:color w:val="000000"/>
          <w:sz w:val="20"/>
        </w:rPr>
        <w:t xml:space="preserve">, below, require Tenant, prior to the end of the Expansion Term, or given following any earlier termination of this Lease, as amended, at Tenant’s expense, to remove any Tenant Improvements which are reasonably be deemed to be Specialty Alterations (as that term is defined in </w:t>
      </w:r>
      <w:r>
        <w:rPr>
          <w:rFonts w:ascii="Times New Roman" w:hAnsi="Times New Roman"/>
          <w:color w:val="000000"/>
          <w:sz w:val="20"/>
          <w:u w:val="single"/>
        </w:rPr>
        <w:t>Section 8.5</w:t>
      </w:r>
      <w:r>
        <w:rPr>
          <w:color w:val="000000"/>
        </w:rPr>
        <w:t xml:space="preserve"> </w:t>
      </w:r>
      <w:r>
        <w:rPr>
          <w:rFonts w:ascii="Times New Roman" w:hAnsi="Times New Roman"/>
          <w:color w:val="000000"/>
          <w:sz w:val="20"/>
        </w:rPr>
        <w:t>of the Lease) and to repair any damage to the Expansion Premises and Building caused by such removal and return the affected portion of the Expansion Premises to a Building standard general office condition. Any portion of the Tenant Improvement Allowance that is not disbursed or allocated for disbursement by the date which is twelve (12) months following the Expansion Commencement Date, shall revert to Landlord and Tenant shall have no further rights with respect thereto.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2.2</w:t>
      </w:r>
    </w:p>
    <w:p>
      <w:pPr>
        <w:pStyle w:val="TextBody"/>
        <w:bidi w:val="0"/>
        <w:spacing w:before="0" w:after="240"/>
        <w:jc w:val="both"/>
        <w:rPr/>
      </w:pPr>
      <w:r>
        <w:rPr>
          <w:rFonts w:ascii="Times New Roman" w:hAnsi="Times New Roman"/>
          <w:b/>
          <w:color w:val="000000"/>
          <w:sz w:val="20"/>
          <w:u w:val="single"/>
        </w:rPr>
        <w:t>Disbursement of the Tenant Improvement Allowance</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2.2.1</w:t>
      </w:r>
    </w:p>
    <w:p>
      <w:pPr>
        <w:pStyle w:val="TextBody"/>
        <w:bidi w:val="0"/>
        <w:spacing w:before="0" w:after="240"/>
        <w:jc w:val="both"/>
        <w:rPr/>
      </w:pPr>
      <w:r>
        <w:rPr>
          <w:rFonts w:ascii="Times New Roman" w:hAnsi="Times New Roman"/>
          <w:b/>
          <w:color w:val="000000"/>
          <w:sz w:val="20"/>
          <w:u w:val="single"/>
        </w:rPr>
        <w:t>Tenant Improvement Allowance Items</w:t>
      </w:r>
      <w:r>
        <w:rPr>
          <w:rFonts w:ascii="Times New Roman" w:hAnsi="Times New Roman"/>
          <w:color w:val="000000"/>
          <w:sz w:val="20"/>
        </w:rPr>
        <w:t>. Except as otherwise set forth in this Tenant Work Letter, the Tenant Improvement Allowance shall be disbursed by Landlord only for the following items and costs (collectively the “</w:t>
      </w:r>
      <w:r>
        <w:rPr>
          <w:rFonts w:ascii="Times New Roman" w:hAnsi="Times New Roman"/>
          <w:b/>
          <w:color w:val="000000"/>
          <w:sz w:val="20"/>
        </w:rPr>
        <w:t>Tenant Improvement Allowance Items</w:t>
      </w:r>
      <w:r>
        <w:rPr>
          <w:color w:val="000000"/>
        </w:rPr>
        <w: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2.2.1.1</w:t>
      </w:r>
    </w:p>
    <w:p>
      <w:pPr>
        <w:pStyle w:val="TextBody"/>
        <w:bidi w:val="0"/>
        <w:spacing w:before="0" w:after="240"/>
        <w:jc w:val="both"/>
        <w:rPr/>
      </w:pPr>
      <w:r>
        <w:rPr>
          <w:rFonts w:ascii="Times New Roman" w:hAnsi="Times New Roman"/>
          <w:color w:val="000000"/>
          <w:sz w:val="20"/>
        </w:rPr>
        <w:t xml:space="preserve">Payment of all reasonable fees of the “Architect” and the “Engineers,” as those terms are defined in </w:t>
      </w:r>
      <w:r>
        <w:rPr>
          <w:rFonts w:ascii="Times New Roman" w:hAnsi="Times New Roman"/>
          <w:color w:val="000000"/>
          <w:sz w:val="20"/>
          <w:u w:val="single"/>
        </w:rPr>
        <w:t>Section 3.1</w:t>
      </w:r>
      <w:r>
        <w:rPr>
          <w:color w:val="000000"/>
        </w:rPr>
        <w:t xml:space="preserve"> </w:t>
      </w:r>
      <w:r>
        <w:rPr>
          <w:rFonts w:ascii="Times New Roman" w:hAnsi="Times New Roman"/>
          <w:color w:val="000000"/>
          <w:sz w:val="20"/>
        </w:rPr>
        <w:t xml:space="preserve">of this Tenant Work Letter, project management fees, and payment of the fees incurred by, and the cost of documents and materials supplied by, Landlord and Landlord’s consultants in connection with the preparation and review of the “Construction Drawings,” as that term is defined in </w:t>
      </w:r>
      <w:r>
        <w:rPr>
          <w:rFonts w:ascii="Times New Roman" w:hAnsi="Times New Roman"/>
          <w:color w:val="000000"/>
          <w:sz w:val="20"/>
          <w:u w:val="single"/>
        </w:rPr>
        <w:t>Section 3.2</w:t>
      </w:r>
      <w:r>
        <w:rPr>
          <w:color w:val="000000"/>
        </w:rPr>
        <w:t xml:space="preserve"> </w:t>
      </w:r>
      <w:r>
        <w:rPr>
          <w:rFonts w:ascii="Times New Roman" w:hAnsi="Times New Roman"/>
          <w:color w:val="000000"/>
          <w:sz w:val="20"/>
        </w:rPr>
        <w:t>of this Tenant Work Letter;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2.2.1.2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payment of plan check, permit and license fees relating to construction of the Tenant Improvements;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2.2.1.3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payment for all demolition and removal of existing improvements in the Expansion Premises;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2.2.1.4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cost of construction of the Tenant Improvements, including, without limitation, testing and inspection costs, costs incurred for removal of existing furniture, fixtures or equipment in the Expansion Premises, hoisting and trash removal costs, costs to purchase and install in the Expansion Premises equipment customarily incorporated into laboratory improvements or laboratory utility systems, including, without limitation, UPS, DI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Systems, boilers, air compressors, glass/cage washers and autoclaves, painting, and contractors’ fees and general conditions;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2.2.1.5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cost of any changes in the Base Building when such changes are required by the Construction Drawings (including if such changes are due to the fact that such work is prepared on an unoccupied basis), such cost to include all direct architectural and/or engineering fees and expenses incurred in connection therewith;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2.2.1.6</w:t>
      </w:r>
    </w:p>
    <w:p>
      <w:pPr>
        <w:pStyle w:val="TextBody"/>
        <w:bidi w:val="0"/>
        <w:spacing w:before="0" w:after="240"/>
        <w:jc w:val="both"/>
        <w:rPr/>
      </w:pPr>
      <w:r>
        <w:rPr>
          <w:rFonts w:ascii="Times New Roman" w:hAnsi="Times New Roman"/>
          <w:color w:val="000000"/>
          <w:sz w:val="20"/>
        </w:rPr>
        <w:t>The cost of any changes to the Construction Drawings or Tenant Improvements required by all applicable building codes (the “</w:t>
      </w:r>
      <w:r>
        <w:rPr>
          <w:rFonts w:ascii="Times New Roman" w:hAnsi="Times New Roman"/>
          <w:b/>
          <w:color w:val="000000"/>
          <w:sz w:val="20"/>
        </w:rPr>
        <w:t>Code</w:t>
      </w:r>
      <w:r>
        <w:rPr>
          <w:color w:val="000000"/>
        </w:rPr>
        <w: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2.2.1.7</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Sales and use taxes;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2.2.1.8</w:t>
      </w:r>
    </w:p>
    <w:p>
      <w:pPr>
        <w:pStyle w:val="TextBody"/>
        <w:bidi w:val="0"/>
        <w:spacing w:before="0" w:after="240"/>
        <w:jc w:val="both"/>
        <w:rPr/>
      </w:pPr>
      <w:r>
        <w:rPr>
          <w:rFonts w:ascii="Times New Roman" w:hAnsi="Times New Roman"/>
          <w:color w:val="000000"/>
          <w:sz w:val="20"/>
        </w:rPr>
        <w:t xml:space="preserve">Subject to </w:t>
      </w:r>
      <w:r>
        <w:rPr>
          <w:rFonts w:ascii="Times New Roman" w:hAnsi="Times New Roman"/>
          <w:color w:val="000000"/>
          <w:sz w:val="20"/>
          <w:u w:val="single"/>
        </w:rPr>
        <w:t>Section 2.2</w:t>
      </w:r>
      <w:r>
        <w:rPr>
          <w:rFonts w:ascii="Times New Roman" w:hAnsi="Times New Roman"/>
          <w:color w:val="000000"/>
          <w:sz w:val="20"/>
        </w:rPr>
        <w:t xml:space="preserve">, above, all other actual out-of-pocket costs expended by Landlord in connection with the construction of the Tenant Improvements, including, without limitation, costs expended by Landlord pursuant to </w:t>
      </w:r>
      <w:r>
        <w:rPr>
          <w:rFonts w:ascii="Times New Roman" w:hAnsi="Times New Roman"/>
          <w:color w:val="000000"/>
          <w:sz w:val="20"/>
          <w:u w:val="single"/>
        </w:rPr>
        <w:t>Section 4.1.1</w:t>
      </w:r>
      <w:r>
        <w:rPr>
          <w:color w:val="000000"/>
        </w:rPr>
        <w:t xml:space="preserve"> </w:t>
      </w:r>
      <w:r>
        <w:rPr>
          <w:rFonts w:ascii="Times New Roman" w:hAnsi="Times New Roman"/>
          <w:color w:val="000000"/>
          <w:sz w:val="20"/>
        </w:rPr>
        <w:t>of this Tenant Work Letter, below.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2.2.2</w:t>
      </w:r>
    </w:p>
    <w:p>
      <w:pPr>
        <w:pStyle w:val="TextBody"/>
        <w:bidi w:val="0"/>
        <w:spacing w:before="0" w:after="240"/>
        <w:jc w:val="both"/>
        <w:rPr/>
      </w:pPr>
      <w:r>
        <w:rPr>
          <w:rFonts w:ascii="Times New Roman" w:hAnsi="Times New Roman"/>
          <w:b/>
          <w:color w:val="000000"/>
          <w:sz w:val="20"/>
          <w:u w:val="single"/>
        </w:rPr>
        <w:t>Disbursement of Tenant Improvement Allowance</w:t>
      </w:r>
      <w:r>
        <w:rPr>
          <w:rFonts w:ascii="Times New Roman" w:hAnsi="Times New Roman"/>
          <w:color w:val="000000"/>
          <w:sz w:val="20"/>
        </w:rPr>
        <w:t>. During the construction of the Tenant Improvements, Landlord shall make monthly disbursements of the Tenant Improvement Allowance for Tenant Improvement Allowance Items for the benefit of Tenant and shall authorize the release of monies for the benefit of Tenant as follows.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2.2.2.1</w:t>
      </w:r>
    </w:p>
    <w:p>
      <w:pPr>
        <w:pStyle w:val="TextBody"/>
        <w:bidi w:val="0"/>
        <w:spacing w:before="0" w:after="240"/>
        <w:jc w:val="both"/>
        <w:rPr/>
      </w:pPr>
      <w:r>
        <w:rPr>
          <w:rFonts w:ascii="Times New Roman" w:hAnsi="Times New Roman"/>
          <w:b/>
          <w:color w:val="000000"/>
          <w:sz w:val="20"/>
          <w:u w:val="single"/>
        </w:rPr>
        <w:t>Monthly Disbursements</w:t>
      </w:r>
      <w:r>
        <w:rPr>
          <w:rFonts w:ascii="Times New Roman" w:hAnsi="Times New Roman"/>
          <w:color w:val="000000"/>
          <w:sz w:val="20"/>
        </w:rPr>
        <w:t xml:space="preserve">. On or before the fifth (5th) day of each calendar month, during the design and construction of the Tenant Improvements (or such other date as Landlord may designate), Tenant shall deliver to Landlord: (i) a request for reimbursement of amounts paid to the “Contractor,” as that term is defined in </w:t>
      </w:r>
      <w:r>
        <w:rPr>
          <w:rFonts w:ascii="Times New Roman" w:hAnsi="Times New Roman"/>
          <w:color w:val="000000"/>
          <w:sz w:val="20"/>
          <w:u w:val="single"/>
        </w:rPr>
        <w:t>Section 4.1.1</w:t>
      </w:r>
      <w:r>
        <w:rPr>
          <w:color w:val="000000"/>
        </w:rPr>
        <w:t xml:space="preserve"> </w:t>
      </w:r>
      <w:r>
        <w:rPr>
          <w:rFonts w:ascii="Times New Roman" w:hAnsi="Times New Roman"/>
          <w:color w:val="000000"/>
          <w:sz w:val="20"/>
        </w:rPr>
        <w:t xml:space="preserve">of this Tenant Work Letter, approved by Tenant, in a commercially reasonable form to be provided by Landlord, showing the schedule, by trade, of percentage of completion of the Tenant Improvements in the Expansion Premises, detailing the portion of the work completed and the portion not completed; (ii) invoices from all of “Tenant’s Agents,” as that term is defined in </w:t>
      </w:r>
      <w:r>
        <w:rPr>
          <w:rFonts w:ascii="Times New Roman" w:hAnsi="Times New Roman"/>
          <w:color w:val="000000"/>
          <w:sz w:val="20"/>
          <w:u w:val="single"/>
        </w:rPr>
        <w:t>Section 4.1.2</w:t>
      </w:r>
      <w:r>
        <w:rPr>
          <w:color w:val="000000"/>
        </w:rPr>
        <w:t xml:space="preserve"> </w:t>
      </w:r>
      <w:r>
        <w:rPr>
          <w:rFonts w:ascii="Times New Roman" w:hAnsi="Times New Roman"/>
          <w:color w:val="000000"/>
          <w:sz w:val="20"/>
        </w:rPr>
        <w:t xml:space="preserve">of this Tenant Work Letter, for labor rendered and materials for the Expansion Premises; (iii) executed mechanic’s lien releases, as applicable, from all of Tenant’s Agents which shall comply with the appropriate provisions, as reasonably determined by Landlord, of California Civil Code Sections 8132, 8134, 8136 and 8138 (provided that for sums that are the subject of the current disbursement request, conditional mechanic’s lien releases shall be acceptable, provided that Tenant also submits unconditional mechanic’s lien releases for all sums previously paid in connection with any and all prior disbursement requests); and (iv) all other information reasonably requested by Landlord. Tenant’s request for payment shall be deemed Tenant’s acceptance and approval of the work furnished and/or the materials supplied as set forth in Tenant’s payment request. Within forty-five (45) days thereafter, Landlord shall deliver a check to Tenant made payable to Tenant in payment of the lesser of: (A) the amounts so requested by Tenant as set forth in this </w:t>
      </w:r>
      <w:r>
        <w:rPr>
          <w:rFonts w:ascii="Times New Roman" w:hAnsi="Times New Roman"/>
          <w:color w:val="000000"/>
          <w:sz w:val="20"/>
          <w:u w:val="single"/>
        </w:rPr>
        <w:t>Section 2.2.3.1</w:t>
      </w:r>
      <w:r>
        <w:rPr>
          <w:rFonts w:ascii="Times New Roman" w:hAnsi="Times New Roman"/>
          <w:color w:val="000000"/>
          <w:sz w:val="20"/>
        </w:rPr>
        <w:t xml:space="preserve">, above (or, subject to the terms of </w:t>
      </w:r>
      <w:r>
        <w:rPr>
          <w:rFonts w:ascii="Times New Roman" w:hAnsi="Times New Roman"/>
          <w:color w:val="000000"/>
          <w:sz w:val="20"/>
          <w:u w:val="single"/>
        </w:rPr>
        <w:t>Section 4.2.1</w:t>
      </w:r>
      <w:r>
        <w:rPr>
          <w:rFonts w:ascii="Times New Roman" w:hAnsi="Times New Roman"/>
          <w:color w:val="000000"/>
          <w:sz w:val="20"/>
        </w:rPr>
        <w:t xml:space="preserve">, below, a percentage thereof), and (B) the balance of any remaining available portion of the Tenant Improvement Allowance, provided that Landlord does not dispute any request for payment based on non-compliance of any work with the “Approved Working Drawings,” as that term is defined in </w:t>
      </w:r>
      <w:r>
        <w:rPr>
          <w:rFonts w:ascii="Times New Roman" w:hAnsi="Times New Roman"/>
          <w:color w:val="000000"/>
          <w:sz w:val="20"/>
          <w:u w:val="single"/>
        </w:rPr>
        <w:t>Section 3.5</w:t>
      </w:r>
      <w:r>
        <w:rPr>
          <w:color w:val="000000"/>
        </w:rPr>
        <w:t xml:space="preserve"> </w:t>
      </w:r>
      <w:r>
        <w:rPr>
          <w:rFonts w:ascii="Times New Roman" w:hAnsi="Times New Roman"/>
          <w:color w:val="000000"/>
          <w:sz w:val="20"/>
        </w:rPr>
        <w:t>below, or due to any substandard work. Landlord’s payment of such amounts shall not be deemed Landlord’s approval or acceptance of the work furnished or materials supplied as set forth in Tenant’s payment request.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2.2.2.2</w:t>
      </w:r>
    </w:p>
    <w:p>
      <w:pPr>
        <w:pStyle w:val="TextBody"/>
        <w:bidi w:val="0"/>
        <w:spacing w:before="0" w:after="240"/>
        <w:jc w:val="both"/>
        <w:rPr/>
      </w:pPr>
      <w:r>
        <w:rPr>
          <w:rFonts w:ascii="Times New Roman" w:hAnsi="Times New Roman"/>
          <w:b/>
          <w:color w:val="000000"/>
          <w:sz w:val="20"/>
          <w:u w:val="single"/>
        </w:rPr>
        <w:t>Final Deliveries</w:t>
      </w:r>
      <w:r>
        <w:rPr>
          <w:rFonts w:ascii="Times New Roman" w:hAnsi="Times New Roman"/>
          <w:color w:val="000000"/>
          <w:sz w:val="20"/>
        </w:rPr>
        <w:t>. Following the completion of construction of</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Tenant Improvements, Tenant shall deliver to Landlord properly executed final mechanic’s lien releases in compliance with both California Civil Code Section 8134 and either Section 8136 or Section 8138 from all of Tenant’s Agents, and a certificate certifying that the construction of the Tenant Improvements in the Expansion Premises has been substantially completed. Tenant shall record a valid Notice of Completion in accordance with the requirements of </w:t>
      </w:r>
      <w:r>
        <w:rPr>
          <w:rFonts w:ascii="Times New Roman" w:hAnsi="Times New Roman"/>
          <w:color w:val="000000"/>
          <w:sz w:val="20"/>
          <w:u w:val="single"/>
        </w:rPr>
        <w:t>Section 4.3</w:t>
      </w:r>
      <w:r>
        <w:rPr>
          <w:rFonts w:ascii="Times New Roman" w:hAnsi="Times New Roman"/>
          <w:color w:val="000000"/>
          <w:sz w:val="20"/>
        </w:rPr>
        <w:t xml:space="preserve"> of this Tenant Work Letter.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2.2.2.3</w:t>
      </w:r>
    </w:p>
    <w:p>
      <w:pPr>
        <w:pStyle w:val="TextBody"/>
        <w:bidi w:val="0"/>
        <w:spacing w:before="0" w:after="240"/>
        <w:jc w:val="both"/>
        <w:rPr/>
      </w:pPr>
      <w:r>
        <w:rPr>
          <w:rFonts w:ascii="Times New Roman" w:hAnsi="Times New Roman"/>
          <w:b/>
          <w:color w:val="000000"/>
          <w:sz w:val="20"/>
          <w:u w:val="single"/>
        </w:rPr>
        <w:t>Other Terms</w:t>
      </w:r>
      <w:r>
        <w:rPr>
          <w:rFonts w:ascii="Times New Roman" w:hAnsi="Times New Roman"/>
          <w:color w:val="000000"/>
          <w:sz w:val="20"/>
        </w:rPr>
        <w:t>. Landlord shall only be obligated to make disbursements from the Tenant Improvement Allowance to the extent costs are incurred by Tenant for Tenant Improvement Allowance Items. All Tenant Improvement Allowance Items for which the Tenant Improvement Allowance have been made available shall be deemed Landlord’s property under the terms of this Lease, as amended.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2.3</w:t>
      </w:r>
    </w:p>
    <w:p>
      <w:pPr>
        <w:pStyle w:val="TextBody"/>
        <w:bidi w:val="0"/>
        <w:spacing w:before="0" w:after="240"/>
        <w:jc w:val="both"/>
        <w:rPr/>
      </w:pPr>
      <w:r>
        <w:rPr>
          <w:rFonts w:ascii="Times New Roman" w:hAnsi="Times New Roman"/>
          <w:b/>
          <w:color w:val="000000"/>
          <w:sz w:val="20"/>
          <w:u w:val="single"/>
        </w:rPr>
        <w:t>Building Standards</w:t>
      </w:r>
      <w:r>
        <w:rPr>
          <w:rFonts w:ascii="Times New Roman" w:hAnsi="Times New Roman"/>
          <w:color w:val="000000"/>
          <w:sz w:val="20"/>
        </w:rPr>
        <w:t>. The quality of Tenant Improvements shall be in keeping with the existing improvements in the Premises.</w:t>
      </w:r>
    </w:p>
    <w:p>
      <w:pPr>
        <w:pStyle w:val="TextBody"/>
        <w:bidi w:val="0"/>
        <w:spacing w:before="0" w:after="240"/>
        <w:jc w:val="center"/>
        <w:rPr>
          <w:rFonts w:ascii="Times New Roman" w:hAnsi="Times New Roman"/>
          <w:b/>
          <w:caps/>
          <w:color w:val="000000"/>
          <w:sz w:val="20"/>
          <w:u w:val="single"/>
        </w:rPr>
      </w:pPr>
      <w:r>
        <w:rPr>
          <w:rFonts w:ascii="Times New Roman" w:hAnsi="Times New Roman"/>
          <w:b/>
          <w:caps/>
          <w:color w:val="000000"/>
          <w:sz w:val="20"/>
          <w:u w:val="single"/>
        </w:rPr>
        <w:t>SECTION 3</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br/>
        <w:br/>
        <w:t>CONSTRUCTION DRAWINGS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3.1</w:t>
      </w:r>
    </w:p>
    <w:p>
      <w:pPr>
        <w:pStyle w:val="TextBody"/>
        <w:bidi w:val="0"/>
        <w:spacing w:before="0" w:after="240"/>
        <w:jc w:val="both"/>
        <w:rPr/>
      </w:pPr>
      <w:r>
        <w:rPr>
          <w:rFonts w:ascii="Times New Roman" w:hAnsi="Times New Roman"/>
          <w:b/>
          <w:color w:val="000000"/>
          <w:sz w:val="20"/>
          <w:u w:val="single"/>
        </w:rPr>
        <w:t>Selection of Architect</w:t>
      </w:r>
      <w:r>
        <w:rPr>
          <w:rFonts w:ascii="Times New Roman" w:hAnsi="Times New Roman"/>
          <w:color w:val="000000"/>
          <w:sz w:val="20"/>
        </w:rPr>
        <w:t>. Tenant shall retain an architect/space planner (the “</w:t>
      </w:r>
      <w:r>
        <w:rPr>
          <w:rFonts w:ascii="Times New Roman" w:hAnsi="Times New Roman"/>
          <w:b/>
          <w:color w:val="000000"/>
          <w:sz w:val="20"/>
        </w:rPr>
        <w:t>Architect</w:t>
      </w:r>
      <w:r>
        <w:rPr>
          <w:color w:val="000000"/>
        </w:rPr>
        <w:t>”</w:t>
      </w:r>
      <w:r>
        <w:rPr>
          <w:rFonts w:ascii="Times New Roman" w:hAnsi="Times New Roman"/>
          <w:color w:val="000000"/>
          <w:sz w:val="20"/>
        </w:rPr>
        <w:t xml:space="preserve">) approved in advance by Landlord (which approval shall not be unreasonably withheld, conditioned or delayed) to prepare the Final Space Plan and Final Working Drawings as provided in </w:t>
      </w:r>
      <w:r>
        <w:rPr>
          <w:rFonts w:ascii="Times New Roman" w:hAnsi="Times New Roman"/>
          <w:color w:val="000000"/>
          <w:sz w:val="20"/>
          <w:u w:val="single"/>
        </w:rPr>
        <w:t>Section 3.2</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3.3</w:t>
      </w:r>
      <w:r>
        <w:rPr>
          <w:rFonts w:ascii="Times New Roman" w:hAnsi="Times New Roman"/>
          <w:color w:val="000000"/>
          <w:sz w:val="20"/>
        </w:rPr>
        <w:t>, below. Tenant shall retain the engineering consultants or design/build subcontractors designated by Tenant and reasonably approved in advance by Landlord (the “</w:t>
      </w:r>
      <w:r>
        <w:rPr>
          <w:rFonts w:ascii="Times New Roman" w:hAnsi="Times New Roman"/>
          <w:b/>
          <w:color w:val="000000"/>
          <w:sz w:val="20"/>
        </w:rPr>
        <w:t>Engineers</w:t>
      </w:r>
      <w:r>
        <w:rPr>
          <w:color w:val="000000"/>
        </w:rPr>
        <w:t>”</w:t>
      </w:r>
      <w:r>
        <w:rPr>
          <w:rFonts w:ascii="Times New Roman" w:hAnsi="Times New Roman"/>
          <w:color w:val="000000"/>
          <w:sz w:val="20"/>
        </w:rPr>
        <w:t xml:space="preserve">) to prepare all plans and engineering working drawings relating to the structural, mechanical, electrical, plumbing, HVAC, lifesafety, and sprinkler work in the Expansion Premises, which work is not part of the Base Building. All such plans and drawings shall comply with the drawing format and specifications reasonably determined by Landlord, and shall be subject to Landlord’s reasonable approval. Tenant and Architect shall verify, in the field, the dimensions and conditions as shown on the relevant portions of the Base Building plans, and Tenant and Architect shall be solely responsible for the same, and Landlord shall have no responsibility in connection therewith. Landlord’s review of any plans or drawings as set forth in this </w:t>
      </w:r>
      <w:r>
        <w:rPr>
          <w:rFonts w:ascii="Times New Roman" w:hAnsi="Times New Roman"/>
          <w:color w:val="000000"/>
          <w:sz w:val="20"/>
          <w:u w:val="single"/>
        </w:rPr>
        <w:t>Section 3</w:t>
      </w:r>
      <w:r>
        <w:rPr>
          <w:rFonts w:ascii="Times New Roman" w:hAnsi="Times New Roman"/>
          <w:color w:val="000000"/>
          <w:sz w:val="20"/>
        </w:rPr>
        <w:t>, shall be for its sole purpose and shall not imply Landlord’s review of the same, or obligate Landlord to review the same, for quality, design, Code compliance or other like matters.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3.2</w:t>
      </w:r>
    </w:p>
    <w:p>
      <w:pPr>
        <w:pStyle w:val="TextBody"/>
        <w:bidi w:val="0"/>
        <w:spacing w:before="0" w:after="240"/>
        <w:jc w:val="both"/>
        <w:rPr/>
      </w:pPr>
      <w:r>
        <w:rPr>
          <w:rFonts w:ascii="Times New Roman" w:hAnsi="Times New Roman"/>
          <w:b/>
          <w:color w:val="000000"/>
          <w:sz w:val="20"/>
          <w:u w:val="single"/>
        </w:rPr>
        <w:t>Final Space Plan</w:t>
      </w:r>
      <w:r>
        <w:rPr>
          <w:rFonts w:ascii="Times New Roman" w:hAnsi="Times New Roman"/>
          <w:color w:val="000000"/>
          <w:sz w:val="20"/>
        </w:rPr>
        <w:t>. Tenant shall supply Landlord with four (4) copies signed by Tenant of its final space plan for the Expansion Premises before any architectural working drawings or engineering drawings have been commenced. The final space plan (the “</w:t>
      </w:r>
      <w:r>
        <w:rPr>
          <w:rFonts w:ascii="Times New Roman" w:hAnsi="Times New Roman"/>
          <w:b/>
          <w:color w:val="000000"/>
          <w:sz w:val="20"/>
        </w:rPr>
        <w:t>Final Space Plan</w:t>
      </w:r>
      <w:r>
        <w:rPr>
          <w:color w:val="000000"/>
        </w:rPr>
        <w:t>”</w:t>
      </w:r>
      <w:r>
        <w:rPr>
          <w:rFonts w:ascii="Times New Roman" w:hAnsi="Times New Roman"/>
          <w:color w:val="000000"/>
          <w:sz w:val="20"/>
        </w:rPr>
        <w:t xml:space="preserve">) shall include a layout and designation of all offices, labs, rooms and other partitioning, their intended use, and equipment to be contained therein. Landlord may request clarification or more specific drawings for special use items not included in the Final Space Plan. Landlord shall advise Tenant within five (5) business days after Landlord’s receipt of the Final Space Plan for the Expansion Premises if the same is unsatisfactory or incomplete in any respect. If Tenant is so advised, Tenant shall promptly cause the Final Space Plan to be revised to correct any deficiencies or other matters Landlord may reasonably require. If Landlord fails to approve or disapprove the Final Space Plan within such five (5) business day period, then Tenant may send Landlord a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reminder notice setting forth such failure (which reminder notice shall include a copy of such Final Space Plan) and containing the following sentence at the top of such notice in bold, capitalized font at least twelve (12) points in size: “</w:t>
      </w:r>
      <w:r>
        <w:rPr>
          <w:rFonts w:ascii="Times New Roman" w:hAnsi="Times New Roman"/>
          <w:b/>
          <w:color w:val="000000"/>
          <w:sz w:val="20"/>
        </w:rPr>
        <w:t>LANDLORD’S FAILURE TO RESPOND TO THIS NOTICE WITHIN FIVE (5) BUSINESS DAYS SHALL RESULT IN LANDLORD’S DEEMED APPROVAL OF THE FINAL SPACE PLAN</w:t>
      </w:r>
      <w:r>
        <w:rPr>
          <w:rFonts w:ascii="Times New Roman" w:hAnsi="Times New Roman"/>
          <w:color w:val="000000"/>
          <w:sz w:val="20"/>
        </w:rPr>
        <w:t>” (the “</w:t>
      </w:r>
      <w:r>
        <w:rPr>
          <w:rFonts w:ascii="Times New Roman" w:hAnsi="Times New Roman"/>
          <w:b/>
          <w:color w:val="000000"/>
          <w:sz w:val="20"/>
        </w:rPr>
        <w:t>Final Space Plan Reminder Notice</w:t>
      </w:r>
      <w:r>
        <w:rPr>
          <w:rFonts w:ascii="Times New Roman" w:hAnsi="Times New Roman"/>
          <w:color w:val="000000"/>
          <w:sz w:val="20"/>
        </w:rPr>
        <w:t>”). If Landlord fails to respond with its approval or disapproval within five (5) business days after its receipt of the Final Space Plan Reminder Notice, then the Final Space Plan shall be deemed approved by Landlord.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3.3</w:t>
      </w:r>
    </w:p>
    <w:p>
      <w:pPr>
        <w:pStyle w:val="TextBody"/>
        <w:bidi w:val="0"/>
        <w:spacing w:before="0" w:after="240"/>
        <w:jc w:val="both"/>
        <w:rPr/>
      </w:pPr>
      <w:r>
        <w:rPr>
          <w:rFonts w:ascii="Times New Roman" w:hAnsi="Times New Roman"/>
          <w:b/>
          <w:color w:val="000000"/>
          <w:sz w:val="20"/>
          <w:u w:val="single"/>
        </w:rPr>
        <w:t>Final Working Drawings</w:t>
      </w:r>
      <w:r>
        <w:rPr>
          <w:rFonts w:ascii="Times New Roman" w:hAnsi="Times New Roman"/>
          <w:color w:val="000000"/>
          <w:sz w:val="20"/>
        </w:rPr>
        <w:t>. After the Final Space Plan has been approved by Landlord, Tenant shall supply the Engineers with a complete listing of standard and non-standard equipment and specifications, including, without limitation, Title 24 calculations, electrical requirements and special electrical receptacle requirements for the Expansion Premises, to enable the Engineers and the Architect to complete the “Final Working Drawings” (as that term is defined below) in the manner as set forth below. Upon the approval of the Final Space Plan by Landlord and Tenant, Tenant shall promptly cause the Architect and the Engineers to complete the architectural and engineering drawings for the Expansion Premises, and Architect shall compile a fully coordinated set of architectural, structural, mechanical, electrical and plumbing working drawings in a form which is sufficiently complete to allow all of Tenant’s Agents to bid on the work and to obtain all applicable permits (collectively, the “</w:t>
      </w:r>
      <w:r>
        <w:rPr>
          <w:rFonts w:ascii="Times New Roman" w:hAnsi="Times New Roman"/>
          <w:b/>
          <w:color w:val="000000"/>
          <w:sz w:val="20"/>
        </w:rPr>
        <w:t>Final Working Drawings</w:t>
      </w:r>
      <w:r>
        <w:rPr>
          <w:color w:val="000000"/>
        </w:rPr>
        <w:t>”</w:t>
      </w:r>
      <w:r>
        <w:rPr>
          <w:rFonts w:ascii="Times New Roman" w:hAnsi="Times New Roman"/>
          <w:color w:val="000000"/>
          <w:sz w:val="20"/>
        </w:rPr>
        <w:t>) and shall submit the same to Landlord for Landlord’s approval, which shall not be unreasonably withheld, conditioned, or delayed. Tenant shall supply Landlord with four (4) copies signed by Tenant of such Final Working Drawings. Landlord shall advise Tenant within ten (10) business days after Landlord’s receipt of the Final Working Drawings for the Expansion Premises if the same is unsatisfactory or incomplete in any respect. If Tenant is so advised, Tenant shall promptly cause the Final Working Drawings to be revised in accordance with such review and any disapproval of Landlord in connection therewith. If Landlord fails to approve or disapprove the Final Working Drawings within such ten (10) business day period, then Tenant may send Landlord a reminder notice setting forth such failure (which reminder notice shall include a copy of such Final Working Drawings) and containing the following sentence at the top of such notice in bold, capitalized font at least twelve (12) points in size: “</w:t>
      </w:r>
      <w:r>
        <w:rPr>
          <w:rFonts w:ascii="Times New Roman" w:hAnsi="Times New Roman"/>
          <w:b/>
          <w:color w:val="000000"/>
          <w:sz w:val="20"/>
        </w:rPr>
        <w:t>LANDLORD’S FAILURE TO RESPOND TO THIS NOTICE WITHIN FIVE (5) BUSINESS DAYS SHALL RESULT IN LANDLORD’S DEEMED APPROVAL OF THE FINAL WORKING DRAWINGS</w:t>
      </w:r>
      <w:r>
        <w:rPr>
          <w:color w:val="000000"/>
        </w:rPr>
        <w:t xml:space="preserve">” </w:t>
      </w:r>
      <w:r>
        <w:rPr>
          <w:rFonts w:ascii="Times New Roman" w:hAnsi="Times New Roman"/>
          <w:color w:val="000000"/>
          <w:sz w:val="20"/>
        </w:rPr>
        <w:t>(the “</w:t>
      </w:r>
      <w:r>
        <w:rPr>
          <w:rFonts w:ascii="Times New Roman" w:hAnsi="Times New Roman"/>
          <w:b/>
          <w:color w:val="000000"/>
          <w:sz w:val="20"/>
        </w:rPr>
        <w:t>Final Working Drawings Reminder Notice</w:t>
      </w:r>
      <w:r>
        <w:rPr>
          <w:color w:val="000000"/>
        </w:rPr>
        <w:t>”</w:t>
      </w:r>
      <w:r>
        <w:rPr>
          <w:rFonts w:ascii="Times New Roman" w:hAnsi="Times New Roman"/>
          <w:color w:val="000000"/>
          <w:sz w:val="20"/>
        </w:rPr>
        <w:t>). If Landlord fails to respond with its approval or disapproval within five (5) business days after its receipt of the Final Working Drawings Reminder Notice, then the Final Working Drawings shall be deemed approved by Landlord.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3.4</w:t>
      </w:r>
    </w:p>
    <w:p>
      <w:pPr>
        <w:pStyle w:val="TextBody"/>
        <w:bidi w:val="0"/>
        <w:spacing w:before="0" w:after="240"/>
        <w:jc w:val="both"/>
        <w:rPr/>
      </w:pPr>
      <w:r>
        <w:rPr>
          <w:rFonts w:ascii="Times New Roman" w:hAnsi="Times New Roman"/>
          <w:b/>
          <w:color w:val="000000"/>
          <w:sz w:val="20"/>
          <w:u w:val="single"/>
        </w:rPr>
        <w:t>Approved Working Drawings</w:t>
      </w:r>
      <w:r>
        <w:rPr>
          <w:rFonts w:ascii="Times New Roman" w:hAnsi="Times New Roman"/>
          <w:color w:val="000000"/>
          <w:sz w:val="20"/>
        </w:rPr>
        <w:t>. The Final Working Drawings shall be approved by Landlord (the “</w:t>
      </w:r>
      <w:r>
        <w:rPr>
          <w:rFonts w:ascii="Times New Roman" w:hAnsi="Times New Roman"/>
          <w:b/>
          <w:color w:val="000000"/>
          <w:sz w:val="20"/>
        </w:rPr>
        <w:t>Approved Working Drawings</w:t>
      </w:r>
      <w:r>
        <w:rPr>
          <w:color w:val="000000"/>
        </w:rPr>
        <w:t>”</w:t>
      </w:r>
      <w:r>
        <w:rPr>
          <w:rFonts w:ascii="Times New Roman" w:hAnsi="Times New Roman"/>
          <w:color w:val="000000"/>
          <w:sz w:val="20"/>
        </w:rPr>
        <w:t xml:space="preserve">) prior to the commencement of construction of the Expansion Premises by Tenant. Concurrently with Tenant’s delivery of the Final Working Drawings to Landlord for Landlord’s approval, Tenant may submit the same to the appropriate municipal authorities for all applicable building permits. Tenant hereby agrees that neither Landlord nor Landlord’s consultants shall be responsible for obtaining any building permit or certificate of occupancy for the Expansion Premises and that obtaining the same shall be Tenant’s responsibility; provided, however, that Landlord shall cooperate with Tenant in executing permit applications and performing other ministerial acts reasonably necessary to enable Tenant to obtain any such permit or certificate of occupancy. No changes, modifications or alterations in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Approved Working Drawings may be made without the prior written consent of Landlord, which shall not be unreasonably withheld, conditioned, or delayed.</w:t>
      </w:r>
    </w:p>
    <w:p>
      <w:pPr>
        <w:pStyle w:val="TextBody"/>
        <w:bidi w:val="0"/>
        <w:spacing w:before="0" w:after="240"/>
        <w:jc w:val="center"/>
        <w:rPr>
          <w:rFonts w:ascii="Times New Roman" w:hAnsi="Times New Roman"/>
          <w:b/>
          <w:caps/>
          <w:color w:val="000000"/>
          <w:sz w:val="20"/>
          <w:u w:val="single"/>
        </w:rPr>
      </w:pPr>
      <w:r>
        <w:rPr>
          <w:rFonts w:ascii="Times New Roman" w:hAnsi="Times New Roman"/>
          <w:b/>
          <w:caps/>
          <w:color w:val="000000"/>
          <w:sz w:val="20"/>
          <w:u w:val="single"/>
        </w:rPr>
        <w:t>SECTION 4</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br/>
        <w:br/>
        <w:t>CONSTRUCTION OF THE TENANT IMPROVEMENTS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4.1</w:t>
      </w:r>
    </w:p>
    <w:p>
      <w:pPr>
        <w:pStyle w:val="TextBody"/>
        <w:bidi w:val="0"/>
        <w:spacing w:before="0" w:after="240"/>
        <w:jc w:val="both"/>
        <w:rPr/>
      </w:pPr>
      <w:r>
        <w:rPr>
          <w:rFonts w:ascii="Times New Roman" w:hAnsi="Times New Roman"/>
          <w:b/>
          <w:color w:val="000000"/>
          <w:sz w:val="20"/>
          <w:u w:val="single"/>
        </w:rPr>
        <w:t>Tenant’s Selection of Contractors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4.1.1</w:t>
      </w:r>
    </w:p>
    <w:p>
      <w:pPr>
        <w:pStyle w:val="TextBody"/>
        <w:bidi w:val="0"/>
        <w:spacing w:before="0" w:after="240"/>
        <w:jc w:val="both"/>
        <w:rPr/>
      </w:pPr>
      <w:r>
        <w:rPr>
          <w:rFonts w:ascii="Times New Roman" w:hAnsi="Times New Roman"/>
          <w:b/>
          <w:color w:val="000000"/>
          <w:sz w:val="20"/>
          <w:u w:val="single"/>
        </w:rPr>
        <w:t>The Contractor; Landlord’s Project Manager</w:t>
      </w:r>
      <w:r>
        <w:rPr>
          <w:rFonts w:ascii="Times New Roman" w:hAnsi="Times New Roman"/>
          <w:color w:val="000000"/>
          <w:sz w:val="20"/>
        </w:rPr>
        <w:t>. Tenant shall retain a licensed general contractor, approved in advance by Landlord, to construct the Tenant Improvements (“</w:t>
      </w:r>
      <w:r>
        <w:rPr>
          <w:rFonts w:ascii="Times New Roman" w:hAnsi="Times New Roman"/>
          <w:b/>
          <w:color w:val="000000"/>
          <w:sz w:val="20"/>
        </w:rPr>
        <w:t>Contractor</w:t>
      </w:r>
      <w:r>
        <w:rPr>
          <w:color w:val="000000"/>
        </w:rPr>
        <w:t>”</w:t>
      </w:r>
      <w:r>
        <w:rPr>
          <w:rFonts w:ascii="Times New Roman" w:hAnsi="Times New Roman"/>
          <w:color w:val="000000"/>
          <w:sz w:val="20"/>
        </w:rPr>
        <w:t>). Landlord’s approval of the Contractor shall not be unreasonably withheld, conditioned or delayed. Landlord shall retain Project Management Advisors, Inc. (“</w:t>
      </w:r>
      <w:r>
        <w:rPr>
          <w:rFonts w:ascii="Times New Roman" w:hAnsi="Times New Roman"/>
          <w:b/>
          <w:color w:val="000000"/>
          <w:sz w:val="20"/>
        </w:rPr>
        <w:t>PMA</w:t>
      </w:r>
      <w:r>
        <w:rPr>
          <w:color w:val="000000"/>
        </w:rPr>
        <w:t>”</w:t>
      </w:r>
      <w:r>
        <w:rPr>
          <w:rFonts w:ascii="Times New Roman" w:hAnsi="Times New Roman"/>
          <w:color w:val="000000"/>
          <w:sz w:val="20"/>
        </w:rPr>
        <w:t>) as a third party project manager for construction oversight of the Tenant Improvements on behalf of Landlord, and Tenant shall pay a fee to Landlord with respect to the PMA services equal to 2.65% of the total project cost for the design, permitting and construction of the Tenant Improvements.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4.1.2</w:t>
      </w:r>
    </w:p>
    <w:p>
      <w:pPr>
        <w:pStyle w:val="TextBody"/>
        <w:bidi w:val="0"/>
        <w:spacing w:before="0" w:after="240"/>
        <w:jc w:val="both"/>
        <w:rPr/>
      </w:pPr>
      <w:r>
        <w:rPr>
          <w:rFonts w:ascii="Times New Roman" w:hAnsi="Times New Roman"/>
          <w:b/>
          <w:color w:val="000000"/>
          <w:sz w:val="20"/>
          <w:u w:val="single"/>
        </w:rPr>
        <w:t>Tenant’s Agents</w:t>
      </w:r>
      <w:r>
        <w:rPr>
          <w:rFonts w:ascii="Times New Roman" w:hAnsi="Times New Roman"/>
          <w:color w:val="000000"/>
          <w:sz w:val="20"/>
        </w:rPr>
        <w:t>. All subcontractors, laborers, materialmen, and suppliers used by Tenant (such subcontractors, laborers, materialmen, and suppliers, and the Contractor to be known collectively as “</w:t>
      </w:r>
      <w:r>
        <w:rPr>
          <w:rFonts w:ascii="Times New Roman" w:hAnsi="Times New Roman"/>
          <w:b/>
          <w:color w:val="000000"/>
          <w:sz w:val="20"/>
        </w:rPr>
        <w:t>Tenant’s Agents</w:t>
      </w:r>
      <w:r>
        <w:rPr>
          <w:color w:val="000000"/>
        </w:rPr>
        <w:t>”</w:t>
      </w:r>
      <w:r>
        <w:rPr>
          <w:rFonts w:ascii="Times New Roman" w:hAnsi="Times New Roman"/>
          <w:color w:val="000000"/>
          <w:sz w:val="20"/>
        </w:rPr>
        <w:t>) must be approved in writing by Landlord, which approval shall not be unreasonably withheld, conditioned, or delayed, and which shall be granted or denied within five (5) days of Landlord’s receipt of Tenant’s request for approval; provided, however, Landlord may nevertheless designate and require the use of particular mechanical, engineering, plumbing, fire life-safety and other Base Building subcontractors. If Landlord does not approve any of Tenant’s proposed subcontractors, laborers, materialmen, or suppliers, Tenant shall submit other proposed subcontractors, laborers, materialmen, and suppliers for Landlord’s written approval. If Landlord fails to approve or disapprove the Tenant’s Agents within such five (5) business day period, then Tenant may send Landlord a reminder notice setting forth such failure and containing the following sentence at the top of such notice in bold, capitalized font at least twelve (12) points in size: “</w:t>
      </w:r>
      <w:r>
        <w:rPr>
          <w:rFonts w:ascii="Times New Roman" w:hAnsi="Times New Roman"/>
          <w:b/>
          <w:color w:val="000000"/>
          <w:sz w:val="20"/>
        </w:rPr>
        <w:t>LANDLORD’S FAILURE TO RESPOND TO THIS NOTICE WITHIN TWO (2) BUSINESS DAYS SHALL RESULT IN LANDLORD’S DEEMED APPROVAL OF THE TENANT’S AGENTS</w:t>
      </w:r>
      <w:r>
        <w:rPr>
          <w:color w:val="000000"/>
        </w:rPr>
        <w:t xml:space="preserve">” </w:t>
      </w:r>
      <w:r>
        <w:rPr>
          <w:rFonts w:ascii="Times New Roman" w:hAnsi="Times New Roman"/>
          <w:color w:val="000000"/>
          <w:sz w:val="20"/>
        </w:rPr>
        <w:t>(the “</w:t>
      </w:r>
      <w:r>
        <w:rPr>
          <w:rFonts w:ascii="Times New Roman" w:hAnsi="Times New Roman"/>
          <w:b/>
          <w:color w:val="000000"/>
          <w:sz w:val="20"/>
        </w:rPr>
        <w:t>Tenant’s Agents Reminder Notice</w:t>
      </w:r>
      <w:r>
        <w:rPr>
          <w:color w:val="000000"/>
        </w:rPr>
        <w:t>”</w:t>
      </w:r>
      <w:r>
        <w:rPr>
          <w:rFonts w:ascii="Times New Roman" w:hAnsi="Times New Roman"/>
          <w:color w:val="000000"/>
          <w:sz w:val="20"/>
        </w:rPr>
        <w:t>). If Landlord fails to respond with its approval or disapproval within two (2) business days after its receipt of the Tenant’s Agents Reminder Notice, then the Tenant’s Agents selected by Tenant shall be deemed approved by Landlord.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4.2</w:t>
      </w:r>
    </w:p>
    <w:p>
      <w:pPr>
        <w:pStyle w:val="TextBody"/>
        <w:bidi w:val="0"/>
        <w:spacing w:before="0" w:after="240"/>
        <w:jc w:val="both"/>
        <w:rPr/>
      </w:pPr>
      <w:r>
        <w:rPr>
          <w:rFonts w:ascii="Times New Roman" w:hAnsi="Times New Roman"/>
          <w:b/>
          <w:color w:val="000000"/>
          <w:sz w:val="20"/>
          <w:u w:val="single"/>
        </w:rPr>
        <w:t>Construction of Tenant Improvements by Tenant’s Agents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4.2.1</w:t>
      </w:r>
    </w:p>
    <w:p>
      <w:pPr>
        <w:pStyle w:val="TextBody"/>
        <w:bidi w:val="0"/>
        <w:spacing w:before="0" w:after="240"/>
        <w:jc w:val="both"/>
        <w:rPr/>
      </w:pPr>
      <w:r>
        <w:rPr>
          <w:rFonts w:ascii="Times New Roman" w:hAnsi="Times New Roman"/>
          <w:b/>
          <w:color w:val="000000"/>
          <w:sz w:val="20"/>
          <w:u w:val="single"/>
        </w:rPr>
        <w:t>Construction Contract; Cost Budget</w:t>
      </w:r>
      <w:r>
        <w:rPr>
          <w:rFonts w:ascii="Times New Roman" w:hAnsi="Times New Roman"/>
          <w:color w:val="000000"/>
          <w:sz w:val="20"/>
        </w:rPr>
        <w:t>. Tenant shall engage the Contractor under a commercially reasonable and customary construction contract (collectively, the “</w:t>
      </w:r>
      <w:r>
        <w:rPr>
          <w:rFonts w:ascii="Times New Roman" w:hAnsi="Times New Roman"/>
          <w:b/>
          <w:color w:val="000000"/>
          <w:sz w:val="20"/>
        </w:rPr>
        <w:t>Contract</w:t>
      </w:r>
      <w:r>
        <w:rPr>
          <w:color w:val="000000"/>
        </w:rPr>
        <w:t>”</w:t>
      </w:r>
      <w:r>
        <w:rPr>
          <w:rFonts w:ascii="Times New Roman" w:hAnsi="Times New Roman"/>
          <w:color w:val="000000"/>
          <w:sz w:val="20"/>
        </w:rPr>
        <w:t>). Prior to the commencement of the construction of any Phase of the Tenant Improvements, and after Tenant has accepted all bids for the Tenant Improvements, Tenant shall provide Landlord with a detailed breakdown, by trade, of the final costs to be incurred or which have been incurred in connection with the design and construction of the relevant Phase of the Tenant Improvements to be performed by or at the direction of Tenant or the Contractor, which costs form a basis for the estimated total costs of the work of the relevant Phase of the Tenant Improvements (each, a “</w:t>
      </w:r>
      <w:r>
        <w:rPr>
          <w:rFonts w:ascii="Times New Roman" w:hAnsi="Times New Roman"/>
          <w:b/>
          <w:color w:val="000000"/>
          <w:sz w:val="20"/>
        </w:rPr>
        <w:t>Final Budget</w:t>
      </w:r>
      <w:r>
        <w:rPr>
          <w:color w:val="000000"/>
        </w:rPr>
        <w:t>”</w:t>
      </w:r>
      <w:r>
        <w:rPr>
          <w:rFonts w:ascii="Times New Roman" w:hAnsi="Times New Roman"/>
          <w:color w:val="000000"/>
          <w:sz w:val="20"/>
        </w:rPr>
        <w:t xml:space="preserve">). Any costs of design and construction of the Tenant Improvements in excess of the Tenant Improvement Allowance shall be paid by Tenant out of its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own funds once the Tenant Improvement Allowance is exhausted, but Tenant shall continue to provide Landlord with the documents described in </w:t>
      </w:r>
      <w:r>
        <w:rPr>
          <w:rFonts w:ascii="Times New Roman" w:hAnsi="Times New Roman"/>
          <w:color w:val="000000"/>
          <w:sz w:val="20"/>
          <w:u w:val="single"/>
        </w:rPr>
        <w:t>Sections 2.2.2.1(i)</w:t>
      </w:r>
      <w:r>
        <w:rPr>
          <w:rFonts w:ascii="Times New Roman" w:hAnsi="Times New Roman"/>
          <w:color w:val="000000"/>
          <w:sz w:val="20"/>
        </w:rPr>
        <w:t xml:space="preserve">, </w:t>
      </w:r>
      <w:r>
        <w:rPr>
          <w:rFonts w:ascii="Times New Roman" w:hAnsi="Times New Roman"/>
          <w:color w:val="000000"/>
          <w:sz w:val="20"/>
          <w:u w:val="single"/>
        </w:rPr>
        <w:t>(ii)</w:t>
      </w:r>
      <w:r>
        <w:rPr>
          <w:rFonts w:ascii="Times New Roman" w:hAnsi="Times New Roman"/>
          <w:color w:val="000000"/>
          <w:sz w:val="20"/>
        </w:rPr>
        <w:t xml:space="preserve">, </w:t>
      </w:r>
      <w:r>
        <w:rPr>
          <w:rFonts w:ascii="Times New Roman" w:hAnsi="Times New Roman"/>
          <w:color w:val="000000"/>
          <w:sz w:val="20"/>
          <w:u w:val="single"/>
        </w:rPr>
        <w:t>(iii)</w:t>
      </w:r>
      <w:r>
        <w:rPr>
          <w:rFonts w:ascii="Times New Roman" w:hAnsi="Times New Roman"/>
          <w:color w:val="000000"/>
          <w:sz w:val="20"/>
        </w:rPr>
        <w:t xml:space="preserve"> and </w:t>
      </w:r>
      <w:r>
        <w:rPr>
          <w:rFonts w:ascii="Times New Roman" w:hAnsi="Times New Roman"/>
          <w:color w:val="000000"/>
          <w:sz w:val="20"/>
          <w:u w:val="single"/>
        </w:rPr>
        <w:t>(iv)</w:t>
      </w:r>
      <w:r>
        <w:rPr>
          <w:rFonts w:ascii="Times New Roman" w:hAnsi="Times New Roman"/>
          <w:color w:val="000000"/>
          <w:sz w:val="20"/>
        </w:rPr>
        <w:t xml:space="preserve"> of this Tenant Work Letter, above, for Landlord’s review, provided that the delivery of such documents to Landlord shall not be a condition precedent to Tenant paying such costs.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4.2.2</w:t>
      </w:r>
    </w:p>
    <w:p>
      <w:pPr>
        <w:pStyle w:val="TextBody"/>
        <w:bidi w:val="0"/>
        <w:spacing w:before="0" w:after="240"/>
        <w:jc w:val="both"/>
        <w:rPr/>
      </w:pPr>
      <w:r>
        <w:rPr>
          <w:rFonts w:ascii="Times New Roman" w:hAnsi="Times New Roman"/>
          <w:b/>
          <w:color w:val="000000"/>
          <w:sz w:val="20"/>
          <w:u w:val="single"/>
        </w:rPr>
        <w:t>Tenant’s Agents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4.2.2.1</w:t>
      </w:r>
    </w:p>
    <w:p>
      <w:pPr>
        <w:pStyle w:val="TextBody"/>
        <w:bidi w:val="0"/>
        <w:spacing w:before="0" w:after="240"/>
        <w:jc w:val="both"/>
        <w:rPr/>
      </w:pPr>
      <w:r>
        <w:rPr>
          <w:rFonts w:ascii="Times New Roman" w:hAnsi="Times New Roman"/>
          <w:b/>
          <w:color w:val="000000"/>
          <w:sz w:val="20"/>
          <w:u w:val="single"/>
        </w:rPr>
        <w:t>Compliance with Drawings and Schedule</w:t>
      </w:r>
      <w:r>
        <w:rPr>
          <w:rFonts w:ascii="Times New Roman" w:hAnsi="Times New Roman"/>
          <w:color w:val="000000"/>
          <w:sz w:val="20"/>
        </w:rPr>
        <w:t>. Tenant’s and Tenant’s Agent’s construction of the Tenant Improvements shall comply with the following: (i) the Tenant Improvements shall be constructed in substantial accordance with the Approved Working Drawings; and (ii) Tenant’s Agents shall submit schedules of all work relating to the Tenant’s Improvements to Contractor and Contractor shall, within five (5) business days of receipt thereof, inform Tenant’s Agents of any changes which are necessary thereto, and Tenant’s Agents shall adhere to such corrected schedule.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4.2.2.2</w:t>
      </w:r>
    </w:p>
    <w:p>
      <w:pPr>
        <w:pStyle w:val="TextBody"/>
        <w:bidi w:val="0"/>
        <w:spacing w:before="0" w:after="240"/>
        <w:jc w:val="both"/>
        <w:rPr/>
      </w:pPr>
      <w:r>
        <w:rPr>
          <w:rFonts w:ascii="Times New Roman" w:hAnsi="Times New Roman"/>
          <w:b/>
          <w:color w:val="000000"/>
          <w:sz w:val="20"/>
          <w:u w:val="single"/>
        </w:rPr>
        <w:t>Indemnity</w:t>
      </w:r>
      <w:r>
        <w:rPr>
          <w:rFonts w:ascii="Times New Roman" w:hAnsi="Times New Roman"/>
          <w:color w:val="000000"/>
          <w:sz w:val="20"/>
        </w:rPr>
        <w:t>. Tenant’s indemnity of Landlord as set forth in the Lease, as amended, shall also apply with respect to any and all costs, losses, damages, injuries and liabilities related in any way to any act or omission of Tenant or Tenant’s Agents, or anyone directly or indirectly employed by any of them, or in connection with Tenant’s non-payment of any amount arising out of the Tenant Improvements (except to the extent caused by Landlord’s failure to disburse the Tenant Improvement Allowance as provided for in this Tenant Work Letter) and/or Tenant’s disapproval of all or any portion of any request for payment. Such indemnity by Tenant, as set forth in the Lease, as amended, shall also apply with respect to any and all costs, losses, damages, injuries and liabilities related in any way to Landlord’s performance of any ministerial acts reasonably necessary (i) to permit Tenant to complete the Tenant Improvements, and (ii) to enable Tenant to obtain any building permit or certificate of occupancy for the Expansion Premises. The foregoing indemnity shall not apply to claims caused by the gross negligence or willful misconduct of Landlord, its member partners, shareholders, officers, directors, agents, employees, and/or contractors.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4.2.2.3</w:t>
      </w:r>
    </w:p>
    <w:p>
      <w:pPr>
        <w:pStyle w:val="TextBody"/>
        <w:bidi w:val="0"/>
        <w:spacing w:before="0" w:after="240"/>
        <w:jc w:val="both"/>
        <w:rPr/>
      </w:pPr>
      <w:r>
        <w:rPr>
          <w:rFonts w:ascii="Times New Roman" w:hAnsi="Times New Roman"/>
          <w:b/>
          <w:color w:val="000000"/>
          <w:sz w:val="20"/>
          <w:u w:val="single"/>
        </w:rPr>
        <w:t>Requirements of Tenant’s Agents</w:t>
      </w:r>
      <w:r>
        <w:rPr>
          <w:rFonts w:ascii="Times New Roman" w:hAnsi="Times New Roman"/>
          <w:color w:val="000000"/>
          <w:sz w:val="20"/>
        </w:rPr>
        <w:t>. Each of Tenant’s Agents shall guarantee to Tenant and for the benefit of Landlord that the portion of the Tenant Improvements for which it is responsible shall be free from any defects in workmanship and materials for a period of not less than one (1) year from the date of substantial completion of the work under the Contract (“</w:t>
      </w:r>
      <w:r>
        <w:rPr>
          <w:rFonts w:ascii="Times New Roman" w:hAnsi="Times New Roman"/>
          <w:b/>
          <w:color w:val="000000"/>
          <w:sz w:val="20"/>
        </w:rPr>
        <w:t>Substantial Completion</w:t>
      </w:r>
      <w:r>
        <w:rPr>
          <w:color w:val="000000"/>
        </w:rPr>
        <w:t>”</w:t>
      </w:r>
      <w:r>
        <w:rPr>
          <w:rFonts w:ascii="Times New Roman" w:hAnsi="Times New Roman"/>
          <w:color w:val="000000"/>
          <w:sz w:val="20"/>
        </w:rPr>
        <w:t>). Each of Tenant’s Agents shall be responsible for the replacement or repair, without additional charge, of all work done or furnished in accordance with its contract that shall become defective within one (1) year after Substantial Completion. The correction of such work shall include, without additional charge, all additional expenses and damages incurred in connection with such removal or replacement of all or any part of the Tenant Improvements, and/or the Building and/or common areas that may be damaged or disturbed thereby. All such warranties or guarantees as to materials or workmanship of or with respect to the Tenant Improvements shall be contained in the Contract or subcontract and shall be written such that such guarantees or warranties shall inure to the benefit of both Landlord and Tenant, as their respective interests may appear, and can be directly enforced by either. Tenant covenants to give to Landlord any assignment or other assurances which may be necessary to effect such right of direct enforcement.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4.2.2.4</w:t>
      </w:r>
    </w:p>
    <w:p>
      <w:pPr>
        <w:pStyle w:val="TextBody"/>
        <w:bidi w:val="0"/>
        <w:spacing w:before="0" w:after="240"/>
        <w:jc w:val="both"/>
        <w:rPr/>
      </w:pPr>
      <w:r>
        <w:rPr>
          <w:rFonts w:ascii="Times New Roman" w:hAnsi="Times New Roman"/>
          <w:b/>
          <w:color w:val="000000"/>
          <w:sz w:val="20"/>
          <w:u w:val="single"/>
        </w:rPr>
        <w:t>Insurance Requirements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4.2.2.4.1</w:t>
      </w:r>
    </w:p>
    <w:p>
      <w:pPr>
        <w:pStyle w:val="TextBody"/>
        <w:bidi w:val="0"/>
        <w:spacing w:before="0" w:after="240"/>
        <w:jc w:val="both"/>
        <w:rPr/>
      </w:pPr>
      <w:r>
        <w:rPr>
          <w:rFonts w:ascii="Times New Roman" w:hAnsi="Times New Roman"/>
          <w:b/>
          <w:color w:val="000000"/>
          <w:sz w:val="20"/>
          <w:u w:val="single"/>
        </w:rPr>
        <w:t>General Coverages</w:t>
      </w:r>
      <w:r>
        <w:rPr>
          <w:rFonts w:ascii="Times New Roman" w:hAnsi="Times New Roman"/>
          <w:color w:val="000000"/>
          <w:sz w:val="20"/>
        </w:rPr>
        <w:t xml:space="preserve">. The Contractor and all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mechanical, engineering and plumbing subcontractors (“</w:t>
      </w:r>
      <w:r>
        <w:rPr>
          <w:rFonts w:ascii="Times New Roman" w:hAnsi="Times New Roman"/>
          <w:b/>
          <w:color w:val="000000"/>
          <w:sz w:val="20"/>
        </w:rPr>
        <w:t>Major Subcontractors</w:t>
      </w:r>
      <w:r>
        <w:rPr>
          <w:rFonts w:ascii="Times New Roman" w:hAnsi="Times New Roman"/>
          <w:color w:val="000000"/>
          <w:sz w:val="20"/>
        </w:rPr>
        <w:t>”) shall carry the following insurance with insurers having a minimum A.M. best rating of A- VIII or better (i) worker’s compensation insurance covering the Contractor’s or Major Subcontractor’s respective employees with a waiver of subrogation in favor of Landlord and the property manager, (ii) general liability insurance with a limit of not less than $1,000,000 per occurrence and $2,000,000 general aggregate, including products/completed operations and contractual coverage, and including Landlord and its property manager as additional insureds, and (ii) if the cost of such Tenant Improvements exceeds $100,000 in the aggregate, then Builders Risk insurance covering the construction of the Tenant Improvements, and such policy shall include Landlord as an additional insured. Other Tenant’s Agents shall carry commercially reasonable amounts of insurance as reasonably approved by Landlord.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4.2.2.4.2</w:t>
      </w:r>
    </w:p>
    <w:p>
      <w:pPr>
        <w:pStyle w:val="TextBody"/>
        <w:bidi w:val="0"/>
        <w:spacing w:before="0" w:after="240"/>
        <w:jc w:val="both"/>
        <w:rPr/>
      </w:pPr>
      <w:r>
        <w:rPr>
          <w:rFonts w:ascii="Times New Roman" w:hAnsi="Times New Roman"/>
          <w:b/>
          <w:color w:val="000000"/>
          <w:sz w:val="20"/>
          <w:u w:val="single"/>
        </w:rPr>
        <w:t>Intentionally Omitted</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4.2.2.4.3</w:t>
      </w:r>
    </w:p>
    <w:p>
      <w:pPr>
        <w:pStyle w:val="TextBody"/>
        <w:bidi w:val="0"/>
        <w:spacing w:before="0" w:after="240"/>
        <w:jc w:val="both"/>
        <w:rPr/>
      </w:pPr>
      <w:r>
        <w:rPr>
          <w:rFonts w:ascii="Times New Roman" w:hAnsi="Times New Roman"/>
          <w:b/>
          <w:color w:val="000000"/>
          <w:sz w:val="20"/>
          <w:u w:val="single"/>
        </w:rPr>
        <w:t>General Terms</w:t>
      </w:r>
      <w:r>
        <w:rPr>
          <w:rFonts w:ascii="Times New Roman" w:hAnsi="Times New Roman"/>
          <w:color w:val="000000"/>
          <w:sz w:val="20"/>
        </w:rPr>
        <w:t xml:space="preserve">. Certificates for all insurance carried pursuant to this </w:t>
      </w:r>
      <w:r>
        <w:rPr>
          <w:rFonts w:ascii="Times New Roman" w:hAnsi="Times New Roman"/>
          <w:color w:val="000000"/>
          <w:sz w:val="20"/>
          <w:u w:val="single"/>
        </w:rPr>
        <w:t>Section 4.2.2.4</w:t>
      </w:r>
      <w:r>
        <w:rPr>
          <w:color w:val="000000"/>
        </w:rPr>
        <w:t xml:space="preserve"> </w:t>
      </w:r>
      <w:r>
        <w:rPr>
          <w:rFonts w:ascii="Times New Roman" w:hAnsi="Times New Roman"/>
          <w:color w:val="000000"/>
          <w:sz w:val="20"/>
        </w:rPr>
        <w:t xml:space="preserve">shall be delivered to Landlord before the commencement of construction of the Expansion Tenant Improvements and before the Contractor’s equipment is moved onto the site. All such policies of insurance must contain a provision that the company writing said policy will endeavor to give Landlord thirty (30) days prior written notice of any cancellation or lapse of the effective date or any reduction in the amounts of such insurance. In the event that the Expansion Tenant Improvements are damaged by any cause during the course of the construction thereof, Tenant shall immediately repair the same at Tenant’s sole cost and expense. Tenant’s Agents shall maintain all of the foregoing insurance coverage in force until the Expansion Tenant Improvements are fully completed, except for any Products and Completed Operation Coverage insurance required by Landlord, which is to be maintained for ten (10) years following completion of the work. Such insurance shall provide that it is primary insurance as respects the owner and that any other insurance maintained by owner is excess and noncontributing with the insurance required hereunder. The requirements for the foregoing insurance shall not derogate from the provisions for indemnification of Landlord by Tenant under </w:t>
      </w:r>
      <w:r>
        <w:rPr>
          <w:rFonts w:ascii="Times New Roman" w:hAnsi="Times New Roman"/>
          <w:color w:val="000000"/>
          <w:sz w:val="20"/>
          <w:u w:val="single"/>
        </w:rPr>
        <w:t>Section 4.2.2.2</w:t>
      </w:r>
      <w:r>
        <w:rPr>
          <w:color w:val="000000"/>
        </w:rPr>
        <w:t xml:space="preserve"> </w:t>
      </w:r>
      <w:r>
        <w:rPr>
          <w:rFonts w:ascii="Times New Roman" w:hAnsi="Times New Roman"/>
          <w:color w:val="000000"/>
          <w:sz w:val="20"/>
        </w:rPr>
        <w:t>of this Tenant Work Letter.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4.2.3</w:t>
      </w:r>
    </w:p>
    <w:p>
      <w:pPr>
        <w:pStyle w:val="TextBody"/>
        <w:bidi w:val="0"/>
        <w:spacing w:before="0" w:after="240"/>
        <w:jc w:val="both"/>
        <w:rPr/>
      </w:pPr>
      <w:r>
        <w:rPr>
          <w:rFonts w:ascii="Times New Roman" w:hAnsi="Times New Roman"/>
          <w:b/>
          <w:color w:val="000000"/>
          <w:sz w:val="20"/>
          <w:u w:val="single"/>
        </w:rPr>
        <w:t>Governmental Compliance</w:t>
      </w:r>
      <w:r>
        <w:rPr>
          <w:rFonts w:ascii="Times New Roman" w:hAnsi="Times New Roman"/>
          <w:color w:val="000000"/>
          <w:sz w:val="20"/>
        </w:rPr>
        <w:t>. The Tenant Improvements shall comply in all respects with the following: (i) all state, federal, city or quasi-governmental laws, codes, ordinances and regulations, as each may apply according to the rulings of the controlling public official, agent or other person; (ii) applicable standards of the American Insurance Association (formerly, the National Board of Fire Underwriters) and the National Electrical Code; and (iii) building material manufacturer’s specifications.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4.2.4</w:t>
      </w:r>
    </w:p>
    <w:p>
      <w:pPr>
        <w:pStyle w:val="TextBody"/>
        <w:bidi w:val="0"/>
        <w:spacing w:before="0" w:after="240"/>
        <w:jc w:val="both"/>
        <w:rPr/>
      </w:pPr>
      <w:r>
        <w:rPr>
          <w:rFonts w:ascii="Times New Roman" w:hAnsi="Times New Roman"/>
          <w:b/>
          <w:color w:val="000000"/>
          <w:sz w:val="20"/>
          <w:u w:val="single"/>
        </w:rPr>
        <w:t>Inspection by Landlord</w:t>
      </w:r>
      <w:r>
        <w:rPr>
          <w:rFonts w:ascii="Times New Roman" w:hAnsi="Times New Roman"/>
          <w:color w:val="000000"/>
          <w:sz w:val="20"/>
        </w:rPr>
        <w:t xml:space="preserve">. Landlord shall have the right to inspect the Tenant Improvements at all times, provided however, that Landlord’s failure to inspect the Tenant Improvements shall in no event constitute a waiver of any of Landlord’s rights hereunder nor shall Landlord’s inspection of the Tenant Improvements constitute Landlord’s approval of the same. Should Landlord reasonably disapprove any portion of the Tenant Improvements, on the grounds that the construction is defective or fails to substantially comply with the Approved Working Drawings, Landlord shall notify Tenant in writing of such disapproval and shall specify the items disapproved. Any such defects or deviations shall be rectified by Tenant at no expense to Landlord, provided however, that in the event Landlord determines that a defect or deviation exists that might adversely affect the mechanical, electrical, plumbing, heating, ventilating and air conditioning or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life-safety systems of the Building, the structure or exterior appearance of the Building or any other tenant’s use of such other tenant’s leased premises, Landlord may, take such action as Landlord reasonably deems necessary, at Tenant’s expense and without incurring any liability on Landlord’s part, to correct any such defect, deviation and/or matter, including, without limitation, causing the cessation of performance of the construction of the Tenant Improvements until such time as the defect, deviation and/or matter is corrected to Landlord’s reasonable satisfaction.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4.2.5</w:t>
      </w:r>
    </w:p>
    <w:p>
      <w:pPr>
        <w:pStyle w:val="TextBody"/>
        <w:bidi w:val="0"/>
        <w:spacing w:before="0" w:after="240"/>
        <w:jc w:val="both"/>
        <w:rPr/>
      </w:pPr>
      <w:r>
        <w:rPr>
          <w:rFonts w:ascii="Times New Roman" w:hAnsi="Times New Roman"/>
          <w:b/>
          <w:color w:val="000000"/>
          <w:sz w:val="20"/>
          <w:u w:val="single"/>
        </w:rPr>
        <w:t>Meetings</w:t>
      </w:r>
      <w:r>
        <w:rPr>
          <w:rFonts w:ascii="Times New Roman" w:hAnsi="Times New Roman"/>
          <w:color w:val="000000"/>
          <w:sz w:val="20"/>
        </w:rPr>
        <w:t>. Commencing upon the execution of this Second Amendment, Tenant shall hold weekly meetings at a reasonable time, with the Architect and the Contractor regarding the progress of the preparation of Construction Drawings and the construction of the Tenant Improvements, and Landlord and/or its agents shall receive prior notice of, and shall have the right to attend, all such meetings, and, upon Landlord’s request, certain of Tenant’s Agents shall attend such meetings. In addition, minutes shall be taken at all such meetings, a copy of which minutes shall be promptly delivered to Landlord. One such meeting each month shall include the review of Contractor’s current request for payment.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4.3</w:t>
      </w:r>
    </w:p>
    <w:p>
      <w:pPr>
        <w:pStyle w:val="TextBody"/>
        <w:bidi w:val="0"/>
        <w:spacing w:before="0" w:after="240"/>
        <w:jc w:val="both"/>
        <w:rPr/>
      </w:pPr>
      <w:r>
        <w:rPr>
          <w:rFonts w:ascii="Times New Roman" w:hAnsi="Times New Roman"/>
          <w:b/>
          <w:color w:val="000000"/>
          <w:sz w:val="20"/>
          <w:u w:val="single"/>
        </w:rPr>
        <w:t>Notice of Completion; Copy of Record Set of Plans</w:t>
      </w:r>
      <w:r>
        <w:rPr>
          <w:rFonts w:ascii="Times New Roman" w:hAnsi="Times New Roman"/>
          <w:color w:val="000000"/>
          <w:sz w:val="20"/>
        </w:rPr>
        <w:t>. Within ten (10) days after completion of construction of the Tenant Improvements, Tenant shall cause a valid Notice of Completion to be recorded in the office of the Recorder of the county in which the Building is located in accordance with Section 8182 of the Civil Code of the State of California or any successor statute, and shall furnish a copy thereof to Landlord upon such recordation. If Tenant fails to do so, Landlord may execute and file the same on behalf of Tenant as Tenant’s agent for such purpose, at Tenant’s sole cost and expense. At the conclusion of construction, (i) Tenant shall cause the Architect and Contractor (</w:t>
      </w:r>
      <w:r>
        <w:rPr>
          <w:rFonts w:ascii="Times New Roman" w:hAnsi="Times New Roman"/>
          <w:i/>
          <w:color w:val="000000"/>
          <w:sz w:val="20"/>
        </w:rPr>
        <w:t>x</w:t>
      </w:r>
      <w:r>
        <w:rPr>
          <w:rFonts w:ascii="Times New Roman" w:hAnsi="Times New Roman"/>
          <w:color w:val="000000"/>
          <w:sz w:val="20"/>
        </w:rPr>
        <w:t>) to update the Approved Working Drawings as necessary to reflect all changes made to the Approved Working Drawings during the course of construction, (</w:t>
      </w:r>
      <w:r>
        <w:rPr>
          <w:rFonts w:ascii="Times New Roman" w:hAnsi="Times New Roman"/>
          <w:i/>
          <w:color w:val="000000"/>
          <w:sz w:val="20"/>
        </w:rPr>
        <w:t>y</w:t>
      </w:r>
      <w:r>
        <w:rPr>
          <w:rFonts w:ascii="Times New Roman" w:hAnsi="Times New Roman"/>
          <w:color w:val="000000"/>
          <w:sz w:val="20"/>
        </w:rPr>
        <w:t>) to certify to the best of their knowledge that the “record-set” of as-built drawings are true and correct, which certification shall survive the expiration or termination of the Lease, as amended, and (</w:t>
      </w:r>
      <w:r>
        <w:rPr>
          <w:rFonts w:ascii="Times New Roman" w:hAnsi="Times New Roman"/>
          <w:i/>
          <w:color w:val="000000"/>
          <w:sz w:val="20"/>
        </w:rPr>
        <w:t>z</w:t>
      </w:r>
      <w:r>
        <w:rPr>
          <w:rFonts w:ascii="Times New Roman" w:hAnsi="Times New Roman"/>
          <w:color w:val="000000"/>
          <w:sz w:val="20"/>
        </w:rPr>
        <w:t>) to deliver to Landlord two (2) sets of copies of such record set of drawings (hard copy and CAD files) within ninety (90) days following issuance of a certificate of occupancy for the Expansion Premises, and (ii) Tenant shall deliver to Landlord a copy of all warranties, guaranties, and operating manuals and information relating to the improvements, equipment, and systems in the Expansion Premises. Within fifteen (15) days after request by Tenant following the Substantial Completion of the Tenant Improvements, Landlord will acknowledge its approval of the Tenant Improvements (provided that such approval has been granted) by placing its signature on a Contractor’s Certificate of Substantial Completion fully executed by the Architect, Contractor and Tenant. Landlord’s approval shall not create any contingent liabilities for Landlord with respect to any latent quality, design, Code compliance or other like matters that may arise subsequent to Landlord’s approval.</w:t>
      </w:r>
    </w:p>
    <w:p>
      <w:pPr>
        <w:pStyle w:val="TextBody"/>
        <w:bidi w:val="0"/>
        <w:spacing w:before="0" w:after="240"/>
        <w:jc w:val="center"/>
        <w:rPr>
          <w:rFonts w:ascii="Times New Roman" w:hAnsi="Times New Roman"/>
          <w:b/>
          <w:caps/>
          <w:color w:val="000000"/>
          <w:sz w:val="20"/>
          <w:u w:val="single"/>
        </w:rPr>
      </w:pPr>
      <w:r>
        <w:rPr>
          <w:rFonts w:ascii="Times New Roman" w:hAnsi="Times New Roman"/>
          <w:b/>
          <w:caps/>
          <w:color w:val="000000"/>
          <w:sz w:val="20"/>
          <w:u w:val="single"/>
        </w:rPr>
        <w:t>SECTION 5</w:t>
      </w:r>
    </w:p>
    <w:p>
      <w:pPr>
        <w:pStyle w:val="TextBody"/>
        <w:bidi w:val="0"/>
        <w:spacing w:before="0" w:after="240"/>
        <w:jc w:val="center"/>
        <w:rPr/>
      </w:pPr>
      <w:r>
        <w:rPr>
          <w:rFonts w:ascii="Times New Roman" w:hAnsi="Times New Roman"/>
          <w:color w:val="000000"/>
          <w:sz w:val="20"/>
          <w:u w:val="single"/>
        </w:rPr>
        <w:br/>
        <w:br/>
      </w:r>
      <w:r>
        <w:rPr>
          <w:rFonts w:ascii="Times New Roman" w:hAnsi="Times New Roman"/>
          <w:b/>
          <w:color w:val="000000"/>
          <w:sz w:val="20"/>
          <w:u w:val="single"/>
        </w:rPr>
        <w:t>MISCELLANEOUS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5.1</w:t>
      </w:r>
    </w:p>
    <w:p>
      <w:pPr>
        <w:pStyle w:val="TextBody"/>
        <w:bidi w:val="0"/>
        <w:spacing w:before="0" w:after="240"/>
        <w:jc w:val="both"/>
        <w:rPr/>
      </w:pPr>
      <w:r>
        <w:rPr>
          <w:rFonts w:ascii="Times New Roman" w:hAnsi="Times New Roman"/>
          <w:b/>
          <w:color w:val="000000"/>
          <w:sz w:val="20"/>
          <w:u w:val="single"/>
        </w:rPr>
        <w:t>Intentionally Omitted</w:t>
      </w:r>
      <w:r>
        <w:rPr>
          <w:rFonts w:ascii="Times New Roman" w:hAnsi="Times New Roman"/>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5.2</w:t>
      </w:r>
    </w:p>
    <w:p>
      <w:pPr>
        <w:pStyle w:val="TextBody"/>
        <w:bidi w:val="0"/>
        <w:spacing w:before="0" w:after="240"/>
        <w:jc w:val="both"/>
        <w:rPr/>
      </w:pPr>
      <w:r>
        <w:rPr>
          <w:rFonts w:ascii="Times New Roman" w:hAnsi="Times New Roman"/>
          <w:b/>
          <w:color w:val="000000"/>
          <w:sz w:val="20"/>
          <w:u w:val="single"/>
        </w:rPr>
        <w:t>Tenant’s Representative</w:t>
      </w:r>
      <w:r>
        <w:rPr>
          <w:rFonts w:ascii="Times New Roman" w:hAnsi="Times New Roman"/>
          <w:color w:val="000000"/>
          <w:sz w:val="20"/>
        </w:rPr>
        <w:t>. Tenant has designated Monica Sullivan as its sole representatives with respect to the matters set forth in this Tenant Work Letter, who shall each have full authority and responsibility to act on behalf of the Tenant as required in this Tenant Work Letter.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5.3</w:t>
      </w:r>
    </w:p>
    <w:p>
      <w:pPr>
        <w:pStyle w:val="TextBody"/>
        <w:bidi w:val="0"/>
        <w:spacing w:before="0" w:after="240"/>
        <w:jc w:val="both"/>
        <w:rPr/>
      </w:pPr>
      <w:r>
        <w:rPr>
          <w:rFonts w:ascii="Times New Roman" w:hAnsi="Times New Roman"/>
          <w:b/>
          <w:color w:val="000000"/>
          <w:sz w:val="20"/>
          <w:u w:val="single"/>
        </w:rPr>
        <w:t>Landlord’s Representative</w:t>
      </w:r>
      <w:r>
        <w:rPr>
          <w:rFonts w:ascii="Times New Roman" w:hAnsi="Times New Roman"/>
          <w:color w:val="000000"/>
          <w:sz w:val="20"/>
        </w:rPr>
        <w:t>. Landlord has designated Crista Swan with PMA, as its sole representatives with respect to the matters set forth in this Tenant Work Letter, who, until further notice to Tenant, shall have full authority and responsibility to act on behalf of the Landlord as required in this Tenant Work Letter.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5.4</w:t>
      </w:r>
    </w:p>
    <w:p>
      <w:pPr>
        <w:pStyle w:val="TextBody"/>
        <w:bidi w:val="0"/>
        <w:spacing w:before="0" w:after="240"/>
        <w:jc w:val="both"/>
        <w:rPr/>
      </w:pPr>
      <w:r>
        <w:rPr>
          <w:rFonts w:ascii="Times New Roman" w:hAnsi="Times New Roman"/>
          <w:b/>
          <w:color w:val="000000"/>
          <w:sz w:val="20"/>
          <w:u w:val="single"/>
        </w:rPr>
        <w:t>Time is of the Essence in This Tenant Work Letter</w:t>
      </w:r>
      <w:r>
        <w:rPr>
          <w:rFonts w:ascii="Times New Roman" w:hAnsi="Times New Roman"/>
          <w:color w:val="000000"/>
          <w:sz w:val="20"/>
        </w:rPr>
        <w:t>. Unless otherwise indicated, all references herein to a “number of days” shall mean and refer to calendar days. If any item requiring approval is timely disapproved by Landlord, the procedure for preparation of the document and approval thereof shall be repeated until the document is approved by Landlord.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5.5</w:t>
      </w:r>
    </w:p>
    <w:p>
      <w:pPr>
        <w:pStyle w:val="TextBody"/>
        <w:bidi w:val="0"/>
        <w:spacing w:before="0" w:after="240"/>
        <w:jc w:val="both"/>
        <w:rPr/>
      </w:pPr>
      <w:r>
        <w:rPr>
          <w:rFonts w:ascii="Times New Roman" w:hAnsi="Times New Roman"/>
          <w:b/>
          <w:color w:val="000000"/>
          <w:sz w:val="20"/>
          <w:u w:val="single"/>
        </w:rPr>
        <w:t>Tenant’s Lease Default</w:t>
      </w:r>
      <w:r>
        <w:rPr>
          <w:rFonts w:ascii="Times New Roman" w:hAnsi="Times New Roman"/>
          <w:color w:val="000000"/>
          <w:sz w:val="20"/>
        </w:rPr>
        <w:t>. Notwithstanding any provision to the contrary contained in the Lease, as amended, or this Tenant Work Letter, if any default by Tenant under the Lease, as amended, or this Tenant Work Letter occurs at any time on or before the substantial completion of the Tenant Improvements and such default remains uncured beyond the applicable notice and cure periods set forth in the Lease, then in addition to all other rights and remedies granted to Landlord pursuant to the Lease, as amended, Landlord shall have the right to withhold payment of all or any portion of the Tenant Improvement Allowance and/or Landlord may, without any liability whatsoever, cause the cessation of construction of the Tenant Improvements (in which case, Tenant shall be responsible for any delay in the substantial completion of the Tenant Improvements and any costs occasioned thereby).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THIRD AMENDMENT TO LEASE</w:t>
      </w:r>
    </w:p>
    <w:p>
      <w:pPr>
        <w:pStyle w:val="TextBody"/>
        <w:bidi w:val="0"/>
        <w:spacing w:before="0" w:after="240"/>
        <w:jc w:val="both"/>
        <w:rPr>
          <w:rFonts w:ascii="Times New Roman" w:hAnsi="Times New Roman"/>
          <w:sz w:val="20"/>
        </w:rPr>
      </w:pPr>
      <w:r>
        <w:rPr>
          <w:rFonts w:ascii="Times New Roman" w:hAnsi="Times New Roman"/>
          <w:color w:val="000000"/>
          <w:sz w:val="20"/>
        </w:rPr>
        <w:t>This THIRD AMENDMENT TO LEASE (“</w:t>
      </w:r>
      <w:r>
        <w:rPr>
          <w:rFonts w:ascii="Times New Roman" w:hAnsi="Times New Roman"/>
          <w:b/>
          <w:color w:val="000000"/>
          <w:sz w:val="20"/>
        </w:rPr>
        <w:t>Third Amendment</w:t>
      </w:r>
      <w:r>
        <w:rPr>
          <w:rFonts w:ascii="Times New Roman" w:hAnsi="Times New Roman"/>
          <w:color w:val="000000"/>
          <w:sz w:val="20"/>
        </w:rPr>
        <w:t>”) is made and entered into as of June 3, 2025, (the “</w:t>
      </w:r>
      <w:r>
        <w:rPr>
          <w:rFonts w:ascii="Times New Roman" w:hAnsi="Times New Roman"/>
          <w:b/>
          <w:color w:val="000000"/>
          <w:sz w:val="20"/>
        </w:rPr>
        <w:t>Third Amendment Effective Date</w:t>
      </w:r>
      <w:r>
        <w:rPr>
          <w:rFonts w:ascii="Times New Roman" w:hAnsi="Times New Roman"/>
          <w:color w:val="000000"/>
          <w:sz w:val="20"/>
        </w:rPr>
        <w:t>”) by and between HCP TORREYANA, LLC, a Delaware limited liability company (“</w:t>
      </w:r>
      <w:r>
        <w:rPr>
          <w:rFonts w:ascii="Times New Roman" w:hAnsi="Times New Roman"/>
          <w:b/>
          <w:color w:val="000000"/>
          <w:sz w:val="20"/>
        </w:rPr>
        <w:t>Landlord</w:t>
      </w:r>
      <w:r>
        <w:rPr>
          <w:rFonts w:ascii="Times New Roman" w:hAnsi="Times New Roman"/>
          <w:color w:val="000000"/>
          <w:sz w:val="20"/>
        </w:rPr>
        <w:t>”), and BIOATLA, INC., a Delaware corporation (FKA BIOATLA, LLC, a Delaware limited liability company) (“</w:t>
      </w:r>
      <w:r>
        <w:rPr>
          <w:rFonts w:ascii="Times New Roman" w:hAnsi="Times New Roman"/>
          <w:b/>
          <w:color w:val="000000"/>
          <w:sz w:val="20"/>
        </w:rPr>
        <w:t>Tenant</w:t>
      </w:r>
      <w:r>
        <w:rPr>
          <w:rFonts w:ascii="Times New Roman" w:hAnsi="Times New Roman"/>
          <w:color w:val="000000"/>
          <w:sz w:val="20"/>
        </w:rPr>
        <w:t>”).</w:t>
      </w:r>
    </w:p>
    <w:p>
      <w:pPr>
        <w:pStyle w:val="TextBody"/>
        <w:bidi w:val="0"/>
        <w:spacing w:before="0" w:after="240"/>
        <w:jc w:val="center"/>
        <w:rPr>
          <w:rFonts w:ascii="Times New Roman" w:hAnsi="Times New Roman"/>
          <w:sz w:val="20"/>
        </w:rPr>
      </w:pPr>
      <w:r>
        <w:rPr>
          <w:rFonts w:ascii="Times New Roman" w:hAnsi="Times New Roman"/>
          <w:color w:val="000000"/>
          <w:sz w:val="20"/>
          <w:u w:val="single"/>
        </w:rPr>
        <w:t xml:space="preserve">R E C I T A L S </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Landlord and Tenant are parties to that certain Lease dated June 2, 2017 (the “</w:t>
      </w:r>
      <w:r>
        <w:rPr>
          <w:rFonts w:ascii="Times New Roman" w:hAnsi="Times New Roman"/>
          <w:b/>
          <w:color w:val="000000"/>
          <w:sz w:val="20"/>
        </w:rPr>
        <w:t>Original Lease</w:t>
      </w:r>
      <w:r>
        <w:rPr>
          <w:color w:val="000000"/>
        </w:rPr>
        <w:t>”</w:t>
      </w:r>
      <w:r>
        <w:rPr>
          <w:rFonts w:ascii="Times New Roman" w:hAnsi="Times New Roman"/>
          <w:color w:val="000000"/>
          <w:sz w:val="20"/>
        </w:rPr>
        <w:t>), as amended by that certain First Amendment to 11085 Torreyana Road Lease dated October 23, 2017 (the “</w:t>
      </w:r>
      <w:r>
        <w:rPr>
          <w:rFonts w:ascii="Times New Roman" w:hAnsi="Times New Roman"/>
          <w:b/>
          <w:color w:val="000000"/>
          <w:sz w:val="20"/>
        </w:rPr>
        <w:t>First Amendment</w:t>
      </w:r>
      <w:r>
        <w:rPr>
          <w:color w:val="000000"/>
        </w:rPr>
        <w:t>”</w:t>
      </w:r>
      <w:r>
        <w:rPr>
          <w:rFonts w:ascii="Times New Roman" w:hAnsi="Times New Roman"/>
          <w:color w:val="000000"/>
          <w:sz w:val="20"/>
        </w:rPr>
        <w:t>), and that certain Second Amendment to Lease dated January 16, 2019 (the “</w:t>
      </w:r>
      <w:r>
        <w:rPr>
          <w:rFonts w:ascii="Times New Roman" w:hAnsi="Times New Roman"/>
          <w:b/>
          <w:color w:val="000000"/>
          <w:sz w:val="20"/>
        </w:rPr>
        <w:t>Second Amendment</w:t>
      </w:r>
      <w:r>
        <w:rPr>
          <w:color w:val="000000"/>
        </w:rPr>
        <w:t xml:space="preserve">” </w:t>
      </w:r>
      <w:r>
        <w:rPr>
          <w:rFonts w:ascii="Times New Roman" w:hAnsi="Times New Roman"/>
          <w:color w:val="000000"/>
          <w:sz w:val="20"/>
        </w:rPr>
        <w:t>and, together with the First Amendment and the Original Lease, the “</w:t>
      </w:r>
      <w:r>
        <w:rPr>
          <w:rFonts w:ascii="Times New Roman" w:hAnsi="Times New Roman"/>
          <w:b/>
          <w:color w:val="000000"/>
          <w:sz w:val="20"/>
        </w:rPr>
        <w:t>Lease</w:t>
      </w:r>
      <w:r>
        <w:rPr>
          <w:color w:val="000000"/>
        </w:rPr>
        <w: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Pursuant to the Lease, Landlord currently leases to Tenant, and Tenant currently leases from Landlord, that certain space (collectively, the “</w:t>
      </w:r>
      <w:r>
        <w:rPr>
          <w:rFonts w:ascii="Times New Roman" w:hAnsi="Times New Roman"/>
          <w:b/>
          <w:color w:val="000000"/>
          <w:sz w:val="20"/>
        </w:rPr>
        <w:t>Existing Premises</w:t>
      </w:r>
      <w:r>
        <w:rPr>
          <w:color w:val="000000"/>
        </w:rPr>
        <w:t>”</w:t>
      </w:r>
      <w:r>
        <w:rPr>
          <w:rFonts w:ascii="Times New Roman" w:hAnsi="Times New Roman"/>
          <w:color w:val="000000"/>
          <w:sz w:val="20"/>
        </w:rPr>
        <w:t>) containing approximately 43,377 rentable square feet comprised of the following: (i) the entire first (1st) floor (the “</w:t>
      </w:r>
      <w:r>
        <w:rPr>
          <w:rFonts w:ascii="Times New Roman" w:hAnsi="Times New Roman"/>
          <w:b/>
          <w:color w:val="000000"/>
          <w:sz w:val="20"/>
        </w:rPr>
        <w:t>First Floor Premises</w:t>
      </w:r>
      <w:r>
        <w:rPr>
          <w:color w:val="000000"/>
        </w:rPr>
        <w:t>”</w:t>
      </w:r>
      <w:r>
        <w:rPr>
          <w:rFonts w:ascii="Times New Roman" w:hAnsi="Times New Roman"/>
          <w:color w:val="000000"/>
          <w:sz w:val="20"/>
        </w:rPr>
        <w:t>) of the that certain building located at 11085 Torreyana Road, (the “</w:t>
      </w:r>
      <w:r>
        <w:rPr>
          <w:rFonts w:ascii="Times New Roman" w:hAnsi="Times New Roman"/>
          <w:b/>
          <w:color w:val="000000"/>
          <w:sz w:val="20"/>
        </w:rPr>
        <w:t>Building</w:t>
      </w:r>
      <w:r>
        <w:rPr>
          <w:color w:val="000000"/>
        </w:rPr>
        <w:t>”</w:t>
      </w:r>
      <w:r>
        <w:rPr>
          <w:rFonts w:ascii="Times New Roman" w:hAnsi="Times New Roman"/>
          <w:color w:val="000000"/>
          <w:sz w:val="20"/>
        </w:rPr>
        <w:t>) containing approximately 20,825 rentable square feet; and (ii) that certain space commonly known as Suite 200 (the “</w:t>
      </w:r>
      <w:r>
        <w:rPr>
          <w:rFonts w:ascii="Times New Roman" w:hAnsi="Times New Roman"/>
          <w:b/>
          <w:color w:val="000000"/>
          <w:sz w:val="20"/>
        </w:rPr>
        <w:t>Suite 200 Premises</w:t>
      </w:r>
      <w:r>
        <w:rPr>
          <w:color w:val="000000"/>
        </w:rPr>
        <w:t>”</w:t>
      </w:r>
      <w:r>
        <w:rPr>
          <w:rFonts w:ascii="Times New Roman" w:hAnsi="Times New Roman"/>
          <w:color w:val="000000"/>
          <w:sz w:val="20"/>
        </w:rPr>
        <w:t>) containing approximately 22,552 rentable square feet and located on the second (2nd) floor of the Building. The Building, together with all common areas serving the same and the land (which is improved with landscaping, parking areas and other improvements) upon which the Building and all common areas serving the same are located, is collectively referred to herein as the “</w:t>
      </w:r>
      <w:r>
        <w:rPr>
          <w:rFonts w:ascii="Times New Roman" w:hAnsi="Times New Roman"/>
          <w:b/>
          <w:color w:val="000000"/>
          <w:sz w:val="20"/>
        </w:rPr>
        <w:t>Property</w:t>
      </w:r>
      <w:r>
        <w:rPr>
          <w:color w:val="000000"/>
        </w:rPr>
        <w: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Landlord and Tenant now hereby desire to amend the Lease to: (i) reduce the size of the Existing Premises by deducting therefrom the Suite 200 Premises; (ii) extend the Lease Term for the First Floor Premises for the Extended Term (as defined below); (iii) provide Tenant with the Suite 200 Premises Option (as defined below) to potentially re-lease the Suite 200 Premises for the Suite 200 Premises New Term (as defined below); and (iv) make other modifications to the Lease, all upon the terms hereinafter provided.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capitalized terms when used herein shall have the same meanings given such terms in the Lease unless expressly superseded by the terms of this Third Amendment.</w:t>
      </w:r>
    </w:p>
    <w:p>
      <w:pPr>
        <w:pStyle w:val="TextBody"/>
        <w:bidi w:val="0"/>
        <w:spacing w:before="0" w:after="240"/>
        <w:jc w:val="center"/>
        <w:rPr>
          <w:rFonts w:ascii="Times New Roman" w:hAnsi="Times New Roman"/>
          <w:sz w:val="20"/>
        </w:rPr>
      </w:pPr>
      <w:r>
        <w:rPr>
          <w:rFonts w:ascii="Times New Roman" w:hAnsi="Times New Roman"/>
          <w:color w:val="000000"/>
          <w:sz w:val="20"/>
          <w:u w:val="single"/>
        </w:rPr>
        <w:t>A</w:t>
      </w:r>
      <w:r>
        <w:rPr>
          <w:rFonts w:ascii="Times New Roman" w:hAnsi="Times New Roman"/>
          <w:color w:val="000000"/>
          <w:sz w:val="20"/>
        </w:rPr>
        <w:t xml:space="preserve"> </w:t>
      </w:r>
      <w:r>
        <w:rPr>
          <w:rFonts w:ascii="Times New Roman" w:hAnsi="Times New Roman"/>
          <w:color w:val="000000"/>
          <w:sz w:val="20"/>
          <w:u w:val="single"/>
        </w:rPr>
        <w:t>G</w:t>
      </w:r>
      <w:r>
        <w:rPr>
          <w:rFonts w:ascii="Times New Roman" w:hAnsi="Times New Roman"/>
          <w:color w:val="000000"/>
          <w:sz w:val="20"/>
        </w:rPr>
        <w:t xml:space="preserve"> </w:t>
      </w:r>
      <w:r>
        <w:rPr>
          <w:rFonts w:ascii="Times New Roman" w:hAnsi="Times New Roman"/>
          <w:color w:val="000000"/>
          <w:sz w:val="20"/>
          <w:u w:val="single"/>
        </w:rPr>
        <w:t>R</w:t>
      </w:r>
      <w:r>
        <w:rPr>
          <w:rFonts w:ascii="Times New Roman" w:hAnsi="Times New Roman"/>
          <w:color w:val="000000"/>
          <w:sz w:val="20"/>
        </w:rPr>
        <w:t xml:space="preserve"> </w:t>
      </w:r>
      <w:r>
        <w:rPr>
          <w:rFonts w:ascii="Times New Roman" w:hAnsi="Times New Roman"/>
          <w:color w:val="000000"/>
          <w:sz w:val="20"/>
          <w:u w:val="single"/>
        </w:rPr>
        <w:t>E</w:t>
      </w:r>
      <w:r>
        <w:rPr>
          <w:rFonts w:ascii="Times New Roman" w:hAnsi="Times New Roman"/>
          <w:color w:val="000000"/>
          <w:sz w:val="20"/>
        </w:rPr>
        <w:t xml:space="preserve"> </w:t>
      </w:r>
      <w:r>
        <w:rPr>
          <w:rFonts w:ascii="Times New Roman" w:hAnsi="Times New Roman"/>
          <w:color w:val="000000"/>
          <w:sz w:val="20"/>
          <w:u w:val="single"/>
        </w:rPr>
        <w:t>E</w:t>
      </w:r>
      <w:r>
        <w:rPr>
          <w:rFonts w:ascii="Times New Roman" w:hAnsi="Times New Roman"/>
          <w:color w:val="000000"/>
          <w:sz w:val="20"/>
        </w:rPr>
        <w:t xml:space="preserve"> </w:t>
      </w:r>
      <w:r>
        <w:rPr>
          <w:rFonts w:ascii="Times New Roman" w:hAnsi="Times New Roman"/>
          <w:color w:val="000000"/>
          <w:sz w:val="20"/>
          <w:u w:val="single"/>
        </w:rPr>
        <w:t>M</w:t>
      </w:r>
      <w:r>
        <w:rPr>
          <w:rFonts w:ascii="Times New Roman" w:hAnsi="Times New Roman"/>
          <w:color w:val="000000"/>
          <w:sz w:val="20"/>
        </w:rPr>
        <w:t xml:space="preserve"> </w:t>
      </w:r>
      <w:r>
        <w:rPr>
          <w:rFonts w:ascii="Times New Roman" w:hAnsi="Times New Roman"/>
          <w:color w:val="000000"/>
          <w:sz w:val="20"/>
          <w:u w:val="single"/>
        </w:rPr>
        <w:t>E</w:t>
      </w:r>
      <w:r>
        <w:rPr>
          <w:rFonts w:ascii="Times New Roman" w:hAnsi="Times New Roman"/>
          <w:color w:val="000000"/>
          <w:sz w:val="20"/>
        </w:rPr>
        <w:t xml:space="preserve"> </w:t>
      </w:r>
      <w:r>
        <w:rPr>
          <w:rFonts w:ascii="Times New Roman" w:hAnsi="Times New Roman"/>
          <w:color w:val="000000"/>
          <w:sz w:val="20"/>
          <w:u w:val="single"/>
        </w:rPr>
        <w:t>N</w:t>
      </w:r>
      <w:r>
        <w:rPr>
          <w:rFonts w:ascii="Times New Roman" w:hAnsi="Times New Roman"/>
          <w:color w:val="000000"/>
          <w:sz w:val="20"/>
        </w:rPr>
        <w:t xml:space="preserve"> </w:t>
      </w:r>
      <w:r>
        <w:rPr>
          <w:rFonts w:ascii="Times New Roman" w:hAnsi="Times New Roman"/>
          <w:color w:val="000000"/>
          <w:sz w:val="20"/>
          <w:u w:val="single"/>
        </w:rPr>
        <w:t>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NOW, THEREFORE, in consideration of the foregoing recitals and the mutual covenants contained herein, and for other good and valuable consideration, the receipt and sufficiency of which are hereby acknowledged, the parties hereto hereby agree as follows: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pPr>
      <w:r>
        <w:rPr>
          <w:rFonts w:ascii="Times New Roman" w:hAnsi="Times New Roman"/>
          <w:b/>
          <w:color w:val="000000"/>
          <w:sz w:val="20"/>
          <w:u w:val="single"/>
        </w:rPr>
        <w:t>Termination of Suite 200 Premises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1.1.</w:t>
      </w:r>
    </w:p>
    <w:p>
      <w:pPr>
        <w:pStyle w:val="TextBody"/>
        <w:bidi w:val="0"/>
        <w:spacing w:before="0" w:after="240"/>
        <w:jc w:val="both"/>
        <w:rPr/>
      </w:pPr>
      <w:r>
        <w:rPr>
          <w:rFonts w:ascii="Times New Roman" w:hAnsi="Times New Roman"/>
          <w:b/>
          <w:color w:val="000000"/>
          <w:sz w:val="20"/>
          <w:u w:val="single"/>
        </w:rPr>
        <w:t>Termination of Suite 200 Premises</w:t>
      </w:r>
      <w:r>
        <w:rPr>
          <w:rFonts w:ascii="Times New Roman" w:hAnsi="Times New Roman"/>
          <w:color w:val="000000"/>
          <w:sz w:val="20"/>
        </w:rPr>
        <w:t xml:space="preserve">. Provided that Tenant has not previously timely and properly exercised the Suite 200 Premises Option pursuant to </w:t>
      </w:r>
      <w:r>
        <w:rPr>
          <w:rFonts w:ascii="Times New Roman" w:hAnsi="Times New Roman"/>
          <w:color w:val="000000"/>
          <w:sz w:val="20"/>
          <w:u w:val="single"/>
        </w:rPr>
        <w:t>Section 8</w:t>
      </w:r>
      <w:r>
        <w:rPr>
          <w:color w:val="000000"/>
        </w:rPr>
        <w:t xml:space="preserve"> </w:t>
      </w:r>
      <w:r>
        <w:rPr>
          <w:rFonts w:ascii="Times New Roman" w:hAnsi="Times New Roman"/>
          <w:color w:val="000000"/>
          <w:sz w:val="20"/>
        </w:rPr>
        <w:t xml:space="preserve">below such that the Suite 200 New Term Commencement Date (as defined below) would occur July 1, 2025, effective as of 12:00 midnight on June 30, 2025 (the “Suite 200 Premises Termination Date”), the total Premises leased by Tenant from Landlord under the Lease, as hereby amended (the “Amended Lease”), shall no longer include the Suite 200 Premises, and the Lease shall be deemed terminated with respect to the Suite 200 Premises. Accordingly, effective from and after July 1, 2025 (i.e., the date immediately after the Suite 200 Premises Termination Date), the Existing Premises leased by Tenant under the Amended Lease (and all references in the Amended Lease to the “Premises”) shall no longer include the Suite 200 Premises. Notwithstanding the termination of the Lease with respect to the Suite 200 Premises as provided hereinabove, Tenant shall remain liable for: (i) all of its obligations as Tenant under the Amended Lease, with respect to the Suite 200 Premises arising prior to and including the Suite 200 Premises Termination Date; (ii) all of the Tenant’s indemnification and other obligations with respect to the Suite 200 Premises that expressly survive the termination of the Amended Lease; and (iii) payment of Base Rent and all other amounts for the Suite 200 Premises through and including the Suite 200 Premises Termination Date, including, without limitation, the obligation under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pPr>
      <w:r>
        <w:rPr>
          <w:rFonts w:ascii="Times New Roman" w:hAnsi="Times New Roman"/>
          <w:color w:val="000000"/>
          <w:sz w:val="20"/>
        </w:rPr>
        <w:t xml:space="preserve">the Amended Lease, to pay for any reconciliation of Tenant’s Share the Direct Expenses for the Suite 200 Premises for the period arising prior to the Suite 200 Premises Date (i.e., June 30, 2025) pursuant to the provisions of </w:t>
      </w:r>
      <w:r>
        <w:rPr>
          <w:rFonts w:ascii="Times New Roman" w:hAnsi="Times New Roman"/>
          <w:color w:val="000000"/>
          <w:sz w:val="20"/>
          <w:u w:val="single"/>
        </w:rPr>
        <w:t>Section 4.4.1</w:t>
      </w:r>
      <w:r>
        <w:rPr>
          <w:color w:val="000000"/>
        </w:rPr>
        <w:t xml:space="preserve"> </w:t>
      </w:r>
      <w:r>
        <w:rPr>
          <w:rFonts w:ascii="Times New Roman" w:hAnsi="Times New Roman"/>
          <w:color w:val="000000"/>
          <w:sz w:val="20"/>
        </w:rPr>
        <w:t>of the Original Lease.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1.2.</w:t>
      </w:r>
    </w:p>
    <w:p>
      <w:pPr>
        <w:pStyle w:val="TextBody"/>
        <w:bidi w:val="0"/>
        <w:spacing w:before="0" w:after="240"/>
        <w:jc w:val="both"/>
        <w:rPr/>
      </w:pPr>
      <w:r>
        <w:rPr>
          <w:rFonts w:ascii="Times New Roman" w:hAnsi="Times New Roman"/>
          <w:b/>
          <w:color w:val="000000"/>
          <w:sz w:val="20"/>
          <w:u w:val="single"/>
        </w:rPr>
        <w:t>Surrender of Suite 200 Premises</w:t>
      </w:r>
      <w:r>
        <w:rPr>
          <w:rFonts w:ascii="Times New Roman" w:hAnsi="Times New Roman"/>
          <w:color w:val="000000"/>
          <w:sz w:val="20"/>
        </w:rPr>
        <w:t xml:space="preserve">. If as of the Suite 200 Premises Termination Date, Tenant has not properly exercised the Suite 200 Premises Option pursuant to </w:t>
      </w:r>
      <w:r>
        <w:rPr>
          <w:rFonts w:ascii="Times New Roman" w:hAnsi="Times New Roman"/>
          <w:color w:val="000000"/>
          <w:sz w:val="20"/>
          <w:u w:val="single"/>
        </w:rPr>
        <w:t>Section 8</w:t>
      </w:r>
      <w:r>
        <w:rPr>
          <w:color w:val="000000"/>
        </w:rPr>
        <w:t xml:space="preserve"> </w:t>
      </w:r>
      <w:r>
        <w:rPr>
          <w:rFonts w:ascii="Times New Roman" w:hAnsi="Times New Roman"/>
          <w:color w:val="000000"/>
          <w:sz w:val="20"/>
        </w:rPr>
        <w:t xml:space="preserve">below, then: (i) Tenant shall vacate the Suite 200 Premises as of such 200 Suite Premises Termination Date and (ii) Tenant shall not enter, occupy, conduct business in or use the Suite 200 Premises. However, from the period commencing on the Suite 200 Premises Termination Date until the Suite 200 Premises Option Outside Date (the “Option Period”), Tenant shall be permitted to leave its personal property, furniture fixture and equipment in the Suite 200 Premises for the duration of the Option Period. If as of the Suite 200 Premises Option Outside Date, Tenant has not properly exercised the Suite 200 Premises Option pursuant to </w:t>
      </w:r>
      <w:r>
        <w:rPr>
          <w:rFonts w:ascii="Times New Roman" w:hAnsi="Times New Roman"/>
          <w:color w:val="000000"/>
          <w:sz w:val="20"/>
          <w:u w:val="single"/>
        </w:rPr>
        <w:t>Section 8</w:t>
      </w:r>
      <w:r>
        <w:rPr>
          <w:color w:val="000000"/>
        </w:rPr>
        <w:t xml:space="preserve"> </w:t>
      </w:r>
      <w:r>
        <w:rPr>
          <w:rFonts w:ascii="Times New Roman" w:hAnsi="Times New Roman"/>
          <w:color w:val="000000"/>
          <w:sz w:val="20"/>
        </w:rPr>
        <w:t xml:space="preserve">below, then: (a) Tenant shall continue to remain vacated from the Suite 200 Premises, (b) Tenant shall continue to not enter, occupy, conduct business in or use the Suite 200 Premises, (c) Tenant shall surrender and deliver exclusive possession thereof to Landlord, in accordance with the applicable surrender provisions of the Lease, including, without limitation, </w:t>
      </w:r>
      <w:r>
        <w:rPr>
          <w:rFonts w:ascii="Times New Roman" w:hAnsi="Times New Roman"/>
          <w:color w:val="000000"/>
          <w:sz w:val="20"/>
          <w:u w:val="single"/>
        </w:rPr>
        <w:t>Sections 8.5</w:t>
      </w:r>
      <w:r>
        <w:rPr>
          <w:rFonts w:ascii="Times New Roman" w:hAnsi="Times New Roman"/>
          <w:color w:val="000000"/>
          <w:sz w:val="20"/>
        </w:rPr>
        <w:t xml:space="preserve">, </w:t>
      </w:r>
      <w:r>
        <w:rPr>
          <w:rFonts w:ascii="Times New Roman" w:hAnsi="Times New Roman"/>
          <w:color w:val="000000"/>
          <w:sz w:val="20"/>
          <w:u w:val="single"/>
        </w:rPr>
        <w:t>15.2</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15.3</w:t>
      </w:r>
      <w:r>
        <w:rPr>
          <w:color w:val="000000"/>
        </w:rPr>
        <w:t xml:space="preserve"> </w:t>
      </w:r>
      <w:r>
        <w:rPr>
          <w:rFonts w:ascii="Times New Roman" w:hAnsi="Times New Roman"/>
          <w:color w:val="000000"/>
          <w:sz w:val="20"/>
        </w:rPr>
        <w:t xml:space="preserve">of the Original Lease, and (d) if Tenant does not surrender exclusive possession of the Suite 200 Premises to Landlord as of the Suite 200 Premises Outside Date (or, if during the Option Period, Tenant occupies and conducts business in the Suite 200 Premises), then Tenant shall be deemed to be in holdover of the Suite 200 Premises subject to and in accordance with </w:t>
      </w:r>
      <w:r>
        <w:rPr>
          <w:rFonts w:ascii="Times New Roman" w:hAnsi="Times New Roman"/>
          <w:color w:val="000000"/>
          <w:sz w:val="20"/>
          <w:u w:val="single"/>
        </w:rPr>
        <w:t>Article 16</w:t>
      </w:r>
      <w:r>
        <w:rPr>
          <w:color w:val="000000"/>
        </w:rPr>
        <w:t xml:space="preserve"> </w:t>
      </w:r>
      <w:r>
        <w:rPr>
          <w:rFonts w:ascii="Times New Roman" w:hAnsi="Times New Roman"/>
          <w:color w:val="000000"/>
          <w:sz w:val="20"/>
        </w:rPr>
        <w:t>of the Original Lease.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1.3.</w:t>
      </w:r>
    </w:p>
    <w:p>
      <w:pPr>
        <w:pStyle w:val="TextBody"/>
        <w:bidi w:val="0"/>
        <w:spacing w:before="0" w:after="240"/>
        <w:jc w:val="both"/>
        <w:rPr/>
      </w:pPr>
      <w:r>
        <w:rPr>
          <w:rFonts w:ascii="Times New Roman" w:hAnsi="Times New Roman"/>
          <w:b/>
          <w:color w:val="000000"/>
          <w:sz w:val="20"/>
          <w:u w:val="single"/>
        </w:rPr>
        <w:t>Interplay with Suite 200 Premises Option</w:t>
      </w:r>
      <w:r>
        <w:rPr>
          <w:rFonts w:ascii="Times New Roman" w:hAnsi="Times New Roman"/>
          <w:color w:val="000000"/>
          <w:sz w:val="20"/>
        </w:rPr>
        <w:t>. For purposes of clarification, Tenant may exercise the Suite 200 Premises Option under Section 8 below with respect to re-leasing the Suite 200 Premises for the Suite 200 Premises New Term as more particularly set forth therein, and if Tenant timely and properly does so exercise the same such that the Suite 200 New Term Commencement Date would occur July 1, 2025, then the reduction and termination under this Section 1 shall be of no force or effect (but if Tenant delays such exercise and timely and properly exercises the Suite 200 Premises Option under Section 8 below such that the Suite 200 New Term Commencement Date would occur after July 1, 2025, then the reduction and termination under this Section 1 shall remain in force and effect, and the Suite 200 New Term Commencement Date would occur on such later date, separate and apart).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pPr>
      <w:r>
        <w:rPr>
          <w:rFonts w:ascii="Times New Roman" w:hAnsi="Times New Roman"/>
          <w:b/>
          <w:color w:val="000000"/>
          <w:sz w:val="20"/>
          <w:u w:val="single"/>
        </w:rPr>
        <w:t>CONDITION OF THE EXISTING PREMISES</w:t>
      </w:r>
      <w:r>
        <w:rPr>
          <w:rFonts w:ascii="Times New Roman" w:hAnsi="Times New Roman"/>
          <w:color w:val="000000"/>
          <w:sz w:val="20"/>
        </w:rPr>
        <w:t xml:space="preserve">. LANDLORD AND TENANT ACKNOWLEDGE THAT TENANT HAS BEEN OCCUPYING THE EXISTING PREMISES PURSUANT TO THE LEASE, AND THEREFORE TENANT CONTINUES TO ACCEPT THE EXISTING PREMISES IN ITS PRESENTLY EXISTING, “AS IS” CONDITION (SUBJECT, HOWEVER, TO LANDLORD’S OBLIGATION TO PERFORM THE THIRD AMENDMENT LANDLORD WORK (AS DEFINED IN </w:t>
      </w:r>
      <w:r>
        <w:rPr>
          <w:rFonts w:ascii="Times New Roman" w:hAnsi="Times New Roman"/>
          <w:color w:val="000000"/>
          <w:sz w:val="20"/>
          <w:u w:val="single"/>
        </w:rPr>
        <w:t>SECTION 7</w:t>
      </w:r>
      <w:r>
        <w:rPr>
          <w:color w:val="000000"/>
        </w:rPr>
        <w:t xml:space="preserve"> </w:t>
      </w:r>
      <w:r>
        <w:rPr>
          <w:rFonts w:ascii="Times New Roman" w:hAnsi="Times New Roman"/>
          <w:color w:val="000000"/>
          <w:sz w:val="20"/>
        </w:rPr>
        <w:t xml:space="preserve">BELOW) AND TO LANDLORD’S CONTINUING MAINTENANCE, REPAIR, AND REPLACEMENT OBLIGATIONS AS SET FORTH IN THE LEASE). LANDLORD SHALL NOT BE OBLIGATED TO PROVIDE OR PAY FOR ANY IMPROVEMENT WORK OR SERVICES RELATED TO THE IMPROVEMENT OF THE PREMISES, EXCEPT AS SET FORTH IN </w:t>
      </w:r>
      <w:r>
        <w:rPr>
          <w:rFonts w:ascii="Times New Roman" w:hAnsi="Times New Roman"/>
          <w:color w:val="000000"/>
          <w:sz w:val="20"/>
          <w:u w:val="single"/>
        </w:rPr>
        <w:t>SECTION 7</w:t>
      </w:r>
      <w:r>
        <w:rPr>
          <w:color w:val="000000"/>
        </w:rPr>
        <w:t xml:space="preserve"> </w:t>
      </w:r>
      <w:r>
        <w:rPr>
          <w:rFonts w:ascii="Times New Roman" w:hAnsi="Times New Roman"/>
          <w:color w:val="000000"/>
          <w:sz w:val="20"/>
        </w:rPr>
        <w:t xml:space="preserve">BELOW WITH RESPECT TO THE THIRD AMENDMENT LANDLORD WORK (AS DEFINED THEREIN), AND EXCEPT FOR ANY CONTINUING OBLIGATIONS OF LANDLORD SET FORTH IN THE LEASE. FOR THE AVOIDANCE OF DOUBT, TENANT ACKNOWLEDGES AND AGREES THAT IT NO LONGER HAS ANY RIGHTS OR REPAYMENT OBLIGATIONS TO LANDLORD WITH RESPECT TO, AND LANDLORD HAS NO FURTHER OBLIGATIONS TO DISBURSE, THE TENANT IMPROVEMENT ALLOWANCE (AS THAT TERM IS DEFINED IN </w:t>
      </w:r>
      <w:r>
        <w:rPr>
          <w:rFonts w:ascii="Times New Roman" w:hAnsi="Times New Roman"/>
          <w:color w:val="000000"/>
          <w:sz w:val="20"/>
          <w:u w:val="single"/>
        </w:rPr>
        <w:t>SECTION 2.1</w:t>
      </w:r>
      <w:r>
        <w:rPr>
          <w:color w:val="000000"/>
        </w:rPr>
        <w:t xml:space="preserve"> </w:t>
      </w:r>
      <w:r>
        <w:rPr>
          <w:rFonts w:ascii="Times New Roman" w:hAnsi="Times New Roman"/>
          <w:color w:val="000000"/>
          <w:sz w:val="20"/>
        </w:rPr>
        <w:t>OF EXHIBIT B TO THE SECOND AMENDMENT). TENANT ALSO ACKNOWLEDGES THAT NEITHER LANDLORD NOR ANY AGENT OF LANDLORD HAS MADE ANY REPRESENTATION OR WARRANTY REGARDING THE CONDITION OF THE EXISTING PREMISES, THE BUILDING, OR THE PROJECT OR WITH RESPECT TO THE SUITABILITY OF THE SAME FOR THE CONDUCT OF TENANT’S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pPr>
      <w:r>
        <w:rPr>
          <w:rFonts w:ascii="Times New Roman" w:hAnsi="Times New Roman"/>
          <w:b/>
          <w:color w:val="000000"/>
          <w:sz w:val="20"/>
          <w:u w:val="single"/>
        </w:rPr>
        <w:t>Lease Term</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3.1.</w:t>
      </w:r>
    </w:p>
    <w:p>
      <w:pPr>
        <w:pStyle w:val="TextBody"/>
        <w:bidi w:val="0"/>
        <w:spacing w:before="0" w:after="240"/>
        <w:jc w:val="both"/>
        <w:rPr/>
      </w:pPr>
      <w:r>
        <w:rPr>
          <w:rFonts w:ascii="Times New Roman" w:hAnsi="Times New Roman"/>
          <w:b/>
          <w:color w:val="000000"/>
          <w:sz w:val="20"/>
          <w:u w:val="single"/>
        </w:rPr>
        <w:t>Extended Lease Term</w:t>
      </w:r>
      <w:r>
        <w:rPr>
          <w:rFonts w:ascii="Times New Roman" w:hAnsi="Times New Roman"/>
          <w:color w:val="000000"/>
          <w:sz w:val="20"/>
        </w:rPr>
        <w:t>. Pursuant to the Lease, the Lease Term for the Existing Premises is scheduled to expire on June 30, 2025. Landlord and Tenant hereby agree to extend the Lease Term, for the First Floor Premises only, for a period of sixty-five (65) months, from July 1, 2025 (the “Extended Term Commencement Date”), through November 30, 2030 (the “Extended Term”), on the terms and conditions set forth in the Amended Lease, unless sooner terminated as provided in the Lease.</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3.2.</w:t>
      </w:r>
    </w:p>
    <w:p>
      <w:pPr>
        <w:pStyle w:val="TextBody"/>
        <w:bidi w:val="0"/>
        <w:spacing w:before="0" w:after="240"/>
        <w:jc w:val="both"/>
        <w:rPr/>
      </w:pPr>
      <w:r>
        <w:rPr>
          <w:rFonts w:ascii="Times New Roman" w:hAnsi="Times New Roman"/>
          <w:b/>
          <w:color w:val="000000"/>
          <w:sz w:val="20"/>
          <w:u w:val="single"/>
        </w:rPr>
        <w:t>Option to Extend Lease Term</w:t>
      </w:r>
      <w:r>
        <w:rPr>
          <w:rFonts w:ascii="Times New Roman" w:hAnsi="Times New Roman"/>
          <w:color w:val="000000"/>
          <w:sz w:val="20"/>
        </w:rPr>
        <w:t xml:space="preserve">. Tenant shall continue to have the right to extend the Lease Term (i.e., now the Extended Term) pursuant to </w:t>
      </w:r>
      <w:r>
        <w:rPr>
          <w:rFonts w:ascii="Times New Roman" w:hAnsi="Times New Roman"/>
          <w:color w:val="000000"/>
          <w:sz w:val="20"/>
          <w:u w:val="single"/>
        </w:rPr>
        <w:t>Section 2.2</w:t>
      </w:r>
      <w:r>
        <w:rPr>
          <w:color w:val="000000"/>
        </w:rPr>
        <w:t xml:space="preserve"> </w:t>
      </w:r>
      <w:r>
        <w:rPr>
          <w:rFonts w:ascii="Times New Roman" w:hAnsi="Times New Roman"/>
          <w:color w:val="000000"/>
          <w:sz w:val="20"/>
        </w:rPr>
        <w:t xml:space="preserve">of the Original Lease; provided, however, that Landlord and Tenant acknowledge and agree that, effective as of the Third Amendment Effective Date: (i) Section 4 of the Second Amendment is deleted and of no further force or effect; (ii) </w:t>
      </w:r>
      <w:r>
        <w:rPr>
          <w:rFonts w:ascii="Times New Roman" w:hAnsi="Times New Roman"/>
          <w:color w:val="000000"/>
          <w:sz w:val="20"/>
          <w:u w:val="single"/>
        </w:rPr>
        <w:t>Section 2.2</w:t>
      </w:r>
      <w:r>
        <w:rPr>
          <w:color w:val="000000"/>
        </w:rPr>
        <w:t xml:space="preserve"> </w:t>
      </w:r>
      <w:r>
        <w:rPr>
          <w:rFonts w:ascii="Times New Roman" w:hAnsi="Times New Roman"/>
          <w:color w:val="000000"/>
          <w:sz w:val="20"/>
        </w:rPr>
        <w:t>of the Original Lease is hereby revised such that Tenant’s option to extend is now for one (1) period of three (3) years (in lieu of five [5] years as previously provided); and (iii) such option to extend shall be with respect to the entire Premises then leased by Tenant under the Amended Lease, including the Suite 200 Premises if also then re-leased under Section 8 below.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both"/>
        <w:rPr/>
      </w:pPr>
      <w:r>
        <w:rPr>
          <w:rFonts w:ascii="Times New Roman" w:hAnsi="Times New Roman"/>
          <w:b/>
          <w:color w:val="000000"/>
          <w:sz w:val="20"/>
          <w:u w:val="single"/>
        </w:rPr>
        <w:t>RENT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4.1.</w:t>
      </w:r>
    </w:p>
    <w:p>
      <w:pPr>
        <w:pStyle w:val="TextBody"/>
        <w:bidi w:val="0"/>
        <w:spacing w:before="0" w:after="240"/>
        <w:jc w:val="both"/>
        <w:rPr/>
      </w:pPr>
      <w:r>
        <w:rPr>
          <w:rFonts w:ascii="Times New Roman" w:hAnsi="Times New Roman"/>
          <w:b/>
          <w:color w:val="000000"/>
          <w:sz w:val="20"/>
          <w:u w:val="single"/>
        </w:rPr>
        <w:t>Base Rent</w:t>
      </w:r>
      <w:r>
        <w:rPr>
          <w:rFonts w:ascii="Times New Roman" w:hAnsi="Times New Roman"/>
          <w:color w:val="000000"/>
          <w:sz w:val="20"/>
        </w:rPr>
        <w:t>. Prior to July 1, 2025, Tenant shall continue to pay monthly installments of Base Rent for the Existing Premises in accordance with the terms of the Lease. During the Extended Term, Tenant shall pay monthly installments of Base Rent for the First Floor Premises as follows, and otherwise shall pay Base Rent in accordance with the terms of the Lease:</w:t>
      </w:r>
    </w:p>
    <w:tbl>
      <w:tblPr>
        <w:tblW w:w="7789" w:type="dxa"/>
        <w:jc w:val="left"/>
        <w:tblInd w:w="0" w:type="dxa"/>
        <w:tblLayout w:type="fixed"/>
        <w:tblCellMar>
          <w:top w:w="28" w:type="dxa"/>
          <w:left w:w="28" w:type="dxa"/>
          <w:bottom w:w="28" w:type="dxa"/>
          <w:right w:w="28" w:type="dxa"/>
        </w:tblCellMar>
      </w:tblPr>
      <w:tblGrid>
        <w:gridCol w:w="1726"/>
        <w:gridCol w:w="1291"/>
        <w:gridCol w:w="1786"/>
        <w:gridCol w:w="2986"/>
      </w:tblGrid>
      <w:tr>
        <w:trPr/>
        <w:tc>
          <w:tcPr>
            <w:tcW w:w="172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r>
      <w:tr>
        <w:trPr/>
        <w:tc>
          <w:tcPr>
            <w:tcW w:w="172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sz w:val="20"/>
              </w:rPr>
            </w:pPr>
            <w:r>
              <w:rPr>
                <w:rFonts w:ascii="Times New Roman" w:hAnsi="Times New Roman"/>
                <w:color w:val="000000"/>
                <w:sz w:val="20"/>
              </w:rPr>
              <w:t>Period During</w:t>
              <w:br/>
            </w:r>
            <w:r>
              <w:rPr>
                <w:rFonts w:ascii="Times New Roman" w:hAnsi="Times New Roman"/>
                <w:color w:val="000000"/>
                <w:sz w:val="20"/>
                <w:u w:val="single"/>
              </w:rPr>
              <w:t>Extended Term</w:t>
            </w:r>
          </w:p>
        </w:tc>
        <w:tc>
          <w:tcPr>
            <w:tcW w:w="1291"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sz w:val="20"/>
              </w:rPr>
            </w:pPr>
            <w:r>
              <w:rPr>
                <w:rFonts w:ascii="Times New Roman" w:hAnsi="Times New Roman"/>
                <w:color w:val="000000"/>
                <w:sz w:val="20"/>
              </w:rPr>
              <w:t>Annual</w:t>
              <w:br/>
            </w:r>
            <w:r>
              <w:rPr>
                <w:rFonts w:ascii="Times New Roman" w:hAnsi="Times New Roman"/>
                <w:color w:val="000000"/>
                <w:sz w:val="20"/>
                <w:u w:val="single"/>
              </w:rPr>
              <w:t>Base Rent</w:t>
            </w:r>
          </w:p>
        </w:tc>
        <w:tc>
          <w:tcPr>
            <w:tcW w:w="178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sz w:val="20"/>
              </w:rPr>
            </w:pPr>
            <w:r>
              <w:rPr>
                <w:rFonts w:ascii="Times New Roman" w:hAnsi="Times New Roman"/>
                <w:color w:val="000000"/>
                <w:sz w:val="20"/>
              </w:rPr>
              <w:t>Monthly Installment</w:t>
              <w:br/>
            </w:r>
            <w:r>
              <w:rPr>
                <w:rFonts w:ascii="Times New Roman" w:hAnsi="Times New Roman"/>
                <w:color w:val="000000"/>
                <w:sz w:val="20"/>
                <w:u w:val="single"/>
              </w:rPr>
              <w:t>of Base Rent</w:t>
            </w:r>
          </w:p>
        </w:tc>
        <w:tc>
          <w:tcPr>
            <w:tcW w:w="298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sz w:val="20"/>
              </w:rPr>
            </w:pPr>
            <w:r>
              <w:rPr>
                <w:rFonts w:ascii="Times New Roman" w:hAnsi="Times New Roman"/>
                <w:color w:val="000000"/>
                <w:sz w:val="20"/>
              </w:rPr>
              <w:t>Approximate Monthly Rental Rate</w:t>
              <w:br/>
            </w:r>
            <w:r>
              <w:rPr>
                <w:rFonts w:ascii="Times New Roman" w:hAnsi="Times New Roman"/>
                <w:color w:val="000000"/>
                <w:sz w:val="20"/>
                <w:u w:val="single"/>
              </w:rPr>
              <w:t>per Square Foot</w:t>
            </w:r>
            <w:r>
              <w:rPr>
                <w:rFonts w:ascii="Times New Roman" w:hAnsi="Times New Roman"/>
                <w:color w:val="000000"/>
                <w:sz w:val="13"/>
                <w:u w:val="single"/>
              </w:rPr>
              <w:t>1</w:t>
            </w:r>
          </w:p>
        </w:tc>
      </w:tr>
      <w:tr>
        <w:trPr/>
        <w:tc>
          <w:tcPr>
            <w:tcW w:w="172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July 1, 2025 –</w:t>
              <w:br/>
              <w:t>June 30, 2026</w:t>
            </w:r>
          </w:p>
        </w:tc>
        <w:tc>
          <w:tcPr>
            <w:tcW w:w="1291"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$1,461,915.00</w:t>
            </w:r>
          </w:p>
        </w:tc>
        <w:tc>
          <w:tcPr>
            <w:tcW w:w="178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$121,826.25</w:t>
            </w:r>
          </w:p>
        </w:tc>
        <w:tc>
          <w:tcPr>
            <w:tcW w:w="298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$5.85</w:t>
            </w:r>
          </w:p>
        </w:tc>
      </w:tr>
      <w:tr>
        <w:trPr/>
        <w:tc>
          <w:tcPr>
            <w:tcW w:w="172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July 1, 2026 –</w:t>
              <w:br/>
              <w:t>June 30, 2027</w:t>
            </w:r>
          </w:p>
        </w:tc>
        <w:tc>
          <w:tcPr>
            <w:tcW w:w="1291"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$1,505,772.45</w:t>
            </w:r>
          </w:p>
        </w:tc>
        <w:tc>
          <w:tcPr>
            <w:tcW w:w="178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$125,481.04</w:t>
            </w:r>
          </w:p>
        </w:tc>
        <w:tc>
          <w:tcPr>
            <w:tcW w:w="298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$6.03</w:t>
            </w:r>
          </w:p>
        </w:tc>
      </w:tr>
      <w:tr>
        <w:trPr/>
        <w:tc>
          <w:tcPr>
            <w:tcW w:w="172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July 1, 2027 –</w:t>
              <w:br/>
              <w:t>June 30, 2028</w:t>
            </w:r>
          </w:p>
        </w:tc>
        <w:tc>
          <w:tcPr>
            <w:tcW w:w="1291"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$1,550,945.62</w:t>
            </w:r>
          </w:p>
        </w:tc>
        <w:tc>
          <w:tcPr>
            <w:tcW w:w="178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$129,245.47</w:t>
            </w:r>
          </w:p>
        </w:tc>
        <w:tc>
          <w:tcPr>
            <w:tcW w:w="298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$6.21</w:t>
            </w:r>
          </w:p>
        </w:tc>
      </w:tr>
      <w:tr>
        <w:trPr/>
        <w:tc>
          <w:tcPr>
            <w:tcW w:w="172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July 1, 2028 –</w:t>
              <w:br/>
              <w:t>June 30, 2029</w:t>
            </w:r>
          </w:p>
        </w:tc>
        <w:tc>
          <w:tcPr>
            <w:tcW w:w="1291"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$1,597,473.99</w:t>
            </w:r>
          </w:p>
        </w:tc>
        <w:tc>
          <w:tcPr>
            <w:tcW w:w="178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$133,122.83</w:t>
            </w:r>
          </w:p>
        </w:tc>
        <w:tc>
          <w:tcPr>
            <w:tcW w:w="298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$6.39</w:t>
            </w:r>
          </w:p>
        </w:tc>
      </w:tr>
      <w:tr>
        <w:trPr/>
        <w:tc>
          <w:tcPr>
            <w:tcW w:w="172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July 1, 2029 –</w:t>
              <w:br/>
              <w:t>June 30, 2030</w:t>
            </w:r>
          </w:p>
        </w:tc>
        <w:tc>
          <w:tcPr>
            <w:tcW w:w="1291"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u w:val="single"/>
              </w:rPr>
            </w:pPr>
            <w:r>
              <w:rPr>
                <w:rFonts w:ascii="Times New Roman" w:hAnsi="Times New Roman"/>
                <w:color w:val="000000"/>
                <w:sz w:val="20"/>
                <w:u w:val="single"/>
              </w:rPr>
              <w:t>$1,645,398.21</w:t>
            </w:r>
          </w:p>
        </w:tc>
        <w:tc>
          <w:tcPr>
            <w:tcW w:w="178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$137,116.52</w:t>
            </w:r>
          </w:p>
        </w:tc>
        <w:tc>
          <w:tcPr>
            <w:tcW w:w="298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$6.58</w:t>
            </w:r>
          </w:p>
        </w:tc>
      </w:tr>
      <w:tr>
        <w:trPr/>
        <w:tc>
          <w:tcPr>
            <w:tcW w:w="172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July 1, 2030 –</w:t>
              <w:br/>
              <w:t>November 30, 2030</w:t>
            </w:r>
          </w:p>
        </w:tc>
        <w:tc>
          <w:tcPr>
            <w:tcW w:w="1291"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$1,694,760.16</w:t>
            </w:r>
          </w:p>
        </w:tc>
        <w:tc>
          <w:tcPr>
            <w:tcW w:w="178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$141,230.01</w:t>
            </w:r>
          </w:p>
        </w:tc>
        <w:tc>
          <w:tcPr>
            <w:tcW w:w="298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$6.78</w:t>
            </w:r>
          </w:p>
        </w:tc>
      </w:tr>
    </w:tbl>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both"/>
        <w:rPr/>
      </w:pPr>
      <w:r>
        <w:rPr>
          <w:rFonts w:ascii="Times New Roman" w:hAnsi="Times New Roman"/>
          <w:b/>
          <w:color w:val="000000"/>
          <w:sz w:val="20"/>
          <w:u w:val="single"/>
        </w:rPr>
        <w:t>Tenant’s Share of Direct Expenses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5.1.</w:t>
      </w:r>
    </w:p>
    <w:p>
      <w:pPr>
        <w:pStyle w:val="TextBody"/>
        <w:bidi w:val="0"/>
        <w:spacing w:before="0" w:after="240"/>
        <w:jc w:val="both"/>
        <w:rPr/>
      </w:pPr>
      <w:r>
        <w:rPr>
          <w:rFonts w:ascii="Times New Roman" w:hAnsi="Times New Roman"/>
          <w:b/>
          <w:color w:val="000000"/>
          <w:sz w:val="20"/>
          <w:u w:val="single"/>
        </w:rPr>
        <w:t>Tenant’s Share of Direct Expenses for the Existing Premises through the Suite 200 Premises Termination Date</w:t>
      </w:r>
      <w:r>
        <w:rPr>
          <w:rFonts w:ascii="Times New Roman" w:hAnsi="Times New Roman"/>
          <w:color w:val="000000"/>
          <w:sz w:val="20"/>
        </w:rPr>
        <w:t>. Notwithstanding any in the Lease to the contrary, prior to and continuing through the Suite 200 Premises Termination Date, Tenant shall continue to be obligated to pay Additional Rent for the Existing Premises, including without limitation, Tenant’s Share of the annual Direct Expenses in accordance with the terms and conditions of the Lease.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5.2.</w:t>
      </w:r>
    </w:p>
    <w:p>
      <w:pPr>
        <w:pStyle w:val="TextBody"/>
        <w:bidi w:val="0"/>
        <w:spacing w:before="0" w:after="240"/>
        <w:jc w:val="both"/>
        <w:rPr/>
      </w:pPr>
      <w:r>
        <w:rPr>
          <w:rFonts w:ascii="Times New Roman" w:hAnsi="Times New Roman"/>
          <w:b/>
          <w:color w:val="000000"/>
          <w:sz w:val="20"/>
          <w:u w:val="single"/>
        </w:rPr>
        <w:t>Tenant’s Share of Direct Expenses for the First Floor Premises</w:t>
      </w:r>
      <w:r>
        <w:rPr>
          <w:rFonts w:ascii="Times New Roman" w:hAnsi="Times New Roman"/>
          <w:color w:val="000000"/>
          <w:sz w:val="20"/>
        </w:rPr>
        <w:t xml:space="preserve">. Commencing on the Extended Term Commencement Date, Tenant shall be obligated to pay Additional Rent for the First Floor Premises, including without limitation, Tenant’s share of annual Direct Expenses in accordance with the terms and conditions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Note: The 3.00% annual increases were calculated on the monthly installments of Base Rent and rounded up or down as appropriate (and not on the annual Base Rent or the approximate monthly rental rate per square foot). Accordingly, the monthly installment of Base Rent is the accurate number (and will govern) for purposes of this Lease; the annual Base Rent and approximate monthly rental rate per square foot are rounded approximations that vary slightly from the monthly installment of Base Rent calculations.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of the Lease; provided, however, Tenant’s Share of Direct Expenses shall be revised to equal 48.01% (i.e., 20,825 rentable square feet in the First Floor Premises/43,375 rentable square feet in the Building).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240"/>
        <w:jc w:val="both"/>
        <w:rPr/>
      </w:pPr>
      <w:r>
        <w:rPr>
          <w:rFonts w:ascii="Times New Roman" w:hAnsi="Times New Roman"/>
          <w:b/>
          <w:color w:val="000000"/>
          <w:sz w:val="20"/>
          <w:u w:val="single"/>
        </w:rPr>
        <w:t>Increase Security Deposit</w:t>
      </w:r>
      <w:r>
        <w:rPr>
          <w:rFonts w:ascii="Times New Roman" w:hAnsi="Times New Roman"/>
          <w:color w:val="000000"/>
          <w:sz w:val="20"/>
        </w:rPr>
        <w:t>. Landlord hereby acknowledges it is currently holding a Security Deposit in the amount of One Hundred Fifty-Four Thousand Ninety-Five and 92/100 Dollars ($154,095.92). On or before such date that is ten (10) days prior to the Extended Term Commencement Date, Tenant shall deposit Eight Thousand Six Hundred Thirteen 09/100 Dollars ($8,613.09) to Landlord as increased security such that Tenant’s Security Deposit will increase to a total amount of One Hundred Sixty-Two Thousand Seven Hundred Nine and No/100 Dollars ($162,709.00) (which amount represents the final monthly installment of Base Rent for the First Floor Premises plus an estimate of the final month’s Direct Expenses for the First Floor Premises). All other terms of the Lease governing the Security Deposit shall remain unchanged and in full force and effect. Additionally, if Tenant exercises the Suite 200 Premises Option pursuant to Section 8 below, then Landlord shall have the right to increase the Security Deposit in connection therewith, as more particularly set forth therein.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240"/>
        <w:jc w:val="both"/>
        <w:rPr/>
      </w:pPr>
      <w:r>
        <w:rPr>
          <w:rFonts w:ascii="Times New Roman" w:hAnsi="Times New Roman"/>
          <w:b/>
          <w:color w:val="000000"/>
          <w:sz w:val="20"/>
          <w:u w:val="single"/>
        </w:rPr>
        <w:t>Base Rent Abatement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7.1.</w:t>
      </w:r>
    </w:p>
    <w:p>
      <w:pPr>
        <w:pStyle w:val="TextBody"/>
        <w:bidi w:val="0"/>
        <w:spacing w:before="0" w:after="240"/>
        <w:jc w:val="both"/>
        <w:rPr/>
      </w:pPr>
      <w:r>
        <w:rPr>
          <w:rFonts w:ascii="Times New Roman" w:hAnsi="Times New Roman"/>
          <w:b/>
          <w:color w:val="000000"/>
          <w:sz w:val="20"/>
          <w:u w:val="single"/>
        </w:rPr>
        <w:t>First Floor Premises Rent Abatement</w:t>
      </w:r>
      <w:r>
        <w:rPr>
          <w:rFonts w:ascii="Times New Roman" w:hAnsi="Times New Roman"/>
          <w:color w:val="000000"/>
          <w:sz w:val="20"/>
        </w:rPr>
        <w:t>. Provided that Tenant is not then in default (beyond the expiration of all applicable notice and cure periods) under the Amended Lease, during that certain five (5) month period commencing on July 1, 2025 (collectively, the “</w:t>
      </w:r>
      <w:r>
        <w:rPr>
          <w:rFonts w:ascii="Times New Roman" w:hAnsi="Times New Roman"/>
          <w:b/>
          <w:color w:val="000000"/>
          <w:sz w:val="20"/>
        </w:rPr>
        <w:t>First Floor Premises Rent Abatement Commencement Date</w:t>
      </w:r>
      <w:r>
        <w:rPr>
          <w:color w:val="000000"/>
        </w:rPr>
        <w:t>”</w:t>
      </w:r>
      <w:r>
        <w:rPr>
          <w:rFonts w:ascii="Times New Roman" w:hAnsi="Times New Roman"/>
          <w:color w:val="000000"/>
          <w:sz w:val="20"/>
        </w:rPr>
        <w:t>) and continuing through November 30, 2025 (the “</w:t>
      </w:r>
      <w:r>
        <w:rPr>
          <w:rFonts w:ascii="Times New Roman" w:hAnsi="Times New Roman"/>
          <w:b/>
          <w:color w:val="000000"/>
          <w:sz w:val="20"/>
        </w:rPr>
        <w:t>First Floor Premises Rent Abatement Termination Date</w:t>
      </w:r>
      <w:r>
        <w:rPr>
          <w:color w:val="000000"/>
        </w:rPr>
        <w:t>”</w:t>
      </w:r>
      <w:r>
        <w:rPr>
          <w:rFonts w:ascii="Times New Roman" w:hAnsi="Times New Roman"/>
          <w:color w:val="000000"/>
          <w:sz w:val="20"/>
        </w:rPr>
        <w:t>), Tenant’s monthly installments of Base Rent for the First Floor Premises shall be abated by an aggregate amount equal to $609,131.30 (i.e., based on a monthly installment of Base Rent amount of $121,826.25 per month for the months of July 1, 2025 through November 30, 2025) (the “</w:t>
      </w:r>
      <w:r>
        <w:rPr>
          <w:rFonts w:ascii="Times New Roman" w:hAnsi="Times New Roman"/>
          <w:b/>
          <w:color w:val="000000"/>
          <w:sz w:val="20"/>
        </w:rPr>
        <w:t>First Floor Premises Rent Abatement Amount</w:t>
      </w:r>
      <w:r>
        <w:rPr>
          <w:color w:val="000000"/>
        </w:rPr>
        <w:t>”</w:t>
      </w:r>
      <w:r>
        <w:rPr>
          <w:rFonts w:ascii="Times New Roman" w:hAnsi="Times New Roman"/>
          <w:color w:val="000000"/>
          <w:sz w:val="20"/>
        </w:rPr>
        <w:t>). The period commencing on the First Floor Premises Rent Abatement Commencement Date and ending on the First Floor Premises Rent Abatement Termination Date shall be referred to herein as the “</w:t>
      </w:r>
      <w:r>
        <w:rPr>
          <w:rFonts w:ascii="Times New Roman" w:hAnsi="Times New Roman"/>
          <w:b/>
          <w:color w:val="000000"/>
          <w:sz w:val="20"/>
        </w:rPr>
        <w:t>First Floor Premises Rent Abatement Period</w:t>
      </w:r>
      <w:r>
        <w:rPr>
          <w:color w:val="000000"/>
        </w:rPr>
        <w:t>”</w:t>
      </w:r>
      <w:r>
        <w:rPr>
          <w:rFonts w:ascii="Times New Roman" w:hAnsi="Times New Roman"/>
          <w:color w:val="000000"/>
          <w:sz w:val="20"/>
        </w:rPr>
        <w:t>. Notwithstanding anything to the contrary, during such First Floor Premises Rent Abatement Period, Tenant shall remain obligated to pay all other expenses, including Additional Rent.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7.2.</w:t>
      </w:r>
    </w:p>
    <w:p>
      <w:pPr>
        <w:pStyle w:val="TextBody"/>
        <w:bidi w:val="0"/>
        <w:spacing w:before="0" w:after="240"/>
        <w:jc w:val="both"/>
        <w:rPr/>
      </w:pPr>
      <w:r>
        <w:rPr>
          <w:rFonts w:ascii="Times New Roman" w:hAnsi="Times New Roman"/>
          <w:b/>
          <w:color w:val="000000"/>
          <w:sz w:val="20"/>
          <w:u w:val="single"/>
        </w:rPr>
        <w:t>Suite 200 Premises Rent Abatement</w:t>
      </w:r>
      <w:r>
        <w:rPr>
          <w:rFonts w:ascii="Times New Roman" w:hAnsi="Times New Roman"/>
          <w:color w:val="000000"/>
          <w:sz w:val="20"/>
        </w:rPr>
        <w:t>. In the event Tenant timely and properly exercises the Suite 200 Premises Option and provided that Tenant is not then in default (beyond the expiration of all applicable notice and cure periods) under the Amended Lease, the Suite 200 Premises New Term Base Rent (as defined below) shall abate (the “</w:t>
      </w:r>
      <w:r>
        <w:rPr>
          <w:rFonts w:ascii="Times New Roman" w:hAnsi="Times New Roman"/>
          <w:b/>
          <w:color w:val="000000"/>
          <w:sz w:val="20"/>
        </w:rPr>
        <w:t>Suite 200 Premises Rent Abatement</w:t>
      </w:r>
      <w:r>
        <w:rPr>
          <w:color w:val="000000"/>
        </w:rPr>
        <w:t>”</w:t>
      </w:r>
      <w:r>
        <w:rPr>
          <w:rFonts w:ascii="Times New Roman" w:hAnsi="Times New Roman"/>
          <w:color w:val="000000"/>
          <w:sz w:val="20"/>
        </w:rPr>
        <w:t>) for the period from the Suite 200 Premises New Term Commencement Date through and including November 30, 2025 (the “</w:t>
      </w:r>
      <w:r>
        <w:rPr>
          <w:rFonts w:ascii="Times New Roman" w:hAnsi="Times New Roman"/>
          <w:b/>
          <w:color w:val="000000"/>
          <w:sz w:val="20"/>
        </w:rPr>
        <w:t>Suite 200 Premises Abatement Period</w:t>
      </w:r>
      <w:r>
        <w:rPr>
          <w:color w:val="000000"/>
        </w:rPr>
        <w:t>”</w:t>
      </w:r>
      <w:r>
        <w:rPr>
          <w:rFonts w:ascii="Times New Roman" w:hAnsi="Times New Roman"/>
          <w:color w:val="000000"/>
          <w:sz w:val="20"/>
        </w:rPr>
        <w:t>). Notwithstanding anything to the contrary, during such Suite 200 Premises Abatement Period, Tenant shall remain obligated to pay all other expenses, including, without limitation, Additional Rent.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7.3.</w:t>
      </w:r>
    </w:p>
    <w:p>
      <w:pPr>
        <w:pStyle w:val="TextBody"/>
        <w:bidi w:val="0"/>
        <w:spacing w:before="0" w:after="240"/>
        <w:jc w:val="both"/>
        <w:rPr/>
      </w:pPr>
      <w:r>
        <w:rPr>
          <w:rFonts w:ascii="Times New Roman" w:hAnsi="Times New Roman"/>
          <w:b/>
          <w:color w:val="000000"/>
          <w:sz w:val="20"/>
          <w:u w:val="single"/>
        </w:rPr>
        <w:t>General Abatement Terms</w:t>
      </w:r>
      <w:r>
        <w:rPr>
          <w:rFonts w:ascii="Times New Roman" w:hAnsi="Times New Roman"/>
          <w:color w:val="000000"/>
          <w:sz w:val="20"/>
        </w:rPr>
        <w:t>. Notwithstanding, the foregoing, Landlord shall have the option, at its sole discretion, to elect, at any time prior to the Extended Term Commencement Date, to reallocate any month and/or portion of the First Floor Premises Rent Abatement Period to any month of the Lease Term that occurs prior to the Extended Term Commencement Date (such month(s) and amounts to be specified at the time of Landlord’s election), in which case the abated month so reallocated (or any portion thereof) shall no longer be abated as scheduled above, but abated as provided in Landlord’s election. For avoidance of doubt, Tenant will still be entitled to five months of First Floor Premises Rent Abatement, Landlord is only reserving the right to reallocate when such abatement occurs. Tenant shall continue to be responsible for all Additional Rent payments during the First Floor Premises Rent Abatement Period. Tenant acknowledges and agrees that the foregoing abatement rights have been granted to Tenant as additional consideration for entering into this Third Amendment, and for agreeing to pay the rent and performing the terms and conditions otherwise required under the Amended Lease. If (i) Tenant shall at any time during the First Floor Premises Abatement Period and/or the Suite 200 Premises Abatement Period be in default under the Lease, as amended, and shall fail to cure such default within the notice and cure period, if any, permitted for cure pursuant to the Lease, as amended, or (ii) the Lease, as amended, is terminated for any reason other than Landlord’s breach of the Lease, as amended, then the dollar amount of the unapplied portion of the First Floor Premises Abatement Amount and/or the Suite 200 Premises Rent Abatement as of the date of such default or termination, as the case may be, shall be converted to a credit to be applied to the monthly installments of Base Rent applicable to the First Floor Premises and/or Suite 200 Premises (as the case may be) at the end of the Extended Term (or the Suite 200 Premises New Term, as the case may be), and Tenant shall immediately be obligated to begin paying Base Rent for the First Floor Premises and/or the Suite 200 Premises (as the case may be) in full.</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8.</w:t>
      </w:r>
    </w:p>
    <w:p>
      <w:pPr>
        <w:pStyle w:val="TextBody"/>
        <w:bidi w:val="0"/>
        <w:spacing w:before="0" w:after="240"/>
        <w:jc w:val="both"/>
        <w:rPr/>
      </w:pPr>
      <w:r>
        <w:rPr>
          <w:rFonts w:ascii="Times New Roman" w:hAnsi="Times New Roman"/>
          <w:b/>
          <w:color w:val="000000"/>
          <w:sz w:val="20"/>
          <w:u w:val="single"/>
        </w:rPr>
        <w:t>Third Amendment Landlord Work</w:t>
      </w:r>
      <w:r>
        <w:rPr>
          <w:rFonts w:ascii="Times New Roman" w:hAnsi="Times New Roman"/>
          <w:color w:val="000000"/>
          <w:sz w:val="20"/>
        </w:rPr>
        <w:t xml:space="preserve">. Landlord, shall at Landlord’s sole cost and expense, using Building standard materials and in accordance with Building standards, complete the work more particularly described and/or depicted on </w:t>
      </w:r>
      <w:r>
        <w:rPr>
          <w:rFonts w:ascii="Times New Roman" w:hAnsi="Times New Roman"/>
          <w:color w:val="000000"/>
          <w:sz w:val="20"/>
          <w:u w:val="single"/>
        </w:rPr>
        <w:t>Exhibit A</w:t>
      </w:r>
      <w:r>
        <w:rPr>
          <w:color w:val="000000"/>
        </w:rPr>
        <w:t xml:space="preserve"> </w:t>
      </w:r>
      <w:r>
        <w:rPr>
          <w:rFonts w:ascii="Times New Roman" w:hAnsi="Times New Roman"/>
          <w:color w:val="000000"/>
          <w:sz w:val="20"/>
        </w:rPr>
        <w:t>attached hereto (collectively the “</w:t>
      </w:r>
      <w:r>
        <w:rPr>
          <w:rFonts w:ascii="Times New Roman" w:hAnsi="Times New Roman"/>
          <w:b/>
          <w:color w:val="000000"/>
          <w:sz w:val="20"/>
        </w:rPr>
        <w:t>Third Amendment Landlord Work</w:t>
      </w:r>
      <w:r>
        <w:rPr>
          <w:color w:val="000000"/>
        </w:rPr>
        <w:t>”</w:t>
      </w:r>
      <w:r>
        <w:rPr>
          <w:rFonts w:ascii="Times New Roman" w:hAnsi="Times New Roman"/>
          <w:color w:val="000000"/>
          <w:sz w:val="20"/>
        </w:rPr>
        <w:t>). Such Landlord Work will be performed following the mutual execution of this Third Amendment. The parties hereby agree that the Third Amendment Landlord Work will be performed during Tenant’s occupancy of the Existing Premises, and in connection therewith, Tenant hereby acknowledges and agrees: (i) to accept any and all inconveniences associated with the performance of the Third Amendment Landlord Work which may occur during such occupancy including, without limitation, dust, noise, etc.; (ii) that the performance of the Third Amendment Landlord Work shall in no way constitute a constructive eviction of the Tenant under the Lease nor entitle Tenant to any abatement of rent payable pursuant to the Amended Lease; and (iii) Landlord shall not be liable to Tenant for, and Tenant shall not be entitled to any compensation or damages from Landlord for, loss of the use of all or any part of the Existing Premises or of any personal property or improvements therein resulting from the performance of the Third Amendment Landlord Work, or for any inconvenience or annoyance occasioned thereby or for any injury to or interference with Tenant’s business, except for any injury to persons or damage to property (but not loss of or interference with business or other consequential damages) to the extent caused by Landlord’s gross negligence or intentional misconduct and not insured or required to be insured by Tenant under the Amended Lease. Notwithstanding the foregoing, (a) Landlord will use commercially reasonable efforts to minimize interference with Tenant’s ongoing conduct of business in the Existing Premises during the performance of the Third Amendment Landlord Work, (b) if during the Extended Term, Tenant is completely prevented by Landlord from accessing the Existing Premises (excluding circumstances where such prevention is caused by Tenant’s own actions and/or Force Majeure), Base Rent shall abate on a day for day basis for the period commencing on the date which Tenant is prevented from accessing the Existing Premises and continuing until such date that Tenant is able to access the Existing Premises and such additional Base Rent abatement shall apply to the Base Rent first due after the application of the First Floor Premises Rent Abatement, and (c) Landlord shall use commercially reasonable efforts to timely complete the Third Amendment Landlord Work.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w:t>
      </w:r>
    </w:p>
    <w:p>
      <w:pPr>
        <w:pStyle w:val="TextBody"/>
        <w:bidi w:val="0"/>
        <w:spacing w:before="0" w:after="240"/>
        <w:jc w:val="both"/>
        <w:rPr/>
      </w:pPr>
      <w:r>
        <w:rPr>
          <w:rFonts w:ascii="Times New Roman" w:hAnsi="Times New Roman"/>
          <w:b/>
          <w:color w:val="000000"/>
          <w:sz w:val="20"/>
          <w:u w:val="single"/>
        </w:rPr>
        <w:t>Suite 200 Premises Option; Suite 200 Premises New Term</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9.1.</w:t>
      </w:r>
    </w:p>
    <w:p>
      <w:pPr>
        <w:pStyle w:val="TextBody"/>
        <w:bidi w:val="0"/>
        <w:spacing w:before="0" w:after="240"/>
        <w:jc w:val="both"/>
        <w:rPr/>
      </w:pPr>
      <w:r>
        <w:rPr>
          <w:rFonts w:ascii="Times New Roman" w:hAnsi="Times New Roman"/>
          <w:b/>
          <w:color w:val="000000"/>
          <w:sz w:val="20"/>
          <w:u w:val="single"/>
        </w:rPr>
        <w:t>Suite 200 Premises Option</w:t>
      </w:r>
      <w:r>
        <w:rPr>
          <w:rFonts w:ascii="Times New Roman" w:hAnsi="Times New Roman"/>
          <w:color w:val="000000"/>
          <w:sz w:val="20"/>
        </w:rPr>
        <w:t>. During the period from the Third Amendment Effective Date until [***] (the “</w:t>
      </w:r>
      <w:r>
        <w:rPr>
          <w:rFonts w:ascii="Times New Roman" w:hAnsi="Times New Roman"/>
          <w:b/>
          <w:color w:val="000000"/>
          <w:sz w:val="20"/>
        </w:rPr>
        <w:t>Suite 200 Premises Option Outside Date</w:t>
      </w:r>
      <w:r>
        <w:rPr>
          <w:color w:val="000000"/>
        </w:rPr>
        <w:t>”</w:t>
      </w:r>
      <w:r>
        <w:rPr>
          <w:rFonts w:ascii="Times New Roman" w:hAnsi="Times New Roman"/>
          <w:color w:val="000000"/>
          <w:sz w:val="20"/>
        </w:rPr>
        <w:t xml:space="preserve">), Tenant shall have the one-time right (the “Suite 200 Premises Option”) to elect to lease all, but not less than all, of the Suite 200 Premises upon the terms and conditions of the Lease, as amended, modified and/or otherwise set forth in this </w:t>
      </w:r>
      <w:r>
        <w:rPr>
          <w:rFonts w:ascii="Times New Roman" w:hAnsi="Times New Roman"/>
          <w:color w:val="000000"/>
          <w:sz w:val="20"/>
          <w:u w:val="single"/>
        </w:rPr>
        <w:t>Section 8</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9.2.</w:t>
      </w:r>
    </w:p>
    <w:p>
      <w:pPr>
        <w:pStyle w:val="TextBody"/>
        <w:bidi w:val="0"/>
        <w:spacing w:before="0" w:after="240"/>
        <w:jc w:val="both"/>
        <w:rPr/>
      </w:pPr>
      <w:r>
        <w:rPr>
          <w:rFonts w:ascii="Times New Roman" w:hAnsi="Times New Roman"/>
          <w:b/>
          <w:color w:val="000000"/>
          <w:sz w:val="20"/>
          <w:u w:val="single"/>
        </w:rPr>
        <w:t>Method of Exercise</w:t>
      </w:r>
      <w:r>
        <w:rPr>
          <w:rFonts w:ascii="Times New Roman" w:hAnsi="Times New Roman"/>
          <w:color w:val="000000"/>
          <w:sz w:val="20"/>
        </w:rPr>
        <w:t>. Tenant must exercise the Suite 200 Premises Option, if at all, by delivering an irrevocable written exercise notice (the “</w:t>
      </w:r>
      <w:r>
        <w:rPr>
          <w:rFonts w:ascii="Times New Roman" w:hAnsi="Times New Roman"/>
          <w:b/>
          <w:color w:val="000000"/>
          <w:sz w:val="20"/>
        </w:rPr>
        <w:t>Suite 200 Premises Option Notice</w:t>
      </w:r>
      <w:r>
        <w:rPr>
          <w:color w:val="000000"/>
        </w:rPr>
        <w:t>”</w:t>
      </w:r>
      <w:r>
        <w:rPr>
          <w:rFonts w:ascii="Times New Roman" w:hAnsi="Times New Roman"/>
          <w:color w:val="000000"/>
          <w:sz w:val="20"/>
        </w:rPr>
        <w:t>) to Landlord on or before [***]; if Tenant does not timely and properly deliver the Suite 200 Premises Option Notice to Landlord, then [***]. Upon Landlord’s request, promptly after Landlord’s receipt of the Suite 200 Option Premises Notice, Landlord and Tenant shall execute an amendment (the “</w:t>
      </w:r>
      <w:r>
        <w:rPr>
          <w:rFonts w:ascii="Times New Roman" w:hAnsi="Times New Roman"/>
          <w:b/>
          <w:color w:val="000000"/>
          <w:sz w:val="20"/>
        </w:rPr>
        <w:t>Suite 200 Premises Amendment</w:t>
      </w:r>
      <w:r>
        <w:rPr>
          <w:color w:val="000000"/>
        </w:rPr>
        <w:t>”</w:t>
      </w:r>
      <w:r>
        <w:rPr>
          <w:rFonts w:ascii="Times New Roman" w:hAnsi="Times New Roman"/>
          <w:color w:val="000000"/>
          <w:sz w:val="20"/>
        </w:rPr>
        <w:t xml:space="preserve">) to the Amended Lease, memorializing Tenant’s lease of the Suite 200 Premises upon the terms and conditions set forth in this </w:t>
      </w:r>
      <w:r>
        <w:rPr>
          <w:rFonts w:ascii="Times New Roman" w:hAnsi="Times New Roman"/>
          <w:color w:val="000000"/>
          <w:sz w:val="20"/>
          <w:u w:val="single"/>
        </w:rPr>
        <w:t>Section 8</w:t>
      </w:r>
      <w:r>
        <w:rPr>
          <w:color w:val="000000"/>
        </w:rPr>
        <w:t xml:space="preserve"> </w:t>
      </w:r>
      <w:r>
        <w:rPr>
          <w:rFonts w:ascii="Times New Roman" w:hAnsi="Times New Roman"/>
          <w:color w:val="000000"/>
          <w:sz w:val="20"/>
        </w:rPr>
        <w:t>and the Amended Lease (as and to the extent reasonably necessary to document the intention of this Section 8 and any interplay with the terms and conditions of this Third Amendment with respect to the First Floor Premises).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9.3.</w:t>
      </w:r>
    </w:p>
    <w:p>
      <w:pPr>
        <w:pStyle w:val="TextBody"/>
        <w:bidi w:val="0"/>
        <w:spacing w:before="0" w:after="240"/>
        <w:jc w:val="both"/>
        <w:rPr/>
      </w:pPr>
      <w:r>
        <w:rPr>
          <w:rFonts w:ascii="Times New Roman" w:hAnsi="Times New Roman"/>
          <w:b/>
          <w:color w:val="000000"/>
          <w:sz w:val="20"/>
          <w:u w:val="single"/>
        </w:rPr>
        <w:t>Suite 200 Premises New Term; Suite 200 Premises New Term Commencement Date</w:t>
      </w:r>
      <w:r>
        <w:rPr>
          <w:rFonts w:ascii="Times New Roman" w:hAnsi="Times New Roman"/>
          <w:color w:val="000000"/>
          <w:sz w:val="20"/>
        </w:rPr>
        <w:t>. If Tenant timely and properly exercises the Suite 200 Premises Option, then: (i) the term for the Suite 200 Premises (the “</w:t>
      </w:r>
      <w:r>
        <w:rPr>
          <w:rFonts w:ascii="Times New Roman" w:hAnsi="Times New Roman"/>
          <w:b/>
          <w:color w:val="000000"/>
          <w:sz w:val="20"/>
        </w:rPr>
        <w:t>Suite 200 Premises New Term</w:t>
      </w:r>
      <w:r>
        <w:rPr>
          <w:color w:val="000000"/>
        </w:rPr>
        <w:t>”</w:t>
      </w:r>
      <w:r>
        <w:rPr>
          <w:rFonts w:ascii="Times New Roman" w:hAnsi="Times New Roman"/>
          <w:color w:val="000000"/>
          <w:sz w:val="20"/>
        </w:rPr>
        <w:t xml:space="preserve">) shall commence on the Suite 200 Premises New Term Commencement Date (as defined below) and shall expire co-terminously with the Extended Term for the First Floor Premises (as the same may be extended pursuant </w:t>
      </w:r>
      <w:r>
        <w:rPr>
          <w:rFonts w:ascii="Times New Roman" w:hAnsi="Times New Roman"/>
          <w:color w:val="000000"/>
          <w:sz w:val="20"/>
          <w:u w:val="single"/>
        </w:rPr>
        <w:t>Section 3.2</w:t>
      </w:r>
      <w:r>
        <w:rPr>
          <w:color w:val="000000"/>
        </w:rPr>
        <w:t xml:space="preserve"> </w:t>
      </w:r>
      <w:r>
        <w:rPr>
          <w:rFonts w:ascii="Times New Roman" w:hAnsi="Times New Roman"/>
          <w:color w:val="000000"/>
          <w:sz w:val="20"/>
        </w:rPr>
        <w:t>above); and (ii) effective from and after the Suite 200 Premises New Term Commencement Date, the “Premises” leased by Tenant under the Amended Lease, shall include the Suite 200 Premises. For purposes of this Third Amendment, the “Suite 200 Premises New Term Commencement Date” shall mean the date that is the later to occur of (A) July 1, 2025, and (B) the date that is one (1) day after Landlord’s receipt of the Suite 200 Premises Option Notice. For purposes of clarification, if Tenant timely delivers the Suite 200 Premises Option Notice to Landlord on or prior to June 30, 2025, then the Suite 200 Premises Option and Suite 200 Premises New Term is essentially an extension option as to the Expansion Space Term for the Suite 200 Premises, as amended by the terms and conditions of this Section 8; provided, that, if Tenant timely delivers the Suite 200 Premises Option Notice to Landlord after June 30, 2025, then the termination and reduction under Section 1 above remain in force and effect, and thereafter the Suite 200 Premises Option and Suite 200 Premises New Term are an expansion option under the terms and conditions of this Section 8.</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9.4.</w:t>
      </w:r>
    </w:p>
    <w:p>
      <w:pPr>
        <w:pStyle w:val="TextBody"/>
        <w:bidi w:val="0"/>
        <w:spacing w:before="0" w:after="240"/>
        <w:jc w:val="both"/>
        <w:rPr/>
      </w:pPr>
      <w:r>
        <w:rPr>
          <w:rFonts w:ascii="Times New Roman" w:hAnsi="Times New Roman"/>
          <w:b/>
          <w:color w:val="000000"/>
          <w:sz w:val="20"/>
          <w:u w:val="single"/>
        </w:rPr>
        <w:t>Suite 200 Premises New Term Base Rent; Tenant’s Share</w:t>
      </w:r>
      <w:r>
        <w:rPr>
          <w:rFonts w:ascii="Times New Roman" w:hAnsi="Times New Roman"/>
          <w:color w:val="000000"/>
          <w:sz w:val="20"/>
        </w:rPr>
        <w:t>. If Tenant timely and properly exercises the Suite 200 Premises Option, then commencing on the Suite 200 Premises New Term Commencement Date, the Base Rent payable by Tenant for the Suite 200 Premises during the Suite 200 Premises New Term shall be at a rate of $4.02 rent per square foot NNN (the “</w:t>
      </w:r>
      <w:r>
        <w:rPr>
          <w:rFonts w:ascii="Times New Roman" w:hAnsi="Times New Roman"/>
          <w:b/>
          <w:color w:val="000000"/>
          <w:sz w:val="20"/>
        </w:rPr>
        <w:t>Suite 200 Premises New Term Base Rent</w:t>
      </w:r>
      <w:r>
        <w:rPr>
          <w:color w:val="000000"/>
        </w:rPr>
        <w:t>”</w:t>
      </w:r>
      <w:r>
        <w:rPr>
          <w:rFonts w:ascii="Times New Roman" w:hAnsi="Times New Roman"/>
          <w:color w:val="000000"/>
          <w:sz w:val="20"/>
        </w:rPr>
        <w:t>) and such rate shall increase on each anniversary of the Suite 200 Premises New Term Commencement Date by three percent (3%) on a compounding and cumulative basis over the course of the Suite 200 Premises New Term. Additionally, commencing on the Suite 200 Premises New Term Commencement Date and continuing throughout the Suite 200 Premises New Term, Tenant shall be obligated to pay Additional Rent, including without limitation, Tenant’s Share of annual Direct Expenses in connection with the Suite 200 Premises in accordance with the terms and conditions of the Lease, which such share shall be equal to 51.99% (i.e., 22,552 rentable square feet in the Suite 200 Premises/43,375 rentable square feet in the Building) (the “</w:t>
      </w:r>
      <w:r>
        <w:rPr>
          <w:rFonts w:ascii="Times New Roman" w:hAnsi="Times New Roman"/>
          <w:b/>
          <w:color w:val="000000"/>
          <w:sz w:val="20"/>
        </w:rPr>
        <w:t>Suite 200 Premises New Term Tenant Share</w:t>
      </w:r>
      <w:r>
        <w:rPr>
          <w:color w:val="000000"/>
        </w:rPr>
        <w:t>”</w:t>
      </w:r>
      <w:r>
        <w:rPr>
          <w:rFonts w:ascii="Times New Roman" w:hAnsi="Times New Roman"/>
          <w:color w:val="000000"/>
          <w:sz w:val="20"/>
        </w:rPr>
        <w:t xml:space="preserve">). For avoidance of doubt, all such Suite 200 Premises New Term Base Rent and Suite 200 Premises New Term Tenant’s Share shall be in addition to, in not in lieu of, the First Floor Premises Base Rent and Tenant’s Share for the First Floor Premises. In addition, if Tenant exercises the Suite 200 Premises Option, Landlord shall have the right to increase the Security Deposit required under the Amended Lease as of the Suite 200 Premises New Term Commencement Date to account for the Suite 200 Premises, which increase shall be in the amount of One Hundred Forty-Five Thousand Sixty-Two and No/100 Dollars ($145,062.00) and shall be in addition to and an increase to the Security Deposit that Landlord currently holds under </w:t>
      </w:r>
      <w:r>
        <w:rPr>
          <w:rFonts w:ascii="Times New Roman" w:hAnsi="Times New Roman"/>
          <w:color w:val="000000"/>
          <w:sz w:val="20"/>
          <w:u w:val="single"/>
        </w:rPr>
        <w:t>Section 5</w:t>
      </w:r>
      <w:r>
        <w:rPr>
          <w:rFonts w:ascii="Times New Roman" w:hAnsi="Times New Roman"/>
          <w:color w:val="000000"/>
          <w:sz w:val="20"/>
        </w:rPr>
        <w:t>, above.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w:t>
      </w:r>
    </w:p>
    <w:p>
      <w:pPr>
        <w:pStyle w:val="TextBody"/>
        <w:bidi w:val="0"/>
        <w:spacing w:before="0" w:after="240"/>
        <w:jc w:val="both"/>
        <w:rPr/>
      </w:pPr>
      <w:r>
        <w:rPr>
          <w:rFonts w:ascii="Times New Roman" w:hAnsi="Times New Roman"/>
          <w:b/>
          <w:color w:val="000000"/>
          <w:sz w:val="20"/>
          <w:u w:val="single"/>
        </w:rPr>
        <w:t>[***]</w:t>
      </w:r>
      <w:r>
        <w:rPr>
          <w:rFonts w:ascii="Times New Roman" w:hAnsi="Times New Roman"/>
          <w:color w:val="000000"/>
          <w:sz w:val="20"/>
        </w:rPr>
        <w:t>. Commencing on and from and after [***] (</w:t>
      </w:r>
      <w:r>
        <w:rPr>
          <w:rFonts w:ascii="Times New Roman" w:hAnsi="Times New Roman"/>
          <w:color w:val="000000"/>
          <w:sz w:val="20"/>
          <w:u w:val="single"/>
        </w:rPr>
        <w:t>i.e.</w:t>
      </w:r>
      <w:r>
        <w:rPr>
          <w:rFonts w:ascii="Times New Roman" w:hAnsi="Times New Roman"/>
          <w:color w:val="000000"/>
          <w:sz w:val="20"/>
        </w:rPr>
        <w:t xml:space="preserve">, following [***]), Landlord shall have [***], which [***]; provided, however, such [***] must be a date that is the later to occur of (i) [***], and (ii) [***]. By way of example only, if Landlord [***]. If Landlord properly and timely [**] in this </w:t>
      </w:r>
      <w:r>
        <w:rPr>
          <w:rFonts w:ascii="Times New Roman" w:hAnsi="Times New Roman"/>
          <w:color w:val="000000"/>
          <w:sz w:val="20"/>
          <w:u w:val="single"/>
        </w:rPr>
        <w:t>Section 9</w:t>
      </w:r>
      <w:r>
        <w:rPr>
          <w:rFonts w:ascii="Times New Roman" w:hAnsi="Times New Roman"/>
          <w:color w:val="000000"/>
          <w:sz w:val="20"/>
        </w:rPr>
        <w:t>, then [***], and Tenant shall [***]. Notwithstanding the foregoing to the contrary, if Tenant [***]. Notwithstanding the foregoing, from the [***], Tenant shall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11.</w:t>
      </w:r>
    </w:p>
    <w:p>
      <w:pPr>
        <w:pStyle w:val="TextBody"/>
        <w:bidi w:val="0"/>
        <w:spacing w:before="0" w:after="240"/>
        <w:jc w:val="both"/>
        <w:rPr/>
      </w:pPr>
      <w:r>
        <w:rPr>
          <w:rFonts w:ascii="Times New Roman" w:hAnsi="Times New Roman"/>
          <w:b/>
          <w:color w:val="000000"/>
          <w:sz w:val="20"/>
          <w:u w:val="single"/>
        </w:rPr>
        <w:t>Tenant’s Estoppel</w:t>
      </w:r>
      <w:r>
        <w:rPr>
          <w:rFonts w:ascii="Times New Roman" w:hAnsi="Times New Roman"/>
          <w:color w:val="000000"/>
          <w:sz w:val="20"/>
        </w:rPr>
        <w:t>. Tenant hereby represents, warrants, certifies and acknowledges that, as of the date of the mutual execution of this Third Amendment, (i) Tenant has had the opportunity to be represented by independent counsel of its own choosing, (ii) the individual executing this Third Amendment on behalf of Tenant has been duly authorized to act on behalf of Tenant, (iii) to Tenant’s knowledge, Landlord is not in default in any respect under the Amended Lease, (iv) Tenant does not have any defenses to its obligations under the Amended Lease, except as set forth in the Lease, (v) there are no currently applicable offsets against Rent, and (vi) Landlord has completed all improvements and paid all allowances required to be constructed or paid by Landlord in accordance with the terms of the Lease, subject to Landlord’s obligations under this Third Amendment, including with respect to the Third Amendment Landlord Work. Tenant acknowledges and agrees that: (a) the representations herein set forth constitute a material consideration to Landlord in entering into this Third Amendment; (b) such representations are being made by Tenant for purposes of inducing Landlord to enter into this Third Amendment; and (c) Landlord is relying on such representations in entering into this Third Amendment.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12.</w:t>
      </w:r>
    </w:p>
    <w:p>
      <w:pPr>
        <w:pStyle w:val="TextBody"/>
        <w:bidi w:val="0"/>
        <w:spacing w:before="0" w:after="240"/>
        <w:jc w:val="both"/>
        <w:rPr/>
      </w:pPr>
      <w:r>
        <w:rPr>
          <w:rFonts w:ascii="Times New Roman" w:hAnsi="Times New Roman"/>
          <w:b/>
          <w:color w:val="000000"/>
          <w:sz w:val="20"/>
          <w:u w:val="single"/>
        </w:rPr>
        <w:t>Utility Information</w:t>
      </w:r>
      <w:r>
        <w:rPr>
          <w:rFonts w:ascii="Times New Roman" w:hAnsi="Times New Roman"/>
          <w:color w:val="000000"/>
          <w:sz w:val="20"/>
        </w:rPr>
        <w:t>. Tenant hereby acknowledges and agrees that (i) pursuant to certain applicable laws and/or sustainability reporting requirements (collectively the “</w:t>
      </w:r>
      <w:r>
        <w:rPr>
          <w:rFonts w:ascii="Times New Roman" w:hAnsi="Times New Roman"/>
          <w:b/>
          <w:color w:val="000000"/>
          <w:sz w:val="20"/>
        </w:rPr>
        <w:t>Energy Disclosure Requirements</w:t>
      </w:r>
      <w:r>
        <w:rPr>
          <w:color w:val="000000"/>
        </w:rPr>
        <w:t>”</w:t>
      </w:r>
      <w:r>
        <w:rPr>
          <w:rFonts w:ascii="Times New Roman" w:hAnsi="Times New Roman"/>
          <w:color w:val="000000"/>
          <w:sz w:val="20"/>
        </w:rPr>
        <w:t>), Landlord may be required to disclose factual information concerning Tenant’s energy usage at the Project to certain third parties, including, without limitation, prospective purchasers, lenders and tenants of the Building and/or Landlord’s consultants and/or vendors (the “</w:t>
      </w:r>
      <w:r>
        <w:rPr>
          <w:rFonts w:ascii="Times New Roman" w:hAnsi="Times New Roman"/>
          <w:b/>
          <w:color w:val="000000"/>
          <w:sz w:val="20"/>
        </w:rPr>
        <w:t>Tenant Energy Use Disclosure</w:t>
      </w:r>
      <w:r>
        <w:rPr>
          <w:color w:val="000000"/>
        </w:rPr>
        <w:t>”</w:t>
      </w:r>
      <w:r>
        <w:rPr>
          <w:rFonts w:ascii="Times New Roman" w:hAnsi="Times New Roman"/>
          <w:color w:val="000000"/>
          <w:sz w:val="20"/>
        </w:rPr>
        <w:t xml:space="preserve">), and (ii) in connection therewith, to the extent any utilities are separately metered and paid by Tenant, Tenant shall reasonably cooperate with Landlord, at no out of pocket cost to Tenant, as reasonably necessary to submit energy and water consumption data, including total usage and total charges as they appear on Tenant’s electric, gas, water, and other utility bills, in a format deemed reasonably acceptable by Landlord. Tenant hereby further (A) consents to all such Tenant Energy Use Disclosures made by Landlord, (B) acknowledges that Landlord shall not be required to notify Tenant of any Tenant Energy Use Disclosure, and (C) releases Landlord from any and all losses, costs, damages, expenses and liabilities relating to, arising out of and/or resulting from any Tenant Energy Use Disclosure made in accordance with the foregoing provisions. The terms of this </w:t>
      </w:r>
      <w:r>
        <w:rPr>
          <w:rFonts w:ascii="Times New Roman" w:hAnsi="Times New Roman"/>
          <w:color w:val="000000"/>
          <w:sz w:val="20"/>
          <w:u w:val="single"/>
        </w:rPr>
        <w:t>Section 11</w:t>
      </w:r>
      <w:r>
        <w:rPr>
          <w:color w:val="000000"/>
        </w:rPr>
        <w:t xml:space="preserve"> </w:t>
      </w:r>
      <w:r>
        <w:rPr>
          <w:rFonts w:ascii="Times New Roman" w:hAnsi="Times New Roman"/>
          <w:color w:val="000000"/>
          <w:sz w:val="20"/>
        </w:rPr>
        <w:t>shall survive the expiration or earlier termination of the Amended Lease.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13.</w:t>
      </w:r>
    </w:p>
    <w:p>
      <w:pPr>
        <w:pStyle w:val="TextBody"/>
        <w:bidi w:val="0"/>
        <w:spacing w:before="0" w:after="240"/>
        <w:jc w:val="both"/>
        <w:rPr/>
      </w:pPr>
      <w:r>
        <w:rPr>
          <w:rFonts w:ascii="Times New Roman" w:hAnsi="Times New Roman"/>
          <w:b/>
          <w:color w:val="000000"/>
          <w:sz w:val="20"/>
          <w:u w:val="single"/>
        </w:rPr>
        <w:t>Brokers</w:t>
      </w:r>
      <w:r>
        <w:rPr>
          <w:rFonts w:ascii="Times New Roman" w:hAnsi="Times New Roman"/>
          <w:color w:val="000000"/>
          <w:sz w:val="20"/>
        </w:rPr>
        <w:t>. Landlord and Tenant hereby warrant to each other that they have had no dealings with any real estate broker or agent in connection with the negotiation of this Third Amendment other than Cresa, representing Tenant (the “</w:t>
      </w:r>
      <w:r>
        <w:rPr>
          <w:rFonts w:ascii="Times New Roman" w:hAnsi="Times New Roman"/>
          <w:b/>
          <w:color w:val="000000"/>
          <w:sz w:val="20"/>
        </w:rPr>
        <w:t>Broker</w:t>
      </w:r>
      <w:r>
        <w:rPr>
          <w:color w:val="000000"/>
        </w:rPr>
        <w:t>”</w:t>
      </w:r>
      <w:r>
        <w:rPr>
          <w:rFonts w:ascii="Times New Roman" w:hAnsi="Times New Roman"/>
          <w:color w:val="000000"/>
          <w:sz w:val="20"/>
        </w:rPr>
        <w:t xml:space="preserve">), and that they know of no other real estate broker or agent who is entitled to a commission in connection with this Third Amendment. The fees of Broker shall be paid by Landlord pursuant to the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pPr>
      <w:r>
        <w:rPr>
          <w:rFonts w:ascii="Times New Roman" w:hAnsi="Times New Roman"/>
          <w:color w:val="000000"/>
          <w:sz w:val="20"/>
        </w:rPr>
        <w:t xml:space="preserve">terms of a separate agreement between Landlord and Broker.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other than the Brokers, occurring by, through, or under the indemnifying party. The terms of this </w:t>
      </w:r>
      <w:r>
        <w:rPr>
          <w:rFonts w:ascii="Times New Roman" w:hAnsi="Times New Roman"/>
          <w:color w:val="000000"/>
          <w:sz w:val="20"/>
          <w:u w:val="single"/>
        </w:rPr>
        <w:t>Section 12</w:t>
      </w:r>
      <w:r>
        <w:rPr>
          <w:color w:val="000000"/>
        </w:rPr>
        <w:t xml:space="preserve"> </w:t>
      </w:r>
      <w:r>
        <w:rPr>
          <w:rFonts w:ascii="Times New Roman" w:hAnsi="Times New Roman"/>
          <w:color w:val="000000"/>
          <w:sz w:val="20"/>
        </w:rPr>
        <w:t>shall survive the expiration or earlier termination of the term of the Amended Lease.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14.</w:t>
      </w:r>
    </w:p>
    <w:p>
      <w:pPr>
        <w:pStyle w:val="TextBody"/>
        <w:bidi w:val="0"/>
        <w:spacing w:before="0" w:after="240"/>
        <w:jc w:val="both"/>
        <w:rPr/>
      </w:pPr>
      <w:r>
        <w:rPr>
          <w:rFonts w:ascii="Times New Roman" w:hAnsi="Times New Roman"/>
          <w:b/>
          <w:color w:val="000000"/>
          <w:sz w:val="20"/>
          <w:u w:val="single"/>
        </w:rPr>
        <w:t>Notices</w:t>
      </w:r>
      <w:r>
        <w:rPr>
          <w:rFonts w:ascii="Times New Roman" w:hAnsi="Times New Roman"/>
          <w:color w:val="000000"/>
          <w:sz w:val="20"/>
        </w:rPr>
        <w:t xml:space="preserve">. </w:t>
      </w:r>
      <w:r>
        <w:rPr>
          <w:rFonts w:ascii="Times New Roman" w:hAnsi="Times New Roman"/>
          <w:color w:val="000000"/>
          <w:sz w:val="20"/>
          <w:u w:val="single"/>
        </w:rPr>
        <w:t>Section 29.18</w:t>
      </w:r>
      <w:r>
        <w:rPr>
          <w:color w:val="000000"/>
        </w:rPr>
        <w:t xml:space="preserve"> </w:t>
      </w:r>
      <w:r>
        <w:rPr>
          <w:rFonts w:ascii="Times New Roman" w:hAnsi="Times New Roman"/>
          <w:color w:val="000000"/>
          <w:sz w:val="20"/>
        </w:rPr>
        <w:t>of the Original Lease is hereby revised such that all notices to Landlord under the Lease shall be sent to the following addresses:</w:t>
      </w:r>
    </w:p>
    <w:p>
      <w:pPr>
        <w:pStyle w:val="TextBody"/>
        <w:bidi w:val="0"/>
        <w:jc w:val="left"/>
        <w:rPr>
          <w:rFonts w:ascii="Times New Roman" w:hAnsi="Times New Roman"/>
          <w:color w:val="000000"/>
          <w:sz w:val="20"/>
        </w:rPr>
      </w:pPr>
      <w:r>
        <w:rPr>
          <w:rFonts w:ascii="Times New Roman" w:hAnsi="Times New Roman"/>
          <w:color w:val="000000"/>
          <w:sz w:val="20"/>
        </w:rPr>
        <w:t>HCP Torreyana, LLC</w:t>
      </w:r>
    </w:p>
    <w:p>
      <w:pPr>
        <w:pStyle w:val="TextBody"/>
        <w:bidi w:val="0"/>
        <w:jc w:val="left"/>
        <w:rPr>
          <w:rFonts w:ascii="Times New Roman" w:hAnsi="Times New Roman"/>
          <w:color w:val="000000"/>
          <w:sz w:val="20"/>
        </w:rPr>
      </w:pPr>
      <w:r>
        <w:rPr>
          <w:rFonts w:ascii="Times New Roman" w:hAnsi="Times New Roman"/>
          <w:color w:val="000000"/>
          <w:sz w:val="20"/>
        </w:rPr>
        <w:t>c/o Healthpeak Properties, Inc.</w:t>
      </w:r>
    </w:p>
    <w:p>
      <w:pPr>
        <w:pStyle w:val="TextBody"/>
        <w:bidi w:val="0"/>
        <w:jc w:val="left"/>
        <w:rPr>
          <w:rFonts w:ascii="Times New Roman" w:hAnsi="Times New Roman"/>
          <w:color w:val="000000"/>
          <w:sz w:val="20"/>
        </w:rPr>
      </w:pPr>
      <w:r>
        <w:rPr>
          <w:rFonts w:ascii="Times New Roman" w:hAnsi="Times New Roman"/>
          <w:color w:val="000000"/>
          <w:sz w:val="20"/>
        </w:rPr>
        <w:t>1900 Main Street, 5th Floor</w:t>
      </w:r>
    </w:p>
    <w:p>
      <w:pPr>
        <w:pStyle w:val="TextBody"/>
        <w:bidi w:val="0"/>
        <w:jc w:val="left"/>
        <w:rPr>
          <w:rFonts w:ascii="Times New Roman" w:hAnsi="Times New Roman"/>
          <w:color w:val="000000"/>
          <w:sz w:val="20"/>
        </w:rPr>
      </w:pPr>
      <w:r>
        <w:rPr>
          <w:rFonts w:ascii="Times New Roman" w:hAnsi="Times New Roman"/>
          <w:color w:val="000000"/>
          <w:sz w:val="20"/>
        </w:rPr>
        <w:t>Irvine, CA 92614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Attn: LS Asset Management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with a copy to:</w:t>
      </w:r>
    </w:p>
    <w:p>
      <w:pPr>
        <w:pStyle w:val="TextBody"/>
        <w:bidi w:val="0"/>
        <w:jc w:val="left"/>
        <w:rPr>
          <w:rFonts w:ascii="Times New Roman" w:hAnsi="Times New Roman"/>
          <w:color w:val="000000"/>
          <w:sz w:val="20"/>
        </w:rPr>
      </w:pPr>
      <w:r>
        <w:rPr>
          <w:rFonts w:ascii="Times New Roman" w:hAnsi="Times New Roman"/>
          <w:color w:val="000000"/>
          <w:sz w:val="20"/>
        </w:rPr>
        <w:t>HCP Torreyana, LLC</w:t>
      </w:r>
    </w:p>
    <w:p>
      <w:pPr>
        <w:pStyle w:val="TextBody"/>
        <w:bidi w:val="0"/>
        <w:jc w:val="left"/>
        <w:rPr>
          <w:rFonts w:ascii="Times New Roman" w:hAnsi="Times New Roman"/>
          <w:color w:val="000000"/>
          <w:sz w:val="20"/>
        </w:rPr>
      </w:pPr>
      <w:r>
        <w:rPr>
          <w:rFonts w:ascii="Times New Roman" w:hAnsi="Times New Roman"/>
          <w:color w:val="000000"/>
          <w:sz w:val="20"/>
        </w:rPr>
        <w:t>c/o of Healthpeak Properties, Inc.</w:t>
      </w:r>
    </w:p>
    <w:p>
      <w:pPr>
        <w:pStyle w:val="TextBody"/>
        <w:bidi w:val="0"/>
        <w:jc w:val="left"/>
        <w:rPr>
          <w:rFonts w:ascii="Times New Roman" w:hAnsi="Times New Roman"/>
          <w:color w:val="000000"/>
          <w:sz w:val="20"/>
        </w:rPr>
      </w:pPr>
      <w:r>
        <w:rPr>
          <w:rFonts w:ascii="Times New Roman" w:hAnsi="Times New Roman"/>
          <w:color w:val="000000"/>
          <w:sz w:val="20"/>
        </w:rPr>
        <w:t>1900 Main Street, 5th Floor</w:t>
      </w:r>
    </w:p>
    <w:p>
      <w:pPr>
        <w:pStyle w:val="TextBody"/>
        <w:bidi w:val="0"/>
        <w:jc w:val="left"/>
        <w:rPr>
          <w:rFonts w:ascii="Times New Roman" w:hAnsi="Times New Roman"/>
          <w:color w:val="000000"/>
          <w:sz w:val="20"/>
        </w:rPr>
      </w:pPr>
      <w:r>
        <w:rPr>
          <w:rFonts w:ascii="Times New Roman" w:hAnsi="Times New Roman"/>
          <w:color w:val="000000"/>
          <w:sz w:val="20"/>
        </w:rPr>
        <w:t>Irvine, CA 92614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Attn: Legal Department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and</w:t>
      </w:r>
    </w:p>
    <w:p>
      <w:pPr>
        <w:pStyle w:val="TextBody"/>
        <w:bidi w:val="0"/>
        <w:jc w:val="left"/>
        <w:rPr>
          <w:rFonts w:ascii="Times New Roman" w:hAnsi="Times New Roman"/>
          <w:color w:val="000000"/>
          <w:sz w:val="20"/>
        </w:rPr>
      </w:pPr>
      <w:r>
        <w:rPr>
          <w:rFonts w:ascii="Times New Roman" w:hAnsi="Times New Roman"/>
          <w:color w:val="000000"/>
          <w:sz w:val="20"/>
        </w:rPr>
        <w:t>Allen Matkins Leck Gamble Mallory &amp; Natsis LLP</w:t>
      </w:r>
    </w:p>
    <w:p>
      <w:pPr>
        <w:pStyle w:val="TextBody"/>
        <w:bidi w:val="0"/>
        <w:jc w:val="left"/>
        <w:rPr>
          <w:rFonts w:ascii="Times New Roman" w:hAnsi="Times New Roman"/>
          <w:color w:val="000000"/>
          <w:sz w:val="20"/>
        </w:rPr>
      </w:pPr>
      <w:r>
        <w:rPr>
          <w:rFonts w:ascii="Times New Roman" w:hAnsi="Times New Roman"/>
          <w:color w:val="000000"/>
          <w:sz w:val="20"/>
        </w:rPr>
        <w:t>2010 Main Street, 8th Floor</w:t>
      </w:r>
    </w:p>
    <w:p>
      <w:pPr>
        <w:pStyle w:val="TextBody"/>
        <w:bidi w:val="0"/>
        <w:jc w:val="left"/>
        <w:rPr>
          <w:rFonts w:ascii="Times New Roman" w:hAnsi="Times New Roman"/>
          <w:color w:val="000000"/>
          <w:sz w:val="20"/>
        </w:rPr>
      </w:pPr>
      <w:r>
        <w:rPr>
          <w:rFonts w:ascii="Times New Roman" w:hAnsi="Times New Roman"/>
          <w:color w:val="000000"/>
          <w:sz w:val="20"/>
        </w:rPr>
        <w:t>Irvine, CA 92614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Attn: Brad H. Nielsen, Esq.</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Section 10 of the Summary of Basic Lease Information of the Original Lease is hereby revised such that copies of all notices to Tenant shall also be sent to:</w:t>
      </w:r>
    </w:p>
    <w:p>
      <w:pPr>
        <w:pStyle w:val="TextBody"/>
        <w:bidi w:val="0"/>
        <w:jc w:val="left"/>
        <w:rPr>
          <w:rFonts w:ascii="Times New Roman" w:hAnsi="Times New Roman"/>
          <w:color w:val="000000"/>
          <w:sz w:val="20"/>
        </w:rPr>
      </w:pPr>
      <w:r>
        <w:rPr>
          <w:rFonts w:ascii="Times New Roman" w:hAnsi="Times New Roman"/>
          <w:color w:val="000000"/>
          <w:sz w:val="20"/>
        </w:rPr>
        <w:t>Cooley LLP</w:t>
      </w:r>
    </w:p>
    <w:p>
      <w:pPr>
        <w:pStyle w:val="TextBody"/>
        <w:bidi w:val="0"/>
        <w:jc w:val="left"/>
        <w:rPr>
          <w:rFonts w:ascii="Times New Roman" w:hAnsi="Times New Roman"/>
          <w:color w:val="000000"/>
          <w:sz w:val="20"/>
        </w:rPr>
      </w:pPr>
      <w:r>
        <w:rPr>
          <w:rFonts w:ascii="Times New Roman" w:hAnsi="Times New Roman"/>
          <w:color w:val="000000"/>
          <w:sz w:val="20"/>
        </w:rPr>
        <w:t>55 Hudson Yards</w:t>
      </w:r>
    </w:p>
    <w:p>
      <w:pPr>
        <w:pStyle w:val="TextBody"/>
        <w:bidi w:val="0"/>
        <w:jc w:val="left"/>
        <w:rPr>
          <w:rFonts w:ascii="Times New Roman" w:hAnsi="Times New Roman"/>
          <w:color w:val="000000"/>
          <w:sz w:val="20"/>
        </w:rPr>
      </w:pPr>
      <w:r>
        <w:rPr>
          <w:rFonts w:ascii="Times New Roman" w:hAnsi="Times New Roman"/>
          <w:color w:val="000000"/>
          <w:sz w:val="20"/>
        </w:rPr>
        <w:t>New York, NY 10001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Attn: Daniel A. Goldberger, Esq.</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15.</w:t>
      </w:r>
    </w:p>
    <w:p>
      <w:pPr>
        <w:pStyle w:val="TextBody"/>
        <w:bidi w:val="0"/>
        <w:spacing w:before="0" w:after="240"/>
        <w:jc w:val="both"/>
        <w:rPr/>
      </w:pPr>
      <w:r>
        <w:rPr>
          <w:rFonts w:ascii="Times New Roman" w:hAnsi="Times New Roman"/>
          <w:b/>
          <w:color w:val="000000"/>
          <w:sz w:val="20"/>
          <w:u w:val="single"/>
        </w:rPr>
        <w:t>Miscellaneous Modifications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15.1.</w:t>
      </w:r>
    </w:p>
    <w:p>
      <w:pPr>
        <w:pStyle w:val="TextBody"/>
        <w:bidi w:val="0"/>
        <w:spacing w:before="0" w:after="240"/>
        <w:jc w:val="both"/>
        <w:rPr/>
      </w:pPr>
      <w:r>
        <w:rPr>
          <w:rFonts w:ascii="Times New Roman" w:hAnsi="Times New Roman"/>
          <w:b/>
          <w:color w:val="000000"/>
          <w:sz w:val="20"/>
          <w:u w:val="single"/>
        </w:rPr>
        <w:t>Net Worth Update</w:t>
      </w:r>
      <w:r>
        <w:rPr>
          <w:rFonts w:ascii="Times New Roman" w:hAnsi="Times New Roman"/>
          <w:color w:val="000000"/>
          <w:sz w:val="20"/>
        </w:rPr>
        <w:t xml:space="preserve">. Effective as of the Third Amendment Effective Date, the text “at least equal to the Net Worth of Tenant on the day immediately preceding the effective date of such assignment or sublease” in </w:t>
      </w:r>
      <w:r>
        <w:rPr>
          <w:rFonts w:ascii="Times New Roman" w:hAnsi="Times New Roman"/>
          <w:color w:val="000000"/>
          <w:sz w:val="20"/>
          <w:u w:val="single"/>
        </w:rPr>
        <w:t>Section 14.8(iii)</w:t>
      </w:r>
      <w:r>
        <w:rPr>
          <w:color w:val="000000"/>
        </w:rPr>
        <w:t xml:space="preserve"> </w:t>
      </w:r>
      <w:r>
        <w:rPr>
          <w:rFonts w:ascii="Times New Roman" w:hAnsi="Times New Roman"/>
          <w:color w:val="000000"/>
          <w:sz w:val="20"/>
        </w:rPr>
        <w:t>of the Original Lease shall be deleted and replaced with the text “and other financial indicators sufficient to meet Tenant’s obligations under the Transfer instrument in question and its obligations hereunder.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15.2.</w:t>
      </w:r>
    </w:p>
    <w:p>
      <w:pPr>
        <w:pStyle w:val="TextBody"/>
        <w:bidi w:val="0"/>
        <w:spacing w:before="0" w:after="240"/>
        <w:jc w:val="both"/>
        <w:rPr/>
      </w:pPr>
      <w:r>
        <w:rPr>
          <w:rFonts w:ascii="Times New Roman" w:hAnsi="Times New Roman"/>
          <w:b/>
          <w:color w:val="000000"/>
          <w:sz w:val="20"/>
          <w:u w:val="single"/>
        </w:rPr>
        <w:t>REIT Provision</w:t>
      </w:r>
      <w:r>
        <w:rPr>
          <w:rFonts w:ascii="Times New Roman" w:hAnsi="Times New Roman"/>
          <w:color w:val="000000"/>
          <w:sz w:val="20"/>
        </w:rPr>
        <w:t>. Notwithstanding anything contained in the Amended Lease, to the contrary, Tenant shall not: (i) make a Transfer to an entity in which, under the Internal Revenue Code of 1986, as amended (the “</w:t>
      </w:r>
      <w:r>
        <w:rPr>
          <w:rFonts w:ascii="Times New Roman" w:hAnsi="Times New Roman"/>
          <w:b/>
          <w:color w:val="000000"/>
          <w:sz w:val="20"/>
        </w:rPr>
        <w:t>Code</w:t>
      </w:r>
      <w:r>
        <w:rPr>
          <w:color w:val="000000"/>
        </w:rPr>
        <w:t>”</w:t>
      </w:r>
      <w:r>
        <w:rPr>
          <w:rFonts w:ascii="Times New Roman" w:hAnsi="Times New Roman"/>
          <w:color w:val="000000"/>
          <w:sz w:val="20"/>
        </w:rPr>
        <w:t>), any entity that directly or indirectly owns Landlord and is qualified as a real estate investment trust (a “</w:t>
      </w:r>
      <w:r>
        <w:rPr>
          <w:rFonts w:ascii="Times New Roman" w:hAnsi="Times New Roman"/>
          <w:b/>
          <w:color w:val="000000"/>
          <w:sz w:val="20"/>
        </w:rPr>
        <w:t>REIT Owner</w:t>
      </w:r>
      <w:r>
        <w:rPr>
          <w:color w:val="000000"/>
        </w:rPr>
        <w:t>”</w:t>
      </w:r>
      <w:r>
        <w:rPr>
          <w:rFonts w:ascii="Times New Roman" w:hAnsi="Times New Roman"/>
          <w:color w:val="000000"/>
          <w:sz w:val="20"/>
        </w:rPr>
        <w:t xml:space="preserve">) owns, directly, indirectly or by applying constructive ownership rules set forth in </w:t>
      </w:r>
      <w:r>
        <w:rPr>
          <w:rFonts w:ascii="Times New Roman" w:hAnsi="Times New Roman"/>
          <w:color w:val="000000"/>
          <w:sz w:val="20"/>
          <w:u w:val="single"/>
        </w:rPr>
        <w:t>Section 856(d)(5)</w:t>
      </w:r>
      <w:r>
        <w:rPr>
          <w:color w:val="000000"/>
        </w:rPr>
        <w:t xml:space="preserve"> </w:t>
      </w:r>
      <w:r>
        <w:rPr>
          <w:rFonts w:ascii="Times New Roman" w:hAnsi="Times New Roman"/>
          <w:color w:val="000000"/>
          <w:sz w:val="20"/>
        </w:rPr>
        <w:t xml:space="preserve">of the Code, a ten percent (10%) or greater interest; or (ii) make any Transfer or other action under </w:t>
      </w:r>
      <w:r>
        <w:rPr>
          <w:rFonts w:ascii="Times New Roman" w:hAnsi="Times New Roman"/>
          <w:color w:val="000000"/>
          <w:sz w:val="20"/>
          <w:u w:val="single"/>
        </w:rPr>
        <w:t xml:space="preserve">Article 14 </w:t>
      </w:r>
      <w:r>
        <w:rPr>
          <w:rFonts w:ascii="Times New Roman" w:hAnsi="Times New Roman"/>
          <w:color w:val="000000"/>
          <w:sz w:val="20"/>
        </w:rPr>
        <w:t xml:space="preserve">of the Original Lease, in a manner that would cause any portion of the amounts received by Landlord pursuant to the Amended Lease, to fail to qualify as “rents from real property” within the meaning of </w:t>
      </w:r>
      <w:r>
        <w:rPr>
          <w:rFonts w:ascii="Times New Roman" w:hAnsi="Times New Roman"/>
          <w:color w:val="000000"/>
          <w:sz w:val="20"/>
          <w:u w:val="single"/>
        </w:rPr>
        <w:t>Section 856(d)</w:t>
      </w:r>
      <w:r>
        <w:rPr>
          <w:color w:val="000000"/>
        </w:rPr>
        <w:t xml:space="preserve"> </w:t>
      </w:r>
      <w:r>
        <w:rPr>
          <w:rFonts w:ascii="Times New Roman" w:hAnsi="Times New Roman"/>
          <w:color w:val="000000"/>
          <w:sz w:val="20"/>
        </w:rPr>
        <w:t>of the Code.</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15.3.</w:t>
      </w:r>
    </w:p>
    <w:p>
      <w:pPr>
        <w:pStyle w:val="TextBody"/>
        <w:bidi w:val="0"/>
        <w:spacing w:before="0" w:after="240"/>
        <w:jc w:val="both"/>
        <w:rPr/>
      </w:pPr>
      <w:r>
        <w:rPr>
          <w:rFonts w:ascii="Times New Roman" w:hAnsi="Times New Roman"/>
          <w:b/>
          <w:color w:val="000000"/>
          <w:sz w:val="20"/>
          <w:u w:val="single"/>
        </w:rPr>
        <w:t>Judicial Reference</w:t>
      </w:r>
      <w:r>
        <w:rPr>
          <w:rFonts w:ascii="Times New Roman" w:hAnsi="Times New Roman"/>
          <w:color w:val="000000"/>
          <w:sz w:val="20"/>
        </w:rPr>
        <w:t xml:space="preserve">. Notwithstanding any provision to the contrary contained in the Lease, the parties hereby waive, to the fullest extent permitted by applicable laws, the right to trial by jury in any litigation arising out of or relating to the Lease. If the jury waiver provisions of the Lease are not enforceable under California law, then the following provisions shall apply. It is the desire and intention of the parties to agree upon a mechanism and procedure under which controversies and disputes arising out of the Lease or related to the Premises will be resolved in a prompt and expeditious manner. Accordingly, except with respect to actions for unlawful or forcible detainer or with respect to the prejudgment remedy of attachment, any action, proceeding or counterclaim brought by either party hereto against the other (and/or against its officers, directors, employees, agents or subsidiaries or affiliated entities) on any matters whatsoever arising out of or in any way connected with the Lease, Tenant’s use or occupancy of the Premises and/or any claim of injury or damage, whether sounding in contract, tort, or otherwise, shall be heard and resolved by a referee under the provisions of the California Code of Civil Procedure, </w:t>
      </w:r>
      <w:r>
        <w:rPr>
          <w:rFonts w:ascii="Times New Roman" w:hAnsi="Times New Roman"/>
          <w:color w:val="000000"/>
          <w:sz w:val="20"/>
          <w:u w:val="single"/>
        </w:rPr>
        <w:t>Sections 638 — 645.1</w:t>
      </w:r>
      <w:r>
        <w:rPr>
          <w:rFonts w:ascii="Times New Roman" w:hAnsi="Times New Roman"/>
          <w:color w:val="000000"/>
          <w:sz w:val="20"/>
        </w:rPr>
        <w:t>, inclusive (as same may be amended, or any successor statute(s) thereto) (the “</w:t>
      </w:r>
      <w:r>
        <w:rPr>
          <w:rFonts w:ascii="Times New Roman" w:hAnsi="Times New Roman"/>
          <w:b/>
          <w:color w:val="000000"/>
          <w:sz w:val="20"/>
        </w:rPr>
        <w:t>Referee Sections</w:t>
      </w:r>
      <w:r>
        <w:rPr>
          <w:color w:val="000000"/>
        </w:rPr>
        <w:t>”</w:t>
      </w:r>
      <w:r>
        <w:rPr>
          <w:rFonts w:ascii="Times New Roman" w:hAnsi="Times New Roman"/>
          <w:color w:val="000000"/>
          <w:sz w:val="20"/>
        </w:rPr>
        <w:t xml:space="preserve">). Any fee to initiate the judicial reference proceedings and all fees charged and costs incurred by the referee shall be paid by the party initiating such procedure (except that if a reporter is requested by either party, then a reporter shall be present at all proceedings where requested and the fees of such reporter – except for copies ordered by the other parties – shall be borne by the party requesting the reporter); provided however, that allocation of the costs and fees, including any initiation fee, of such proceeding shall be ultimately determined in accordance with the lease. The venue of the proceedings shall be in the county in which the Premises are located. Within ten (10) days of receipt by any party of a written request to resolve any dispute or controversy pursuant to this </w:t>
      </w:r>
      <w:r>
        <w:rPr>
          <w:rFonts w:ascii="Times New Roman" w:hAnsi="Times New Roman"/>
          <w:color w:val="000000"/>
          <w:sz w:val="20"/>
          <w:u w:val="single"/>
        </w:rPr>
        <w:t>Section 14.3</w:t>
      </w:r>
      <w:r>
        <w:rPr>
          <w:rFonts w:ascii="Times New Roman" w:hAnsi="Times New Roman"/>
          <w:color w:val="000000"/>
          <w:sz w:val="20"/>
        </w:rPr>
        <w:t xml:space="preserve">, the parties shall agree upon a single referee who shall try all issues, whether of fact or law, and report a finding and judgment on such issues as required by the Referee Sections. If the parties are unable to agree upon a referee within such ten (10) day period, then any party may thereafter file a lawsuit in the county in which the Premises are located for the purpose of appointment of a referee under the Referee Sections. If the referee is appointed by the court, the referee shall be a neutral and impartial retired judge with substantial experience in the relevant matters to be determined, from JAMS, the American Arbitration Association or similar mediation/arbitration entity. The proposed referee may be challenged by any party for any of the grounds listed in the Referee Sections. The referee shall have the power to decide all issues of fact and law and report his or her decision on such issues, and to issue all recognized remedies available at law or in equity for any cause of action that is before the referee, including an award of attorneys’ fees and costs in accordance with the Lease. The referee shall not, however, have the power to award punitive damages, nor any other damages which are not permitted by the express provisions of the Lease, and the parties hereby waive any right to recover any such damages. The parties shall be entitled to conduct all discovery as provided in the California Code of Civil Procedure, and the referee shall oversee discovery and may enforce all discovery orders in the same manner as any trial court judge, with rights to regulate discovery and to issue and enforce subpoenas, protective orders and other limitations on discovery available under California law. The reference proceeding shall be conducted in accordance with California law (including the rules of evidence), and in all regards, the referee shall follow California law applicable at the time of the reference proceeding. The parties shall promptly and diligently cooperate with one another and the referee, and shall perform such acts as may be necessary to obtain a prompt and expeditious resolution of the dispute or controversy in accordance with the terms of this </w:t>
      </w:r>
      <w:r>
        <w:rPr>
          <w:rFonts w:ascii="Times New Roman" w:hAnsi="Times New Roman"/>
          <w:color w:val="000000"/>
          <w:sz w:val="20"/>
          <w:u w:val="single"/>
        </w:rPr>
        <w:t>Section 13.3</w:t>
      </w:r>
      <w:r>
        <w:rPr>
          <w:rFonts w:ascii="Times New Roman" w:hAnsi="Times New Roman"/>
          <w:color w:val="000000"/>
          <w:sz w:val="20"/>
        </w:rPr>
        <w:t xml:space="preserve">. In this regard, the parties agree that the parties and the referee shall use best efforts to ensure that (a) discovery be conducted for a period no longer than six (6) months from the date the referee is appointed, excluding motions regarding discovery, and (b) a trial date be set within nine (9) months of the date the referee is appointed. In accordance with </w:t>
      </w:r>
      <w:r>
        <w:rPr>
          <w:rFonts w:ascii="Times New Roman" w:hAnsi="Times New Roman"/>
          <w:color w:val="000000"/>
          <w:sz w:val="20"/>
          <w:u w:val="single"/>
        </w:rPr>
        <w:t>Section 644</w:t>
      </w:r>
      <w:r>
        <w:rPr>
          <w:color w:val="000000"/>
        </w:rPr>
        <w:t xml:space="preserve"> </w:t>
      </w:r>
      <w:r>
        <w:rPr>
          <w:rFonts w:ascii="Times New Roman" w:hAnsi="Times New Roman"/>
          <w:color w:val="000000"/>
          <w:sz w:val="20"/>
        </w:rPr>
        <w:t xml:space="preserve">of the California Code of Civil Procedure, the decision of the referee upon the whole issue must stand as the decision of the court, and upon the filing of the statement of decision with the clerk of the court, or with the judge if there is no clerk, judgment may be entered thereon in the same manner as if the action had been tried by the court. Any decision of the referee and/or judgment or other order entered thereon shall be appealable to the same extent and in the same manner that such decision, judgment, or order would be appealable if rendered by a judge of the Superior Court in which venue is proper hereunder. The referee shall in his/her statement of decision set forth his/her findings of fact and conclusions of law. The parties intend this general reference agreement to be specifically enforceable in accordance with the Code of Civil Procedure. Nothing in this </w:t>
      </w:r>
      <w:r>
        <w:rPr>
          <w:rFonts w:ascii="Times New Roman" w:hAnsi="Times New Roman"/>
          <w:color w:val="000000"/>
          <w:sz w:val="20"/>
          <w:u w:val="single"/>
        </w:rPr>
        <w:t>Section 14.3</w:t>
      </w:r>
      <w:r>
        <w:rPr>
          <w:color w:val="000000"/>
        </w:rPr>
        <w:t xml:space="preserve"> </w:t>
      </w:r>
      <w:r>
        <w:rPr>
          <w:rFonts w:ascii="Times New Roman" w:hAnsi="Times New Roman"/>
          <w:color w:val="000000"/>
          <w:sz w:val="20"/>
        </w:rPr>
        <w:t>shall prejudice the right of any party to obtain provisional relief or other equitable remedies from a court of competent jurisdiction as shall otherwise be available under the Code of Civil Procedure and/or applicable court rules.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15.4.</w:t>
      </w:r>
    </w:p>
    <w:p>
      <w:pPr>
        <w:pStyle w:val="TextBody"/>
        <w:bidi w:val="0"/>
        <w:spacing w:before="0" w:after="240"/>
        <w:jc w:val="both"/>
        <w:rPr/>
      </w:pPr>
      <w:r>
        <w:rPr>
          <w:rFonts w:ascii="Times New Roman" w:hAnsi="Times New Roman"/>
          <w:b/>
          <w:color w:val="000000"/>
          <w:sz w:val="20"/>
          <w:u w:val="single"/>
        </w:rPr>
        <w:t>Desk Space Users</w:t>
      </w:r>
      <w:r>
        <w:rPr>
          <w:rFonts w:ascii="Times New Roman" w:hAnsi="Times New Roman"/>
          <w:color w:val="000000"/>
          <w:sz w:val="20"/>
        </w:rPr>
        <w:t xml:space="preserve">. The following shall be added as </w:t>
      </w:r>
      <w:r>
        <w:rPr>
          <w:rFonts w:ascii="Times New Roman" w:hAnsi="Times New Roman"/>
          <w:color w:val="000000"/>
          <w:sz w:val="20"/>
          <w:u w:val="single"/>
        </w:rPr>
        <w:t>Section 14.9</w:t>
      </w:r>
      <w:r>
        <w:rPr>
          <w:color w:val="000000"/>
        </w:rPr>
        <w:t xml:space="preserve"> </w:t>
      </w:r>
      <w:r>
        <w:rPr>
          <w:rFonts w:ascii="Times New Roman" w:hAnsi="Times New Roman"/>
          <w:color w:val="000000"/>
          <w:sz w:val="20"/>
        </w:rPr>
        <w:t>to the Original Lease:</w:t>
      </w:r>
    </w:p>
    <w:p>
      <w:pPr>
        <w:pStyle w:val="TextBody"/>
        <w:bidi w:val="0"/>
        <w:spacing w:before="0" w:after="240"/>
        <w:jc w:val="both"/>
        <w:rPr/>
      </w:pPr>
      <w:r>
        <w:rPr>
          <w:color w:val="000000"/>
        </w:rPr>
        <w:t>“</w:t>
      </w:r>
      <w:r>
        <w:rPr>
          <w:rFonts w:ascii="Times New Roman" w:hAnsi="Times New Roman"/>
          <w:color w:val="000000"/>
          <w:sz w:val="20"/>
        </w:rPr>
        <w:t xml:space="preserve">14.9 </w:t>
      </w:r>
      <w:r>
        <w:rPr>
          <w:rFonts w:ascii="Times New Roman" w:hAnsi="Times New Roman"/>
          <w:b/>
          <w:color w:val="000000"/>
          <w:sz w:val="20"/>
          <w:u w:val="single"/>
        </w:rPr>
        <w:t>DESK SPACE USERS</w:t>
      </w:r>
      <w:r>
        <w:rPr>
          <w:rFonts w:ascii="Times New Roman" w:hAnsi="Times New Roman"/>
          <w:color w:val="000000"/>
          <w:sz w:val="20"/>
        </w:rPr>
        <w:t xml:space="preserve">. NOTWITHSTANDING ANYTHING TO THE CONTRARY CONTAINED IN THIS </w:t>
      </w:r>
      <w:r>
        <w:rPr>
          <w:rFonts w:ascii="Times New Roman" w:hAnsi="Times New Roman"/>
          <w:color w:val="000000"/>
          <w:sz w:val="20"/>
          <w:u w:val="single"/>
        </w:rPr>
        <w:t>ARTICLE 14</w:t>
      </w:r>
      <w:r>
        <w:rPr>
          <w:rFonts w:ascii="Times New Roman" w:hAnsi="Times New Roman"/>
          <w:color w:val="000000"/>
          <w:sz w:val="20"/>
        </w:rPr>
        <w:t xml:space="preserve">, AND PROVIDED TENANT IS NOT IN DEFAULT UNDER THIS LEASE,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BEYOND ANY APPLICABLE NOTICE AND CURE PERIOD, TENANT SHALL HAVE THE RIGHT, WITHOUT A REQUIREMENT TO OBTAIN LANDLORD’S CONSENT (AND WITHOUT BEING DEEMED A TRANSFER UNDER THIS LEASE), BUT UPON REASONABLE PRIOR WRITTEN NOTICE TO LANDLORD IDENTIFYING EACH OCCUPANT AND SUCH OCCUPANT’S RELATIONSHIP TO OR AFFILIATION WITH TENANT, TO ALLOCATE NO MORE THAN FIFTEEN PERCENT (15%) OF THE FIRST FLOOR PREMISES, TO BE DESIGNATED BY TENANT FROM TIME TO TIME (THE “</w:t>
      </w:r>
      <w:r>
        <w:rPr>
          <w:rFonts w:ascii="Times New Roman" w:hAnsi="Times New Roman"/>
          <w:b/>
          <w:color w:val="000000"/>
          <w:sz w:val="20"/>
        </w:rPr>
        <w:t>DESK SPACE</w:t>
      </w:r>
      <w:r>
        <w:rPr>
          <w:rFonts w:ascii="Times New Roman" w:hAnsi="Times New Roman"/>
          <w:color w:val="000000"/>
          <w:sz w:val="20"/>
        </w:rPr>
        <w:t>”), FOR USE BY OCCUPANTS WHO ARE NOT EMPLOYEES OR AGENTS OF TENANT, BUT ARE PROVIDING LEGITIMATE BUSINESS SERVICES TO TENANT OR ARE WORKING WITH TENANT IN SOME WAY PURSUANT TO A BUSINESS ARRANGEMENT (EACH, “</w:t>
      </w:r>
      <w:r>
        <w:rPr>
          <w:rFonts w:ascii="Times New Roman" w:hAnsi="Times New Roman"/>
          <w:b/>
          <w:color w:val="000000"/>
          <w:sz w:val="20"/>
        </w:rPr>
        <w:t>DESK SPACE USERS</w:t>
      </w:r>
      <w:r>
        <w:rPr>
          <w:rFonts w:ascii="Times New Roman" w:hAnsi="Times New Roman"/>
          <w:color w:val="000000"/>
          <w:sz w:val="20"/>
        </w:rPr>
        <w:t>”) AND ARE NOT LICENSEES OR TENANTS PAYING RENT FOR THE USE OF THE DESK SPACE; PROVIDED, THAT (I) SUCH ARRANGEMENT IS FOR A VALID BUSINESS PURPOSE AND IS NOT A SUBTERFUGE BY TENANT TO AVOID ANY OBLIGATIONS UNDER THE AMENDED LEASE, (II) THE DESK SPACE USERS USE OF THE PREMISES IS CONSISTENT WITH THE USE AND THE TERMS AND CONDITIONS OF THE AMENDED LEASE, (III) TENANT SHALL HAVE NO RIGHT TO DELEGATE OR ASSIGN ANY OF ITS OBLIGATIONS UNDER THE AMENDED LEASE TO SUCH DESK SPACE USERS, (IV) SUCH ARRANGEMENT WILL TERMINATE AUTOMATICALLY UPON THE EXPIRATION OR SOONER TERMINATION OF THE AMENDED LEASE AND IS SUBJECT AND SUBORDINATE TO THE AMENDED LEASE AND ALL MATTERS TO WHICH THE AMENDED LEASE IS SUBJECT AND SUBORDINATE, (IV) SUCH ARRANGEMENT SHALL NOT BE CONSTRUED AS A SUBLETTING AND THE ARRANGEMENT DOES NOT CREATE (NOR SHALL BE DEEMED TO CREATE) ANY RIGHT, TITLE OR INTEREST IN OR TO THE FIRST FLOOR PREMISES, AND LANDLORD SHALL HAVE NO LIABILITY OR OBLIGATION TO THE DESK SPACE USERS UNDER THIS LEASE FOR ANY REASON WHATSOEVER IN CONNECTION WITH SUCH USE OR OCCUPANCY, (V) SUCH ARRANGEMENT SHALL NOT RELIEVE TENANT FROM ANY LIABILITY UNDER THE LEASE, (VI) TENANT SHALL BE LIABLE FOR THE ACTS OF SUCH DESK SPACE USERS IN THE FIRST FLOOR PREMISES AND SHALL INDEMNIFY, DEFEND AND HOLD HARMLESS LANDLORD FROM ALL CLAIMS, DEMANDS, ACTIONS, LIABILITIES, COSTS, EXPENSES, ATTORNEYS’ FEES, DAMAGES AND OBLIGATIONS OF ANY NATURE ARISING FROM, IN CONNECTION TO OR AS A RESULT THEREOF, AND (VI) NO DESK SPACE USERS SHALL BE PERMITTED TO INSTALL ANY EXTERIOR IDENTIFICATION SIGNAGE.”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16.</w:t>
      </w:r>
    </w:p>
    <w:p>
      <w:pPr>
        <w:pStyle w:val="TextBody"/>
        <w:bidi w:val="0"/>
        <w:spacing w:before="0" w:after="240"/>
        <w:jc w:val="both"/>
        <w:rPr/>
      </w:pPr>
      <w:r>
        <w:rPr>
          <w:rFonts w:ascii="Times New Roman" w:hAnsi="Times New Roman"/>
          <w:b/>
          <w:color w:val="000000"/>
          <w:sz w:val="20"/>
          <w:u w:val="single"/>
        </w:rPr>
        <w:t>ELECTRONIC SIGNATURES</w:t>
      </w:r>
      <w:r>
        <w:rPr>
          <w:rFonts w:ascii="Times New Roman" w:hAnsi="Times New Roman"/>
          <w:color w:val="000000"/>
          <w:sz w:val="20"/>
        </w:rPr>
        <w:t>. THE PARTIES AGREE THAT THIS THIRD AMENDMENT MAY BE SIGNED AND/OR TRANSMITTED BY ELECTRONIC MAIL OF A .PDF DOCUMENT OR ELECTRONIC SIGNATURE (</w:t>
      </w:r>
      <w:r>
        <w:rPr>
          <w:rFonts w:ascii="Times New Roman" w:hAnsi="Times New Roman"/>
          <w:i/>
          <w:color w:val="000000"/>
          <w:sz w:val="20"/>
        </w:rPr>
        <w:t>E.G.</w:t>
      </w:r>
      <w:r>
        <w:rPr>
          <w:rFonts w:ascii="Times New Roman" w:hAnsi="Times New Roman"/>
          <w:color w:val="000000"/>
          <w:sz w:val="20"/>
        </w:rPr>
        <w:t>, DOCUSIGN OR SIMILAR ELECTRONIC SIGNATURE TECHNOLOGY) AND THEREAFTER MAINTAINED IN ELECTRONIC FORM, AND THAT SUCH ELECTRONIC RECORD SHALL BE VALID AND EFFECTIVE TO BIND THE PARTY SO SIGNING AS A PAPER COPY BEARING SUCH PARTY’S HAND-WRITTEN SIGNATURE. THE PARTIES FURTHER CONSENT AND AGREE THAT THE ELECTRONIC SIGNATURES APPEARING ON THIS THIRD AMENDMENT SHALL BE TREATED, FOR PURPOSE OF VALIDITY, ENFORCEABILITY AND ADMISSIBILITY, THE SAME AS HAND-WRITTEN SIGNATURES.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17.</w:t>
      </w:r>
    </w:p>
    <w:p>
      <w:pPr>
        <w:pStyle w:val="TextBody"/>
        <w:bidi w:val="0"/>
        <w:spacing w:before="0" w:after="240"/>
        <w:jc w:val="both"/>
        <w:rPr/>
      </w:pPr>
      <w:r>
        <w:rPr>
          <w:rFonts w:ascii="Times New Roman" w:hAnsi="Times New Roman"/>
          <w:b/>
          <w:color w:val="000000"/>
          <w:sz w:val="20"/>
          <w:u w:val="single"/>
        </w:rPr>
        <w:t>NO FURTHER MODIFICATION; CONFLICT</w:t>
      </w:r>
      <w:r>
        <w:rPr>
          <w:rFonts w:ascii="Times New Roman" w:hAnsi="Times New Roman"/>
          <w:color w:val="000000"/>
          <w:sz w:val="20"/>
        </w:rPr>
        <w:t>. EXCEPT AS SPECIFICALLY SET FORTH IN THIS THIRD AMENDMENT, ALL OF THE TERMS AND PROVISIONS OF THE LEASE SHALL REMAIN UNMODIFIED AND IN FULL FORCE AND EFFECT. IN THE EVENT OF A CONFLICT BETWEEN THE TERMS OF THE LEASE AND THIS THIRD AMENDMENT, THE TERMS OF THIS THIRD AMENDMENT SHALL PREVAIL.</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[SIGNATURES FOLLOW ON NEXT PAGE]</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WITNESS WHEREOF, this Third Amendment has been executed as of the day and year first above written.</w:t>
      </w:r>
    </w:p>
    <w:tbl>
      <w:tblPr>
        <w:tblW w:w="4622" w:type="dxa"/>
        <w:jc w:val="left"/>
        <w:tblInd w:w="0" w:type="dxa"/>
        <w:tblLayout w:type="fixed"/>
        <w:tblCellMar>
          <w:top w:w="28" w:type="dxa"/>
          <w:left w:w="28" w:type="dxa"/>
          <w:bottom w:w="28" w:type="dxa"/>
          <w:right w:w="28" w:type="dxa"/>
        </w:tblCellMar>
      </w:tblPr>
      <w:tblGrid>
        <w:gridCol w:w="1456"/>
        <w:gridCol w:w="3166"/>
      </w:tblGrid>
      <w:tr>
        <w:trPr/>
        <w:tc>
          <w:tcPr>
            <w:tcW w:w="1456"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r>
      <w:tr>
        <w:trPr/>
        <w:tc>
          <w:tcPr>
            <w:tcW w:w="1456" w:type="dxa"/>
            <w:tcBorders/>
            <w:tcMar>
              <w:top w:w="0" w:type="dxa"/>
              <w:left w:w="0" w:type="dxa"/>
              <w:bottom w:w="0" w:type="dxa"/>
              <w:right w:w="0" w:type="dxa"/>
            </w:tcMar>
            <w:vAlign w:val="center"/>
          </w:tcPr>
          <w:p>
            <w:pPr>
              <w:pStyle w:val="TableContents"/>
              <w:bidi w:val="0"/>
              <w:spacing w:before="0" w:after="240"/>
              <w:jc w:val="left"/>
              <w:rPr/>
            </w:pPr>
            <w:r>
              <w:rPr>
                <w:color w:val="000000"/>
              </w:rPr>
              <w:t>“</w:t>
            </w:r>
            <w:r>
              <w:rPr>
                <w:rFonts w:ascii="Times New Roman" w:hAnsi="Times New Roman"/>
                <w:b/>
                <w:color w:val="000000"/>
                <w:sz w:val="20"/>
              </w:rPr>
              <w:t>LANDLORD</w:t>
            </w:r>
            <w:r>
              <w:rPr>
                <w:rFonts w:ascii="Times New Roman" w:hAnsi="Times New Roman"/>
                <w:color w:val="000000"/>
                <w:sz w:val="20"/>
              </w:rPr>
              <w:t xml:space="preserve">” </w:t>
            </w:r>
          </w:p>
        </w:tc>
        <w:tc>
          <w:tcPr>
            <w:tcW w:w="316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HCP TORREYANA, LLC,</w:t>
              <w:br/>
              <w:t>a Delaware limited liability company</w:t>
            </w:r>
          </w:p>
          <w:p>
            <w:pPr>
              <w:pStyle w:val="TableContents"/>
              <w:bidi w:val="0"/>
              <w:spacing w:before="0" w:after="24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Scott Bohn</w:t>
            </w:r>
          </w:p>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Name: Scott Bohn</w:t>
            </w:r>
          </w:p>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Its: Chief Development Officer</w:t>
            </w:r>
          </w:p>
        </w:tc>
      </w:tr>
      <w:tr>
        <w:trPr/>
        <w:tc>
          <w:tcPr>
            <w:tcW w:w="1456" w:type="dxa"/>
            <w:tcBorders/>
            <w:tcMar>
              <w:top w:w="0" w:type="dxa"/>
              <w:left w:w="0" w:type="dxa"/>
              <w:bottom w:w="0" w:type="dxa"/>
              <w:right w:w="0" w:type="dxa"/>
            </w:tcMar>
            <w:vAlign w:val="center"/>
          </w:tcPr>
          <w:p>
            <w:pPr>
              <w:pStyle w:val="TableContents"/>
              <w:bidi w:val="0"/>
              <w:spacing w:before="0" w:after="240"/>
              <w:jc w:val="left"/>
              <w:rPr/>
            </w:pPr>
            <w:r>
              <w:rPr>
                <w:color w:val="000000"/>
              </w:rPr>
              <w:t>“</w:t>
            </w:r>
            <w:r>
              <w:rPr>
                <w:rFonts w:ascii="Times New Roman" w:hAnsi="Times New Roman"/>
                <w:b/>
                <w:color w:val="000000"/>
                <w:sz w:val="20"/>
              </w:rPr>
              <w:t>TENANT</w:t>
            </w:r>
            <w:r>
              <w:rPr>
                <w:rFonts w:ascii="Times New Roman" w:hAnsi="Times New Roman"/>
                <w:color w:val="000000"/>
                <w:sz w:val="20"/>
              </w:rPr>
              <w:t>”</w:t>
            </w:r>
          </w:p>
        </w:tc>
        <w:tc>
          <w:tcPr>
            <w:tcW w:w="316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BIOATLA, INC.,</w:t>
              <w:br/>
              <w:t>a Delaware corporation</w:t>
            </w:r>
          </w:p>
          <w:p>
            <w:pPr>
              <w:pStyle w:val="TableContents"/>
              <w:bidi w:val="0"/>
              <w:spacing w:before="0" w:after="24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Jay Short</w:t>
            </w:r>
          </w:p>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Name: Jay Short</w:t>
            </w:r>
          </w:p>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Its: Chairman &amp; CEO</w:t>
            </w:r>
          </w:p>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By:</w:t>
            </w:r>
          </w:p>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Name:</w:t>
            </w:r>
          </w:p>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Its:</w:t>
            </w:r>
          </w:p>
        </w:tc>
      </w:tr>
      <w:tr>
        <w:trPr/>
        <w:tc>
          <w:tcPr>
            <w:tcW w:w="1456" w:type="dxa"/>
            <w:tcBorders/>
            <w:tcMar>
              <w:top w:w="0" w:type="dxa"/>
              <w:left w:w="0" w:type="dxa"/>
              <w:bottom w:w="0" w:type="dxa"/>
              <w:right w:w="0" w:type="dxa"/>
            </w:tcMar>
            <w:vAlign w:val="center"/>
          </w:tcPr>
          <w:p>
            <w:pPr>
              <w:pStyle w:val="TableContents"/>
              <w:bidi w:val="0"/>
              <w:spacing w:before="0" w:after="240"/>
              <w:jc w:val="left"/>
              <w:rPr/>
            </w:pPr>
            <w:r>
              <w:rPr/>
              <w:t> </w:t>
            </w:r>
          </w:p>
        </w:tc>
        <w:tc>
          <w:tcPr>
            <w:tcW w:w="3166" w:type="dxa"/>
            <w:tcBorders/>
            <w:tcMar>
              <w:top w:w="0" w:type="dxa"/>
              <w:left w:w="0" w:type="dxa"/>
              <w:bottom w:w="0" w:type="dxa"/>
              <w:right w:w="0" w:type="dxa"/>
            </w:tcMar>
            <w:vAlign w:val="center"/>
          </w:tcPr>
          <w:p>
            <w:pPr>
              <w:pStyle w:val="TableContents"/>
              <w:bidi w:val="0"/>
              <w:spacing w:before="0" w:after="240"/>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b/>
          <w:caps/>
          <w:color w:val="000000"/>
          <w:sz w:val="20"/>
          <w:u w:val="single"/>
        </w:rPr>
      </w:pPr>
      <w:r>
        <w:rPr>
          <w:rFonts w:ascii="Times New Roman" w:hAnsi="Times New Roman"/>
          <w:b/>
          <w:caps/>
          <w:color w:val="000000"/>
          <w:sz w:val="20"/>
          <w:u w:val="single"/>
        </w:rPr>
        <w:t>EXHIBIT A</w:t>
      </w:r>
    </w:p>
    <w:p>
      <w:pPr>
        <w:pStyle w:val="TextBody"/>
        <w:bidi w:val="0"/>
        <w:spacing w:before="0" w:after="240"/>
        <w:jc w:val="center"/>
        <w:rPr>
          <w:rFonts w:ascii="Times New Roman" w:hAnsi="Times New Roman"/>
          <w:b/>
          <w:caps/>
          <w:color w:val="000000"/>
          <w:sz w:val="20"/>
          <w:u w:val="single"/>
        </w:rPr>
      </w:pPr>
      <w:r>
        <w:rPr>
          <w:rFonts w:ascii="Times New Roman" w:hAnsi="Times New Roman"/>
          <w:b/>
          <w:caps/>
          <w:color w:val="000000"/>
          <w:sz w:val="20"/>
          <w:u w:val="single"/>
        </w:rPr>
        <w:t>11085 TORREYANA ROAD</w:t>
      </w:r>
    </w:p>
    <w:p>
      <w:pPr>
        <w:pStyle w:val="TextBody"/>
        <w:bidi w:val="0"/>
        <w:spacing w:before="0" w:after="240"/>
        <w:jc w:val="center"/>
        <w:rPr>
          <w:rFonts w:ascii="Times New Roman" w:hAnsi="Times New Roman"/>
          <w:b/>
          <w:caps/>
          <w:color w:val="000000"/>
          <w:sz w:val="20"/>
          <w:u w:val="single"/>
        </w:rPr>
      </w:pPr>
      <w:r>
        <w:rPr>
          <w:rFonts w:ascii="Times New Roman" w:hAnsi="Times New Roman"/>
          <w:b/>
          <w:caps/>
          <w:color w:val="000000"/>
          <w:sz w:val="20"/>
          <w:u w:val="single"/>
        </w:rPr>
        <w:t>THIRD AMENDMENT LANDLORD WORK</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Replace the side entry doors to the Building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Add Elkay ezH20 filtered water bottle filler station on the 1st floor; provided, however, that if despite Landlord’s commercially reasonable efforts, Landlord is unable for any reason to obtain Elkay ezH20 filtered water bottle filler station, during the Extended Term and any Option Term, as applicable, in no event shall such failure be deemed a default hereunder, nor shall such failure impact the validity of the Lease, as amended, and Landlord shall not be subject to any liability for such failure, provided that in such event Landlord shall utilize commercially reasonable efforts to provide a reasonable equivalent to such Elkay ezH20 filtered water bottle filler station.</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Upgrade the current landscaping by providing the following, replant planter beds in the entry area, front patio, and outside the boardroom, replace wall planters and plants at entry to the Building, replace missing trees in parking lot planters, and clean up area and add plants to the Torreyana frontage.</w:t>
      </w:r>
    </w:p>
    <w:p>
      <w:pPr>
        <w:pStyle w:val="TextBody"/>
        <w:bidi w:val="0"/>
        <w:jc w:val="center"/>
        <w:rPr>
          <w:rFonts w:ascii="Times New Roman" w:hAnsi="Times New Roman"/>
          <w:color w:val="000000"/>
          <w:sz w:val="20"/>
        </w:rPr>
      </w:pPr>
      <w:r>
        <w:rPr>
          <w:rFonts w:ascii="Times New Roman" w:hAnsi="Times New Roman"/>
          <w:color w:val="000000"/>
          <w:sz w:val="20"/>
        </w:rPr>
        <w:t>Exhibit A</w:t>
      </w:r>
    </w:p>
    <w:p>
      <w:pPr>
        <w:pStyle w:val="HorizontalLine"/>
        <w:pBdr>
          <w:bottom w:val="double" w:sz="2" w:space="0" w:color="808080"/>
        </w:pBdr>
        <w:bidi w:val="0"/>
        <w:spacing w:before="0" w:after="283"/>
        <w:jc w:val="left"/>
        <w:rPr/>
      </w:pPr>
      <w:r>
        <w:rPr/>
      </w:r>
    </w:p>
    <w:p>
      <w:pPr>
        <w:pStyle w:val="TextBody"/>
        <w:bidi w:val="0"/>
        <w:jc w:val="left"/>
        <w:rPr/>
      </w:pPr>
      <w:bookmarkStart w:id="23" w:name="bcab-ex31_1.htm"/>
      <w:bookmarkStart w:id="24" w:name="ksbcabex31_1"/>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rFonts w:ascii="Times New Roman" w:hAnsi="Times New Roman"/>
          <w:sz w:val="20"/>
        </w:rPr>
      </w:pPr>
      <w:r>
        <w:rPr>
          <w:rFonts w:ascii="Times New Roman" w:hAnsi="Times New Roman"/>
          <w:b/>
          <w:color w:val="000000"/>
          <w:sz w:val="20"/>
        </w:rPr>
        <w:t>CERTIFICATION OF CHIEF EXECUTIVE OFFICER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Jay M. Short, Ph.D.,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BioAtla,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482" w:type="dxa"/>
        <w:jc w:val="left"/>
        <w:tblInd w:w="0" w:type="dxa"/>
        <w:tblLayout w:type="fixed"/>
        <w:tblCellMar>
          <w:top w:w="28" w:type="dxa"/>
          <w:left w:w="28" w:type="dxa"/>
          <w:bottom w:w="28" w:type="dxa"/>
          <w:right w:w="28" w:type="dxa"/>
        </w:tblCellMar>
      </w:tblPr>
      <w:tblGrid>
        <w:gridCol w:w="1846"/>
        <w:gridCol w:w="109"/>
        <w:gridCol w:w="406"/>
        <w:gridCol w:w="312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Jay M. Short,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Jay M. Short,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and Director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bcab-ex31_2.htm"/>
      <w:bookmarkStart w:id="26" w:name="ksbcabex31_2"/>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rFonts w:ascii="Times New Roman" w:hAnsi="Times New Roman"/>
          <w:sz w:val="20"/>
        </w:rPr>
      </w:pPr>
      <w:r>
        <w:rPr>
          <w:rFonts w:ascii="Times New Roman" w:hAnsi="Times New Roman"/>
          <w:b/>
          <w:color w:val="000000"/>
          <w:sz w:val="20"/>
        </w:rPr>
        <w:t>CERTIFICATION OF CHIEF FINANCIAL OFFICER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Richard A. Waldron,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BioAtla,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127" w:type="dxa"/>
        <w:jc w:val="left"/>
        <w:tblInd w:w="0" w:type="dxa"/>
        <w:tblLayout w:type="fixed"/>
        <w:tblCellMar>
          <w:top w:w="28" w:type="dxa"/>
          <w:left w:w="28" w:type="dxa"/>
          <w:bottom w:w="28" w:type="dxa"/>
          <w:right w:w="28" w:type="dxa"/>
        </w:tblCellMar>
      </w:tblPr>
      <w:tblGrid>
        <w:gridCol w:w="1846"/>
        <w:gridCol w:w="109"/>
        <w:gridCol w:w="406"/>
        <w:gridCol w:w="376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Richard A. Waldron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Richard A. Waldron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bcab-ex32_1.htm"/>
      <w:bookmarkStart w:id="28" w:name="ksbcabex32_1"/>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BioAtla, Inc. (the “Company”) on Form 10-Q for the period ending June 30, 2025 as filed with the Securities and Exchange Commission on the date hereof (the “Report”), I certify, pursuant to 18 U.S.C. § 1350, as adopted pursuant to § 906 of the Sarbanes-Oxley Act of 2002, that, to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907" w:type="dxa"/>
        <w:jc w:val="left"/>
        <w:tblInd w:w="0" w:type="dxa"/>
        <w:tblLayout w:type="fixed"/>
        <w:tblCellMar>
          <w:top w:w="28" w:type="dxa"/>
          <w:left w:w="28" w:type="dxa"/>
          <w:bottom w:w="28" w:type="dxa"/>
          <w:right w:w="28" w:type="dxa"/>
        </w:tblCellMar>
      </w:tblPr>
      <w:tblGrid>
        <w:gridCol w:w="1846"/>
        <w:gridCol w:w="109"/>
        <w:gridCol w:w="406"/>
        <w:gridCol w:w="254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Jay M. Short,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Jay M. Short,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ind w:left="0" w:right="0" w:firstLine="70"/>
              <w:jc w:val="left"/>
              <w:rPr>
                <w:sz w:val="4"/>
                <w:szCs w:val="4"/>
              </w:rPr>
            </w:pPr>
            <w:r>
              <w:rPr>
                <w:sz w:val="4"/>
                <w:szCs w:val="4"/>
              </w:rPr>
            </w:r>
          </w:p>
        </w:tc>
        <w:tc>
          <w:tcPr>
            <w:tcW w:w="2546" w:type="dxa"/>
            <w:tcBorders/>
            <w:shd w:fill="FFFFFF" w:val="clear"/>
            <w:tcMar>
              <w:top w:w="0" w:type="dxa"/>
              <w:left w:w="0" w:type="dxa"/>
              <w:bottom w:w="0" w:type="dxa"/>
              <w:right w:w="0" w:type="dxa"/>
            </w:tcMar>
            <w:vAlign w:val="center"/>
          </w:tcPr>
          <w:p>
            <w:pPr>
              <w:pStyle w:val="TableContents"/>
              <w:bidi w:val="0"/>
              <w:ind w:left="0" w:right="0" w:firstLine="7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ind w:left="0" w:right="0" w:firstLine="70"/>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6127" w:type="dxa"/>
        <w:jc w:val="left"/>
        <w:tblInd w:w="0" w:type="dxa"/>
        <w:tblLayout w:type="fixed"/>
        <w:tblCellMar>
          <w:top w:w="28" w:type="dxa"/>
          <w:left w:w="28" w:type="dxa"/>
          <w:bottom w:w="28" w:type="dxa"/>
          <w:right w:w="28" w:type="dxa"/>
        </w:tblCellMar>
      </w:tblPr>
      <w:tblGrid>
        <w:gridCol w:w="1846"/>
        <w:gridCol w:w="109"/>
        <w:gridCol w:w="406"/>
        <w:gridCol w:w="376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Richard A. Waldron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Richard A. Waldron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110077</Words>
  <Characters>598302</Characters>
  <CharactersWithSpaces>707241</CharactersWithSpaces>
  <Paragraphs>5851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