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BIOATLA,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920" w:type="dxa"/>
            <w:vAlign w:val="bottom"/>
          </w:tcPr>
          <w:p>
            <w:pPr>
              <w:jc w:val="center"/>
              <w:ind w:right="1688"/>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85-1922320</w:t>
            </w:r>
          </w:p>
        </w:tc>
      </w:tr>
      <w:tr>
        <w:trPr>
          <w:trHeight w:val="148"/>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7"/>
              </w:rPr>
              <w:t>( State or other jurisdiction of</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8"/>
              </w:rPr>
              <w:t>incorporation or organization)</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89"/>
              </w:rPr>
              <w:t>Identification No.)</w:t>
            </w:r>
          </w:p>
        </w:tc>
      </w:tr>
      <w:tr>
        <w:trPr>
          <w:trHeight w:val="234"/>
        </w:trPr>
        <w:tc>
          <w:tcPr>
            <w:tcW w:w="4920" w:type="dxa"/>
            <w:vAlign w:val="bottom"/>
          </w:tcPr>
          <w:p>
            <w:pPr>
              <w:jc w:val="center"/>
              <w:ind w:right="1708"/>
              <w:spacing w:after="0"/>
              <w:rPr>
                <w:sz w:val="20"/>
                <w:szCs w:val="20"/>
                <w:color w:val="auto"/>
              </w:rPr>
            </w:pPr>
            <w:r>
              <w:rPr>
                <w:rFonts w:ascii="Arial" w:cs="Arial" w:eastAsia="Arial" w:hAnsi="Arial"/>
                <w:sz w:val="16"/>
                <w:szCs w:val="16"/>
                <w:b w:val="1"/>
                <w:bCs w:val="1"/>
                <w:color w:val="auto"/>
                <w:w w:val="92"/>
              </w:rPr>
              <w:t>11085 Torreyana Road, San Diego, California</w:t>
            </w:r>
          </w:p>
        </w:tc>
        <w:tc>
          <w:tcPr>
            <w:tcW w:w="2760" w:type="dxa"/>
            <w:vAlign w:val="bottom"/>
          </w:tcPr>
          <w:p>
            <w:pPr>
              <w:jc w:val="right"/>
              <w:ind w:right="186"/>
              <w:spacing w:after="0"/>
              <w:rPr>
                <w:sz w:val="20"/>
                <w:szCs w:val="20"/>
                <w:color w:val="auto"/>
              </w:rPr>
            </w:pPr>
            <w:r>
              <w:rPr>
                <w:rFonts w:ascii="Arial" w:cs="Arial" w:eastAsia="Arial" w:hAnsi="Arial"/>
                <w:sz w:val="18"/>
                <w:szCs w:val="18"/>
                <w:b w:val="1"/>
                <w:bCs w:val="1"/>
                <w:color w:val="auto"/>
              </w:rPr>
              <w:t>92121</w:t>
            </w:r>
          </w:p>
        </w:tc>
      </w:tr>
      <w:tr>
        <w:trPr>
          <w:trHeight w:val="173"/>
        </w:trPr>
        <w:tc>
          <w:tcPr>
            <w:tcW w:w="4920" w:type="dxa"/>
            <w:vAlign w:val="bottom"/>
          </w:tcPr>
          <w:p>
            <w:pPr>
              <w:jc w:val="center"/>
              <w:ind w:right="168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jc w:val="center"/>
              <w:ind w:left="170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BCAB</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32"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6" w:lineRule="exact"/>
        <w:rPr>
          <w:sz w:val="24"/>
          <w:szCs w:val="24"/>
          <w:color w:val="auto"/>
        </w:rPr>
      </w:pPr>
    </w:p>
    <w:p>
      <w:pPr>
        <w:ind w:right="520" w:firstLine="599"/>
        <w:spacing w:after="0" w:line="293" w:lineRule="auto"/>
        <w:rPr>
          <w:sz w:val="20"/>
          <w:szCs w:val="20"/>
          <w:color w:val="auto"/>
        </w:rPr>
      </w:pPr>
      <w:r>
        <w:rPr>
          <w:rFonts w:ascii="Arial" w:cs="Arial" w:eastAsia="Arial" w:hAnsi="Arial"/>
          <w:sz w:val="16"/>
          <w:szCs w:val="16"/>
          <w:color w:val="auto"/>
        </w:rPr>
        <w:t>As of July 28, 2023, the number of shares of the registrant’s common stock outstanding was 47,803,306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w:t>
            </w:r>
          </w:p>
        </w:tc>
        <w:tc>
          <w:tcPr>
            <w:tcW w:w="2040" w:type="dxa"/>
            <w:vAlign w:val="bottom"/>
            <w:gridSpan w:val="11"/>
            <w:vMerge w:val="restart"/>
          </w:tcPr>
          <w:p>
            <w:pPr>
              <w:spacing w:after="0"/>
              <w:rPr>
                <w:sz w:val="20"/>
                <w:szCs w:val="20"/>
                <w:color w:val="auto"/>
              </w:rPr>
            </w:pPr>
            <w:r>
              <w:rPr>
                <w:rFonts w:ascii="Arial" w:cs="Arial" w:eastAsia="Arial" w:hAnsi="Arial"/>
                <w:sz w:val="16"/>
                <w:szCs w:val="16"/>
                <w:color w:val="0000FF"/>
              </w:rPr>
              <w:t>FINANCIAL INFORMATION</w:t>
            </w:r>
          </w:p>
        </w:tc>
        <w:tc>
          <w:tcPr>
            <w:tcW w:w="7680" w:type="dxa"/>
            <w:vAlign w:val="bottom"/>
            <w:gridSpan w:val="10"/>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20" w:type="dxa"/>
            <w:vAlign w:val="bottom"/>
            <w:gridSpan w:val="2"/>
            <w:vMerge w:val="continue"/>
          </w:tcPr>
          <w:p>
            <w:pPr>
              <w:spacing w:after="0"/>
              <w:rPr>
                <w:sz w:val="14"/>
                <w:szCs w:val="14"/>
                <w:color w:val="auto"/>
              </w:rPr>
            </w:pPr>
          </w:p>
        </w:tc>
        <w:tc>
          <w:tcPr>
            <w:tcW w:w="2040" w:type="dxa"/>
            <w:vAlign w:val="bottom"/>
            <w:tcBorders>
              <w:bottom w:val="single" w:sz="8" w:color="0000FF"/>
            </w:tcBorders>
            <w:gridSpan w:val="11"/>
            <w:vMerge w:val="continue"/>
          </w:tcPr>
          <w:p>
            <w:pPr>
              <w:spacing w:after="0"/>
              <w:rPr>
                <w:sz w:val="14"/>
                <w:szCs w:val="14"/>
                <w:color w:val="auto"/>
              </w:rPr>
            </w:pPr>
          </w:p>
        </w:tc>
        <w:tc>
          <w:tcPr>
            <w:tcW w:w="7680" w:type="dxa"/>
            <w:vAlign w:val="bottom"/>
            <w:gridSpan w:val="10"/>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9720" w:type="dxa"/>
            <w:vAlign w:val="bottom"/>
            <w:gridSpan w:val="21"/>
          </w:tcPr>
          <w:p>
            <w:pPr>
              <w:spacing w:after="0"/>
              <w:rPr>
                <w:sz w:val="20"/>
                <w:szCs w:val="20"/>
                <w:color w:val="auto"/>
              </w:rPr>
            </w:pPr>
            <w:r>
              <w:rPr>
                <w:rFonts w:ascii="Arial" w:cs="Arial" w:eastAsia="Arial" w:hAnsi="Arial"/>
                <w:sz w:val="16"/>
                <w:szCs w:val="16"/>
                <w:color w:val="0000FF"/>
              </w:rPr>
              <w:t>Financial Statements:</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20" w:type="dxa"/>
            <w:vAlign w:val="bottom"/>
            <w:gridSpan w:val="18"/>
          </w:tcPr>
          <w:p>
            <w:pPr>
              <w:spacing w:after="0"/>
              <w:rPr>
                <w:sz w:val="20"/>
                <w:szCs w:val="20"/>
                <w:color w:val="auto"/>
              </w:rPr>
            </w:pPr>
            <w:r>
              <w:rPr>
                <w:rFonts w:ascii="Arial" w:cs="Arial" w:eastAsia="Arial" w:hAnsi="Arial"/>
                <w:sz w:val="16"/>
                <w:szCs w:val="16"/>
                <w:color w:val="0000FF"/>
              </w:rPr>
              <w:t>Condensed Balance Sheets as of June 30, 2023 (unaudited) and December 31, 2022</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60" w:type="dxa"/>
            <w:vAlign w:val="bottom"/>
            <w:gridSpan w:val="19"/>
          </w:tcPr>
          <w:p>
            <w:pPr>
              <w:spacing w:after="0"/>
              <w:rPr>
                <w:sz w:val="20"/>
                <w:szCs w:val="20"/>
                <w:color w:val="auto"/>
              </w:rPr>
            </w:pPr>
            <w:r>
              <w:rPr>
                <w:rFonts w:ascii="Arial" w:cs="Arial" w:eastAsia="Arial" w:hAnsi="Arial"/>
                <w:sz w:val="16"/>
                <w:szCs w:val="16"/>
                <w:color w:val="0000FF"/>
                <w:w w:val="97"/>
              </w:rPr>
              <w:t>Condensed Statements of Operations and Comprehensive Loss (unaudited) for the three and six months ended June 30, 2023 and 2022</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60" w:type="dxa"/>
            <w:vAlign w:val="bottom"/>
            <w:gridSpan w:val="19"/>
          </w:tcPr>
          <w:p>
            <w:pPr>
              <w:spacing w:after="0"/>
              <w:rPr>
                <w:sz w:val="20"/>
                <w:szCs w:val="20"/>
                <w:color w:val="auto"/>
              </w:rPr>
            </w:pPr>
            <w:r>
              <w:rPr>
                <w:rFonts w:ascii="Arial" w:cs="Arial" w:eastAsia="Arial" w:hAnsi="Arial"/>
                <w:sz w:val="16"/>
                <w:szCs w:val="16"/>
                <w:color w:val="0000FF"/>
              </w:rPr>
              <w:t>Condensed Statements of Stockholders’ Equity (unaudited) for the three and six months ended June 30, 2023 and 2022</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768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FF"/>
              </w:rPr>
              <w:t>Condensed Statements of Cash Flows (unaudited) for the six months ended June 30, 2023 and 2022</w:t>
            </w:r>
          </w:p>
        </w:tc>
        <w:tc>
          <w:tcPr>
            <w:tcW w:w="1740" w:type="dxa"/>
            <w:vAlign w:val="bottom"/>
            <w:gridSpan w:val="2"/>
          </w:tcPr>
          <w:p>
            <w:pPr>
              <w:spacing w:after="0"/>
              <w:rPr>
                <w:sz w:val="19"/>
                <w:szCs w:val="19"/>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20" w:type="dxa"/>
            <w:vAlign w:val="bottom"/>
            <w:gridSpan w:val="18"/>
          </w:tcPr>
          <w:p>
            <w:pPr>
              <w:spacing w:after="0"/>
              <w:rPr>
                <w:sz w:val="20"/>
                <w:szCs w:val="20"/>
                <w:color w:val="auto"/>
              </w:rPr>
            </w:pPr>
            <w:r>
              <w:rPr>
                <w:rFonts w:ascii="Arial" w:cs="Arial" w:eastAsia="Arial" w:hAnsi="Arial"/>
                <w:sz w:val="16"/>
                <w:szCs w:val="16"/>
                <w:color w:val="0000FF"/>
              </w:rPr>
              <w:t>Notes to Condensed Financial Statements (unaudited)</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0000EE"/>
            </w:tcBorders>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2"/>
              </w:rPr>
              <w:t>Management’s Discussion and Analysis of Financial Condition and Results of Operations</w:t>
            </w:r>
          </w:p>
        </w:tc>
        <w:tc>
          <w:tcPr>
            <w:tcW w:w="3900" w:type="dxa"/>
            <w:vAlign w:val="bottom"/>
            <w:gridSpan w:val="4"/>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5780" w:type="dxa"/>
            <w:vAlign w:val="bottom"/>
            <w:gridSpan w:val="6"/>
          </w:tcPr>
          <w:p>
            <w:pPr>
              <w:spacing w:after="0"/>
              <w:rPr>
                <w:sz w:val="19"/>
                <w:szCs w:val="19"/>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972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PART II.</w:t>
            </w: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37"/>
        </w:trPr>
        <w:tc>
          <w:tcPr>
            <w:tcW w:w="820" w:type="dxa"/>
            <w:vAlign w:val="bottom"/>
            <w:gridSpan w:val="2"/>
            <w:vMerge w:val="continue"/>
          </w:tcPr>
          <w:p>
            <w:pPr>
              <w:spacing w:after="0"/>
              <w:rPr>
                <w:sz w:val="20"/>
                <w:szCs w:val="20"/>
                <w:color w:val="auto"/>
              </w:rPr>
            </w:pPr>
          </w:p>
        </w:tc>
        <w:tc>
          <w:tcPr>
            <w:tcW w:w="9720" w:type="dxa"/>
            <w:vAlign w:val="bottom"/>
            <w:gridSpan w:val="21"/>
          </w:tcPr>
          <w:p>
            <w:pPr>
              <w:spacing w:after="0"/>
              <w:rPr>
                <w:sz w:val="20"/>
                <w:szCs w:val="20"/>
                <w:color w:val="auto"/>
              </w:rPr>
            </w:pPr>
            <w:r>
              <w:rPr>
                <w:rFonts w:ascii="Arial" w:cs="Arial" w:eastAsia="Arial" w:hAnsi="Arial"/>
                <w:sz w:val="16"/>
                <w:szCs w:val="16"/>
                <w:color w:val="0000FF"/>
              </w:rPr>
              <w:t>OTHER INFORMATION</w:t>
            </w:r>
          </w:p>
        </w:tc>
        <w:tc>
          <w:tcPr>
            <w:tcW w:w="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w:t>
            </w:r>
          </w:p>
        </w:tc>
        <w:tc>
          <w:tcPr>
            <w:tcW w:w="12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0"/>
              </w:rPr>
              <w:t>Legal Proceedings</w:t>
            </w:r>
          </w:p>
        </w:tc>
        <w:tc>
          <w:tcPr>
            <w:tcW w:w="480" w:type="dxa"/>
            <w:vAlign w:val="bottom"/>
            <w:tcBorders>
              <w:top w:val="single" w:sz="8" w:color="0000FF"/>
            </w:tcBorders>
            <w:gridSpan w:val="3"/>
          </w:tcPr>
          <w:p>
            <w:pPr>
              <w:spacing w:after="0"/>
              <w:rPr>
                <w:sz w:val="19"/>
                <w:szCs w:val="19"/>
                <w:color w:val="auto"/>
              </w:rPr>
            </w:pPr>
          </w:p>
        </w:tc>
        <w:tc>
          <w:tcPr>
            <w:tcW w:w="8020" w:type="dxa"/>
            <w:vAlign w:val="bottom"/>
            <w:gridSpan w:val="11"/>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1A.</w:t>
            </w:r>
          </w:p>
        </w:tc>
        <w:tc>
          <w:tcPr>
            <w:tcW w:w="9720" w:type="dxa"/>
            <w:vAlign w:val="bottom"/>
            <w:gridSpan w:val="21"/>
          </w:tcPr>
          <w:p>
            <w:pPr>
              <w:spacing w:after="0"/>
              <w:rPr>
                <w:sz w:val="20"/>
                <w:szCs w:val="20"/>
                <w:color w:val="auto"/>
              </w:rPr>
            </w:pPr>
            <w:r>
              <w:rPr>
                <w:rFonts w:ascii="Arial" w:cs="Arial" w:eastAsia="Arial" w:hAnsi="Arial"/>
                <w:sz w:val="16"/>
                <w:szCs w:val="16"/>
                <w:color w:val="0000FF"/>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2.</w:t>
            </w:r>
          </w:p>
        </w:tc>
        <w:tc>
          <w:tcPr>
            <w:tcW w:w="9720" w:type="dxa"/>
            <w:vAlign w:val="bottom"/>
            <w:gridSpan w:val="2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3.</w:t>
            </w:r>
          </w:p>
        </w:tc>
        <w:tc>
          <w:tcPr>
            <w:tcW w:w="392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Defaults Upon Senior Securities</w:t>
            </w:r>
          </w:p>
        </w:tc>
        <w:tc>
          <w:tcPr>
            <w:tcW w:w="5800" w:type="dxa"/>
            <w:vAlign w:val="bottom"/>
            <w:gridSpan w:val="7"/>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4.</w:t>
            </w:r>
          </w:p>
        </w:tc>
        <w:tc>
          <w:tcPr>
            <w:tcW w:w="210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Mine Safety Disclosures</w:t>
            </w:r>
          </w:p>
        </w:tc>
        <w:tc>
          <w:tcPr>
            <w:tcW w:w="7620" w:type="dxa"/>
            <w:vAlign w:val="bottom"/>
            <w:gridSpan w:val="9"/>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5.</w:t>
            </w:r>
          </w:p>
        </w:tc>
        <w:tc>
          <w:tcPr>
            <w:tcW w:w="12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4"/>
              </w:rPr>
              <w:t>Other Information</w:t>
            </w:r>
          </w:p>
        </w:tc>
        <w:tc>
          <w:tcPr>
            <w:tcW w:w="420" w:type="dxa"/>
            <w:vAlign w:val="bottom"/>
            <w:tcBorders>
              <w:top w:val="single" w:sz="8" w:color="0000FF"/>
            </w:tcBorders>
            <w:gridSpan w:val="3"/>
          </w:tcPr>
          <w:p>
            <w:pPr>
              <w:spacing w:after="0"/>
              <w:rPr>
                <w:sz w:val="19"/>
                <w:szCs w:val="19"/>
                <w:color w:val="auto"/>
              </w:rPr>
            </w:pPr>
          </w:p>
        </w:tc>
        <w:tc>
          <w:tcPr>
            <w:tcW w:w="8100" w:type="dxa"/>
            <w:vAlign w:val="bottom"/>
            <w:gridSpan w:val="1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820" w:type="dxa"/>
            <w:vAlign w:val="bottom"/>
            <w:gridSpan w:val="2"/>
          </w:tcPr>
          <w:p>
            <w:pPr>
              <w:ind w:left="20"/>
              <w:spacing w:after="0"/>
              <w:rPr>
                <w:sz w:val="20"/>
                <w:szCs w:val="20"/>
                <w:color w:val="auto"/>
              </w:rPr>
            </w:pPr>
            <w:r>
              <w:rPr>
                <w:rFonts w:ascii="Arial" w:cs="Arial" w:eastAsia="Arial" w:hAnsi="Arial"/>
                <w:sz w:val="16"/>
                <w:szCs w:val="16"/>
                <w:color w:val="auto"/>
              </w:rPr>
              <w:t>Item 6.</w:t>
            </w:r>
          </w:p>
        </w:tc>
        <w:tc>
          <w:tcPr>
            <w:tcW w:w="9720" w:type="dxa"/>
            <w:vAlign w:val="bottom"/>
            <w:gridSpan w:val="21"/>
          </w:tcPr>
          <w:p>
            <w:pPr>
              <w:spacing w:after="0"/>
              <w:rPr>
                <w:sz w:val="20"/>
                <w:szCs w:val="20"/>
                <w:color w:val="auto"/>
              </w:rPr>
            </w:pPr>
            <w:r>
              <w:rPr>
                <w:rFonts w:ascii="Arial" w:cs="Arial" w:eastAsia="Arial" w:hAnsi="Arial"/>
                <w:sz w:val="16"/>
                <w:szCs w:val="16"/>
                <w:color w:val="0000FF"/>
              </w:rPr>
              <w:t>Exhibits</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9180" w:type="dxa"/>
            <w:vAlign w:val="bottom"/>
            <w:gridSpan w:val="17"/>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223"/>
        </w:trPr>
        <w:tc>
          <w:tcPr>
            <w:tcW w:w="10540" w:type="dxa"/>
            <w:vAlign w:val="bottom"/>
            <w:gridSpan w:val="23"/>
          </w:tcPr>
          <w:p>
            <w:pPr>
              <w:ind w:left="20"/>
              <w:spacing w:after="0"/>
              <w:rPr>
                <w:sz w:val="20"/>
                <w:szCs w:val="20"/>
                <w:color w:val="auto"/>
              </w:rPr>
            </w:pPr>
            <w:r>
              <w:rPr>
                <w:rFonts w:ascii="Arial" w:cs="Arial" w:eastAsia="Arial" w:hAnsi="Arial"/>
                <w:sz w:val="16"/>
                <w:szCs w:val="16"/>
                <w:color w:val="0000FF"/>
              </w:rPr>
              <w:t>SIGNATURES</w:t>
            </w: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2023</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168,693</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215,507</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175,307</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220,431</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net</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0"/>
                <w:szCs w:val="20"/>
                <w:color w:val="auto"/>
              </w:rPr>
            </w:pPr>
          </w:p>
        </w:tc>
      </w:tr>
      <w:tr>
        <w:trPr>
          <w:trHeight w:val="277"/>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179,637</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225,736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32,084</w:t>
            </w:r>
          </w:p>
        </w:tc>
        <w:tc>
          <w:tcPr>
            <w:tcW w:w="3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21,610</w:t>
            </w:r>
          </w:p>
        </w:tc>
        <w:tc>
          <w:tcPr>
            <w:tcW w:w="14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33,653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23,131</w:t>
            </w: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Liability to licensor</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40" w:type="dxa"/>
            <w:vAlign w:val="bottom"/>
          </w:tcPr>
          <w:p>
            <w:pPr>
              <w:spacing w:after="0"/>
              <w:rPr>
                <w:sz w:val="20"/>
                <w:szCs w:val="20"/>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55,121</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45,397</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540" w:type="dxa"/>
            <w:vAlign w:val="bottom"/>
          </w:tcPr>
          <w:p>
            <w:pPr>
              <w:ind w:left="200"/>
              <w:spacing w:after="0"/>
              <w:rPr>
                <w:sz w:val="20"/>
                <w:szCs w:val="20"/>
                <w:color w:val="auto"/>
              </w:rPr>
            </w:pPr>
            <w:r>
              <w:rPr>
                <w:rFonts w:ascii="Arial" w:cs="Arial" w:eastAsia="Arial" w:hAnsi="Arial"/>
                <w:sz w:val="18"/>
                <w:szCs w:val="18"/>
                <w:color w:val="auto"/>
              </w:rPr>
              <w:t>Preferred stock, $0.0001 par value; 200,000,000 shares authorized at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June 30, 2023 and December 31, 2022; 0 shares issued and outstanding at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June 30, 2023 and December 31, 2022</w:t>
            </w: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350,000,000 shares authorized at</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June 30, 2023 and December 31, 2022; 47,803,306 and 46,336,166</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issued and outstanding at June 30, 2023 and December 31, 2022</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1"/>
                <w:szCs w:val="21"/>
                <w:color w:val="auto"/>
              </w:rPr>
            </w:pPr>
          </w:p>
        </w:tc>
      </w:tr>
      <w:tr>
        <w:trPr>
          <w:trHeight w:val="215"/>
        </w:trPr>
        <w:tc>
          <w:tcPr>
            <w:tcW w:w="7540" w:type="dxa"/>
            <w:vAlign w:val="bottom"/>
          </w:tcPr>
          <w:p>
            <w:pPr>
              <w:ind w:left="200"/>
              <w:spacing w:after="0"/>
              <w:rPr>
                <w:sz w:val="20"/>
                <w:szCs w:val="20"/>
                <w:color w:val="auto"/>
              </w:rPr>
            </w:pPr>
            <w:r>
              <w:rPr>
                <w:rFonts w:ascii="Arial" w:cs="Arial" w:eastAsia="Arial" w:hAnsi="Arial"/>
                <w:sz w:val="18"/>
                <w:szCs w:val="18"/>
                <w:color w:val="auto"/>
              </w:rPr>
              <w:t>Class B common stock, $0.0001 par value; 15,368,569 shares authorized at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June 30, 2023 and December 31, 2022; 0 and 1,211,959</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shares issued and outstanding at June 30, 2023 and December 31, 2022</w:t>
            </w:r>
          </w:p>
        </w:tc>
        <w:tc>
          <w:tcPr>
            <w:tcW w:w="28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7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480,524</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473,135</w:t>
            </w:r>
          </w:p>
        </w:tc>
        <w:tc>
          <w:tcPr>
            <w:tcW w:w="140" w:type="dxa"/>
            <w:vAlign w:val="bottom"/>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(356,013 )</w:t>
            </w: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(292,801 )</w:t>
            </w: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124,516</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180,339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179,637</w:t>
            </w:r>
          </w:p>
        </w:tc>
        <w:tc>
          <w:tcPr>
            <w:tcW w:w="3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225,736</w:t>
            </w:r>
          </w:p>
        </w:tc>
        <w:tc>
          <w:tcPr>
            <w:tcW w:w="14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-3531235</wp:posOffset>
            </wp:positionV>
            <wp:extent cx="132905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-2887980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-2887980</wp:posOffset>
            </wp:positionV>
            <wp:extent cx="857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Condensed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0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30,960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20,711</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52,657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37,634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66,131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(29,055</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90"/>
              <w:spacing w:after="0"/>
              <w:rPr>
                <w:sz w:val="20"/>
                <w:szCs w:val="20"/>
                <w:color w:val="auto"/>
              </w:rPr>
            </w:pPr>
            <w:r>
              <w:rPr>
                <w:rFonts w:ascii="Arial" w:cs="Arial" w:eastAsia="Arial" w:hAnsi="Arial"/>
                <w:sz w:val="18"/>
                <w:szCs w:val="18"/>
                <w:color w:val="auto"/>
              </w:rPr>
              <w:t>(35,752 ) $</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(28,906 </w:t>
            </w:r>
            <w:r>
              <w:rPr>
                <w:rFonts w:ascii="Arial" w:cs="Arial" w:eastAsia="Arial" w:hAnsi="Arial"/>
                <w:sz w:val="18"/>
                <w:szCs w:val="18"/>
                <w:color w:val="auto"/>
                <w:highlight w:val="white"/>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10"/>
              <w:spacing w:after="0"/>
              <w:rPr>
                <w:sz w:val="20"/>
                <w:szCs w:val="20"/>
                <w:color w:val="auto"/>
              </w:rPr>
            </w:pPr>
            <w:r>
              <w:rPr>
                <w:rFonts w:ascii="Arial" w:cs="Arial" w:eastAsia="Arial" w:hAnsi="Arial"/>
                <w:sz w:val="18"/>
                <w:szCs w:val="18"/>
                <w:color w:val="auto"/>
              </w:rPr>
              <w:t>(63,212 )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(53,160 )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w w:val="93"/>
              </w:rPr>
              <w:t>Weighted-average shares of common stock outstanding, basic and</w:t>
            </w: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47,706,426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37,420,327</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47,639,977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37,371,614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-1610995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-1610995</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-1610995</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-1610995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-659765</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-659765</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-659765</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-316865</wp:posOffset>
            </wp:positionV>
            <wp:extent cx="295719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7195" cy="317500"/>
                    </a:xfrm>
                    <a:prstGeom prst="rect">
                      <a:avLst/>
                    </a:prstGeom>
                    <a:noFill/>
                  </pic:spPr>
                </pic:pic>
              </a:graphicData>
            </a:graphic>
          </wp:anchor>
        </w:drawing>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June 30, 2023</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ind w:left="760"/>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47,637,321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860" w:type="dxa"/>
            <w:vAlign w:val="bottom"/>
            <w:gridSpan w:val="2"/>
            <w:shd w:val="clear" w:color="auto" w:fill="CFF0FC"/>
          </w:tcPr>
          <w:p>
            <w:pPr>
              <w:jc w:val="right"/>
              <w:ind w:right="564"/>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476,683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(320,261 )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156,427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Issuance of common stock under equity incentive plans,</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of shares withheld for taxes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90,385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w w:val="93"/>
              </w:rPr>
              <w:t>Issuance of common stock for Employee Stock Purchase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56,793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director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(61 )</w:t>
            </w: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(35,752 )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(35,752 )</w:t>
            </w:r>
          </w:p>
        </w:tc>
        <w:tc>
          <w:tcPr>
            <w:tcW w:w="0" w:type="dxa"/>
            <w:vAlign w:val="bottom"/>
          </w:tcPr>
          <w:p>
            <w:pPr>
              <w:spacing w:after="0"/>
              <w:rPr>
                <w:sz w:val="1"/>
                <w:szCs w:val="1"/>
                <w:color w:val="auto"/>
              </w:rPr>
            </w:pPr>
          </w:p>
        </w:tc>
      </w:tr>
      <w:tr>
        <w:trPr>
          <w:trHeight w:val="23"/>
        </w:trPr>
        <w:tc>
          <w:tcPr>
            <w:tcW w:w="382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6"/>
                <w:szCs w:val="16"/>
                <w:color w:val="auto"/>
              </w:rPr>
              <w:t>Balance at June 30, 2023</w:t>
            </w:r>
          </w:p>
        </w:tc>
        <w:tc>
          <w:tcPr>
            <w:tcW w:w="960" w:type="dxa"/>
            <w:vAlign w:val="bottom"/>
          </w:tcPr>
          <w:p>
            <w:pPr>
              <w:jc w:val="right"/>
              <w:spacing w:after="0"/>
              <w:rPr>
                <w:sz w:val="20"/>
                <w:szCs w:val="20"/>
                <w:color w:val="auto"/>
              </w:rPr>
            </w:pPr>
            <w:r>
              <w:rPr>
                <w:rFonts w:ascii="Arial" w:cs="Arial" w:eastAsia="Arial" w:hAnsi="Arial"/>
                <w:sz w:val="16"/>
                <w:szCs w:val="16"/>
                <w:color w:val="auto"/>
              </w:rPr>
              <w:t>47,803,306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480,524</w:t>
            </w:r>
          </w:p>
        </w:tc>
        <w:tc>
          <w:tcPr>
            <w:tcW w:w="1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80"/>
              <w:spacing w:after="0"/>
              <w:rPr>
                <w:sz w:val="20"/>
                <w:szCs w:val="20"/>
                <w:color w:val="auto"/>
              </w:rPr>
            </w:pPr>
            <w:r>
              <w:rPr>
                <w:rFonts w:ascii="Arial" w:cs="Arial" w:eastAsia="Arial" w:hAnsi="Arial"/>
                <w:sz w:val="16"/>
                <w:szCs w:val="16"/>
                <w:color w:val="auto"/>
              </w:rPr>
              <w:t>(356,013 ) $</w:t>
            </w:r>
          </w:p>
        </w:tc>
        <w:tc>
          <w:tcPr>
            <w:tcW w:w="740" w:type="dxa"/>
            <w:vAlign w:val="bottom"/>
          </w:tcPr>
          <w:p>
            <w:pPr>
              <w:jc w:val="right"/>
              <w:spacing w:after="0"/>
              <w:rPr>
                <w:sz w:val="20"/>
                <w:szCs w:val="20"/>
                <w:color w:val="auto"/>
              </w:rPr>
            </w:pPr>
            <w:r>
              <w:rPr>
                <w:rFonts w:ascii="Arial" w:cs="Arial" w:eastAsia="Arial" w:hAnsi="Arial"/>
                <w:sz w:val="16"/>
                <w:szCs w:val="16"/>
                <w:color w:val="auto"/>
              </w:rPr>
              <w:t>124,516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-179070</wp:posOffset>
            </wp:positionV>
            <wp:extent cx="8572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-179070</wp:posOffset>
            </wp:positionV>
            <wp:extent cx="7747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-179070</wp:posOffset>
            </wp:positionV>
            <wp:extent cx="8572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-179070</wp:posOffset>
            </wp:positionV>
            <wp:extent cx="8572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-179070</wp:posOffset>
            </wp:positionV>
            <wp:extent cx="8572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-179070</wp:posOffset>
            </wp:positionV>
            <wp:extent cx="8572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rPr>
              <w:t>Three Months Ended June 30, 2022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jc w:val="right"/>
              <w:ind w:right="544"/>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March 31, 2022</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35,891,284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860" w:type="dxa"/>
            <w:vAlign w:val="bottom"/>
            <w:gridSpan w:val="2"/>
            <w:shd w:val="clear" w:color="auto" w:fill="CFF0FC"/>
          </w:tcPr>
          <w:p>
            <w:pPr>
              <w:jc w:val="right"/>
              <w:ind w:right="564"/>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400,622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(210,573 )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190,053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Issuance of common stock under equity incentive plans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92,692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w w:val="93"/>
              </w:rPr>
              <w:t>Issuance of common stock for Employee Stock Purchase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9,482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(56 )</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(28,906 )</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(28,906 )</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35,993,458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4"/>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404,427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(239,479 )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164,952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Six Months Ended June 30, 2023</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jc w:val="right"/>
              <w:ind w:right="542"/>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46,336,166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473,135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(292,801 )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180,339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Issuance of common stock under equity incentive plans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179,581</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w w:val="93"/>
              </w:rPr>
              <w:t>Issuance of common stock for Employee Stock Purchase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56,793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Issuance of common stock for director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(127 )</w:t>
            </w: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Conversion of Class B 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1,211,959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(1,211,959 )</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(63,212 )</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(63,212 )</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2023</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47,803,306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480,524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(356,013 )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124,516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-25400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840" w:type="dxa"/>
            <w:vAlign w:val="bottom"/>
            <w:gridSpan w:val="3"/>
          </w:tcPr>
          <w:p>
            <w:pPr>
              <w:jc w:val="right"/>
              <w:ind w:right="544"/>
              <w:spacing w:after="0" w:line="149" w:lineRule="exact"/>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21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Accumulated   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December 31, 2021</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35,799,233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860" w:type="dxa"/>
            <w:vAlign w:val="bottom"/>
            <w:gridSpan w:val="2"/>
            <w:shd w:val="clear" w:color="auto" w:fill="CFF0FC"/>
          </w:tcPr>
          <w:p>
            <w:pPr>
              <w:jc w:val="right"/>
              <w:ind w:right="564"/>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397,136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(186,319 )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210,821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6"/>
              </w:rPr>
              <w:t>Issuance of common stock under equity incentive plans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184,743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w w:val="93"/>
              </w:rPr>
              <w:t>Issuance of common stock for Employee Stock Purchase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9,482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Taxes related to net share settlement of equity awards</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(202 )</w:t>
            </w:r>
          </w:p>
        </w:tc>
        <w:tc>
          <w:tcPr>
            <w:tcW w:w="1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(53,160 )</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(53,160 )</w:t>
            </w: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June 30, 2022</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35,993,458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1,492,059</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64"/>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404,427</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(239,479 ) $</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164,952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-25400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-25400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(63,212 )</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(53,160 )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583</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7,289</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(1,690 )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(2,595 )</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Right-of-use assets and lease liabilities, net</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(293 )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(46,748</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(42,057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(65 )</w:t>
            </w:r>
          </w:p>
        </w:tc>
        <w:tc>
          <w:tcPr>
            <w:tcW w:w="9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Pr>
          <w:p>
            <w:pPr>
              <w:spacing w:after="0"/>
              <w:rPr>
                <w:sz w:val="20"/>
                <w:szCs w:val="20"/>
                <w:color w:val="auto"/>
              </w:rPr>
            </w:pP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Payments for taxes related to net settlement of equity awards</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(174 )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(46,814 )</w:t>
            </w:r>
          </w:p>
        </w:tc>
        <w:tc>
          <w:tcPr>
            <w:tcW w:w="9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4"/>
              </w:rPr>
              <w:t>(42,689 )</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215,507</w:t>
            </w: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244,979</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168,693</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202,290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additions included in accounts payable and accrued expenses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related to net settlement of equity awards included in accounts payable and</w:t>
            </w:r>
          </w:p>
        </w:tc>
        <w:tc>
          <w:tcPr>
            <w:tcW w:w="960" w:type="dxa"/>
            <w:vAlign w:val="bottom"/>
            <w:vMerge w:val="restart"/>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accrued expenses</w:t>
            </w: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-1130935</wp:posOffset>
            </wp:positionV>
            <wp:extent cx="8572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-1130935</wp:posOffset>
            </wp:positionV>
            <wp:extent cx="8572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-814070</wp:posOffset>
            </wp:positionV>
            <wp:extent cx="8572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-814070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BioAtla,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targeting AXL and ROR2 receptors, its CAB immune-oncology antibody targeting CTLA-4 and its CAB BiSpecific targeting EpCAM.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unaudited condensed financial statements as of June 30, 2023, and for the three and six months ended June 30, 2023 and 2022,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2022, included in its Annual Report on Form 10-K filed with the SEC on March 23, 2023.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June 30, 2023, the Company had an accumulated deficit of $356.0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78"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60" w:firstLine="509"/>
        <w:spacing w:after="0" w:line="274" w:lineRule="auto"/>
        <w:rPr>
          <w:sz w:val="20"/>
          <w:szCs w:val="20"/>
          <w:color w:val="auto"/>
        </w:rPr>
      </w:pPr>
      <w:r>
        <w:rPr>
          <w:rFonts w:ascii="Arial" w:cs="Arial" w:eastAsia="Arial" w:hAnsi="Arial"/>
          <w:sz w:val="17"/>
          <w:szCs w:val="17"/>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w:t>
      </w: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The Company has not experienced any losses in such accounts and management believes that the Company is not exposed to significant credit risk due to the financial position of the depository institutions in which those deposits are held.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58"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76"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Operating leases are included in operating lease right-of-use assets, operating lease liabilities, and operating lease liabilities, non-current on the Company’s balance sheets. The Company does not have any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spacing w:after="0" w:line="18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common share because to do so would be anti-dilutive are as follows (in common stock equivalents):</w:t>
      </w:r>
    </w:p>
    <w:p>
      <w:pPr>
        <w:spacing w:after="0" w:line="202"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6,557,990</w:t>
            </w:r>
          </w:p>
        </w:tc>
        <w:tc>
          <w:tcPr>
            <w:tcW w:w="280" w:type="dxa"/>
            <w:vAlign w:val="bottom"/>
            <w:shd w:val="clear" w:color="auto" w:fill="CFF0FC"/>
          </w:tcPr>
          <w:p>
            <w:pPr>
              <w:spacing w:after="0"/>
              <w:rPr>
                <w:sz w:val="20"/>
                <w:szCs w:val="20"/>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2,727,336</w:t>
            </w:r>
          </w:p>
        </w:tc>
        <w:tc>
          <w:tcPr>
            <w:tcW w:w="120" w:type="dxa"/>
            <w:vAlign w:val="bottom"/>
            <w:shd w:val="clear" w:color="auto" w:fill="CFF0FC"/>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rPr>
                <w:sz w:val="20"/>
                <w:szCs w:val="20"/>
                <w:color w:val="auto"/>
              </w:rPr>
            </w:pPr>
            <w:r>
              <w:rPr>
                <w:rFonts w:ascii="Arial" w:cs="Arial" w:eastAsia="Arial" w:hAnsi="Arial"/>
                <w:sz w:val="18"/>
                <w:szCs w:val="18"/>
                <w:color w:val="auto"/>
              </w:rPr>
              <w:t>288,070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739,959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ESPP shares</w:t>
            </w:r>
          </w:p>
        </w:tc>
        <w:tc>
          <w:tcPr>
            <w:tcW w:w="1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32,033</w:t>
            </w:r>
          </w:p>
        </w:tc>
        <w:tc>
          <w:tcPr>
            <w:tcW w:w="28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6,878,093</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3,508,587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760" w:type="dxa"/>
            <w:vAlign w:val="bottom"/>
            <w:vMerge w:val="restart"/>
          </w:tcPr>
          <w:p>
            <w:pPr>
              <w:ind w:left="4500"/>
              <w:spacing w:after="0"/>
              <w:rPr>
                <w:sz w:val="20"/>
                <w:szCs w:val="20"/>
                <w:color w:val="auto"/>
              </w:rPr>
            </w:pPr>
            <w:r>
              <w:rPr>
                <w:rFonts w:ascii="Arial" w:cs="Arial" w:eastAsia="Arial" w:hAnsi="Arial"/>
                <w:sz w:val="18"/>
                <w:szCs w:val="18"/>
                <w:color w:val="auto"/>
              </w:rPr>
              <w:t>7</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8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-539115</wp:posOffset>
            </wp:positionV>
            <wp:extent cx="7683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-539115</wp:posOffset>
            </wp:positionV>
            <wp:extent cx="7747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There were no new accounting standards that had a material impact on the Company’s financial statements during the three or six months ended June 30, 2023, and there were no other new accounting standards or pronouncements that were issued but not yet effective as of June 30, 2023 that the Company expects to have a material impact on its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8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0"/>
                <w:szCs w:val="20"/>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jc w:val="center"/>
              <w:ind w:left="177"/>
              <w:spacing w:after="0"/>
              <w:rPr>
                <w:sz w:val="20"/>
                <w:szCs w:val="20"/>
                <w:color w:val="auto"/>
              </w:rPr>
            </w:pPr>
            <w:r>
              <w:rPr>
                <w:rFonts w:ascii="Arial" w:cs="Arial" w:eastAsia="Arial" w:hAnsi="Arial"/>
                <w:sz w:val="14"/>
                <w:szCs w:val="14"/>
                <w:b w:val="1"/>
                <w:bCs w:val="1"/>
                <w:color w:val="auto"/>
                <w:w w:val="89"/>
              </w:rPr>
              <w:t>Useful life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w w:val="95"/>
              </w:rPr>
              <w:t>(years)</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860" w:type="dxa"/>
            <w:vAlign w:val="bottom"/>
            <w:shd w:val="clear" w:color="auto" w:fill="CFF0FC"/>
          </w:tcPr>
          <w:p>
            <w:pPr>
              <w:jc w:val="center"/>
              <w:ind w:left="177"/>
              <w:spacing w:after="0"/>
              <w:rPr>
                <w:sz w:val="20"/>
                <w:szCs w:val="20"/>
                <w:color w:val="auto"/>
              </w:rPr>
            </w:pPr>
            <w:r>
              <w:rPr>
                <w:rFonts w:ascii="Arial" w:cs="Arial" w:eastAsia="Arial" w:hAnsi="Arial"/>
                <w:sz w:val="18"/>
                <w:szCs w:val="18"/>
                <w:color w:val="auto"/>
                <w:w w:val="88"/>
              </w:rPr>
              <w:t>3 - 7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2,140</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860" w:type="dxa"/>
            <w:vAlign w:val="bottom"/>
          </w:tcPr>
          <w:p>
            <w:pPr>
              <w:jc w:val="center"/>
              <w:ind w:left="177"/>
              <w:spacing w:after="0"/>
              <w:rPr>
                <w:sz w:val="20"/>
                <w:szCs w:val="20"/>
                <w:color w:val="auto"/>
              </w:rPr>
            </w:pPr>
            <w:r>
              <w:rPr>
                <w:rFonts w:ascii="Arial" w:cs="Arial" w:eastAsia="Arial" w:hAnsi="Arial"/>
                <w:sz w:val="18"/>
                <w:szCs w:val="18"/>
                <w:color w:val="auto"/>
                <w:w w:val="79"/>
              </w:rPr>
              <w:t>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 w:type="dxa"/>
            <w:vAlign w:val="bottom"/>
          </w:tcPr>
          <w:p>
            <w:pPr>
              <w:spacing w:after="0"/>
              <w:rPr>
                <w:sz w:val="21"/>
                <w:szCs w:val="21"/>
                <w:color w:val="auto"/>
              </w:rPr>
            </w:pPr>
          </w:p>
        </w:tc>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860" w:type="dxa"/>
            <w:vAlign w:val="bottom"/>
            <w:tcBorders>
              <w:bottom w:val="single" w:sz="8" w:color="CFF0FC"/>
            </w:tcBorders>
            <w:shd w:val="clear" w:color="auto" w:fill="CFF0FC"/>
          </w:tcPr>
          <w:p>
            <w:pPr>
              <w:jc w:val="center"/>
              <w:ind w:left="177"/>
              <w:spacing w:after="0"/>
              <w:rPr>
                <w:sz w:val="20"/>
                <w:szCs w:val="20"/>
                <w:color w:val="auto"/>
              </w:rPr>
            </w:pPr>
            <w:r>
              <w:rPr>
                <w:rFonts w:ascii="Arial" w:cs="Arial" w:eastAsia="Arial" w:hAnsi="Arial"/>
                <w:sz w:val="18"/>
                <w:szCs w:val="18"/>
                <w:color w:val="auto"/>
                <w:w w:val="88"/>
              </w:rPr>
              <w:t>2 - 3</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3,687</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8,157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(5,947 )</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(5,364 )</w:t>
            </w: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52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gridSpan w:val="2"/>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2,210</w:t>
            </w:r>
          </w:p>
        </w:tc>
        <w:tc>
          <w:tcPr>
            <w:tcW w:w="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0"/>
              </w:rPr>
              <w:t>Accounts payable and accrued expenses consist of the following (in thousands):</w:t>
            </w: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8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0" w:type="dxa"/>
            <w:vAlign w:val="bottom"/>
          </w:tcPr>
          <w:p>
            <w:pPr>
              <w:spacing w:after="0"/>
              <w:rPr>
                <w:sz w:val="21"/>
                <w:szCs w:val="21"/>
                <w:color w:val="auto"/>
              </w:rPr>
            </w:pPr>
          </w:p>
        </w:tc>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26,253</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32,084</w:t>
            </w:r>
          </w:p>
        </w:tc>
        <w:tc>
          <w:tcPr>
            <w:tcW w:w="2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-3291205</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-3291205</wp:posOffset>
            </wp:positionV>
            <wp:extent cx="7747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-1979295</wp:posOffset>
            </wp:positionV>
            <wp:extent cx="68580"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-1979295</wp:posOffset>
            </wp:positionV>
            <wp:extent cx="77470"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-1662430</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-1662430</wp:posOffset>
            </wp:positionV>
            <wp:extent cx="7747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carrying amounts of the Company’s current financial assets and current financial liabilities are considered to be representative of their respective fair values because of the short-term nature of those instruments. As of June 30, 2023 and December 31, 2022, the Company had no financial assets or liabilities measured at fair value on a recurring basis.</w:t>
      </w:r>
    </w:p>
    <w:p>
      <w:pPr>
        <w:spacing w:after="0" w:line="1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ind w:right="380" w:firstLine="509"/>
        <w:spacing w:after="0" w:line="258" w:lineRule="auto"/>
        <w:rPr>
          <w:sz w:val="20"/>
          <w:szCs w:val="20"/>
          <w:color w:val="auto"/>
        </w:rPr>
      </w:pPr>
      <w:r>
        <w:rPr>
          <w:rFonts w:ascii="Arial" w:cs="Arial" w:eastAsia="Arial" w:hAnsi="Arial"/>
          <w:sz w:val="18"/>
          <w:szCs w:val="18"/>
          <w:color w:val="auto"/>
        </w:rPr>
        <w:t>None of the Company’s non-financial assets and liabilities are recorded at fair value on a non-recurring basis. No transfers between levels have occurred during the periods presented.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Leases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included in the Company’s statements of operations and loss include (in thousands):</w:t>
      </w: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5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8"/>
                <w:szCs w:val="18"/>
                <w:color w:val="auto"/>
              </w:rPr>
            </w:pPr>
          </w:p>
        </w:tc>
        <w:tc>
          <w:tcPr>
            <w:tcW w:w="13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06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3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20"/>
                <w:szCs w:val="20"/>
                <w:color w:val="auto"/>
              </w:rPr>
            </w:pPr>
          </w:p>
        </w:tc>
      </w:tr>
      <w:tr>
        <w:trPr>
          <w:trHeight w:val="237"/>
        </w:trPr>
        <w:tc>
          <w:tcPr>
            <w:tcW w:w="256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r>
      <w:tr>
        <w:trPr>
          <w:trHeight w:val="277"/>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expense, net</w:t>
            </w: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ind w:right="160" w:firstLine="464"/>
        <w:spacing w:after="0" w:line="342" w:lineRule="auto"/>
        <w:rPr>
          <w:sz w:val="20"/>
          <w:szCs w:val="20"/>
          <w:color w:val="auto"/>
        </w:rPr>
      </w:pPr>
      <w:r>
        <w:rPr>
          <w:rFonts w:ascii="Arial" w:cs="Arial" w:eastAsia="Arial" w:hAnsi="Arial"/>
          <w:sz w:val="16"/>
          <w:szCs w:val="16"/>
          <w:color w:val="auto"/>
        </w:rPr>
        <w:t>Variable lease costs are primarily related to payments made to lessors for common area maintenance, property taxes, insurance, and other operating expenses. The Company did not have any short-term leases or finance leases for the three and six months ended June 30, 2023 and 2022, respectively.</w:t>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weighted average remaining lease term and weighted average discount rate for operating leases were as follows: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8"/>
              </w:rPr>
              <w:t>As of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5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86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discount rate percentage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3.50 %</w:t>
            </w:r>
          </w:p>
        </w:tc>
        <w:tc>
          <w:tcPr>
            <w:tcW w:w="5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3.50 %</w:t>
            </w:r>
          </w:p>
        </w:tc>
      </w:tr>
    </w:tbl>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under which the Company is the lessee was as follows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210"/>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09"/>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Cash paid for amounts included in the measurement of operating</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40" w:type="dxa"/>
            <w:vAlign w:val="bottom"/>
            <w:shd w:val="clear" w:color="auto" w:fill="CFF0FC"/>
          </w:tcPr>
          <w:p>
            <w:pPr>
              <w:spacing w:after="0"/>
              <w:rPr>
                <w:sz w:val="18"/>
                <w:szCs w:val="18"/>
                <w:color w:val="auto"/>
              </w:rPr>
            </w:pPr>
          </w:p>
        </w:tc>
      </w:tr>
      <w:tr>
        <w:trPr>
          <w:trHeight w:val="244"/>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June 30, 2023, future minimum payments under the Company’s non-cancelable operating lease under ASC 842 were as follows (in thousands):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lease</w:t>
            </w:r>
          </w:p>
        </w:tc>
      </w:tr>
      <w:tr>
        <w:trPr>
          <w:trHeight w:val="237"/>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Six months ending December 31, 2023</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FF0FC"/>
          </w:tcPr>
          <w:p>
            <w:pPr>
              <w:spacing w:after="0"/>
              <w:rPr>
                <w:sz w:val="20"/>
                <w:szCs w:val="20"/>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20"/>
                <w:szCs w:val="20"/>
                <w:color w:val="auto"/>
              </w:rPr>
            </w:pPr>
          </w:p>
        </w:tc>
      </w:tr>
      <w:tr>
        <w:trPr>
          <w:trHeight w:val="24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21"/>
                <w:szCs w:val="21"/>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(120 )</w:t>
            </w:r>
          </w:p>
        </w:tc>
      </w:tr>
      <w:tr>
        <w:trPr>
          <w:trHeight w:val="276"/>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-350520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1" w:name="page12"/>
    <w:bookmarkEnd w:id="11"/>
    <w:p>
      <w:pPr>
        <w:ind w:right="160"/>
        <w:spacing w:after="0" w:line="272" w:lineRule="auto"/>
        <w:rPr>
          <w:sz w:val="20"/>
          <w:szCs w:val="20"/>
          <w:color w:val="auto"/>
        </w:rPr>
      </w:pPr>
      <w:r>
        <w:rPr>
          <w:rFonts w:ascii="Arial" w:cs="Arial" w:eastAsia="Arial" w:hAnsi="Arial"/>
          <w:sz w:val="17"/>
          <w:szCs w:val="17"/>
          <w:color w:val="auto"/>
        </w:rPr>
        <w:t>awards, restricted stock unit awards, performance stock awards, performance stock unit awards and other stock-based awards. As of June 30, 2023 and December 31, 2022, the total number of common shares authorized for issuance under the 2020 Plan was 9,196,970 and 7,658,509,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7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Stock-based compensation expense for the three and six months ended June 30, 2023 and 2022 has been reported in the condensed statements of operations and comprehensive loss as follows (in thousands):</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28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ind w:left="500"/>
              <w:spacing w:after="0"/>
              <w:rPr>
                <w:sz w:val="20"/>
                <w:szCs w:val="20"/>
                <w:color w:val="auto"/>
              </w:rPr>
            </w:pPr>
            <w:r>
              <w:rPr>
                <w:rFonts w:ascii="Arial" w:cs="Arial" w:eastAsia="Arial" w:hAnsi="Arial"/>
                <w:sz w:val="14"/>
                <w:szCs w:val="14"/>
                <w:b w:val="1"/>
                <w:bCs w:val="1"/>
                <w:color w:val="auto"/>
                <w:w w:val="93"/>
              </w:rPr>
              <w:t>Six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3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r>
      <w:tr>
        <w:trPr>
          <w:trHeight w:val="237"/>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1,550</w:t>
            </w:r>
          </w:p>
        </w:tc>
        <w:tc>
          <w:tcPr>
            <w:tcW w:w="26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1,398</w:t>
            </w: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3,001</w:t>
            </w:r>
          </w:p>
        </w:tc>
        <w:tc>
          <w:tcPr>
            <w:tcW w:w="26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FF0FC"/>
          </w:tcPr>
          <w:p>
            <w:pPr>
              <w:spacing w:after="0"/>
              <w:rPr>
                <w:sz w:val="20"/>
                <w:szCs w:val="20"/>
                <w:color w:val="auto"/>
              </w:rPr>
            </w:pP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2,125</w:t>
            </w: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2,444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8"/>
              </w:rPr>
              <w:t>4,288</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w:t>
            </w:r>
          </w:p>
        </w:tc>
        <w:tc>
          <w:tcPr>
            <w:tcW w:w="120" w:type="dxa"/>
            <w:vAlign w:val="bottom"/>
          </w:tcPr>
          <w:p>
            <w:pPr>
              <w:spacing w:after="0"/>
              <w:rPr>
                <w:sz w:val="20"/>
                <w:szCs w:val="20"/>
                <w:color w:val="auto"/>
              </w:rPr>
            </w:pPr>
          </w:p>
        </w:tc>
      </w:tr>
      <w:tr>
        <w:trPr>
          <w:trHeight w:val="276"/>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3,675</w:t>
            </w:r>
          </w:p>
        </w:tc>
        <w:tc>
          <w:tcPr>
            <w:tcW w:w="2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3,842</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7,289</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December 2022, the Company’s board of directors approved an amendment to the Director Compensation Policy, which allows each director to elect to receive their quarterly director fees in the form of restricted stock in lieu of cash. Two board members elected to receive shares of restricted stock in lieu of cash. For the six months ended June 30, 2023 the Company issued 18,807 shares of fully vested restricted stock to the two board members. Compensation expense was earned and recognized for these fully vested restricted stock grants in the amount of $26,000 and $53,000 for the three and six months ended June 30, 2023, respectively.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RSU activity under the 2020 Plan for the six months ended June 30, 2023:</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6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Weighted - Average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510,039</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18,807</w:t>
            </w:r>
          </w:p>
        </w:tc>
        <w:tc>
          <w:tcPr>
            <w:tcW w:w="2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(238,131 )</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(2,645 )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288,070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June 30, 2023, total unrecognized stock-based compensation expense for RSUs was $5.2 million, which is expected to be recognized over a remaining weighted-average period of approximately 0.9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2020 Plan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Weighted -</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3"/>
              </w:rPr>
              <w:t>Weighted -Average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Price Per</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9"/>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2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2,736,918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6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3,636,148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3,855,395</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700" w:type="dxa"/>
            <w:vAlign w:val="bottom"/>
            <w:gridSpan w:val="3"/>
          </w:tcPr>
          <w:p>
            <w:pPr>
              <w:jc w:val="right"/>
              <w:ind w:right="220"/>
              <w:spacing w:after="0"/>
              <w:rPr>
                <w:sz w:val="20"/>
                <w:szCs w:val="20"/>
                <w:color w:val="auto"/>
              </w:rPr>
            </w:pPr>
            <w:r>
              <w:rPr>
                <w:rFonts w:ascii="Arial" w:cs="Arial" w:eastAsia="Arial" w:hAnsi="Arial"/>
                <w:sz w:val="18"/>
                <w:szCs w:val="18"/>
                <w:color w:val="auto"/>
              </w:rPr>
              <w:t>(28,705 )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(5,618 )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30, 2023</w:t>
            </w:r>
          </w:p>
        </w:tc>
        <w:tc>
          <w:tcPr>
            <w:tcW w:w="1200" w:type="dxa"/>
            <w:vAlign w:val="bottom"/>
            <w:tcBorders>
              <w:top w:val="single" w:sz="8" w:color="CFF0FC"/>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6,557,990</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7.96</w:t>
            </w:r>
          </w:p>
        </w:tc>
        <w:tc>
          <w:tcPr>
            <w:tcW w:w="14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9.10</w:t>
            </w:r>
          </w:p>
        </w:tc>
        <w:tc>
          <w:tcPr>
            <w:tcW w:w="4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98,252</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2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6,557,990</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98,252</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38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1,220,311</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2400" w:type="dxa"/>
            <w:vAlign w:val="bottom"/>
            <w:gridSpan w:val="2"/>
          </w:tcPr>
          <w:p>
            <w:pPr>
              <w:jc w:val="right"/>
              <w:ind w:right="975"/>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-899795</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-556895</wp:posOffset>
            </wp:positionV>
            <wp:extent cx="8572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60" w:firstLine="509"/>
        <w:spacing w:after="0" w:line="259" w:lineRule="auto"/>
        <w:rPr>
          <w:sz w:val="20"/>
          <w:szCs w:val="20"/>
          <w:color w:val="auto"/>
        </w:rPr>
      </w:pPr>
      <w:r>
        <w:rPr>
          <w:rFonts w:ascii="Arial" w:cs="Arial" w:eastAsia="Arial" w:hAnsi="Arial"/>
          <w:sz w:val="18"/>
          <w:szCs w:val="18"/>
          <w:color w:val="auto"/>
        </w:rPr>
        <w:t>As of June 30, 2023, total unrecognized stock-based compensation cost for unvested common stock options was $21.1 million, which is expected to be recognized over a remaining weighted-average period of approximately 3.2 years. The weighted- average grant date fair value of stock options granted during the six months ended June 30, 2023 was $2.66 per share. The total fair value of options vested during the six months ended June 30, 2023 was $4.4 million.</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 shares and 574,244 unvested options which would have been forfeited under the original terms of the 2020 Plan will now continue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the Black-Scholes option pricing model to determine the fair value of stock option grants were as follows:</w:t>
      </w:r>
    </w:p>
    <w:p>
      <w:pPr>
        <w:spacing w:after="0" w:line="257" w:lineRule="exact"/>
        <w:rPr>
          <w:sz w:val="20"/>
          <w:szCs w:val="20"/>
          <w:color w:val="auto"/>
        </w:rPr>
      </w:pPr>
    </w:p>
    <w:p>
      <w:pPr>
        <w:jc w:val="center"/>
        <w:ind w:left="37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376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224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14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580" w:type="dxa"/>
            <w:vAlign w:val="bottom"/>
            <w:tcBorders>
              <w:top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rPr>
              <w:t>2022</w:t>
            </w: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3.86%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400" w:type="dxa"/>
            <w:vAlign w:val="bottom"/>
          </w:tcPr>
          <w:p>
            <w:pPr>
              <w:jc w:val="right"/>
              <w:spacing w:after="0"/>
              <w:rPr>
                <w:sz w:val="20"/>
                <w:szCs w:val="20"/>
                <w:color w:val="auto"/>
              </w:rPr>
            </w:pPr>
            <w:r>
              <w:rPr>
                <w:rFonts w:ascii="Arial" w:cs="Arial" w:eastAsia="Arial" w:hAnsi="Arial"/>
                <w:sz w:val="18"/>
                <w:szCs w:val="18"/>
                <w:color w:val="auto"/>
              </w:rPr>
              <w:t>6.05 years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 years</w:t>
            </w:r>
          </w:p>
        </w:tc>
      </w:tr>
    </w:tbl>
    <w:p>
      <w:pPr>
        <w:spacing w:after="0" w:line="241"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the Company’s common stock does not have a significant trading history, the expected volatility assumption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a peer group of similar companies whose share prices are publicly available. The peer group was developed based on companies in the biotechnology industry.</w:t>
      </w:r>
    </w:p>
    <w:p>
      <w:pPr>
        <w:spacing w:after="0" w:line="18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assumption on the U.S.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bases the expected dividend yield assumption on the fact that it has never paid cash dividends and has no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plans to pay cash dividends.</w:t>
      </w:r>
    </w:p>
    <w:p>
      <w:pPr>
        <w:spacing w:after="0" w:line="170" w:lineRule="exact"/>
        <w:rPr>
          <w:sz w:val="20"/>
          <w:szCs w:val="20"/>
          <w:color w:val="auto"/>
        </w:rPr>
      </w:pPr>
    </w:p>
    <w:p>
      <w:pPr>
        <w:jc w:val="both"/>
        <w:ind w:right="240" w:firstLine="509"/>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employees, the expected term represents the period of time that options are expected to be outstanding. Because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 ESPP permits participants to purchase common stock through payroll deductions of up to 15% of their eligible compensation. As of June 30, 2023 and December 31, 2022, a total of 1,737,098 shares and 1,229,148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issued 56,793 and 9,482 shares of common stock under the ESPP during the six months ended June 30, 2023 and 2022, respectively. As of June 30, 2023, 1,521,559 shares of common stock remained available for issuance under the ESPP. Stock-based compensation expense related to the ESPP for the three and six months ended June 30, 2023 and 2022 was immaterial.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Common stock reserved for future issuance are as follows in common equivalent shares:</w:t>
      </w:r>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2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2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r>
      <w:tr>
        <w:trPr>
          <w:trHeight w:val="185"/>
        </w:trPr>
        <w:tc>
          <w:tcPr>
            <w:tcW w:w="602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23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 and restricted stock units issued and outstanding</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6,846,060</w:t>
            </w: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3,246,957</w:t>
            </w:r>
          </w:p>
        </w:tc>
        <w:tc>
          <w:tcPr>
            <w:tcW w:w="120" w:type="dxa"/>
            <w:vAlign w:val="bottom"/>
            <w:shd w:val="clear" w:color="auto" w:fill="CFF0FC"/>
          </w:tcPr>
          <w:p>
            <w:pPr>
              <w:spacing w:after="0"/>
              <w:rPr>
                <w:sz w:val="20"/>
                <w:szCs w:val="20"/>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Awards available for future issuance under the 2020 Plan</w:t>
            </w:r>
          </w:p>
        </w:tc>
        <w:tc>
          <w:tcPr>
            <w:tcW w:w="1320" w:type="dxa"/>
            <w:vAlign w:val="bottom"/>
          </w:tcPr>
          <w:p>
            <w:pPr>
              <w:jc w:val="right"/>
              <w:spacing w:after="0"/>
              <w:rPr>
                <w:sz w:val="20"/>
                <w:szCs w:val="20"/>
                <w:color w:val="auto"/>
              </w:rPr>
            </w:pPr>
            <w:r>
              <w:rPr>
                <w:rFonts w:ascii="Arial" w:cs="Arial" w:eastAsia="Arial" w:hAnsi="Arial"/>
                <w:sz w:val="18"/>
                <w:szCs w:val="18"/>
                <w:color w:val="auto"/>
              </w:rPr>
              <w:t>713,781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3,012,554</w:t>
            </w:r>
          </w:p>
        </w:tc>
        <w:tc>
          <w:tcPr>
            <w:tcW w:w="120" w:type="dxa"/>
            <w:vAlign w:val="bottom"/>
          </w:tcPr>
          <w:p>
            <w:pPr>
              <w:spacing w:after="0"/>
              <w:rPr>
                <w:sz w:val="20"/>
                <w:szCs w:val="20"/>
                <w:color w:val="auto"/>
              </w:rPr>
            </w:pPr>
          </w:p>
        </w:tc>
      </w:tr>
      <w:tr>
        <w:trPr>
          <w:trHeight w:val="243"/>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Awards available for future issuance under the ESPP</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1,521,559</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1,070,402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Total common stock reserved for future issuance</w:t>
            </w:r>
          </w:p>
        </w:tc>
        <w:tc>
          <w:tcPr>
            <w:tcW w:w="1320" w:type="dxa"/>
            <w:vAlign w:val="bottom"/>
          </w:tcPr>
          <w:p>
            <w:pPr>
              <w:jc w:val="right"/>
              <w:spacing w:after="0"/>
              <w:rPr>
                <w:sz w:val="20"/>
                <w:szCs w:val="20"/>
                <w:color w:val="auto"/>
              </w:rPr>
            </w:pPr>
            <w:r>
              <w:rPr>
                <w:rFonts w:ascii="Arial" w:cs="Arial" w:eastAsia="Arial" w:hAnsi="Arial"/>
                <w:sz w:val="18"/>
                <w:szCs w:val="18"/>
                <w:color w:val="auto"/>
              </w:rPr>
              <w:t>9,081,400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7,329,913</w:t>
            </w:r>
          </w:p>
        </w:tc>
        <w:tc>
          <w:tcPr>
            <w:tcW w:w="120" w:type="dxa"/>
            <w:vAlign w:val="bottom"/>
          </w:tcPr>
          <w:p>
            <w:pPr>
              <w:spacing w:after="0"/>
              <w:rPr>
                <w:sz w:val="20"/>
                <w:szCs w:val="20"/>
                <w:color w:val="auto"/>
              </w:rPr>
            </w:pPr>
          </w:p>
        </w:tc>
      </w:tr>
      <w:tr>
        <w:trPr>
          <w:trHeight w:val="20"/>
        </w:trPr>
        <w:tc>
          <w:tcPr>
            <w:tcW w:w="60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License and Option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BeiGene</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(BA3071). The BeiGene Collaboration was amended several times between 2019 and 2021 and the Company received a total of $25.0 million in non-refundable payments from BeiGene during that time.</w:t>
      </w:r>
    </w:p>
    <w:p>
      <w:pPr>
        <w:spacing w:after="0" w:line="160"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BA3071. As consideration for this amendment, the Company agreed to pay BeiGene mid-single digit royalties on sales worldwide and on a limited basis will share in any upfront and milestone payments received through a sublicense of BA3071.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13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 the three and six months ended June 30, 2023 and 2022, the Company did not recognize any revenue related to the collaboration agreement with BeiGene. The Company had a $19.8 million liability to licensor as of June 30, 2023 and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Prior to developing its own programs, the Company entered into various fixed price research service contracts. In connection with these service contracts, the Company may receive future milestone payments if certain clinical, regulatory and commercialization milestones are achieved. The Company is also eligible to receive royalties based on certain product sales. The Company did not recognize any revenue related to its legacy service contracts during the three and six months ended June 30, 2023 or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BMS Collaboration</w:t>
      </w:r>
    </w:p>
    <w:p>
      <w:pPr>
        <w:spacing w:after="0" w:line="11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January 2022, the Company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BA3011 and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 BMS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 w:name="page15"/>
    <w:bookmarkEnd w:id="14"/>
    <w:p>
      <w:pPr>
        <w:ind w:right="560"/>
        <w:spacing w:after="0" w:line="308" w:lineRule="auto"/>
        <w:rPr>
          <w:sz w:val="20"/>
          <w:szCs w:val="20"/>
          <w:color w:val="auto"/>
        </w:rPr>
      </w:pPr>
      <w:r>
        <w:rPr>
          <w:rFonts w:ascii="Arial" w:cs="Arial" w:eastAsia="Arial" w:hAnsi="Arial"/>
          <w:sz w:val="17"/>
          <w:szCs w:val="17"/>
          <w:color w:val="auto"/>
        </w:rPr>
        <w:t>was amended in October 2022 to include additional territories for our BA3011 and BA3021 combination study trials. There was no impact to the Company's financial results for the three and six months ended June 30, 2023 and 2022 as a result of this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Himalaya Therapeutics SEZC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Services Agreement</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April 2022, the Company entered into a Clinical Trial Agreement with Himalaya Therapeutics SEZC. Under the agreement, Himalaya Therapeutics SEZC agreed to provide services related to the initiation of clinical trials for BA3011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The Company made its final payment under the agreement in January 2023. For the three and six months ended June 30, 2023, the Company recognized $0 and $0.1 million, respectively, in research and development expense related to the agreement, compared to $0.1 million, for the three and six months ended June 30, 2022. The Company did not have any amounts due from or due to Himalaya Therapeutics SEZC as of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401(k) Plan</w:t>
      </w:r>
    </w:p>
    <w:p>
      <w:pPr>
        <w:spacing w:after="0" w:line="121" w:lineRule="exact"/>
        <w:rPr>
          <w:sz w:val="20"/>
          <w:szCs w:val="20"/>
          <w:color w:val="auto"/>
        </w:rPr>
      </w:pPr>
    </w:p>
    <w:p>
      <w:pPr>
        <w:ind w:right="180" w:firstLine="509"/>
        <w:spacing w:after="0" w:line="271" w:lineRule="auto"/>
        <w:rPr>
          <w:sz w:val="20"/>
          <w:szCs w:val="20"/>
          <w:color w:val="auto"/>
        </w:rPr>
      </w:pPr>
      <w:r>
        <w:rPr>
          <w:rFonts w:ascii="Arial" w:cs="Arial" w:eastAsia="Arial" w:hAnsi="Arial"/>
          <w:sz w:val="17"/>
          <w:szCs w:val="17"/>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9" w:right="5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2022 included in the Annual Report on Form 10-K, filed with the Securities and Exchange Commission, or the SEC, on March 23, 2023.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6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and our Phase 1 clinical trials of BA3071 and BA3182,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6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$35.8 million and $63.2 million for the three and six months ended June 30, 2023, respectively, compared to $28.9 million and $53.2 million for the three and six months ended June 30, 2022, respectively. As of June 30, 2023, we had an accumulated deficit of $356.0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as we conduct clinical trials of our lead product candidates and seek to expand our pipeline.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17" w:lineRule="exact"/>
        <w:rPr>
          <w:sz w:val="20"/>
          <w:szCs w:val="20"/>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mecbotamab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ozuriftamab vedotin;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BA3071;</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 the clinical development of BA3182;</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pipeline of bispecific and other CAB antibody-based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invest in our CAB technology platform;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know-how;</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additional product collaborations and commercial manufacturing relationships with third parties;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1000" w:right="240" w:hanging="36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sales, marketing and distribution infrastructure and relationships with third parties to commercialize product candidates for which we may obtain marketing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expand our operational, financial and management information systems;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As of June 30, 2023, our cash and cash equivalents totaled approximately $168.7 million. Based on our current operating plan, our current cash and cash equivalents are expected to be sufficient to fund our ongoing operations for a period of at least twelve months from the date of issuance of the financial statements included in this report. However, we have based this estimate on assumptions that may prove to be wrong, and we could utilize our available capital resources sooner than we currently expect.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We are continuing to monitor the potential impact of the pandemic, but we cannot be certain what the overall impact will be on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we have not generated any revenue from the sale of products and do not expect to generate meaningful revenue in the near future.</w:t>
      </w:r>
    </w:p>
    <w:p>
      <w:pPr>
        <w:spacing w:after="0" w:line="23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In 2019 we entered into a collaboration agreement with BeiGene, Ltd. The agreement was amended several times and was terminated in November 2021, which resulted in the Company assuming responsibility for development of BA3071. We received a total of $25.0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We may in the future seek third-party collaborators or joint venture partners for development and commercialization of BA3071 and additional CAB product candidates. We did not recognize any collaboration revenue for the three and six months ended June 30, 2023 and 2022.</w:t>
      </w:r>
    </w:p>
    <w:p>
      <w:pPr>
        <w:spacing w:after="0" w:line="178" w:lineRule="exact"/>
        <w:rPr>
          <w:sz w:val="20"/>
          <w:szCs w:val="20"/>
          <w:color w:val="auto"/>
        </w:rPr>
      </w:pPr>
    </w:p>
    <w:p>
      <w:pPr>
        <w:ind w:right="480" w:firstLine="509"/>
        <w:spacing w:after="0" w:line="255" w:lineRule="auto"/>
        <w:rPr>
          <w:sz w:val="20"/>
          <w:szCs w:val="20"/>
          <w:color w:val="auto"/>
        </w:rPr>
      </w:pPr>
      <w:r>
        <w:rPr>
          <w:rFonts w:ascii="Arial" w:cs="Arial" w:eastAsia="Arial" w:hAnsi="Arial"/>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 contracts for the three and six months ended June 30, 2023 and 2022.</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External expenses consist of:</w:t>
      </w:r>
    </w:p>
    <w:p>
      <w:pPr>
        <w:spacing w:after="0" w:line="117" w:lineRule="exact"/>
        <w:rPr>
          <w:rFonts w:ascii="Arial" w:cs="Arial" w:eastAsia="Arial" w:hAnsi="Arial"/>
          <w:sz w:val="18"/>
          <w:szCs w:val="18"/>
          <w:color w:val="auto"/>
        </w:rPr>
      </w:pPr>
    </w:p>
    <w:p>
      <w:pPr>
        <w:ind w:left="1380" w:right="64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contractors, clinical research organizations (CROs) and consultants, and other costs related to preclinical and clinical trials;</w:t>
      </w:r>
    </w:p>
    <w:p>
      <w:pPr>
        <w:spacing w:after="0" w:line="62" w:lineRule="exact"/>
        <w:rPr>
          <w:rFonts w:ascii="Arial" w:cs="Arial" w:eastAsia="Arial" w:hAnsi="Arial"/>
          <w:sz w:val="18"/>
          <w:szCs w:val="18"/>
          <w:color w:val="auto"/>
        </w:rPr>
      </w:pPr>
    </w:p>
    <w:p>
      <w:pPr>
        <w:ind w:left="1380" w:right="40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Fees paid to third parties such as contract manufacturing organizations (CMOs) and other vendors for manufacturing research and clinical trial materials;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Unallocated expenses consist of:</w:t>
      </w:r>
    </w:p>
    <w:p>
      <w:pPr>
        <w:spacing w:after="0" w:line="117" w:lineRule="exact"/>
        <w:rPr>
          <w:rFonts w:ascii="Arial" w:cs="Arial" w:eastAsia="Arial" w:hAnsi="Arial"/>
          <w:sz w:val="18"/>
          <w:szCs w:val="18"/>
          <w:color w:val="auto"/>
        </w:rPr>
      </w:pPr>
    </w:p>
    <w:p>
      <w:pPr>
        <w:ind w:left="1380" w:right="320" w:hanging="374"/>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equity-based compensation expenses, for personnel in our research and development functions; and</w:t>
      </w:r>
    </w:p>
    <w:p>
      <w:pPr>
        <w:spacing w:after="0" w:line="62" w:lineRule="exact"/>
        <w:rPr>
          <w:rFonts w:ascii="Arial" w:cs="Arial" w:eastAsia="Arial" w:hAnsi="Arial"/>
          <w:sz w:val="18"/>
          <w:szCs w:val="18"/>
          <w:color w:val="auto"/>
        </w:rPr>
      </w:pPr>
    </w:p>
    <w:p>
      <w:pPr>
        <w:ind w:left="1380" w:hanging="37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Related equipment and facilities depreciation expense.</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60" w:firstLine="509"/>
        <w:spacing w:after="0" w:line="296" w:lineRule="auto"/>
        <w:rPr>
          <w:sz w:val="20"/>
          <w:szCs w:val="20"/>
          <w:color w:val="auto"/>
        </w:rPr>
      </w:pPr>
      <w:r>
        <w:rPr>
          <w:rFonts w:ascii="Arial" w:cs="Arial" w:eastAsia="Arial" w:hAnsi="Arial"/>
          <w:sz w:val="16"/>
          <w:szCs w:val="16"/>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also expect our general and administrative expenses to increase in the future as we increase our personnel headcount to support our research and development activities to advance our product candidates and clinical stage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earned on our cash and cash equivalent balances.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0" w:type="dxa"/>
            <w:vAlign w:val="bottom"/>
            <w:gridSpan w:val="5"/>
          </w:tcPr>
          <w:p>
            <w:pPr>
              <w:jc w:val="right"/>
              <w:ind w:right="9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30,960</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20,711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20"/>
                <w:szCs w:val="20"/>
                <w:color w:val="auto"/>
              </w:rPr>
            </w:pPr>
          </w:p>
        </w:tc>
      </w:tr>
      <w:tr>
        <w:trPr>
          <w:trHeight w:val="24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(2,103 )</w:t>
            </w:r>
          </w:p>
        </w:tc>
      </w:tr>
      <w:tr>
        <w:trPr>
          <w:trHeight w:val="236"/>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37,201</w:t>
            </w:r>
          </w:p>
        </w:tc>
        <w:tc>
          <w:tcPr>
            <w:tcW w:w="3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29,055</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20" w:type="dxa"/>
            <w:vAlign w:val="bottom"/>
            <w:tcBorders>
              <w:top w:val="single" w:sz="8" w:color="CFF0FC"/>
            </w:tcBorders>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(11 )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37"/>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(35,752 )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(28,906 )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(6,846 )</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-1139190</wp:posOffset>
            </wp:positionV>
            <wp:extent cx="7747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-1139190</wp:posOffset>
            </wp:positionV>
            <wp:extent cx="7747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-1139190</wp:posOffset>
            </wp:positionV>
            <wp:extent cx="7747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7747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7747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35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BA3011 (AXL-ADC)</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6,695</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3,565</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BA3021 (ROR2-ADC)</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BA3071 (CTLA-4)</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5,633</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CAB Programs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8,453</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Total external expenses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25,285</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15,830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9,455</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and related</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Facilities and other</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30,960</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20,711</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-814070</wp:posOffset>
            </wp:positionV>
            <wp:extent cx="7747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-814070</wp:posOffset>
            </wp:positionV>
            <wp:extent cx="7683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-814070</wp:posOffset>
            </wp:positionV>
            <wp:extent cx="7747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7747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4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Research and development expenses were $31.0 million and $20.7 million for the three months ended June 30, 2023 and 2022, respectively. The increase of approximately $10.2 million was primarily driven by a $8.9 million increase in clinical development for our clinical-stage programs including startup activities on our EpCAM bispecific trial, a $0.5 million increase in development costs for various pre-clinical programs including manufacturing, a $0.3 million increase in personnel related costs due to an increase in headcount to support ongoing development activities for our programs, a $0.3 million increase in facility related and other costs, and a $0.2 million increase in stock-based compensation related to awards issued under the 2020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General and administrative expenses were $6.2 million and $8.3 million for the three months ended June 30, 2023 and 2022, respectively. The decrease of approximately $2.1 million was primarily driven by a $1.4 million decrease in accounting and legal services which included a $1.0 million legal settlement in 2022, $0.3 million decrease in insurance due to a decrease in premiums for our D&amp;O policy, and a $0.3 million decrease in stock-based compensation related to awards issued under the 2020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Interest income was $1.5 million and $0.1 million for the three months ended June 30, 2023 and 2022, respectively. The increase of $1.4 million was due to higher yields earned compared to the same period in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5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52,657</w:t>
            </w:r>
          </w:p>
        </w:tc>
        <w:tc>
          <w:tcPr>
            <w:tcW w:w="3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37,634</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20"/>
                <w:szCs w:val="20"/>
                <w:color w:val="auto"/>
              </w:rPr>
            </w:pPr>
          </w:p>
        </w:tc>
      </w:tr>
      <w:tr>
        <w:trPr>
          <w:trHeight w:val="24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13,474</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(2,293 )</w:t>
            </w:r>
          </w:p>
        </w:tc>
      </w:tr>
      <w:tr>
        <w:trPr>
          <w:trHeight w:val="236"/>
        </w:trPr>
        <w:tc>
          <w:tcPr>
            <w:tcW w:w="51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66,131</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53,401</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w:t>
            </w:r>
          </w:p>
        </w:tc>
        <w:tc>
          <w:tcPr>
            <w:tcW w:w="120" w:type="dxa"/>
            <w:vAlign w:val="bottom"/>
            <w:tcBorders>
              <w:top w:val="single" w:sz="8" w:color="CFF0FC"/>
            </w:tcBorders>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(53,401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20" w:type="dxa"/>
            <w:vAlign w:val="bottom"/>
            <w:shd w:val="clear" w:color="auto" w:fill="CFF0FC"/>
          </w:tcPr>
          <w:p>
            <w:pPr>
              <w:spacing w:after="0"/>
              <w:rPr>
                <w:sz w:val="21"/>
                <w:szCs w:val="21"/>
                <w:color w:val="auto"/>
              </w:rPr>
            </w:pPr>
          </w:p>
        </w:tc>
      </w:tr>
      <w:tr>
        <w:trPr>
          <w:trHeight w:val="237"/>
        </w:trPr>
        <w:tc>
          <w:tcPr>
            <w:tcW w:w="510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0"/>
                <w:szCs w:val="20"/>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(21 )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36"/>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(63,212 )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(53,160 )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(10,052 )</w:t>
            </w:r>
          </w:p>
        </w:tc>
      </w:tr>
      <w:tr>
        <w:trPr>
          <w:trHeight w:val="20"/>
        </w:trPr>
        <w:tc>
          <w:tcPr>
            <w:tcW w:w="5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-1139825</wp:posOffset>
            </wp:positionV>
            <wp:extent cx="7747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-1139825</wp:posOffset>
            </wp:positionV>
            <wp:extent cx="7747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-1139825</wp:posOffset>
            </wp:positionV>
            <wp:extent cx="7747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7747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-187960</wp:posOffset>
            </wp:positionV>
            <wp:extent cx="7747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allocated by CAB program for the periods indicated:</w:t>
      </w: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expenses: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BA3011 (AXL-ADC)</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11,254</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8,279</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BA3021 (ROR2-ADC)</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BA3071 (CTLA-4)</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8,385</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4,162</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CAB Programs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15,191</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11,733</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Total external expenses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41,477</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28,267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13,210</w:t>
            </w:r>
          </w:p>
        </w:tc>
        <w:tc>
          <w:tcPr>
            <w:tcW w:w="120" w:type="dxa"/>
            <w:vAlign w:val="bottom"/>
          </w:tcPr>
          <w:p>
            <w:pPr>
              <w:spacing w:after="0"/>
              <w:rPr>
                <w:sz w:val="20"/>
                <w:szCs w:val="20"/>
                <w:color w:val="auto"/>
              </w:rPr>
            </w:pPr>
          </w:p>
        </w:tc>
      </w:tr>
      <w:tr>
        <w:trPr>
          <w:trHeight w:val="249"/>
        </w:trPr>
        <w:tc>
          <w:tcPr>
            <w:tcW w:w="4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 and related</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5,204</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3,001</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r>
      <w:tr>
        <w:trPr>
          <w:trHeight w:val="243"/>
        </w:trPr>
        <w:tc>
          <w:tcPr>
            <w:tcW w:w="4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Facilities and other</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3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52,657</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37,634</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15,023</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-814070</wp:posOffset>
            </wp:positionV>
            <wp:extent cx="7747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-814070</wp:posOffset>
            </wp:positionV>
            <wp:extent cx="7683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-814070</wp:posOffset>
            </wp:positionV>
            <wp:extent cx="7747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7747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76835"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4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Research and development expenses were $52.7 million and $37.6 million for the six months ended June 30, 2023 and 2022, respectively. The increase of approximately $15.0 million was primarily driven by a $11.2 million increase in clinical development for our clinical-stage programs including startup activities on our EpCAM bispecific trial, a $2.0 million increase in development costs for various pre-clinical programs including manufacturing, a $0.9 million increase in personnel related costs due to an increase in headcount to support ongoing development activities for our programs, a $0.6 million increase in facility and other allocated costs, and a $0.3 million increase in stock-based compensation due to awards issued in connection with the 2020 Plan.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General and administrative expenses were $13.5 million and $15.8 million for the six months ended June 30, 2023 and 2022, respectively. The decrease of approximately $2.3 million was primarily driven by a decrease of $1.4 million in accounting and legal services including a $1.0 million legal settlement in 2022, $0.6 million decrease in insurance due to a decrease in premiums for our D&amp;O policy, and a $0.5 million decrease in stock-based compensation related to awards issued under the 2020 Plan, offset by a $0.1 million increase in personnel related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Interest income was $2.9 million and $0.2 million for the six months ended June 30, 2023 and 2022, respectively. The increase of $2.7 million was due to higher yields earned compared to the same period in 2022.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We have incurred aggregate net losses and negative cash flows from operations since our inception and anticipate we will continue to incur net losses for the foreseeable future. As of June 30, 2023, we had cash and cash equivalents of $168.7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38" w:lineRule="exact"/>
        <w:rPr>
          <w:sz w:val="20"/>
          <w:szCs w:val="20"/>
          <w:color w:val="auto"/>
        </w:rPr>
      </w:pPr>
    </w:p>
    <w:p>
      <w:pPr>
        <w:ind w:left="1000" w:right="40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scope, rate of progress, results and costs of our preclinical studies, clinical trials and other related activities for our product candidates;</w:t>
      </w:r>
    </w:p>
    <w:p>
      <w:pPr>
        <w:spacing w:after="0" w:line="62" w:lineRule="exact"/>
        <w:rPr>
          <w:rFonts w:ascii="Arial" w:cs="Arial" w:eastAsia="Arial" w:hAnsi="Arial"/>
          <w:sz w:val="18"/>
          <w:szCs w:val="18"/>
          <w:color w:val="auto"/>
        </w:rPr>
      </w:pPr>
    </w:p>
    <w:p>
      <w:pPr>
        <w:ind w:left="1000" w:right="24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commercial supplies and sales, marketing and distribution capabilities;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costs of capital expenditures to support our research and development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117" w:lineRule="exact"/>
        <w:rPr>
          <w:rFonts w:ascii="Arial" w:cs="Arial" w:eastAsia="Arial" w:hAnsi="Arial"/>
          <w:sz w:val="18"/>
          <w:szCs w:val="18"/>
          <w:color w:val="auto"/>
        </w:rPr>
      </w:pPr>
    </w:p>
    <w:p>
      <w:pPr>
        <w:ind w:left="1000" w:right="140" w:hanging="36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compliance and administrative costs associated with being a public company; and</w:t>
      </w:r>
    </w:p>
    <w:p>
      <w:pPr>
        <w:spacing w:after="0" w:line="11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although we have no commitments or agreements relating to any of these types of transactions.</w:t>
      </w:r>
    </w:p>
    <w:p>
      <w:pPr>
        <w:spacing w:after="0" w:line="170"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Based on our current operating plan, our current cash and cash equivalents are expected to be sufficient to fund our ongoing operations for a period of at least twelve months from the date the financial statements included in this report are issued. However, we have based this estimate on assumptions that may prove to be wrong, and we could utilize our available capital resources sooner than we currently expect.</w:t>
      </w:r>
    </w:p>
    <w:p>
      <w:pPr>
        <w:spacing w:after="0" w:line="165"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summarizes our cash flows for the periods indicated:</w:t>
      </w:r>
    </w:p>
    <w:p>
      <w:pPr>
        <w:spacing w:after="0" w:line="257"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(46,748 )</w:t>
            </w:r>
          </w:p>
        </w:tc>
        <w:tc>
          <w:tcPr>
            <w:tcW w:w="120" w:type="dxa"/>
            <w:vAlign w:val="bottom"/>
          </w:tcPr>
          <w:p>
            <w:pPr>
              <w:spacing w:after="0"/>
              <w:rPr>
                <w:sz w:val="20"/>
                <w:szCs w:val="20"/>
                <w:color w:val="auto"/>
              </w:rPr>
            </w:pPr>
          </w:p>
        </w:tc>
        <w:tc>
          <w:tcPr>
            <w:tcW w:w="400" w:type="dxa"/>
            <w:vAlign w:val="bottom"/>
          </w:tcPr>
          <w:p>
            <w:pPr>
              <w:jc w:val="center"/>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(42,057 )</w:t>
            </w: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(176 )</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(456 )</w:t>
            </w:r>
          </w:p>
        </w:tc>
      </w:tr>
      <w:tr>
        <w:trPr>
          <w:trHeight w:val="276"/>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2023 was $46.7 million, which consisted of a net loss of $63.2 million, a net change of $8.6 million in our operating assets and liabilities and $7.9 million of non-cash transactions. The net change in our operating assets and liabilities was primarily due to an increase in accounts payable and accrued expenses of $10.6 million, partially offset by an increase in prepaid expenses and other assets of $1.7 million and a net decrease in operating lease right-of-use assets and lease liabilities of $0.3 million. The non-cash transactions primarily consisted of $7.3 million of stock-based compensation and non-cash charges of $0.6 million related to depreciation and amortization.</w:t>
      </w:r>
    </w:p>
    <w:p>
      <w:pPr>
        <w:spacing w:after="0" w:line="5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2022 was $42.1 million, which consisted of a net loss of $53.2 million, a net change of $3.0 million in our operating assets and liabilities and $8.1 million of non-cash transactions. The net change in our operating assets and liabilities was primarily due to an increase in accounts payable and accrued expenses of $5.8 million, offset by an increase in prepaid expenses and other assets of $2.6 million. The non-cash transactions primarily consisted of $7.5 million of stock-based compensation and non-cash charges of $0.6 million related to depreciation and amortization.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Cash used in investing activities was $65,000 for the six months ended June 30, 2023 and $0.2 million for the six months ended June 30, 2022, respectively, primarily related to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117"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Net cash used in financing activities was immaterial for the six months ended June 30, 2023, consisting primarily of the proceeds from the issuance of common stock under the ESPP and the 2020 Plan, offset by payment of taxes related to the net settlement of restricted stock units.</w:t>
      </w:r>
    </w:p>
    <w:p>
      <w:pPr>
        <w:spacing w:after="0" w:line="3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Net cash used in financing activities was $0.5 million for the six months ended June 30, 2022, which consisted primarily of the payment of taxes related to the net settlement of restricted stock units.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2022. There have not been any material changes to the critical accounting policies discussed therein during the six months ended June 30, 2023.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required by Rules 13a-15(b) and 15d-15(b) of the Exchange Act, our management, with the participation of our Chief Executive Officer and our Chief Financial Officer,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our Chief Financial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79" w:lineRule="exact"/>
        <w:rPr>
          <w:sz w:val="20"/>
          <w:szCs w:val="20"/>
          <w:color w:val="auto"/>
        </w:rPr>
      </w:pPr>
    </w:p>
    <w:p>
      <w:pPr>
        <w:ind w:left="1000" w:right="200" w:hanging="368"/>
        <w:spacing w:after="0" w:line="25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ind w:left="368" w:right="38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fail in development or suffer delays that adversely affect their commercial viability.</w:t>
      </w:r>
    </w:p>
    <w:p>
      <w:pPr>
        <w:spacing w:after="0" w:line="23" w:lineRule="exact"/>
        <w:rPr>
          <w:rFonts w:ascii="Arial" w:cs="Arial" w:eastAsia="Arial" w:hAnsi="Arial"/>
          <w:sz w:val="18"/>
          <w:szCs w:val="18"/>
          <w:color w:val="auto"/>
        </w:rPr>
      </w:pPr>
    </w:p>
    <w:p>
      <w:pPr>
        <w:ind w:left="368" w:right="440"/>
        <w:spacing w:after="0" w:line="260" w:lineRule="auto"/>
        <w:rPr>
          <w:rFonts w:ascii="Arial" w:cs="Arial" w:eastAsia="Arial" w:hAnsi="Arial"/>
          <w:sz w:val="18"/>
          <w:szCs w:val="18"/>
          <w:color w:val="auto"/>
        </w:rPr>
      </w:pPr>
      <w:r>
        <w:rPr>
          <w:rFonts w:ascii="Arial" w:cs="Arial" w:eastAsia="Arial" w:hAnsi="Arial"/>
          <w:sz w:val="18"/>
          <w:szCs w:val="18"/>
          <w:color w:val="auto"/>
        </w:rPr>
        <w:t>We are substantially dependent on the success of our patented CAB technology platform, and our future success depends heavily on the successful development of this platform.</w:t>
      </w:r>
    </w:p>
    <w:p>
      <w:pPr>
        <w:spacing w:after="0" w:line="77" w:lineRule="exact"/>
        <w:rPr>
          <w:rFonts w:ascii="Arial" w:cs="Arial" w:eastAsia="Arial" w:hAnsi="Arial"/>
          <w:sz w:val="18"/>
          <w:szCs w:val="18"/>
          <w:color w:val="auto"/>
        </w:rPr>
      </w:pPr>
    </w:p>
    <w:p>
      <w:pPr>
        <w:ind w:left="368" w:right="4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368" w:right="5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rFonts w:ascii="Arial" w:cs="Arial" w:eastAsia="Arial" w:hAnsi="Arial"/>
          <w:sz w:val="18"/>
          <w:szCs w:val="18"/>
          <w:color w:val="auto"/>
        </w:rPr>
      </w:pPr>
    </w:p>
    <w:p>
      <w:pPr>
        <w:ind w:left="368" w:right="2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rFonts w:ascii="Arial" w:cs="Arial" w:eastAsia="Arial" w:hAnsi="Arial"/>
          <w:sz w:val="18"/>
          <w:szCs w:val="18"/>
          <w:color w:val="auto"/>
        </w:rPr>
      </w:pPr>
    </w:p>
    <w:p>
      <w:pPr>
        <w:ind w:left="368" w:right="120" w:hanging="368"/>
        <w:spacing w:after="0" w:line="308" w:lineRule="auto"/>
        <w:tabs>
          <w:tab w:leader="none" w:pos="36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368" w:right="9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commencement and completion of clinical trials could increase costs and delay or prevent regulatory approval and commercialization of our product candidates.</w:t>
      </w:r>
    </w:p>
    <w:p>
      <w:pPr>
        <w:spacing w:after="0" w:line="62" w:lineRule="exact"/>
        <w:rPr>
          <w:rFonts w:ascii="Arial" w:cs="Arial" w:eastAsia="Arial" w:hAnsi="Arial"/>
          <w:sz w:val="18"/>
          <w:szCs w:val="18"/>
          <w:color w:val="auto"/>
        </w:rPr>
      </w:pPr>
    </w:p>
    <w:p>
      <w:pPr>
        <w:ind w:left="368" w:right="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competition from entities that have developed or may develop product candidates for cancer, including companies developing novel treatments and technology platforms.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unable to obtain U.S. or foreign regulatory approval and, as a result, unable to commercialize our product candidates.</w:t>
      </w:r>
    </w:p>
    <w:p>
      <w:pPr>
        <w:spacing w:after="0" w:line="128" w:lineRule="exact"/>
        <w:rPr>
          <w:rFonts w:ascii="Arial" w:cs="Arial" w:eastAsia="Arial" w:hAnsi="Arial"/>
          <w:sz w:val="17"/>
          <w:szCs w:val="17"/>
          <w:color w:val="auto"/>
        </w:rPr>
      </w:pPr>
    </w:p>
    <w:p>
      <w:pPr>
        <w:jc w:val="both"/>
        <w:ind w:left="368" w:right="120" w:hanging="368"/>
        <w:spacing w:after="0" w:line="311" w:lineRule="auto"/>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40" w:lineRule="exact"/>
        <w:rPr>
          <w:rFonts w:ascii="Arial" w:cs="Arial" w:eastAsia="Arial" w:hAnsi="Arial"/>
          <w:sz w:val="16"/>
          <w:szCs w:val="16"/>
          <w:color w:val="auto"/>
        </w:rPr>
      </w:pPr>
    </w:p>
    <w:p>
      <w:pPr>
        <w:ind w:left="368" w:right="8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62" w:lineRule="exact"/>
        <w:rPr>
          <w:rFonts w:ascii="Arial" w:cs="Arial" w:eastAsia="Arial" w:hAnsi="Arial"/>
          <w:sz w:val="18"/>
          <w:szCs w:val="18"/>
          <w:color w:val="auto"/>
        </w:rPr>
      </w:pPr>
    </w:p>
    <w:p>
      <w:pPr>
        <w:ind w:left="368" w:right="560" w:hanging="368"/>
        <w:spacing w:after="0" w:line="277"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attract and retain qualified senior management and key scientific personnel, our business may be materially and adversely affected.</w:t>
      </w:r>
    </w:p>
    <w:p>
      <w:pPr>
        <w:spacing w:after="0" w:line="62" w:lineRule="exact"/>
        <w:rPr>
          <w:rFonts w:ascii="Arial" w:cs="Arial" w:eastAsia="Arial" w:hAnsi="Arial"/>
          <w:sz w:val="18"/>
          <w:szCs w:val="18"/>
          <w:color w:val="auto"/>
        </w:rPr>
      </w:pPr>
    </w:p>
    <w:p>
      <w:pPr>
        <w:ind w:left="368" w:right="140" w:hanging="368"/>
        <w:spacing w:after="0" w:line="342" w:lineRule="auto"/>
        <w:tabs>
          <w:tab w:leader="none" w:pos="368"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5" w:lineRule="exact"/>
        <w:rPr>
          <w:rFonts w:ascii="Arial" w:cs="Arial" w:eastAsia="Arial" w:hAnsi="Arial"/>
          <w:sz w:val="16"/>
          <w:szCs w:val="16"/>
          <w:color w:val="auto"/>
        </w:rPr>
      </w:pPr>
    </w:p>
    <w:p>
      <w:pPr>
        <w:ind w:left="368"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5" w:lineRule="exact"/>
        <w:rPr>
          <w:rFonts w:ascii="Arial" w:cs="Arial" w:eastAsia="Arial" w:hAnsi="Arial"/>
          <w:sz w:val="18"/>
          <w:szCs w:val="18"/>
          <w:color w:val="auto"/>
        </w:rPr>
      </w:pPr>
    </w:p>
    <w:p>
      <w:pPr>
        <w:ind w:left="368" w:right="4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5" w:lineRule="exact"/>
        <w:rPr>
          <w:rFonts w:ascii="Arial" w:cs="Arial" w:eastAsia="Arial" w:hAnsi="Arial"/>
          <w:sz w:val="18"/>
          <w:szCs w:val="18"/>
          <w:color w:val="auto"/>
        </w:rPr>
      </w:pPr>
    </w:p>
    <w:p>
      <w:pPr>
        <w:jc w:val="both"/>
        <w:ind w:left="368" w:right="12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75" w:lineRule="exact"/>
        <w:rPr>
          <w:rFonts w:ascii="Arial" w:cs="Arial" w:eastAsia="Arial" w:hAnsi="Arial"/>
          <w:sz w:val="18"/>
          <w:szCs w:val="18"/>
          <w:color w:val="auto"/>
        </w:rPr>
      </w:pPr>
    </w:p>
    <w:p>
      <w:pPr>
        <w:ind w:left="368"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5" w:lineRule="exact"/>
        <w:rPr>
          <w:rFonts w:ascii="Arial" w:cs="Arial" w:eastAsia="Arial" w:hAnsi="Arial"/>
          <w:sz w:val="18"/>
          <w:szCs w:val="18"/>
          <w:color w:val="auto"/>
        </w:rPr>
      </w:pPr>
    </w:p>
    <w:p>
      <w:pPr>
        <w:ind w:left="368" w:right="20" w:hanging="368"/>
        <w:spacing w:after="0" w:line="263" w:lineRule="auto"/>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future issuance of equity or of debt securities that are convertible into equity will dilute our share capital.</w:t>
      </w:r>
    </w:p>
    <w:p>
      <w:pPr>
        <w:spacing w:after="0" w:line="23" w:lineRule="exact"/>
        <w:rPr>
          <w:sz w:val="20"/>
          <w:szCs w:val="20"/>
          <w:color w:val="auto"/>
        </w:rPr>
      </w:pPr>
    </w:p>
    <w:p>
      <w:pPr>
        <w:ind w:left="490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61595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52" w:top="449" w:right="359" w:bottom="1440" w:gutter="0" w:footer="0" w:header="0"/>
        </w:sectPr>
      </w:pPr>
    </w:p>
    <w:bookmarkStart w:id="24" w:name="page25"/>
    <w:bookmarkEnd w:id="24"/>
    <w:p>
      <w:pPr>
        <w:ind w:left="1000" w:right="520" w:hanging="368"/>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76"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6"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$106.5 million and $95.4 million for the years ended December 31, 2022 and 2021, respectively. For the six months ended June 30, 2023 and 2022, our net losses were $63.2 million and $53.2 million, respectively. As of June 30, 2023, we had an accumulated deficit of $356.0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 and as a result of macroeconomic factors, including inflation. For example, recently, several of our vendors have passed along price increases they have experienced in their own business as a result of inflation.</w:t>
      </w:r>
    </w:p>
    <w:p>
      <w:pPr>
        <w:spacing w:after="0" w:line="18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6"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 w:lineRule="exact"/>
        <w:rPr>
          <w:sz w:val="20"/>
          <w:szCs w:val="20"/>
          <w:color w:val="auto"/>
        </w:rPr>
      </w:pPr>
    </w:p>
    <w:p>
      <w:pPr>
        <w:ind w:firstLine="509"/>
        <w:spacing w:after="0" w:line="266" w:lineRule="auto"/>
        <w:rPr>
          <w:sz w:val="20"/>
          <w:szCs w:val="20"/>
          <w:color w:val="auto"/>
        </w:rPr>
      </w:pPr>
      <w:r>
        <w:rPr>
          <w:rFonts w:ascii="Arial" w:cs="Arial" w:eastAsia="Arial" w:hAnsi="Arial"/>
          <w:sz w:val="17"/>
          <w:szCs w:val="17"/>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0" w:firstLine="509"/>
        <w:spacing w:after="0" w:line="255" w:lineRule="auto"/>
        <w:rPr>
          <w:sz w:val="20"/>
          <w:szCs w:val="20"/>
          <w:color w:val="auto"/>
        </w:rPr>
      </w:pPr>
      <w:r>
        <w:rPr>
          <w:rFonts w:ascii="Arial" w:cs="Arial" w:eastAsia="Arial" w:hAnsi="Arial"/>
          <w:sz w:val="18"/>
          <w:szCs w:val="18"/>
          <w:color w:val="auto"/>
        </w:rPr>
        <w:t>As of June 30, 2023, we had approximately $168.7 million in cash and cash equivalents. Based on our current operating plan, our current cash and cash equivalents are expected to be sufficient to fund our ongoing operations for a period of at least twelve months from the date of issuance of the financial statements included in this report.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4" w:lineRule="exact"/>
        <w:rPr>
          <w:sz w:val="20"/>
          <w:szCs w:val="20"/>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our ongoing clinical trials for mecbotamab vedotin, ozuriftamab vedotin and BA3071;</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the clinical development efforts for BA3182;</w:t>
      </w:r>
    </w:p>
    <w:p>
      <w:pPr>
        <w:spacing w:after="0" w:line="117" w:lineRule="exact"/>
        <w:rPr>
          <w:rFonts w:ascii="Arial" w:cs="Arial" w:eastAsia="Arial" w:hAnsi="Arial"/>
          <w:sz w:val="18"/>
          <w:szCs w:val="18"/>
          <w:color w:val="auto"/>
        </w:rPr>
      </w:pPr>
    </w:p>
    <w:p>
      <w:pPr>
        <w:ind w:left="1000" w:right="42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our collaborators with whom we have entered, or may in the future enter, into collaboration agreements and research and development agreements;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our collaboration agreements;</w:t>
      </w:r>
    </w:p>
    <w:p>
      <w:pPr>
        <w:spacing w:after="0" w:line="117" w:lineRule="exact"/>
        <w:rPr>
          <w:rFonts w:ascii="Arial" w:cs="Arial" w:eastAsia="Arial" w:hAnsi="Arial"/>
          <w:sz w:val="18"/>
          <w:szCs w:val="18"/>
          <w:color w:val="auto"/>
        </w:rPr>
      </w:pPr>
    </w:p>
    <w:p>
      <w:pPr>
        <w:ind w:left="1000" w:right="34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licenses, collaboration and research and development programs or possibly establish new collaboration arrangements;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00" w:right="720" w:hanging="36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7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540"/>
        <w:spacing w:after="0" w:line="277" w:lineRule="auto"/>
        <w:rPr>
          <w:sz w:val="20"/>
          <w:szCs w:val="20"/>
          <w:color w:val="auto"/>
        </w:rPr>
      </w:pPr>
      <w:r>
        <w:rPr>
          <w:rFonts w:ascii="Arial" w:cs="Arial" w:eastAsia="Arial" w:hAnsi="Arial"/>
          <w:sz w:val="18"/>
          <w:szCs w:val="18"/>
          <w:color w:val="auto"/>
        </w:rPr>
        <w:t>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41"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have no products on the market and our product candidates are in various stages of development. We are currently conducting Phase 2 clinical trials of mecbotamab vedotin and ozuriftamab vedotin; we have begun dosing patients in our Phase 1 trial of BA3071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74" w:lineRule="exact"/>
        <w:rPr>
          <w:sz w:val="20"/>
          <w:szCs w:val="20"/>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our clinical trials resulting from factors including those related to the COVID-19 pandemic;</w:t>
      </w:r>
    </w:p>
    <w:p>
      <w:pPr>
        <w:spacing w:after="0" w:line="117" w:lineRule="exact"/>
        <w:rPr>
          <w:rFonts w:ascii="Arial" w:cs="Arial" w:eastAsia="Arial" w:hAnsi="Arial"/>
          <w:sz w:val="18"/>
          <w:szCs w:val="18"/>
          <w:color w:val="auto"/>
        </w:rPr>
      </w:pPr>
    </w:p>
    <w:p>
      <w:pPr>
        <w:ind w:left="1000" w:right="4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100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clinical trials or by individuals using therapeutic biologics that share characteristics with our product candidates;</w:t>
      </w:r>
    </w:p>
    <w:p>
      <w:pPr>
        <w:spacing w:after="0" w:line="62" w:lineRule="exact"/>
        <w:rPr>
          <w:rFonts w:ascii="Arial" w:cs="Arial" w:eastAsia="Arial" w:hAnsi="Arial"/>
          <w:sz w:val="18"/>
          <w:szCs w:val="18"/>
          <w:color w:val="auto"/>
        </w:rPr>
      </w:pPr>
    </w:p>
    <w:p>
      <w:pPr>
        <w:ind w:left="1000" w:right="34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conditions imposed by the FDA or comparable foreign authorities, including the EMA, regarding the scope or design of clinical trials;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enrolling patients in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 drop-out rates of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inadequate drug materials or other supplies necessary for the conduct of our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poor effectiveness of our product candidates during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deficiencies in our third-party manufacturers’ manufacturing processes or facilities;</w:t>
      </w:r>
    </w:p>
    <w:p>
      <w:pPr>
        <w:spacing w:after="0" w:line="117" w:lineRule="exact"/>
        <w:rPr>
          <w:rFonts w:ascii="Arial" w:cs="Arial" w:eastAsia="Arial" w:hAnsi="Arial"/>
          <w:sz w:val="18"/>
          <w:szCs w:val="18"/>
          <w:color w:val="auto"/>
        </w:rPr>
      </w:pPr>
    </w:p>
    <w:p>
      <w:pPr>
        <w:ind w:left="1000" w:right="280" w:hanging="368"/>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5" w:lineRule="exact"/>
        <w:rPr>
          <w:rFonts w:ascii="Arial" w:cs="Arial" w:eastAsia="Arial" w:hAnsi="Arial"/>
          <w:sz w:val="16"/>
          <w:szCs w:val="16"/>
          <w:color w:val="auto"/>
        </w:rPr>
      </w:pPr>
    </w:p>
    <w:p>
      <w:pPr>
        <w:ind w:left="1000" w:right="240" w:hanging="36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delays and changes in regulatory requirements, policy and guidelines, including the imposition of additional regulatory oversight around</w:t>
      </w:r>
    </w:p>
    <w:p>
      <w:pPr>
        <w:spacing w:after="0" w:line="35" w:lineRule="exact"/>
        <w:rPr>
          <w:sz w:val="20"/>
          <w:szCs w:val="20"/>
          <w:color w:val="auto"/>
        </w:rPr>
      </w:pPr>
    </w:p>
    <w:p>
      <w:pPr>
        <w:ind w:left="5540" w:right="3260" w:hanging="4527"/>
        <w:spacing w:after="0" w:line="260" w:lineRule="auto"/>
        <w:rPr>
          <w:sz w:val="20"/>
          <w:szCs w:val="20"/>
          <w:color w:val="auto"/>
        </w:rPr>
      </w:pPr>
      <w:r>
        <w:rPr>
          <w:rFonts w:ascii="Arial" w:cs="Arial" w:eastAsia="Arial" w:hAnsi="Arial"/>
          <w:sz w:val="18"/>
          <w:szCs w:val="18"/>
          <w:color w:val="auto"/>
        </w:rPr>
        <w:t>clinical testing generally or with respect to our technology or product candidates in particular; or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left="1000" w:hanging="36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62" w:lineRule="exact"/>
        <w:rPr>
          <w:sz w:val="20"/>
          <w:szCs w:val="20"/>
          <w:color w:val="auto"/>
        </w:rPr>
      </w:pPr>
    </w:p>
    <w:p>
      <w:pPr>
        <w:ind w:right="240" w:firstLine="509"/>
        <w:spacing w:after="0" w:line="266" w:lineRule="auto"/>
        <w:rPr>
          <w:sz w:val="20"/>
          <w:szCs w:val="20"/>
          <w:color w:val="auto"/>
        </w:rPr>
      </w:pPr>
      <w:r>
        <w:rPr>
          <w:rFonts w:ascii="Arial" w:cs="Arial" w:eastAsia="Arial" w:hAnsi="Arial"/>
          <w:sz w:val="17"/>
          <w:szCs w:val="17"/>
          <w:color w:val="auto"/>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8" w:lineRule="exact"/>
        <w:rPr>
          <w:sz w:val="20"/>
          <w:szCs w:val="20"/>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 including the EMA;</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patients to obtain biopsies to determine the TmPS score for treatment eligibility;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any physician education programs;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00" w:right="300" w:hanging="36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 sarcoma and for the treatment of NSCLC, in our Phase 2 clinical trial of ozuriftamab vedotin for the treatment of squamous cell carcinoma of the head and neck, melanoma, and NSCLC and in any subsequent or post-marketing confirmatory clinical trials.</w:t>
      </w:r>
    </w:p>
    <w:p>
      <w:pPr>
        <w:spacing w:after="0" w:line="77"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mecbotamab vedotin in treatment-refractory sarcoma patients. Based on recent FDA written responses, we are initiating part 2 of our Phase 2 trial in undifferentiated pleomorphic sarcoma (UPS) and anticipate study enrollment to commence by year end. However, we cannot assure you that the FDA will agree that the results from this trial or other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right="380"/>
        <w:spacing w:after="0" w:line="342" w:lineRule="auto"/>
        <w:rPr>
          <w:sz w:val="20"/>
          <w:szCs w:val="20"/>
          <w:color w:val="auto"/>
        </w:rPr>
      </w:pPr>
      <w:r>
        <w:rPr>
          <w:rFonts w:ascii="Arial" w:cs="Arial" w:eastAsia="Arial" w:hAnsi="Arial"/>
          <w:sz w:val="16"/>
          <w:szCs w:val="16"/>
          <w:color w:val="auto"/>
        </w:rPr>
        <w:t>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6"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1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7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62"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57" w:lineRule="exact"/>
        <w:rPr>
          <w:sz w:val="20"/>
          <w:szCs w:val="20"/>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preclinical data;</w:t>
      </w:r>
    </w:p>
    <w:p>
      <w:pPr>
        <w:spacing w:after="0" w:line="117" w:lineRule="exact"/>
        <w:rPr>
          <w:rFonts w:ascii="Arial" w:cs="Arial" w:eastAsia="Arial" w:hAnsi="Arial"/>
          <w:sz w:val="18"/>
          <w:szCs w:val="18"/>
          <w:color w:val="auto"/>
        </w:rPr>
      </w:pPr>
    </w:p>
    <w:p>
      <w:pPr>
        <w:ind w:left="1000" w:right="60" w:hanging="36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a failure to reach, a consensus with regulatory authorities on study design;</w:t>
      </w:r>
    </w:p>
    <w:p>
      <w:pPr>
        <w:spacing w:after="0" w:line="117" w:lineRule="exact"/>
        <w:rPr>
          <w:rFonts w:ascii="Arial" w:cs="Arial" w:eastAsia="Arial" w:hAnsi="Arial"/>
          <w:sz w:val="18"/>
          <w:szCs w:val="18"/>
          <w:color w:val="auto"/>
        </w:rPr>
      </w:pPr>
    </w:p>
    <w:p>
      <w:pPr>
        <w:ind w:left="1000" w:right="200" w:hanging="368"/>
        <w:spacing w:after="0" w:line="25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obtaining IRB approval at each site;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trial;</w:t>
      </w:r>
    </w:p>
    <w:p>
      <w:pPr>
        <w:spacing w:after="0" w:line="117" w:lineRule="exact"/>
        <w:rPr>
          <w:rFonts w:ascii="Arial" w:cs="Arial" w:eastAsia="Arial" w:hAnsi="Arial"/>
          <w:sz w:val="18"/>
          <w:szCs w:val="18"/>
          <w:color w:val="auto"/>
        </w:rPr>
      </w:pPr>
    </w:p>
    <w:p>
      <w:pPr>
        <w:ind w:left="1000" w:right="38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clinical trials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having patients complete a trial or return for post-treatment follow-up;</w:t>
      </w:r>
    </w:p>
    <w:p>
      <w:pPr>
        <w:spacing w:after="0" w:line="117" w:lineRule="exact"/>
        <w:rPr>
          <w:rFonts w:ascii="Arial" w:cs="Arial" w:eastAsia="Arial" w:hAnsi="Arial"/>
          <w:sz w:val="18"/>
          <w:szCs w:val="18"/>
          <w:color w:val="auto"/>
        </w:rPr>
      </w:pPr>
    </w:p>
    <w:p>
      <w:pPr>
        <w:ind w:left="1000" w:right="14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62" w:lineRule="exact"/>
        <w:rPr>
          <w:rFonts w:ascii="Arial" w:cs="Arial" w:eastAsia="Arial" w:hAnsi="Arial"/>
          <w:sz w:val="18"/>
          <w:szCs w:val="18"/>
          <w:color w:val="auto"/>
        </w:rPr>
      </w:pPr>
    </w:p>
    <w:p>
      <w:pPr>
        <w:ind w:left="1000" w:right="24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adding new clinical trial sites;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ambiguous or negative interim results;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manufacturing sufficient quantities of product candidate acceptable for use in clinical trials in a timely manner, or at all; or</w:t>
      </w:r>
    </w:p>
    <w:p>
      <w:pPr>
        <w:spacing w:after="0" w:line="128" w:lineRule="exact"/>
        <w:rPr>
          <w:rFonts w:ascii="Arial" w:cs="Arial" w:eastAsia="Arial" w:hAnsi="Arial"/>
          <w:sz w:val="17"/>
          <w:szCs w:val="17"/>
          <w:color w:val="auto"/>
        </w:rPr>
      </w:pPr>
    </w:p>
    <w:p>
      <w:pPr>
        <w:ind w:left="1000" w:right="940" w:hanging="36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which has resulted in, and in the future may continue to result in, delays to patient enrollment, patients discontinuing their treatment or follow up visits or changes to trial protocols.</w:t>
      </w:r>
    </w:p>
    <w:p>
      <w:pPr>
        <w:spacing w:after="0" w:line="1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68"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line="263" w:lineRule="auto"/>
        <w:rPr>
          <w:sz w:val="20"/>
          <w:szCs w:val="20"/>
          <w:color w:val="auto"/>
        </w:rPr>
      </w:pPr>
      <w:r>
        <w:rPr>
          <w:rFonts w:ascii="Arial" w:cs="Arial" w:eastAsia="Arial" w:hAnsi="Arial"/>
          <w:sz w:val="18"/>
          <w:szCs w:val="18"/>
          <w:color w:val="auto"/>
        </w:rPr>
        <w:t>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76"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95"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2"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70"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8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62" w:lineRule="exact"/>
        <w:rPr>
          <w:sz w:val="20"/>
          <w:szCs w:val="20"/>
          <w:color w:val="auto"/>
        </w:rPr>
      </w:pPr>
    </w:p>
    <w:p>
      <w:pPr>
        <w:ind w:left="1000" w:right="64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their approval of such product, or seek an injunction against its manufacture or distribution;</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 or post-approval studies;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requested or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00" w:right="500" w:hanging="36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00" w:right="160" w:hanging="368"/>
        <w:spacing w:after="0" w:line="29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1000" w:right="620" w:hanging="36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Currently, we are evaluating the use of each of mecbotamab vedotin, ozuriftamab vedotin, and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64"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84"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potentially registration-enabling studies and have partnered with a diagnostic provider to codevelop a companion diagnostic.</w:t>
      </w:r>
    </w:p>
    <w:p>
      <w:pPr>
        <w:spacing w:after="0" w:line="70"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If use of a companion diagnostic test is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60"/>
        <w:spacing w:after="0" w:line="269" w:lineRule="auto"/>
        <w:rPr>
          <w:sz w:val="20"/>
          <w:szCs w:val="20"/>
          <w:color w:val="auto"/>
        </w:rPr>
      </w:pPr>
      <w:r>
        <w:rPr>
          <w:rFonts w:ascii="Arial" w:cs="Arial" w:eastAsia="Arial" w:hAnsi="Arial"/>
          <w:sz w:val="17"/>
          <w:szCs w:val="17"/>
          <w:color w:val="auto"/>
        </w:rPr>
        <w:t>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7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30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5"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products more rapidly than we may obtain approval for ours, which could result in our competitors establishing a strong market position before we are able to enter the market.</w:t>
      </w:r>
    </w:p>
    <w:p>
      <w:pPr>
        <w:spacing w:after="0" w:line="170"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64"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 candidates for which we intend to seek approval may face competition through an abbreviated pathway.</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73"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ind w:right="520" w:firstLine="509"/>
        <w:spacing w:after="0" w:line="255"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5" w:name="page36"/>
    <w:bookmarkEnd w:id="35"/>
    <w:p>
      <w:pPr>
        <w:ind w:right="40"/>
        <w:spacing w:after="0" w:line="296" w:lineRule="auto"/>
        <w:rPr>
          <w:sz w:val="20"/>
          <w:szCs w:val="20"/>
          <w:color w:val="auto"/>
        </w:rPr>
      </w:pPr>
      <w:r>
        <w:rPr>
          <w:rFonts w:ascii="Arial" w:cs="Arial" w:eastAsia="Arial" w:hAnsi="Arial"/>
          <w:sz w:val="16"/>
          <w:szCs w:val="16"/>
          <w:color w:val="auto"/>
        </w:rPr>
        <w:t>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61"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right="8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62" w:lineRule="exact"/>
        <w:rPr>
          <w:rFonts w:ascii="Arial" w:cs="Arial" w:eastAsia="Arial" w:hAnsi="Arial"/>
          <w:sz w:val="18"/>
          <w:szCs w:val="18"/>
          <w:color w:val="auto"/>
        </w:rPr>
      </w:pPr>
    </w:p>
    <w:p>
      <w:pPr>
        <w:ind w:left="1000" w:right="44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60" w:hanging="428"/>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the dose for the product candidate has been optimized;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a sufficient response rate or duration of response for a product candidate;</w:t>
      </w:r>
    </w:p>
    <w:p>
      <w:pPr>
        <w:spacing w:after="0" w:line="117"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62" w:lineRule="exact"/>
        <w:rPr>
          <w:rFonts w:ascii="Arial" w:cs="Arial" w:eastAsia="Arial" w:hAnsi="Arial"/>
          <w:sz w:val="18"/>
          <w:szCs w:val="18"/>
          <w:color w:val="auto"/>
        </w:rPr>
      </w:pPr>
    </w:p>
    <w:p>
      <w:pPr>
        <w:ind w:left="1000" w:right="280" w:hanging="36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38" w:lineRule="exact"/>
        <w:rPr>
          <w:rFonts w:ascii="Arial" w:cs="Arial" w:eastAsia="Arial" w:hAnsi="Arial"/>
          <w:sz w:val="17"/>
          <w:szCs w:val="17"/>
          <w:color w:val="auto"/>
        </w:rPr>
      </w:pPr>
    </w:p>
    <w:p>
      <w:pPr>
        <w:ind w:left="1000" w:right="440" w:hanging="36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8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color w:val="auto"/>
        </w:rPr>
        <w:t>patients who meet certain safe-use criteria and requiring treated patients to enroll in a registry. These limitations and restrictions may significantly limit the size of the market for the drug and affect reimbursement by third-party payors.</w:t>
      </w:r>
    </w:p>
    <w:p>
      <w:pPr>
        <w:spacing w:after="0" w:line="1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9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72"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79" w:lineRule="exact"/>
        <w:rPr>
          <w:sz w:val="20"/>
          <w:szCs w:val="20"/>
          <w:color w:val="auto"/>
        </w:rPr>
      </w:pPr>
    </w:p>
    <w:p>
      <w:pPr>
        <w:ind w:right="280" w:firstLine="509"/>
        <w:spacing w:after="0" w:line="254" w:lineRule="auto"/>
        <w:rPr>
          <w:sz w:val="20"/>
          <w:szCs w:val="20"/>
          <w:color w:val="auto"/>
        </w:rPr>
      </w:pPr>
      <w:r>
        <w:rPr>
          <w:rFonts w:ascii="Arial" w:cs="Arial" w:eastAsia="Arial" w:hAnsi="Arial"/>
          <w:sz w:val="18"/>
          <w:szCs w:val="18"/>
          <w:color w:val="auto"/>
        </w:rPr>
        <w:t>The recent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right="40"/>
        <w:spacing w:after="0" w:line="259" w:lineRule="auto"/>
        <w:rPr>
          <w:sz w:val="20"/>
          <w:szCs w:val="20"/>
          <w:color w:val="auto"/>
        </w:rPr>
      </w:pPr>
      <w:r>
        <w:rPr>
          <w:rFonts w:ascii="Arial" w:cs="Arial" w:eastAsia="Arial" w:hAnsi="Arial"/>
          <w:sz w:val="18"/>
          <w:szCs w:val="18"/>
          <w:color w:val="auto"/>
        </w:rPr>
        <w:t>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w:t>
      </w: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or mandatory product recalls;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1000" w:right="600" w:hanging="36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3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100"/>
        <w:spacing w:after="0" w:line="263" w:lineRule="auto"/>
        <w:rPr>
          <w:sz w:val="20"/>
          <w:szCs w:val="20"/>
          <w:color w:val="auto"/>
        </w:rPr>
      </w:pPr>
      <w:r>
        <w:rPr>
          <w:rFonts w:ascii="Arial" w:cs="Arial" w:eastAsia="Arial" w:hAnsi="Arial"/>
          <w:sz w:val="18"/>
          <w:szCs w:val="18"/>
          <w:color w:val="auto"/>
        </w:rPr>
        <w:t>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4"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1"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8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30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62" w:lineRule="exact"/>
        <w:rPr>
          <w:sz w:val="20"/>
          <w:szCs w:val="20"/>
          <w:color w:val="auto"/>
        </w:rPr>
      </w:pPr>
    </w:p>
    <w:p>
      <w:pPr>
        <w:jc w:val="both"/>
        <w:ind w:right="260" w:firstLine="509"/>
        <w:spacing w:after="0" w:line="25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right="60"/>
        <w:spacing w:after="0" w:line="290" w:lineRule="auto"/>
        <w:rPr>
          <w:sz w:val="20"/>
          <w:szCs w:val="20"/>
          <w:color w:val="auto"/>
        </w:rPr>
      </w:pPr>
      <w:r>
        <w:rPr>
          <w:rFonts w:ascii="Arial" w:cs="Arial" w:eastAsia="Arial" w:hAnsi="Arial"/>
          <w:sz w:val="16"/>
          <w:szCs w:val="16"/>
          <w:color w:val="auto"/>
        </w:rPr>
        <w:t>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74"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20"/>
        <w:spacing w:after="0" w:line="271" w:lineRule="auto"/>
        <w:rPr>
          <w:sz w:val="20"/>
          <w:szCs w:val="20"/>
          <w:color w:val="auto"/>
        </w:rPr>
      </w:pPr>
      <w:r>
        <w:rPr>
          <w:rFonts w:ascii="Arial" w:cs="Arial" w:eastAsia="Arial" w:hAnsi="Arial"/>
          <w:sz w:val="17"/>
          <w:szCs w:val="17"/>
          <w:color w:val="auto"/>
        </w:rPr>
        <w:t>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70"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Furthermore,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HHS to negotiate the selling price of certain drugs and biologics that CMS reimburses under Medicare Part B and Part D, although only high-expenditure single-source biologics that have been approved for at least 11 years (7 years for drugs) can be selected by CMS for negotiation, with the negotiated price taking effect two years after the selection year. The negotiated prices, which will first become effective in 2026, will be capped at a statutory ceiling price. Beginning in October 2022 for Medicare Part D and January 2023 for Medicare Part B, the law also penalizes drug manufacturers that increase prices of Medicare Part D and Part B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p>
    <w:p>
      <w:pPr>
        <w:spacing w:after="0" w:line="66"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68"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49"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were facing responding to the COVID-19 virus.</w:t>
      </w:r>
    </w:p>
    <w:p>
      <w:pPr>
        <w:spacing w:after="0" w:line="8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prevent marketing approval, as well as subject us to more stringent product labeling and post-marketing testing and other requirements.</w:t>
      </w:r>
    </w:p>
    <w:p>
      <w:pPr>
        <w:spacing w:after="0" w:line="3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0"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68" w:lineRule="exact"/>
        <w:rPr>
          <w:sz w:val="20"/>
          <w:szCs w:val="20"/>
          <w:color w:val="auto"/>
        </w:rPr>
      </w:pPr>
    </w:p>
    <w:p>
      <w:pPr>
        <w:ind w:left="1000" w:right="120" w:hanging="368"/>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00" w:right="20" w:hanging="368"/>
        <w:spacing w:after="0" w:line="296"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53" w:lineRule="exact"/>
        <w:rPr>
          <w:rFonts w:ascii="Arial" w:cs="Arial" w:eastAsia="Arial" w:hAnsi="Arial"/>
          <w:sz w:val="16"/>
          <w:szCs w:val="16"/>
          <w:color w:val="auto"/>
        </w:rPr>
      </w:pPr>
    </w:p>
    <w:p>
      <w:pPr>
        <w:ind w:left="1000" w:right="60" w:hanging="368"/>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1020" w:right="200" w:hanging="383"/>
        <w:spacing w:after="0" w:line="25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9" w:lineRule="exact"/>
        <w:rPr>
          <w:rFonts w:ascii="Arial" w:cs="Arial" w:eastAsia="Arial" w:hAnsi="Arial"/>
          <w:sz w:val="18"/>
          <w:szCs w:val="18"/>
          <w:color w:val="auto"/>
        </w:rPr>
      </w:pPr>
    </w:p>
    <w:p>
      <w:pPr>
        <w:ind w:left="1000" w:right="800" w:hanging="36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customers;</w:t>
      </w:r>
    </w:p>
    <w:p>
      <w:pPr>
        <w:spacing w:after="0" w:line="62" w:lineRule="exact"/>
        <w:rPr>
          <w:rFonts w:ascii="Arial" w:cs="Arial" w:eastAsia="Arial" w:hAnsi="Arial"/>
          <w:sz w:val="18"/>
          <w:szCs w:val="18"/>
          <w:color w:val="auto"/>
        </w:rPr>
      </w:pPr>
    </w:p>
    <w:p>
      <w:pPr>
        <w:ind w:left="1000" w:hanging="368"/>
        <w:spacing w:after="0" w:line="296"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53" w:lineRule="exact"/>
        <w:rPr>
          <w:rFonts w:ascii="Arial" w:cs="Arial" w:eastAsia="Arial" w:hAnsi="Arial"/>
          <w:sz w:val="16"/>
          <w:szCs w:val="16"/>
          <w:color w:val="auto"/>
        </w:rPr>
      </w:pPr>
    </w:p>
    <w:p>
      <w:pPr>
        <w:ind w:left="1000" w:right="40" w:hanging="368"/>
        <w:spacing w:after="0" w:line="286"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w:t>
      </w:r>
    </w:p>
    <w:p>
      <w:pPr>
        <w:spacing w:after="0" w:line="1" w:lineRule="exact"/>
        <w:rPr>
          <w:sz w:val="20"/>
          <w:szCs w:val="20"/>
          <w:color w:val="auto"/>
        </w:rPr>
      </w:pPr>
    </w:p>
    <w:p>
      <w:pPr>
        <w:ind w:left="1000" w:right="60"/>
        <w:spacing w:after="0" w:line="250" w:lineRule="auto"/>
        <w:rPr>
          <w:sz w:val="20"/>
          <w:szCs w:val="20"/>
          <w:color w:val="auto"/>
        </w:rPr>
      </w:pPr>
      <w:r>
        <w:rPr>
          <w:rFonts w:ascii="Arial" w:cs="Arial" w:eastAsia="Arial" w:hAnsi="Arial"/>
          <w:sz w:val="18"/>
          <w:szCs w:val="18"/>
          <w:color w:val="auto"/>
        </w:rPr>
        <w:t>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firstLine="509"/>
        <w:spacing w:after="0" w:line="284"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w:t>
      </w:r>
    </w:p>
    <w:p>
      <w:pPr>
        <w:spacing w:after="0" w:line="171"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7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62"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and retain qualified senior management and key scientific personnel, our business may be materially and adversely affected.</w:t>
      </w:r>
    </w:p>
    <w:p>
      <w:pPr>
        <w:spacing w:after="0" w:line="140" w:lineRule="exact"/>
        <w:rPr>
          <w:sz w:val="20"/>
          <w:szCs w:val="20"/>
          <w:color w:val="auto"/>
        </w:rPr>
      </w:pPr>
    </w:p>
    <w:p>
      <w:pPr>
        <w:ind w:right="740" w:firstLine="509"/>
        <w:spacing w:after="0" w:line="274"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clinical and scientific personnel. We are highly dependent upon members of our senior management, including Jay M. Short, Ph.D., our Chairman</w:t>
      </w: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right="60"/>
        <w:spacing w:after="0" w:line="263" w:lineRule="auto"/>
        <w:rPr>
          <w:sz w:val="20"/>
          <w:szCs w:val="20"/>
          <w:color w:val="auto"/>
        </w:rPr>
      </w:pPr>
      <w:r>
        <w:rPr>
          <w:rFonts w:ascii="Arial" w:cs="Arial" w:eastAsia="Arial" w:hAnsi="Arial"/>
          <w:sz w:val="18"/>
          <w:szCs w:val="18"/>
          <w:color w:val="auto"/>
        </w:rPr>
        <w:t>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4"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76"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76" w:lineRule="exact"/>
        <w:rPr>
          <w:sz w:val="20"/>
          <w:szCs w:val="20"/>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hanging="38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200"/>
        <w:spacing w:after="0" w:line="263" w:lineRule="auto"/>
        <w:rPr>
          <w:sz w:val="20"/>
          <w:szCs w:val="20"/>
          <w:color w:val="auto"/>
        </w:rPr>
      </w:pPr>
      <w:r>
        <w:rPr>
          <w:rFonts w:ascii="Arial" w:cs="Arial" w:eastAsia="Arial" w:hAnsi="Arial"/>
          <w:sz w:val="18"/>
          <w:szCs w:val="18"/>
          <w:color w:val="auto"/>
        </w:rPr>
        <w:t>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2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62"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7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68"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60"/>
        <w:spacing w:after="0" w:line="257" w:lineRule="auto"/>
        <w:rPr>
          <w:sz w:val="20"/>
          <w:szCs w:val="20"/>
          <w:color w:val="auto"/>
        </w:rPr>
      </w:pPr>
      <w:r>
        <w:rPr>
          <w:rFonts w:ascii="Arial" w:cs="Arial" w:eastAsia="Arial" w:hAnsi="Arial"/>
          <w:sz w:val="18"/>
          <w:szCs w:val="18"/>
          <w:color w:val="auto"/>
        </w:rPr>
        <w:t>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8" w:lineRule="exact"/>
        <w:rPr>
          <w:sz w:val="20"/>
          <w:szCs w:val="20"/>
          <w:color w:val="auto"/>
        </w:rPr>
      </w:pPr>
    </w:p>
    <w:p>
      <w:pPr>
        <w:ind w:right="380" w:firstLine="509"/>
        <w:spacing w:after="0" w:line="301" w:lineRule="auto"/>
        <w:rPr>
          <w:sz w:val="20"/>
          <w:szCs w:val="20"/>
          <w:color w:val="auto"/>
        </w:rPr>
      </w:pPr>
      <w:r>
        <w:rPr>
          <w:rFonts w:ascii="Arial" w:cs="Arial" w:eastAsia="Arial" w:hAnsi="Arial"/>
          <w:sz w:val="16"/>
          <w:szCs w:val="16"/>
          <w:color w:val="auto"/>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5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7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BA3021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8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8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1"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40"/>
        <w:spacing w:after="0" w:line="285" w:lineRule="auto"/>
        <w:rPr>
          <w:sz w:val="20"/>
          <w:szCs w:val="20"/>
          <w:color w:val="auto"/>
        </w:rPr>
      </w:pPr>
      <w:r>
        <w:rPr>
          <w:rFonts w:ascii="Arial" w:cs="Arial" w:eastAsia="Arial" w:hAnsi="Arial"/>
          <w:sz w:val="16"/>
          <w:szCs w:val="16"/>
          <w:color w:val="auto"/>
        </w:rPr>
        <w:t>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conducting business internationally.</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our collaborators or licensees may seek regulatory approval of our product candidates outside of the United States including in China, the European Union,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9" w:lineRule="exact"/>
        <w:rPr>
          <w:sz w:val="20"/>
          <w:szCs w:val="20"/>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and reimbursement regimes in foreign countries;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regulations;</w:t>
      </w:r>
    </w:p>
    <w:p>
      <w:pPr>
        <w:spacing w:after="0" w:line="117" w:lineRule="exact"/>
        <w:rPr>
          <w:rFonts w:ascii="Arial" w:cs="Arial" w:eastAsia="Arial" w:hAnsi="Arial"/>
          <w:sz w:val="18"/>
          <w:szCs w:val="18"/>
          <w:color w:val="auto"/>
        </w:rPr>
      </w:pPr>
    </w:p>
    <w:p>
      <w:pPr>
        <w:ind w:left="1000" w:right="400" w:hanging="36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7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400"/>
        <w:spacing w:after="0" w:line="257" w:lineRule="auto"/>
        <w:rPr>
          <w:sz w:val="20"/>
          <w:szCs w:val="20"/>
          <w:color w:val="auto"/>
        </w:rPr>
      </w:pPr>
      <w:r>
        <w:rPr>
          <w:rFonts w:ascii="Arial" w:cs="Arial" w:eastAsia="Arial" w:hAnsi="Arial"/>
          <w:sz w:val="18"/>
          <w:szCs w:val="18"/>
          <w:color w:val="auto"/>
        </w:rPr>
        <w:t>numerous containment measures, such as travel bans and restrictions, particularly quarantines, shelter-in-place or total lock-down orders and business limitations and shutdowns. Many restrictions aimed at minimizing the spread of COVID-19 have been eased or lifted in the U.S. and other countries; however, in response to local surges and new waves of infection, including those caused by the spread of certain variants of the virus, some countries, states, and local governments have reinstituted these restrictions, or may reinstitute these restrictions from time to time, in response to rising rates of infection.</w:t>
      </w:r>
    </w:p>
    <w:p>
      <w:pPr>
        <w:spacing w:after="0" w:line="188"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We are following, and plan to continue to follow, recommendations from federal, state and local governments regarding workplace policies, practices and procedures. During 2022 we modified our hybrid work policy to allow for flexibility based on department needs and travel requirements.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5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which may be more contagious and less responsive to current treatment method),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5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collaboration arrangements currently pose, and future collaborations involving our product candidates will pose, the following risks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03" w:lineRule="exact"/>
        <w:rPr>
          <w:sz w:val="20"/>
          <w:szCs w:val="20"/>
          <w:color w:val="auto"/>
        </w:rPr>
      </w:pPr>
    </w:p>
    <w:p>
      <w:pPr>
        <w:ind w:left="1000" w:hanging="36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00" w:right="120" w:hanging="368"/>
        <w:spacing w:after="0" w:line="287"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w:t>
      </w:r>
    </w:p>
    <w:p>
      <w:pPr>
        <w:spacing w:after="0" w:line="2" w:lineRule="exact"/>
        <w:rPr>
          <w:sz w:val="20"/>
          <w:szCs w:val="20"/>
          <w:color w:val="auto"/>
        </w:rPr>
      </w:pPr>
    </w:p>
    <w:p>
      <w:pPr>
        <w:ind w:left="5540" w:right="4080" w:hanging="4527"/>
        <w:spacing w:after="0" w:line="260" w:lineRule="auto"/>
        <w:rPr>
          <w:sz w:val="20"/>
          <w:szCs w:val="20"/>
          <w:color w:val="auto"/>
        </w:rPr>
      </w:pPr>
      <w:r>
        <w:rPr>
          <w:rFonts w:ascii="Arial" w:cs="Arial" w:eastAsia="Arial" w:hAnsi="Arial"/>
          <w:sz w:val="18"/>
          <w:szCs w:val="18"/>
          <w:color w:val="auto"/>
        </w:rPr>
        <w:t>such as a business combination that diverts resources or creates competing priorities;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left="1000" w:right="460" w:hanging="36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60" w:hanging="36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54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1000" w:hanging="36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00" w:right="60" w:hanging="368"/>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hanging="36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any intellectual property developed pursuant to our collaborations;</w:t>
      </w:r>
    </w:p>
    <w:p>
      <w:pPr>
        <w:spacing w:after="0" w:line="117" w:lineRule="exact"/>
        <w:rPr>
          <w:rFonts w:ascii="Arial" w:cs="Arial" w:eastAsia="Arial" w:hAnsi="Arial"/>
          <w:sz w:val="18"/>
          <w:szCs w:val="18"/>
          <w:color w:val="auto"/>
        </w:rPr>
      </w:pPr>
    </w:p>
    <w:p>
      <w:pPr>
        <w:jc w:val="both"/>
        <w:ind w:left="1020" w:right="360" w:hanging="383"/>
        <w:spacing w:after="0" w:line="286"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57" w:lineRule="exact"/>
        <w:rPr>
          <w:rFonts w:ascii="Arial" w:cs="Arial" w:eastAsia="Arial" w:hAnsi="Arial"/>
          <w:sz w:val="17"/>
          <w:szCs w:val="17"/>
          <w:color w:val="auto"/>
        </w:rPr>
      </w:pPr>
    </w:p>
    <w:p>
      <w:pPr>
        <w:ind w:left="1020" w:right="680" w:hanging="38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62" w:lineRule="exact"/>
        <w:rPr>
          <w:rFonts w:ascii="Arial" w:cs="Arial" w:eastAsia="Arial" w:hAnsi="Arial"/>
          <w:sz w:val="18"/>
          <w:szCs w:val="18"/>
          <w:color w:val="auto"/>
        </w:rPr>
      </w:pPr>
    </w:p>
    <w:p>
      <w:pPr>
        <w:ind w:left="1000" w:right="160" w:hanging="36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7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3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6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60"/>
        <w:spacing w:after="0" w:line="259" w:lineRule="auto"/>
        <w:rPr>
          <w:sz w:val="20"/>
          <w:szCs w:val="20"/>
          <w:color w:val="auto"/>
        </w:rPr>
      </w:pPr>
      <w:r>
        <w:rPr>
          <w:rFonts w:ascii="Arial" w:cs="Arial" w:eastAsia="Arial" w:hAnsi="Arial"/>
          <w:sz w:val="18"/>
          <w:szCs w:val="18"/>
          <w:color w:val="auto"/>
        </w:rPr>
        <w:t>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87" w:lineRule="exact"/>
        <w:rPr>
          <w:sz w:val="20"/>
          <w:szCs w:val="20"/>
          <w:color w:val="auto"/>
        </w:rPr>
      </w:pPr>
    </w:p>
    <w:p>
      <w:pPr>
        <w:ind w:right="320" w:firstLine="509"/>
        <w:spacing w:after="0" w:line="301" w:lineRule="auto"/>
        <w:rPr>
          <w:sz w:val="20"/>
          <w:szCs w:val="20"/>
          <w:color w:val="auto"/>
        </w:rPr>
      </w:pPr>
      <w:r>
        <w:rPr>
          <w:rFonts w:ascii="Arial" w:cs="Arial" w:eastAsia="Arial" w:hAnsi="Arial"/>
          <w:sz w:val="16"/>
          <w:szCs w:val="16"/>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global shortage of animals available for drug development, due in part to an increase in demand from companies and other institutions developing vaccines and treatments for COVID-19.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9"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140" w:firstLine="509"/>
        <w:spacing w:after="0" w:line="255" w:lineRule="auto"/>
        <w:rPr>
          <w:sz w:val="20"/>
          <w:szCs w:val="20"/>
          <w:color w:val="auto"/>
        </w:rPr>
      </w:pPr>
      <w:r>
        <w:rPr>
          <w:rFonts w:ascii="Arial" w:cs="Arial" w:eastAsia="Arial" w:hAnsi="Arial"/>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9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9" w:lineRule="exact"/>
        <w:rPr>
          <w:sz w:val="20"/>
          <w:szCs w:val="20"/>
          <w:color w:val="auto"/>
        </w:rPr>
      </w:pPr>
    </w:p>
    <w:p>
      <w:pPr>
        <w:ind w:left="1000" w:hanging="36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75"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termination or nonrenewal of arrangements or agreements by our third-party contractors at a time that is costly or inconvenient for us;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not being properly identified;</w:t>
      </w:r>
    </w:p>
    <w:p>
      <w:pPr>
        <w:spacing w:after="0" w:line="62" w:lineRule="exact"/>
        <w:rPr>
          <w:rFonts w:ascii="Arial" w:cs="Arial" w:eastAsia="Arial" w:hAnsi="Arial"/>
          <w:sz w:val="18"/>
          <w:szCs w:val="18"/>
          <w:color w:val="auto"/>
        </w:rPr>
      </w:pPr>
    </w:p>
    <w:p>
      <w:pPr>
        <w:ind w:left="1020" w:right="60" w:hanging="38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8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6" w:lineRule="exact"/>
        <w:rPr>
          <w:sz w:val="20"/>
          <w:szCs w:val="20"/>
          <w:color w:val="auto"/>
        </w:rPr>
      </w:pPr>
    </w:p>
    <w:p>
      <w:pPr>
        <w:ind w:right="400" w:firstLine="509"/>
        <w:spacing w:after="0" w:line="258"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cGMPs, which is stored in multiple locations. We are currently creating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jc w:val="both"/>
        <w:ind w:right="40"/>
        <w:spacing w:after="0" w:line="263" w:lineRule="auto"/>
        <w:rPr>
          <w:sz w:val="20"/>
          <w:szCs w:val="20"/>
          <w:color w:val="auto"/>
        </w:rPr>
      </w:pPr>
      <w:r>
        <w:rPr>
          <w:rFonts w:ascii="Arial" w:cs="Arial" w:eastAsia="Arial" w:hAnsi="Arial"/>
          <w:sz w:val="18"/>
          <w:szCs w:val="18"/>
          <w:color w:val="auto"/>
        </w:rPr>
        <w:t>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76"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66"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9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70" w:lineRule="exact"/>
        <w:rPr>
          <w:sz w:val="20"/>
          <w:szCs w:val="20"/>
          <w:color w:val="auto"/>
        </w:rPr>
      </w:pPr>
    </w:p>
    <w:p>
      <w:pPr>
        <w:ind w:left="1000" w:hanging="36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obtain, maintain, protect and enforce intellectual property protection for our technologies and product candidates.</w:t>
      </w:r>
    </w:p>
    <w:p>
      <w:pPr>
        <w:spacing w:after="0" w:line="117" w:lineRule="exact"/>
        <w:rPr>
          <w:rFonts w:ascii="Arial" w:cs="Arial" w:eastAsia="Arial" w:hAnsi="Arial"/>
          <w:sz w:val="18"/>
          <w:szCs w:val="18"/>
          <w:color w:val="auto"/>
        </w:rPr>
      </w:pPr>
    </w:p>
    <w:p>
      <w:pPr>
        <w:ind w:left="1000" w:right="220" w:hanging="368"/>
        <w:spacing w:after="0" w:line="258"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4" w:name="page55"/>
    <w:bookmarkEnd w:id="54"/>
    <w:p>
      <w:pPr>
        <w:ind w:left="1000" w:right="440" w:hanging="36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licensors, or our existing or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or our licensors, or our existing or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000" w:right="680" w:hanging="36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that a court would hold that our patents are valid, enforceable and infringed.</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 or will not be challenged by third parties.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00" w:right="20" w:hanging="368"/>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4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9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firstLine="509"/>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patents may not protect our competitive position on our product candidates for an adequate amount of time.</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2039,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100"/>
        <w:spacing w:after="0" w:line="277" w:lineRule="auto"/>
        <w:rPr>
          <w:sz w:val="20"/>
          <w:szCs w:val="20"/>
          <w:color w:val="auto"/>
        </w:rPr>
      </w:pPr>
      <w:r>
        <w:rPr>
          <w:rFonts w:ascii="Arial" w:cs="Arial" w:eastAsia="Arial" w:hAnsi="Arial"/>
          <w:sz w:val="18"/>
          <w:szCs w:val="18"/>
          <w:color w:val="auto"/>
        </w:rPr>
        <w:t>time after filing or until issuance, we cannot be certain that we were the first to either (i) file any patent application related to our product candidates or (ii) invent any of the inventions claimed in our patents or patent applications.</w:t>
      </w:r>
    </w:p>
    <w:p>
      <w:pPr>
        <w:spacing w:after="0" w:line="170"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8"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8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200"/>
        <w:spacing w:after="0" w:line="277" w:lineRule="auto"/>
        <w:rPr>
          <w:sz w:val="20"/>
          <w:szCs w:val="20"/>
          <w:color w:val="auto"/>
        </w:rPr>
      </w:pPr>
      <w:r>
        <w:rPr>
          <w:rFonts w:ascii="Arial" w:cs="Arial" w:eastAsia="Arial" w:hAnsi="Arial"/>
          <w:sz w:val="18"/>
          <w:szCs w:val="18"/>
          <w:color w:val="auto"/>
        </w:rPr>
        <w:t>will need a license. If those organizations refuse to grant us a license to such patent rights on reasonable terms, we may not be able to market products or perform research and development or other activities covered by these patents.</w:t>
      </w:r>
    </w:p>
    <w:p>
      <w:pPr>
        <w:spacing w:after="0" w:line="27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4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391"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ind w:right="260" w:firstLine="509"/>
        <w:spacing w:after="0" w:line="254"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t>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7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7" w:lineRule="exact"/>
        <w:rPr>
          <w:sz w:val="20"/>
          <w:szCs w:val="20"/>
          <w:color w:val="auto"/>
        </w:rPr>
      </w:pPr>
    </w:p>
    <w:p>
      <w:pPr>
        <w:ind w:right="180" w:firstLine="509"/>
        <w:spacing w:after="0" w:line="285" w:lineRule="auto"/>
        <w:rPr>
          <w:sz w:val="20"/>
          <w:szCs w:val="20"/>
          <w:color w:val="auto"/>
        </w:rPr>
      </w:pPr>
      <w:r>
        <w:rPr>
          <w:rFonts w:ascii="Arial" w:cs="Arial" w:eastAsia="Arial" w:hAnsi="Arial"/>
          <w:sz w:val="16"/>
          <w:szCs w:val="16"/>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20" w:firstLine="509"/>
        <w:spacing w:after="0" w:line="255"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68"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7"/>
          <w:szCs w:val="17"/>
          <w:i w:val="1"/>
          <w:iCs w:val="1"/>
          <w:color w:val="auto"/>
        </w:rPr>
        <w:t>inter alia</w:t>
      </w:r>
      <w:r>
        <w:rPr>
          <w:rFonts w:ascii="Arial" w:cs="Arial" w:eastAsia="Arial" w:hAnsi="Arial"/>
          <w:sz w:val="17"/>
          <w:szCs w:val="17"/>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79"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00"/>
        <w:spacing w:after="0" w:line="277" w:lineRule="auto"/>
        <w:rPr>
          <w:sz w:val="20"/>
          <w:szCs w:val="20"/>
          <w:color w:val="auto"/>
        </w:rPr>
      </w:pPr>
      <w:r>
        <w:rPr>
          <w:rFonts w:ascii="Arial" w:cs="Arial" w:eastAsia="Arial" w:hAnsi="Arial"/>
          <w:sz w:val="18"/>
          <w:szCs w:val="18"/>
          <w:color w:val="auto"/>
        </w:rPr>
        <w:t>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0"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8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60" w:firstLine="509"/>
        <w:spacing w:after="0" w:line="266"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ind w:right="120"/>
        <w:spacing w:after="0" w:line="259" w:lineRule="auto"/>
        <w:rPr>
          <w:sz w:val="20"/>
          <w:szCs w:val="20"/>
          <w:color w:val="auto"/>
        </w:rPr>
      </w:pPr>
      <w:r>
        <w:rPr>
          <w:rFonts w:ascii="Arial" w:cs="Arial" w:eastAsia="Arial" w:hAnsi="Arial"/>
          <w:sz w:val="18"/>
          <w:szCs w:val="18"/>
          <w:color w:val="auto"/>
        </w:rPr>
        <w:t>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9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We expect our operating results to be subject to annual and quarterly fluctuations. Our net loss and other operating results will be affected by numerous factors, including, among others:</w:t>
      </w:r>
    </w:p>
    <w:p>
      <w:pPr>
        <w:spacing w:after="0" w:line="62" w:lineRule="exact"/>
        <w:rPr>
          <w:sz w:val="20"/>
          <w:szCs w:val="20"/>
          <w:color w:val="auto"/>
        </w:rPr>
      </w:pPr>
    </w:p>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or future development programs;</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or the addition or termination of clinical trials;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existing collaborations and any potential additional collaborations, licensing or similar arrangements;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00" w:right="240" w:hanging="36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00" w:hanging="36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our operating results fall below the expectations of investors or securities analysts, the price of our common stock could decline substantially.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any fluctuations in our operating results may, in turn, cause the price of our stock to fluctuate substantially.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62" w:lineRule="exact"/>
        <w:rPr>
          <w:sz w:val="20"/>
          <w:szCs w:val="20"/>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results of our clinical trials or those of our competitors;</w:t>
      </w:r>
    </w:p>
    <w:p>
      <w:pPr>
        <w:spacing w:after="0" w:line="117" w:lineRule="exact"/>
        <w:rPr>
          <w:rFonts w:ascii="Arial" w:cs="Arial" w:eastAsia="Arial" w:hAnsi="Arial"/>
          <w:sz w:val="18"/>
          <w:szCs w:val="18"/>
          <w:color w:val="auto"/>
        </w:rPr>
      </w:pPr>
    </w:p>
    <w:p>
      <w:pPr>
        <w:ind w:left="1000" w:right="66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current or future collaborators or our competitors, and the timing of these introductions or announcements;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collaboration agreements, or the restructuring or termination of current collaboration agreements;</w:t>
      </w:r>
    </w:p>
    <w:p>
      <w:pPr>
        <w:spacing w:after="0" w:line="117" w:lineRule="exact"/>
        <w:rPr>
          <w:rFonts w:ascii="Arial" w:cs="Arial" w:eastAsia="Arial" w:hAnsi="Arial"/>
          <w:sz w:val="18"/>
          <w:szCs w:val="18"/>
          <w:color w:val="auto"/>
        </w:rPr>
      </w:pPr>
    </w:p>
    <w:p>
      <w:pPr>
        <w:ind w:left="1000" w:right="48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preclinical studies, clinical trials, manufacturing process or sales and marketing terms;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developments concerning any future collaborations, including those regarding manufacturing, supply and commercialization of our products;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00" w:right="16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36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analysts’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500" w:firstLine="509"/>
        <w:spacing w:after="0" w:line="255"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8"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auto"/>
        </w:rPr>
        <w:t>As of June 30, 2023, executive officers and directors, together with holders of 5% or more of our outstanding common stock and their respective affiliates, beneficially own approximately 36.6% of our outstanding common stock. More specifically, Jay M. Short, Ph.D, our Chairman and Chief Executive Officer, together with his spouse, beneficially own approximately 6.3%, of our outstanding common stock, as of June 30, 2023.</w:t>
      </w:r>
    </w:p>
    <w:p>
      <w:pPr>
        <w:spacing w:after="0" w:line="14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77"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8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7"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plans, which shares will be able to be sold in the public market upon issuance, subject to applicable securities laws and the lock-up agreements.</w:t>
      </w:r>
    </w:p>
    <w:p>
      <w:pPr>
        <w:spacing w:after="0" w:line="34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00" w:right="220" w:hanging="368"/>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38" w:lineRule="exact"/>
        <w:rPr>
          <w:rFonts w:ascii="Arial" w:cs="Arial" w:eastAsia="Arial" w:hAnsi="Arial"/>
          <w:sz w:val="17"/>
          <w:szCs w:val="17"/>
          <w:color w:val="auto"/>
        </w:rPr>
      </w:pPr>
    </w:p>
    <w:p>
      <w:pPr>
        <w:ind w:left="1000" w:hanging="368"/>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with 66 2/3% voting stock of our stockholders;</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only the board of directors may change the number of directors and fill vacancies on the board;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00" w:hanging="36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79"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4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Each of these measures has been challenged in court, and although judges of the California Superior Court ruled that AB 979 and SB 826 violate the California constitution in April 2022 and May 2022, respectively, the Secretary of State of the State of California has appealed such rulings, and the ultimate enforceability of these or similar laws remains uncertain.</w:t>
      </w:r>
    </w:p>
    <w:p>
      <w:pPr>
        <w:spacing w:after="0" w:line="292"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79" w:lineRule="exact"/>
        <w:rPr>
          <w:sz w:val="20"/>
          <w:szCs w:val="20"/>
          <w:color w:val="auto"/>
        </w:rPr>
      </w:pPr>
    </w:p>
    <w:p>
      <w:pPr>
        <w:ind w:right="800" w:firstLine="509"/>
        <w:spacing w:after="0" w:line="274" w:lineRule="auto"/>
        <w:rPr>
          <w:sz w:val="20"/>
          <w:szCs w:val="20"/>
          <w:color w:val="auto"/>
        </w:rPr>
      </w:pPr>
      <w:r>
        <w:rPr>
          <w:rFonts w:ascii="Arial" w:cs="Arial" w:eastAsia="Arial" w:hAnsi="Arial"/>
          <w:sz w:val="17"/>
          <w:szCs w:val="17"/>
          <w:color w:val="auto"/>
        </w:rPr>
        <w:t>Failure to achieve designated minimum gender and diversity levels in a timely manner exposes such companies to financial penalties and reputational harm. While we are currently in compliance with these regulations, we cannot assure that we can recruit,</w:t>
      </w: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5" w:name="page66"/>
    <w:bookmarkEnd w:id="65"/>
    <w:p>
      <w:pPr>
        <w:ind w:right="360"/>
        <w:spacing w:after="0" w:line="277" w:lineRule="auto"/>
        <w:rPr>
          <w:sz w:val="20"/>
          <w:szCs w:val="20"/>
          <w:color w:val="auto"/>
        </w:rPr>
      </w:pPr>
      <w:r>
        <w:rPr>
          <w:rFonts w:ascii="Arial" w:cs="Arial" w:eastAsia="Arial" w:hAnsi="Arial"/>
          <w:sz w:val="18"/>
          <w:szCs w:val="18"/>
          <w:color w:val="auto"/>
        </w:rPr>
        <w:t>attract and/or retain qualified members of the board and meet gender and diversity quotas as a result of the California laws or Nasdaq rules, which may expose us to penalties and/or reputational harm.</w:t>
      </w:r>
    </w:p>
    <w:p>
      <w:pPr>
        <w:spacing w:after="0" w:line="27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5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more time-consuming and costly. For example, compared to our prior private company status, these rules and regulations make it more difficult and more expensive for us to obtain director and officer liability insurance, and required us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6"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 Since January 1, 2023, we are a smaller reporting company and therefore, are no longer required to include an attestation report on internal control over financial reporting by our independent registered public accounting firm for as long as we remain a smaller reporting company.</w:t>
      </w:r>
    </w:p>
    <w:p>
      <w:pPr>
        <w:spacing w:after="0" w:line="17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right="100" w:firstLine="509"/>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our management’s attention.</w:t>
      </w:r>
    </w:p>
    <w:p>
      <w:pPr>
        <w:spacing w:after="0" w:line="117"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220" w:firstLine="509"/>
        <w:spacing w:after="0" w:line="277" w:lineRule="auto"/>
        <w:rPr>
          <w:sz w:val="20"/>
          <w:szCs w:val="20"/>
          <w:color w:val="auto"/>
        </w:rPr>
      </w:pPr>
      <w:r>
        <w:rPr>
          <w:rFonts w:ascii="Arial" w:cs="Arial" w:eastAsia="Arial" w:hAnsi="Arial"/>
          <w:sz w:val="18"/>
          <w:szCs w:val="18"/>
          <w:color w:val="auto"/>
        </w:rPr>
        <w:t>As of June 30, 2023, we have used approximately $162.3 million of the proceeds from our IPO. There has been no material change in the planned use of such proceeds from that described in the final prospectus filed by us with the SEC on December 17,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00" w:type="dxa"/>
            <w:vAlign w:val="bottom"/>
            <w:gridSpan w:val="10"/>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Form</w:t>
            </w:r>
          </w:p>
        </w:tc>
        <w:tc>
          <w:tcPr>
            <w:tcW w:w="13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Exhibit</w:t>
            </w:r>
          </w:p>
        </w:tc>
        <w:tc>
          <w:tcPr>
            <w:tcW w:w="15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 Filing Date</w:t>
            </w:r>
          </w:p>
        </w:tc>
        <w:tc>
          <w:tcPr>
            <w:tcW w:w="124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File/Furnished</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1000" w:type="dxa"/>
            <w:vAlign w:val="bottom"/>
          </w:tcPr>
          <w:p>
            <w:pPr>
              <w:ind w:left="20"/>
              <w:spacing w:after="0" w:line="18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5"/>
                <w:szCs w:val="15"/>
                <w:color w:val="auto"/>
              </w:rPr>
            </w:pPr>
          </w:p>
        </w:tc>
        <w:tc>
          <w:tcPr>
            <w:tcW w:w="242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1"/>
              </w:rPr>
              <w:t>Form of Stock Option Agreement</w:t>
            </w:r>
          </w:p>
        </w:tc>
        <w:tc>
          <w:tcPr>
            <w:tcW w:w="12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0000FF"/>
              </w:rPr>
              <w:t>Form of Stock Option Agreement (25%)</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0000FF"/>
              </w:rPr>
              <w:t>Form of Stock Option Agreement (50%)</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35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Chief Executive Officer Pursuant</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89"/>
              </w:rPr>
              <w:t>to Rules 13a-14(a) and 15d-14(a) as Adopted</w:t>
            </w:r>
          </w:p>
        </w:tc>
        <w:tc>
          <w:tcPr>
            <w:tcW w:w="4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31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37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3"/>
              </w:rPr>
              <w:t>Certification of Chief Financial Officer Pursuant to</w:t>
            </w:r>
          </w:p>
        </w:tc>
        <w:tc>
          <w:tcPr>
            <w:tcW w:w="20" w:type="dxa"/>
            <w:vAlign w:val="bottom"/>
            <w:tcBorders>
              <w:bottom w:val="single" w:sz="8" w:color="0000FF"/>
            </w:tcBorders>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Rules 13a-14(a) and 15d-14(a) as Adopted</w:t>
            </w:r>
          </w:p>
        </w:tc>
        <w:tc>
          <w:tcPr>
            <w:tcW w:w="6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31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3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4"/>
              </w:rPr>
              <w:t>Certification of Chief Executive Officer and Chief</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1"/>
              </w:rPr>
              <w:t>Financial Officer Pursuant to 18 U.S.C. Section</w:t>
            </w:r>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0"/>
              </w:rPr>
              <w:t>1350, as Adopted Pursuant to Section 906 of the</w:t>
            </w:r>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00" w:type="dxa"/>
            <w:vAlign w:val="bottom"/>
            <w:gridSpan w:val="11"/>
          </w:tcPr>
          <w:p>
            <w:pPr>
              <w:spacing w:after="0" w:line="196" w:lineRule="exact"/>
              <w:rPr>
                <w:sz w:val="20"/>
                <w:szCs w:val="20"/>
                <w:color w:val="auto"/>
              </w:rPr>
            </w:pPr>
            <w:r>
              <w:rPr>
                <w:rFonts w:ascii="Arial" w:cs="Arial" w:eastAsia="Arial" w:hAnsi="Arial"/>
                <w:sz w:val="18"/>
                <w:szCs w:val="18"/>
                <w:color w:val="0000FF"/>
              </w:rPr>
              <w:t>Sarbanes-Oxley Act of 2002.</w:t>
            </w: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1"/>
                <w:szCs w:val="21"/>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8"/>
              </w:rPr>
              <w:t>Inline XBRL Instance Document – the instance</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3"/>
              </w:rPr>
              <w:t>document does not appear in the Interactive Data</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3"/>
              </w:rPr>
              <w:t>File because XBRL tags are embedded within the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rPr>
              <w:t>Inline XBRL document.</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7"/>
              </w:rPr>
              <w:t>The following materials from BioAtla’s Quarterly</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4"/>
              </w:rPr>
              <w:t>Report on Form 10-Q for the quarter ended June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8"/>
              </w:rPr>
              <w:t>30, 2023, formatted in iXBRL (inline eXtensible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1"/>
              </w:rPr>
              <w:t>Business Reporting Language): (i) the Condensed</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2"/>
              </w:rPr>
              <w:t>Balance Sheets, (ii) the Condensed Statements of</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rPr>
              <w:t>Operations and Comprehensive Loss, (iii) the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0"/>
              </w:rPr>
              <w:t>Condensed Statements of Stockholders’ Equity (iv)</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1"/>
              </w:rPr>
              <w:t>the Condensed Statements of Cash Flows, and (v)</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1"/>
              </w:rPr>
              <w:t>Notes to Condensed Financial Statements, tagged</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rPr>
              <w:t>as blocks of text and including detailed tags</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9"/>
              </w:rPr>
              <w:t>Cover Page Interactive Data File (formatted as</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gridSpan w:val="11"/>
          </w:tcPr>
          <w:p>
            <w:pPr>
              <w:spacing w:after="0"/>
              <w:rPr>
                <w:sz w:val="20"/>
                <w:szCs w:val="20"/>
                <w:color w:val="auto"/>
              </w:rPr>
            </w:pPr>
            <w:r>
              <w:rPr>
                <w:rFonts w:ascii="Arial" w:cs="Arial" w:eastAsia="Arial" w:hAnsi="Arial"/>
                <w:sz w:val="18"/>
                <w:szCs w:val="18"/>
                <w:color w:val="auto"/>
                <w:w w:val="98"/>
              </w:rPr>
              <w:t>Inline XBRL document and contained in exhibit</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Furnished and not filed.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ind w:left="20"/>
        <w:spacing w:after="0"/>
        <w:tabs>
          <w:tab w:leader="none" w:pos="556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556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ind w:left="10120"/>
        <w:spacing w:after="0"/>
        <w:rPr>
          <w:sz w:val="20"/>
          <w:szCs w:val="20"/>
          <w:color w:val="auto"/>
        </w:rPr>
      </w:pPr>
      <w:r>
        <w:rPr>
          <w:rFonts w:ascii="Arial" w:cs="Arial" w:eastAsia="Arial" w:hAnsi="Arial"/>
          <w:sz w:val="19"/>
          <w:szCs w:val="19"/>
          <w:b w:val="1"/>
          <w:bCs w:val="1"/>
          <w:u w:val="single" w:color="auto"/>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Form]</w:t>
      </w:r>
    </w:p>
    <w:p>
      <w:pPr>
        <w:spacing w:after="0" w:line="206" w:lineRule="exact"/>
        <w:rPr>
          <w:sz w:val="20"/>
          <w:szCs w:val="20"/>
          <w:color w:val="auto"/>
        </w:rPr>
      </w:pPr>
    </w:p>
    <w:p>
      <w:pPr>
        <w:ind w:left="8660"/>
        <w:spacing w:after="0"/>
        <w:rPr>
          <w:sz w:val="20"/>
          <w:szCs w:val="20"/>
          <w:color w:val="auto"/>
        </w:rPr>
      </w:pPr>
      <w:r>
        <w:rPr>
          <w:rFonts w:ascii="Arial" w:cs="Arial" w:eastAsia="Arial" w:hAnsi="Arial"/>
          <w:sz w:val="19"/>
          <w:szCs w:val="19"/>
          <w:b w:val="1"/>
          <w:bCs w:val="1"/>
          <w:color w:val="auto"/>
        </w:rPr>
        <w:t xml:space="preserve">Stock Option No: </w:t>
      </w:r>
      <w:r>
        <w:rPr>
          <w:rFonts w:ascii="Arial" w:cs="Arial" w:eastAsia="Arial" w:hAnsi="Arial"/>
          <w:sz w:val="19"/>
          <w:szCs w:val="19"/>
          <w:b w:val="1"/>
          <w:bCs w:val="1"/>
          <w:i w:val="1"/>
          <w:iCs w:val="1"/>
          <w:u w:val="single" w:color="auto"/>
          <w:color w:val="auto"/>
        </w:rPr>
        <w:t>See Carta</w:t>
      </w:r>
    </w:p>
    <w:p>
      <w:pPr>
        <w:spacing w:after="0" w:line="241"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STOCK OPTION AGREEMENT</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UNDER THE BIOATLA, INC.</w:t>
      </w: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 xml:space="preserve">THIS STOCK OPTION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between BioAtla, Inc., a Delaware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BioAtla, Inc. 2020 Equity Incentive Plan (as it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restated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Plan permits the Company to award options to purchase shares of the Company’s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$0.0001 par value per share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subject to the terms of the Plan; and</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an option to purchase Shares to the Grantee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62"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the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16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Section 1.</w:t>
      </w:r>
      <w:r>
        <w:rPr>
          <w:rFonts w:ascii="Arial" w:cs="Arial" w:eastAsia="Arial" w:hAnsi="Arial"/>
          <w:sz w:val="22"/>
          <w:szCs w:val="22"/>
          <w:u w:val="single" w:color="auto"/>
          <w:color w:val="auto"/>
        </w:rPr>
        <w:t>Grant of Option</w:t>
      </w:r>
      <w:r>
        <w:rPr>
          <w:rFonts w:ascii="Arial" w:cs="Arial" w:eastAsia="Arial" w:hAnsi="Arial"/>
          <w:sz w:val="22"/>
          <w:szCs w:val="22"/>
          <w:color w:val="auto"/>
        </w:rPr>
        <w:t xml:space="preserve">. Effective as of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 xml:space="preserve">”), the Company grants to the Grantee, pursuant to the Plan and the terms and conditions of this Agreement, an option to purchase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Shares at an exercise price per Share equal to </w:t>
      </w:r>
      <w:r>
        <w:rPr>
          <w:rFonts w:ascii="Arial" w:cs="Arial" w:eastAsia="Arial" w:hAnsi="Arial"/>
          <w:sz w:val="22"/>
          <w:szCs w:val="22"/>
          <w:b w:val="1"/>
          <w:bCs w:val="1"/>
          <w:i w:val="1"/>
          <w:iCs w:val="1"/>
          <w:color w:val="auto"/>
        </w:rPr>
        <w:t>See Carta</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The Option is not, and is not intended to be, an Incentive Stock Option under Section 422 of the Code.</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Section 2.</w:t>
      </w:r>
      <w:r>
        <w:rPr>
          <w:rFonts w:ascii="Arial" w:cs="Arial" w:eastAsia="Arial" w:hAnsi="Arial"/>
          <w:sz w:val="22"/>
          <w:szCs w:val="22"/>
          <w:u w:val="single" w:color="auto"/>
          <w:color w:val="auto"/>
        </w:rPr>
        <w:t>Term of Option</w:t>
      </w:r>
      <w:r>
        <w:rPr>
          <w:rFonts w:ascii="Arial" w:cs="Arial" w:eastAsia="Arial" w:hAnsi="Arial"/>
          <w:sz w:val="22"/>
          <w:szCs w:val="22"/>
          <w:color w:val="auto"/>
        </w:rPr>
        <w:t>. Unless earlier terminated pursuant to the Plan or the other provisions of this Agreement, the Option shall terminate at 5 p.m. Pacific time on the 10</w:t>
      </w:r>
      <w:r>
        <w:rPr>
          <w:rFonts w:ascii="Arial" w:cs="Arial" w:eastAsia="Arial" w:hAnsi="Arial"/>
          <w:sz w:val="14"/>
          <w:szCs w:val="14"/>
          <w:color w:val="auto"/>
        </w:rPr>
        <w:t>th</w:t>
      </w:r>
      <w:r>
        <w:rPr>
          <w:rFonts w:ascii="Arial" w:cs="Arial" w:eastAsia="Arial" w:hAnsi="Arial"/>
          <w:sz w:val="22"/>
          <w:szCs w:val="22"/>
          <w:color w:val="auto"/>
        </w:rPr>
        <w:t xml:space="preserve"> anniversary of the Date of Grant (the “</w:t>
      </w:r>
      <w:r>
        <w:rPr>
          <w:rFonts w:ascii="Arial" w:cs="Arial" w:eastAsia="Arial" w:hAnsi="Arial"/>
          <w:sz w:val="22"/>
          <w:szCs w:val="22"/>
          <w:b w:val="1"/>
          <w:bCs w:val="1"/>
          <w:i w:val="1"/>
          <w:iCs w:val="1"/>
          <w:color w:val="auto"/>
        </w:rPr>
        <w:t>Expiration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186" w:lineRule="exact"/>
        <w:rPr>
          <w:sz w:val="20"/>
          <w:szCs w:val="20"/>
          <w:color w:val="auto"/>
        </w:rPr>
      </w:pPr>
    </w:p>
    <w:p>
      <w:pPr>
        <w:jc w:val="both"/>
        <w:ind w:firstLine="1505"/>
        <w:spacing w:after="0" w:line="282" w:lineRule="auto"/>
        <w:tabs>
          <w:tab w:leader="none" w:pos="2036"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Except as otherwise provided in Section 7.2 of the Plan or as provided </w:t>
      </w:r>
      <w:r>
        <w:rPr>
          <w:rFonts w:ascii="Arial" w:cs="Arial" w:eastAsia="Arial" w:hAnsi="Arial"/>
          <w:sz w:val="19"/>
          <w:szCs w:val="19"/>
          <w:b w:val="1"/>
          <w:bCs w:val="1"/>
          <w:i w:val="1"/>
          <w:iCs w:val="1"/>
          <w:color w:val="auto"/>
        </w:rPr>
        <w:t>in Carta</w:t>
      </w:r>
      <w:r>
        <w:rPr>
          <w:rFonts w:ascii="Arial" w:cs="Arial" w:eastAsia="Arial" w:hAnsi="Arial"/>
          <w:sz w:val="19"/>
          <w:szCs w:val="19"/>
          <w:color w:val="auto"/>
        </w:rPr>
        <w:t>, upon the Grantee’s termination of Service (defined below) with the Company and its Subsidiaries for any reason whatsoever, the Option shall terminate as to that number of Shares as to which the Option is not vested at the time of such termination of Service, without any compensation or other payment due to the Grantee or any other Person. For purposes of this Agreement, “Service” shall mean continuous service as an employee, non-employee member of the Company’s Board of Directors or independent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both"/>
        <w:ind w:left="-1120" w:firstLine="1505"/>
        <w:spacing w:after="0"/>
        <w:tabs>
          <w:tab w:leader="none" w:pos="9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the Grantee’s Service with the Company or any of its Subsidiaries is terminated for Cause, then the unexercised portion of the Option (whether or not vested) will terminate immediately upon such termination of Service, without any compensation or other payment due to the Grantee or any other Person.</w:t>
      </w:r>
    </w:p>
    <w:p>
      <w:pPr>
        <w:spacing w:after="0" w:line="186" w:lineRule="exact"/>
        <w:rPr>
          <w:rFonts w:ascii="Arial" w:cs="Arial" w:eastAsia="Arial" w:hAnsi="Arial"/>
          <w:sz w:val="22"/>
          <w:szCs w:val="22"/>
          <w:color w:val="auto"/>
        </w:rPr>
      </w:pPr>
    </w:p>
    <w:p>
      <w:pPr>
        <w:jc w:val="both"/>
        <w:ind w:left="-1120" w:firstLine="1505"/>
        <w:spacing w:after="0" w:line="273" w:lineRule="auto"/>
        <w:tabs>
          <w:tab w:leader="none" w:pos="9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Except as otherwise provided in Section 7.2 of the Plan, if the Grantee’s Service with the Company and its Subsidiaries terminates for any reason other than Cause, death or Disability, then the Option may be exercised to the extent vested at the time of such termination of Service at any time prior to the earlier of the Expiration Date and 90 days after such termination of Service, and any part of the Option which is not exercised within such period shall terminate at the end of such period without any compensation or other payment due to the Grantee or any other Person. Except as otherwise provided in Section 7.2 of the Plan, if the Grantee’s Service with the Company and its Subsidiaries terminates by reason of his or her death or Disability, then the Option may be exercised, as to the number of whole Shares with respect to which the Option is vested and exercisable at the time of such death or Disability, at any time prior to the earlier of the Expiration Date and twelve (12) months after such termination of Service, and any part of the Option which is not exercised within such period shall terminate at the end of such period without any compensation or other payment due to the Grantee or any other Person.</w:t>
      </w:r>
    </w:p>
    <w:p>
      <w:pPr>
        <w:spacing w:after="0" w:line="160" w:lineRule="exact"/>
        <w:rPr>
          <w:rFonts w:ascii="Arial" w:cs="Arial" w:eastAsia="Arial" w:hAnsi="Arial"/>
          <w:sz w:val="19"/>
          <w:szCs w:val="19"/>
          <w:color w:val="auto"/>
        </w:rPr>
      </w:pPr>
    </w:p>
    <w:p>
      <w:pPr>
        <w:jc w:val="both"/>
        <w:ind w:left="-1120" w:firstLine="1505"/>
        <w:spacing w:after="0"/>
        <w:tabs>
          <w:tab w:leader="none" w:pos="9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Committee, in its absolute discretion, shall determine the effect of all matters and questions relating to termination of Service, including, but not by way of limitation, the question of whether a termination of Service resulted from Cause.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Section 3.</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The Option shall vest and become exercisable as shown </w:t>
      </w:r>
      <w:r>
        <w:rPr>
          <w:rFonts w:ascii="Arial" w:cs="Arial" w:eastAsia="Arial" w:hAnsi="Arial"/>
          <w:sz w:val="22"/>
          <w:szCs w:val="22"/>
          <w:b w:val="1"/>
          <w:bCs w:val="1"/>
          <w:i w:val="1"/>
          <w:iCs w:val="1"/>
          <w:color w:val="auto"/>
        </w:rPr>
        <w:t>in Carta</w:t>
      </w:r>
      <w:r>
        <w:rPr>
          <w:rFonts w:ascii="Arial" w:cs="Arial" w:eastAsia="Arial" w:hAnsi="Arial"/>
          <w:sz w:val="22"/>
          <w:szCs w:val="22"/>
          <w:color w:val="auto"/>
        </w:rPr>
        <w:t>.</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Section 4.</w:t>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sz w:val="20"/>
          <w:szCs w:val="20"/>
          <w:color w:val="auto"/>
        </w:rPr>
      </w:pPr>
    </w:p>
    <w:p>
      <w:pPr>
        <w:jc w:val="both"/>
        <w:ind w:left="-1120" w:firstLine="1505"/>
        <w:spacing w:after="0" w:line="248" w:lineRule="auto"/>
        <w:tabs>
          <w:tab w:leader="none" w:pos="916" w:val="left"/>
        </w:tabs>
        <w:numPr>
          <w:ilvl w:val="0"/>
          <w:numId w:val="33"/>
        </w:numPr>
        <w:rPr>
          <w:rFonts w:ascii="Arial" w:cs="Arial" w:eastAsia="Arial" w:hAnsi="Arial"/>
          <w:sz w:val="21"/>
          <w:szCs w:val="21"/>
          <w:color w:val="auto"/>
        </w:rPr>
      </w:pPr>
      <w:r>
        <w:rPr>
          <w:rFonts w:ascii="Arial" w:cs="Arial" w:eastAsia="Arial" w:hAnsi="Arial"/>
          <w:sz w:val="21"/>
          <w:szCs w:val="21"/>
          <w:color w:val="auto"/>
        </w:rPr>
        <w:t>To exercise the Option, the Grantee shall comply with such procedures for exercise as the Committee shall have adopted, as may be in effect from time to time. Payment of the exercise price and all applicable withholding taxes shall be (i) in cash or (ii) through a broker-assisted cashless exercise or (iii) a combination of (i) and (ii), as elected by the Grantee. Any exercise of the Option is conditioned on Grantee’s payment to the Company in full of the aggregate exercise price (as described in the preceding sentence) of the portion of the Option being exercised, plus the amount of the withholding taxes determined by the Company to be due upon the purchase of such number of Shares.</w:t>
      </w:r>
    </w:p>
    <w:p>
      <w:pPr>
        <w:spacing w:after="0" w:line="176" w:lineRule="exact"/>
        <w:rPr>
          <w:rFonts w:ascii="Arial" w:cs="Arial" w:eastAsia="Arial" w:hAnsi="Arial"/>
          <w:sz w:val="21"/>
          <w:szCs w:val="21"/>
          <w:color w:val="auto"/>
        </w:rPr>
      </w:pPr>
    </w:p>
    <w:p>
      <w:pPr>
        <w:jc w:val="both"/>
        <w:ind w:left="-1120" w:firstLine="1505"/>
        <w:spacing w:after="0"/>
        <w:tabs>
          <w:tab w:leader="none" w:pos="9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date on which the Company receives the notice of exercise accompanied by payment in full of the exercise price for the Shares covered by the notice and the applicable withholding taxes shall be the date as of which the Shares shall be deemed to have been issued.</w:t>
      </w:r>
    </w:p>
    <w:p>
      <w:pPr>
        <w:spacing w:after="0" w:line="186" w:lineRule="exact"/>
        <w:rPr>
          <w:rFonts w:ascii="Arial" w:cs="Arial" w:eastAsia="Arial" w:hAnsi="Arial"/>
          <w:sz w:val="22"/>
          <w:szCs w:val="22"/>
          <w:color w:val="auto"/>
        </w:rPr>
      </w:pPr>
    </w:p>
    <w:p>
      <w:pPr>
        <w:jc w:val="both"/>
        <w:ind w:left="-1120" w:firstLine="1505"/>
        <w:spacing w:after="0" w:line="287" w:lineRule="auto"/>
        <w:tabs>
          <w:tab w:leader="none" w:pos="9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To exercise the Option following the Grantee’s death, the Persons who acquire the right to exercise the Option must prove to the Committee’s satisfaction that they have duly acquired the Option and that they have paid (or have provided for payment of) any taxes, such as estate, transfer, inheritance or death taxes, payable with respect to the Option or the Shares to which it relates, in addition to satisfying the other terms and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314325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72" w:name="page73"/>
    <w:bookmarkEnd w:id="72"/>
    <w:p>
      <w:pPr>
        <w:ind w:left="1500"/>
        <w:spacing w:after="0"/>
        <w:rPr>
          <w:sz w:val="20"/>
          <w:szCs w:val="20"/>
          <w:color w:val="auto"/>
        </w:rPr>
      </w:pPr>
      <w:r>
        <w:rPr>
          <w:rFonts w:ascii="Arial" w:cs="Arial" w:eastAsia="Arial" w:hAnsi="Arial"/>
          <w:sz w:val="21"/>
          <w:szCs w:val="21"/>
          <w:color w:val="auto"/>
        </w:rPr>
        <w:t>Section 5.</w:t>
      </w:r>
      <w:r>
        <w:rPr>
          <w:rFonts w:ascii="Arial" w:cs="Arial" w:eastAsia="Arial" w:hAnsi="Arial"/>
          <w:sz w:val="21"/>
          <w:szCs w:val="21"/>
          <w:u w:val="single" w:color="auto"/>
          <w:color w:val="auto"/>
        </w:rPr>
        <w:t>Transferability</w:t>
      </w:r>
      <w:r>
        <w:rPr>
          <w:rFonts w:ascii="Arial" w:cs="Arial" w:eastAsia="Arial" w:hAnsi="Arial"/>
          <w:sz w:val="21"/>
          <w:szCs w:val="21"/>
          <w:color w:val="auto"/>
        </w:rPr>
        <w:t>. The Option may only be transferred in accordance with Section 12 of the Plan.</w:t>
      </w:r>
    </w:p>
    <w:p>
      <w:pPr>
        <w:spacing w:after="0" w:line="218"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Section 6.</w:t>
      </w:r>
      <w:r>
        <w:rPr>
          <w:rFonts w:ascii="Arial" w:cs="Arial" w:eastAsia="Arial" w:hAnsi="Arial"/>
          <w:sz w:val="22"/>
          <w:szCs w:val="22"/>
          <w:u w:val="single" w:color="auto"/>
          <w:color w:val="auto"/>
        </w:rPr>
        <w:t>Withholding Taxes</w:t>
      </w:r>
      <w:r>
        <w:rPr>
          <w:rFonts w:ascii="Arial" w:cs="Arial" w:eastAsia="Arial" w:hAnsi="Arial"/>
          <w:sz w:val="22"/>
          <w:szCs w:val="22"/>
          <w:color w:val="auto"/>
        </w:rPr>
        <w:t>. The Grantee shall be responsible for making appropriate provision for all taxes required to be withheld in connection with the Option (including the exercise thereof). Such responsibility shall extend to all applicable federal, state, local and foreign withholding taxes. The Company or its Subsidiaries, in their sole discretion, shall have the right to retain from the Shares otherwise deliverable on exercise of the Option the number of shares whose Fair Market Value equals the amount to be withheld in satisfaction of the applicable withholding taxes (or to withhold from any payroll or other amounts otherwise due to the Grantee the amount of withholding taxes due in connection with the Option (including the exercise thereof)).</w:t>
      </w:r>
    </w:p>
    <w:p>
      <w:pPr>
        <w:spacing w:after="0" w:line="191"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Section 7.</w:t>
      </w:r>
      <w:r>
        <w:rPr>
          <w:rFonts w:ascii="Arial" w:cs="Arial" w:eastAsia="Arial" w:hAnsi="Arial"/>
          <w:sz w:val="19"/>
          <w:szCs w:val="19"/>
          <w:u w:val="single" w:color="auto"/>
          <w:color w:val="auto"/>
        </w:rPr>
        <w:t>The Plan</w:t>
      </w:r>
      <w:r>
        <w:rPr>
          <w:rFonts w:ascii="Arial" w:cs="Arial" w:eastAsia="Arial" w:hAnsi="Arial"/>
          <w:sz w:val="19"/>
          <w:szCs w:val="19"/>
          <w:color w:val="auto"/>
        </w:rPr>
        <w:t>. The Grantee has received a copy of the Plan, has read the Plan and is familiar with its terms, and hereby accepts the Option subject to all of the terms and provisions of the Plan and this Agreement. The Option is subject to all of the terms and provisions of the Plan, all of which are incorporated by reference. Pursuant to the Plan, the Committee is authorized to interpret the Plan and to adopt rules and regulations not inconsistent with the Plan as it deems appropriate. The Grantee hereby agrees to accept as binding, conclusive and final all decisions and interpretations of the Committee with respect to the Plan, this Agreement, the Option and any agreement relating to the Option. In the event of a conflict between the terms of the Plan and the terms of this Agreement, the terms of the Plan shall control.</w:t>
      </w:r>
    </w:p>
    <w:p>
      <w:pPr>
        <w:spacing w:after="0" w:line="152"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Section 8.</w:t>
      </w:r>
      <w:r>
        <w:rPr>
          <w:rFonts w:ascii="Arial" w:cs="Arial" w:eastAsia="Arial" w:hAnsi="Arial"/>
          <w:sz w:val="19"/>
          <w:szCs w:val="19"/>
          <w:u w:val="single" w:color="auto"/>
          <w:color w:val="auto"/>
        </w:rPr>
        <w:t>Rights in Shares Before Issuance and Delivery</w:t>
      </w:r>
      <w:r>
        <w:rPr>
          <w:rFonts w:ascii="Arial" w:cs="Arial" w:eastAsia="Arial" w:hAnsi="Arial"/>
          <w:sz w:val="19"/>
          <w:szCs w:val="19"/>
          <w:color w:val="auto"/>
        </w:rPr>
        <w:t>. The Grantee shall not have any rights as a stockholder of the Company with respect to the Shares underlying the Option unless and until the Option has been exercised and such Shares have been issued to the Grantee as fully paid Shares. No adjustment shall be made for dividends, distributions, or other rights for which the record date is prior to the date the Shares are issued, except as provided in Section 8 of the Plan.</w:t>
      </w:r>
    </w:p>
    <w:p>
      <w:pPr>
        <w:spacing w:after="0" w:line="14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Section 9.</w:t>
      </w:r>
      <w:r>
        <w:rPr>
          <w:rFonts w:ascii="Arial" w:cs="Arial" w:eastAsia="Arial" w:hAnsi="Arial"/>
          <w:sz w:val="22"/>
          <w:szCs w:val="22"/>
          <w:u w:val="single" w:color="auto"/>
          <w:color w:val="auto"/>
        </w:rPr>
        <w:t>No Promise of Employment or Other Service</w:t>
      </w:r>
      <w:r>
        <w:rPr>
          <w:rFonts w:ascii="Arial" w:cs="Arial" w:eastAsia="Arial" w:hAnsi="Arial"/>
          <w:sz w:val="22"/>
          <w:szCs w:val="22"/>
          <w:color w:val="auto"/>
        </w:rPr>
        <w:t>. Neither the Plan nor the granting, holding, vesting or exercise of the Option will confer upon the Grantee any right to continue in the employ or other service of the Company or any Subsidiary, or limit, in any respect, the right of the Company or any Subsidiary to terminate the Grantee at any time, for any reason and with or without notice.</w:t>
      </w:r>
    </w:p>
    <w:p>
      <w:pPr>
        <w:spacing w:after="0" w:line="185"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Section 10.</w:t>
      </w:r>
      <w:r>
        <w:rPr>
          <w:rFonts w:ascii="Arial" w:cs="Arial" w:eastAsia="Arial" w:hAnsi="Arial"/>
          <w:sz w:val="22"/>
          <w:szCs w:val="22"/>
          <w:u w:val="single" w:color="auto"/>
          <w:color w:val="auto"/>
        </w:rPr>
        <w:t>Qualifications to Exercise</w:t>
      </w:r>
      <w:r>
        <w:rPr>
          <w:rFonts w:ascii="Arial" w:cs="Arial" w:eastAsia="Arial" w:hAnsi="Arial"/>
          <w:sz w:val="22"/>
          <w:szCs w:val="22"/>
          <w:color w:val="auto"/>
        </w:rPr>
        <w:t>. Notwithstanding anything in this Agreement or in the Plan to the contrary, in no event may the Option be exercisable if the Company shall, at any time and in its sole discretion, determine that (a) the listing, registration or qualification of any Shares otherwise deliverable upon such exercise is required upon any securities exchange or under any state, federal, or foreign law, or (b) the consent or approval of any regulatory body is necessary or desirable in connection with such exercise. In such event, such exercise shall be held in abeyance and shall not be effective unless and until such listing, registration, qualification or approval shall have been effected or obtained free of any conditions not acceptable to the Company (regardless of any termination of the Option prior to such listing, registration, qualification or approval). The inability of the Company to obtain from any regulatory body having jurisdiction the authority, if any, deemed by the Company’s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jc w:val="both"/>
        <w:spacing w:after="0"/>
        <w:rPr>
          <w:sz w:val="20"/>
          <w:szCs w:val="20"/>
          <w:color w:val="auto"/>
        </w:rPr>
      </w:pPr>
      <w:r>
        <w:rPr>
          <w:rFonts w:ascii="Arial" w:cs="Arial" w:eastAsia="Arial" w:hAnsi="Arial"/>
          <w:sz w:val="22"/>
          <w:szCs w:val="22"/>
          <w:color w:val="auto"/>
        </w:rPr>
        <w:t>to be necessary to the lawful issuance and sale of any Shares subject to the Option shall relieve the Company of any liability in respect of the failure to issue or sell such Shares as to which such requisite authority shall not have been obtained. The Company shall not be required to issue fractional Shares upon the exercise of the Option.</w:t>
      </w:r>
    </w:p>
    <w:p>
      <w:pPr>
        <w:spacing w:after="0" w:line="18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Section 11.</w:t>
      </w:r>
      <w:r>
        <w:rPr>
          <w:rFonts w:ascii="Arial" w:cs="Arial" w:eastAsia="Arial" w:hAnsi="Arial"/>
          <w:sz w:val="19"/>
          <w:szCs w:val="19"/>
          <w:u w:val="single" w:color="auto"/>
          <w:color w:val="auto"/>
        </w:rPr>
        <w:t>Conditions to Transfer</w:t>
      </w:r>
      <w:r>
        <w:rPr>
          <w:rFonts w:ascii="Arial" w:cs="Arial" w:eastAsia="Arial" w:hAnsi="Arial"/>
          <w:sz w:val="19"/>
          <w:szCs w:val="19"/>
          <w:color w:val="auto"/>
        </w:rPr>
        <w:t>. As a condition to the exercise of the Option, the Company may require the Grantee to satisfy any qualifications that may be necessary or appropriate, to evidence compliance with any applicable law or regulation and to make any representation or warranty with respect thereto as may be requested by the Company. The certificate issued to evidence such Shares, if any, may bear appropriate legends summarizing these restrictions.</w:t>
      </w:r>
    </w:p>
    <w:p>
      <w:pPr>
        <w:spacing w:after="0" w:line="143"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Section 12.</w:t>
      </w: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187"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Section 13.</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Option to the Grantee by the Company.</w:t>
      </w:r>
    </w:p>
    <w:p>
      <w:pPr>
        <w:spacing w:after="0" w:line="13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Section 14.</w:t>
      </w:r>
      <w:r>
        <w:rPr>
          <w:rFonts w:ascii="Arial" w:cs="Arial" w:eastAsia="Arial" w:hAnsi="Arial"/>
          <w:sz w:val="19"/>
          <w:szCs w:val="19"/>
          <w:u w:val="single" w:color="auto"/>
          <w:color w:val="auto"/>
        </w:rPr>
        <w:t>Administration</w:t>
      </w:r>
      <w:r>
        <w:rPr>
          <w:rFonts w:ascii="Arial" w:cs="Arial" w:eastAsia="Arial" w:hAnsi="Arial"/>
          <w:sz w:val="19"/>
          <w:szCs w:val="19"/>
          <w:color w:val="auto"/>
        </w:rPr>
        <w:t>. All questions of interpretation concerning this Agreement, the Plan, or any other agreement or document employed by the Company in the administration of the Plan or the Option shall be determined by the Committee. All such determinations by the Committee shall be final, binding, and conclusive upon all Persons having an interest in the Option. In addition, all other actions, decisions, and determinations taken or made by the Committee in the exercise of its discretion pursuant to the Plan, this Agreement or the Option or any other agreement or document relating thereto or hereto shall be final, binding and conclusive upon all Persons having an interest in this Agreement or the Option.</w:t>
      </w:r>
    </w:p>
    <w:p>
      <w:pPr>
        <w:spacing w:after="0" w:line="150"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Company and its successors and assigns and upon the Grantee and his or her permitted transferees, heirs, executors, administrators and legal representatives.</w:t>
      </w:r>
    </w:p>
    <w:p>
      <w:pPr>
        <w:spacing w:after="0" w:line="18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Section 16.</w:t>
      </w:r>
      <w:r>
        <w:rPr>
          <w:rFonts w:ascii="Arial" w:cs="Arial" w:eastAsia="Arial" w:hAnsi="Arial"/>
          <w:sz w:val="21"/>
          <w:szCs w:val="21"/>
          <w:u w:val="single" w:color="auto"/>
          <w:color w:val="auto"/>
        </w:rPr>
        <w:t>Further Instruments</w:t>
      </w:r>
      <w:r>
        <w:rPr>
          <w:rFonts w:ascii="Arial" w:cs="Arial" w:eastAsia="Arial" w:hAnsi="Arial"/>
          <w:sz w:val="21"/>
          <w:szCs w:val="21"/>
          <w:color w:val="auto"/>
        </w:rPr>
        <w:t>. The parties to this Agreement agree to execute such further instruments and to take such further action as may reasonably be necessary to carry out the intent of this Agreement.</w:t>
      </w:r>
    </w:p>
    <w:p>
      <w:pPr>
        <w:spacing w:after="0" w:line="15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Section 17.</w:t>
      </w:r>
      <w:r>
        <w:rPr>
          <w:rFonts w:ascii="Arial" w:cs="Arial" w:eastAsia="Arial" w:hAnsi="Arial"/>
          <w:sz w:val="22"/>
          <w:szCs w:val="22"/>
          <w:u w:val="single" w:color="auto"/>
          <w:color w:val="auto"/>
        </w:rPr>
        <w:t>Amendment; Termination; Waiver</w:t>
      </w:r>
      <w:r>
        <w:rPr>
          <w:rFonts w:ascii="Arial" w:cs="Arial" w:eastAsia="Arial" w:hAnsi="Arial"/>
          <w:sz w:val="22"/>
          <w:szCs w:val="22"/>
          <w:color w:val="auto"/>
        </w:rPr>
        <w:t>. Except as otherwise provided in the Plan, this Agreement may be amended or terminated, and its terms or covenants waived, only by a written instrument executed on behalf of the Company (as authorized by the Committee) and the Grantee that, in the case of an amendment or waiver, identifies the specific provision of this Agreement being amended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jc w:val="both"/>
        <w:ind w:firstLine="1497"/>
        <w:spacing w:after="0" w:line="282" w:lineRule="auto"/>
        <w:rPr>
          <w:sz w:val="20"/>
          <w:szCs w:val="20"/>
          <w:color w:val="auto"/>
        </w:rPr>
      </w:pPr>
      <w:r>
        <w:rPr>
          <w:rFonts w:ascii="Arial" w:cs="Arial" w:eastAsia="Arial" w:hAnsi="Arial"/>
          <w:sz w:val="19"/>
          <w:szCs w:val="19"/>
          <w:color w:val="auto"/>
        </w:rPr>
        <w:t>Section 18.</w:t>
      </w:r>
      <w:r>
        <w:rPr>
          <w:rFonts w:ascii="Arial" w:cs="Arial" w:eastAsia="Arial" w:hAnsi="Arial"/>
          <w:sz w:val="19"/>
          <w:szCs w:val="19"/>
          <w:u w:val="single" w:color="auto"/>
          <w:color w:val="auto"/>
        </w:rPr>
        <w:t>Delivery of Documents and Notices</w:t>
      </w:r>
      <w:r>
        <w:rPr>
          <w:rFonts w:ascii="Arial" w:cs="Arial" w:eastAsia="Arial" w:hAnsi="Arial"/>
          <w:sz w:val="19"/>
          <w:szCs w:val="19"/>
          <w:color w:val="auto"/>
        </w:rPr>
        <w:t>. Unless otherwise specified by the Grantee in writing, all documents relating to the Plan (including, without limitation, the Plan, this Agreement, the Plan prospectus and any reports of the Company provided generally to the Company’s stockholders) may be delivered to the Grantee electronically. Such means of electronic delivery may include the delivery of a link to a Company intranet or the internet site of a third party involved in administering the Plan, the delivery of the document via e-mail or other means of electronic delivery specified by the Company.</w:t>
      </w:r>
    </w:p>
    <w:p>
      <w:pPr>
        <w:spacing w:after="0" w:line="147" w:lineRule="exact"/>
        <w:rPr>
          <w:sz w:val="20"/>
          <w:szCs w:val="20"/>
          <w:color w:val="auto"/>
        </w:rPr>
      </w:pPr>
    </w:p>
    <w:p>
      <w:pPr>
        <w:jc w:val="both"/>
        <w:ind w:firstLine="460"/>
        <w:spacing w:after="0" w:line="273" w:lineRule="auto"/>
        <w:rPr>
          <w:sz w:val="20"/>
          <w:szCs w:val="20"/>
          <w:color w:val="auto"/>
        </w:rPr>
      </w:pPr>
      <w:r>
        <w:rPr>
          <w:rFonts w:ascii="Arial" w:cs="Arial" w:eastAsia="Arial" w:hAnsi="Arial"/>
          <w:sz w:val="19"/>
          <w:szCs w:val="19"/>
          <w:color w:val="auto"/>
        </w:rPr>
        <w:t>The Grantee acknowledges that the Grantee has read this Section 18 and consents to the electronic delivery of the Plan documents. The Grantee acknowledges that he or she may request from the Company a paper copy of any documents delivered electronically at no cost to the Grantee by contacting the Company by telephone or in writing. The Grantee further acknowledges that the Grantee will be provided with a paper copy of any documents if the attempted electronic delivery of such documents fails. Similarly, the Grantee understands that the Grantee must provide the Company or any designated third party administrator with a paper copy of any documents if the Grantee’s attempted electronic delivery of such documents fails. The Grantee may revoke his or her consent to the electronic delivery of documents described in this Section or may change the electronic mail address to which such documents are to be delivered (if Grantee has provided an electronic mail address) at any time by notifying the Company of such revoked consent or revised e-mail address by postal service or electronic mail. The Grantee understands that he or she is not required to consent to electronic delivery of documents described in this Section 18.</w:t>
      </w:r>
    </w:p>
    <w:p>
      <w:pPr>
        <w:spacing w:after="0" w:line="16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Section 19.</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enforced in accordance with the laws of the State of Delaware, without giving effect to the principles of conflicts of law thereof.</w:t>
      </w:r>
    </w:p>
    <w:p>
      <w:pPr>
        <w:spacing w:after="0" w:line="169"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Section 20.</w:t>
      </w:r>
      <w:r>
        <w:rPr>
          <w:rFonts w:ascii="Arial" w:cs="Arial" w:eastAsia="Arial" w:hAnsi="Arial"/>
          <w:sz w:val="22"/>
          <w:szCs w:val="22"/>
          <w:b w:val="1"/>
          <w:bCs w:val="1"/>
          <w:u w:val="single" w:color="auto"/>
          <w:color w:val="auto"/>
        </w:rPr>
        <w:t>JURISDICTION; WAIVER OF JURY TRIAL</w:t>
      </w:r>
      <w:r>
        <w:rPr>
          <w:rFonts w:ascii="Arial" w:cs="Arial" w:eastAsia="Arial" w:hAnsi="Arial"/>
          <w:sz w:val="22"/>
          <w:szCs w:val="22"/>
          <w:b w:val="1"/>
          <w:bCs w:val="1"/>
          <w:color w:val="auto"/>
        </w:rPr>
        <w:t>. BY ENTERING INTO THIS 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THE COMPANY AND THE GRANTEE IRREVOCABLY SUBMIT TO AND ACCEPT GENERALLY AND UNCONDITIONALLY THE EXCLUSIVE JURISDICTION OF THE FEDERAL COURTS LOCATED IN SAN DIEGO COUNTY (OR IF FEDERAL JURISDICTION DOES NOT EXIST, IN THE STATE COURTS LOCATED THEREIN) WITH RESPECT TO ALL DISPUTES RELATING TO THIS AGREEMENT, THE OPTION OR THE PLAN. THE COMPANY AND THE GRANTEE HEREBY ACCEPT SERVICE OF PROCESS PURSUANT TO THE LAWS OF THE STATE OF CALIFORNIA AND THE RULES OF ITS COURTS, WAIVE ANY DEFENSE OF FORUM NON CONVENIENS AND AGREE TO BE BOUND BY ANY JUDGMENT RENDERED BY SUCH COURTS ARISING OUT OF, RELATED TO, OR IN CONNECTION WITH, THIS AGREEMENT, THE OPTION OR THE PLAN.</w:t>
      </w:r>
    </w:p>
    <w:p>
      <w:pPr>
        <w:spacing w:after="0" w:line="183" w:lineRule="exact"/>
        <w:rPr>
          <w:sz w:val="20"/>
          <w:szCs w:val="20"/>
          <w:color w:val="auto"/>
        </w:rPr>
      </w:pPr>
    </w:p>
    <w:p>
      <w:pPr>
        <w:jc w:val="both"/>
        <w:ind w:firstLine="656"/>
        <w:spacing w:after="0" w:line="243" w:lineRule="auto"/>
        <w:rPr>
          <w:sz w:val="20"/>
          <w:szCs w:val="20"/>
          <w:color w:val="auto"/>
        </w:rPr>
      </w:pPr>
      <w:r>
        <w:rPr>
          <w:rFonts w:ascii="Arial" w:cs="Arial" w:eastAsia="Arial" w:hAnsi="Arial"/>
          <w:sz w:val="22"/>
          <w:szCs w:val="22"/>
          <w:b w:val="1"/>
          <w:bCs w:val="1"/>
          <w:color w:val="auto"/>
        </w:rPr>
        <w:t>THE COMPANY AND THE GRANTEE IRREVOCABLY WAIVE ANY AND ALL RIGHT TO TRIAL BY JURY IN ANY LEGAL PROCEEDING ARISING OUT OF, RELATING TO, OR IN CONNECTION WITH THIS AGREEMENT, THE OPTION OR THE PLAN.</w:t>
      </w:r>
    </w:p>
    <w:p>
      <w:pPr>
        <w:spacing w:after="0" w:line="18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Section 21.</w:t>
      </w:r>
      <w:r>
        <w:rPr>
          <w:rFonts w:ascii="Arial" w:cs="Arial" w:eastAsia="Arial" w:hAnsi="Arial"/>
          <w:sz w:val="22"/>
          <w:szCs w:val="22"/>
          <w:u w:val="single" w:color="auto"/>
          <w:color w:val="auto"/>
        </w:rPr>
        <w:t>Severability</w:t>
      </w:r>
      <w:r>
        <w:rPr>
          <w:rFonts w:ascii="Arial" w:cs="Arial" w:eastAsia="Arial" w:hAnsi="Arial"/>
          <w:sz w:val="22"/>
          <w:szCs w:val="22"/>
          <w:color w:val="auto"/>
        </w:rPr>
        <w:t>. All provisions of this Agreement are distinct and severable and if any clause shall be held to be invalid, illegal or against public policy, the validity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2"/>
          <w:szCs w:val="22"/>
          <w:color w:val="auto"/>
        </w:rPr>
        <w:t>or the legality of the remainder of this Agreement shall not be affected thereby, and the remainder of this Agreement shall be interpreted to give maximum effect to the original intention of the parties hereto.</w:t>
      </w:r>
    </w:p>
    <w:p>
      <w:pPr>
        <w:spacing w:after="0" w:line="17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Section 22.</w:t>
      </w:r>
      <w:r>
        <w:rPr>
          <w:rFonts w:ascii="Arial" w:cs="Arial" w:eastAsia="Arial" w:hAnsi="Arial"/>
          <w:sz w:val="21"/>
          <w:szCs w:val="21"/>
          <w:u w:val="single" w:color="auto"/>
          <w:color w:val="auto"/>
        </w:rPr>
        <w:t>Defined Terms/Construction</w:t>
      </w:r>
      <w:r>
        <w:rPr>
          <w:rFonts w:ascii="Arial" w:cs="Arial" w:eastAsia="Arial" w:hAnsi="Arial"/>
          <w:sz w:val="21"/>
          <w:szCs w:val="21"/>
          <w:color w:val="auto"/>
        </w:rPr>
        <w:t>. Capitalized terms used in this Agreement and not otherwise defined in this Agreement have the meanings ascribed to them in the Plan. Captions and titles contained in this Agreement are for convenience only and shall not affect the meaning or interpretation of any provision of this Agreement.</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Section 23.</w:t>
      </w:r>
      <w:r>
        <w:rPr>
          <w:rFonts w:ascii="Arial" w:cs="Arial" w:eastAsia="Arial" w:hAnsi="Arial"/>
          <w:sz w:val="22"/>
          <w:szCs w:val="22"/>
          <w:u w:val="single" w:color="auto"/>
          <w:color w:val="auto"/>
        </w:rPr>
        <w:t>Authorization to Release and Transfer Necessary Personal Information</w:t>
      </w:r>
      <w:r>
        <w:rPr>
          <w:rFonts w:ascii="Arial" w:cs="Arial" w:eastAsia="Arial" w:hAnsi="Arial"/>
          <w:sz w:val="22"/>
          <w:szCs w:val="22"/>
          <w:color w:val="auto"/>
        </w:rPr>
        <w:t>.</w:t>
      </w:r>
    </w:p>
    <w:p>
      <w:pPr>
        <w:spacing w:after="0" w:line="206" w:lineRule="exact"/>
        <w:rPr>
          <w:sz w:val="20"/>
          <w:szCs w:val="20"/>
          <w:color w:val="auto"/>
        </w:rPr>
      </w:pPr>
    </w:p>
    <w:p>
      <w:pPr>
        <w:jc w:val="both"/>
        <w:ind w:firstLine="1597"/>
        <w:spacing w:after="0" w:line="238" w:lineRule="auto"/>
        <w:tabs>
          <w:tab w:leader="none" w:pos="1936" w:val="left"/>
        </w:tabs>
        <w:numPr>
          <w:ilvl w:val="1"/>
          <w:numId w:val="34"/>
        </w:numPr>
        <w:rPr>
          <w:rFonts w:ascii="Arial" w:cs="Arial" w:eastAsia="Arial" w:hAnsi="Arial"/>
          <w:sz w:val="22"/>
          <w:szCs w:val="22"/>
          <w:color w:val="auto"/>
        </w:rPr>
      </w:pPr>
      <w:r>
        <w:rPr>
          <w:rFonts w:ascii="Arial" w:cs="Arial" w:eastAsia="Arial" w:hAnsi="Arial"/>
          <w:sz w:val="22"/>
          <w:szCs w:val="22"/>
          <w:color w:val="auto"/>
        </w:rPr>
        <w:t>Grantee hereby explicitly and unambiguously consents to the collection, use and transfer, in electronic or other form, of Grantee’s personal information as described in this Agreement by and among, as applicable, the Company and its Subsidiaries and affiliates for the exclusive purpose of implementing, administering and managing Grantee’s participation in the Plan.</w:t>
      </w:r>
    </w:p>
    <w:p>
      <w:pPr>
        <w:spacing w:after="0" w:line="184" w:lineRule="exact"/>
        <w:rPr>
          <w:rFonts w:ascii="Arial" w:cs="Arial" w:eastAsia="Arial" w:hAnsi="Arial"/>
          <w:sz w:val="22"/>
          <w:szCs w:val="22"/>
          <w:color w:val="auto"/>
        </w:rPr>
      </w:pPr>
    </w:p>
    <w:p>
      <w:pPr>
        <w:jc w:val="both"/>
        <w:ind w:firstLine="1505"/>
        <w:spacing w:after="0" w:line="271" w:lineRule="auto"/>
        <w:tabs>
          <w:tab w:leader="none" w:pos="2036" w:val="left"/>
        </w:tabs>
        <w:numPr>
          <w:ilvl w:val="0"/>
          <w:numId w:val="35"/>
        </w:numPr>
        <w:rPr>
          <w:rFonts w:ascii="Arial" w:cs="Arial" w:eastAsia="Arial" w:hAnsi="Arial"/>
          <w:sz w:val="19"/>
          <w:szCs w:val="19"/>
          <w:color w:val="auto"/>
        </w:rPr>
      </w:pPr>
      <w:r>
        <w:rPr>
          <w:rFonts w:ascii="Arial" w:cs="Arial" w:eastAsia="Arial" w:hAnsi="Arial"/>
          <w:sz w:val="19"/>
          <w:szCs w:val="19"/>
          <w:color w:val="auto"/>
        </w:rPr>
        <w:t>Grantee understands that the Company and its Subsidiaries may hold certain personal information about Grantee, including, but not limited to, Grantee’s name, home address and telephone number, date of birth, social security number (or any other social or national identification number), pay, nationality, job title, residency status, any Shares or directorships held in the Company, details of all Options or any other entitlement to Shares awarded, canceled, exercised, vested, unvested or outstanding (the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for the purpose of implementing, administering and managing Grantee’s participation in the Plan. Grantee understands that the Data may be transferred to the Company or any of its Subsidiaries or affiliates, or to any third parties assisting in the implementation, administration and management of the Plan, that these recipients may be located in Grantee’s country or elsewhere, including outside the European Economic Area, and that the recipient’s country may have different data privacy laws and protections than Grantee’s country. Grantee understands that Grantee may request a list with the names and addresses of any potential recipients of the Data by contacting the Company’s human resources representative. Grantee authorizes the recipients to receive, possess, use, retain and transfer the Data, in electronic or other form, for the sole purposes of implementing, administering and managing Grantee’s participation in the Plan, including any requisite transfer of such Data to a broker or other third party assisting with the administration of the Option under the Plan or with whom Shares acquired pursuant to the Option or cash from the sale of such Shares may be deposited. Furthermore, Grantee acknowledges and understands that the transfer of the Data to the Company or any of its Subsidiaries or affiliates, or to any third parties is necessary for Grantee’s participation in the Plan.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35" w:lineRule="auto"/>
        <w:tabs>
          <w:tab w:leader="none" w:pos="2036" w:val="left"/>
        </w:tabs>
        <w:numPr>
          <w:ilvl w:val="0"/>
          <w:numId w:val="35"/>
        </w:numPr>
        <w:rPr>
          <w:rFonts w:ascii="Arial" w:cs="Arial" w:eastAsia="Arial" w:hAnsi="Arial"/>
          <w:sz w:val="22"/>
          <w:szCs w:val="22"/>
          <w:color w:val="auto"/>
        </w:rPr>
      </w:pPr>
      <w:r>
        <w:rPr>
          <w:rFonts w:ascii="Arial" w:cs="Arial" w:eastAsia="Arial" w:hAnsi="Arial"/>
          <w:sz w:val="22"/>
          <w:szCs w:val="22"/>
          <w:color w:val="auto"/>
        </w:rPr>
        <w:t>Grantee understands that the Data will be held only as long as is necessary to implement, administer and manage Grantee’s participation in the Plan. Grantee understands that Grantee may, at any time, view the Data, request additional information about the storage and processing of the Data, require any necessary amendments to the Data or refuse or withdraw the consents herein by contacting the Company’s human resources representative in writing. Further, Grantee understands that Grantee is providing the consents herein on a purely voluntary basis. If Grantee does not consent, or if Grantee later seeks to revoke his or her consent,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235" w:lineRule="auto"/>
        <w:rPr>
          <w:sz w:val="20"/>
          <w:szCs w:val="20"/>
          <w:color w:val="auto"/>
        </w:rPr>
      </w:pPr>
      <w:r>
        <w:rPr>
          <w:rFonts w:ascii="Arial" w:cs="Arial" w:eastAsia="Arial" w:hAnsi="Arial"/>
          <w:sz w:val="22"/>
          <w:szCs w:val="22"/>
          <w:color w:val="auto"/>
        </w:rPr>
        <w:t>employment and career with the Company and its Subsidiaries will not be affected; the only consequence of refusing or withdrawing Grantee’s consent is that the Company would not be able to grant Grantee Options or other equity awards, or administer or maintain such awards. Therefore, Grantee understands that refusing or withdrawing Grantee’s consent may affect Grantee’s ability to vest in or realize benefits from the Option and to participate in the Plan. For more information on the consequences of refusing to consent or withdrawal of consent, Grantee understands that he or she may contact the Company’s human resources representative.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Section 24.</w:t>
      </w:r>
      <w:r>
        <w:rPr>
          <w:rFonts w:ascii="Arial" w:cs="Arial" w:eastAsia="Arial" w:hAnsi="Arial"/>
          <w:sz w:val="22"/>
          <w:szCs w:val="22"/>
          <w:u w:val="single" w:color="auto"/>
          <w:color w:val="auto"/>
        </w:rPr>
        <w:t>No Entitlement for Claims for Compensation</w:t>
      </w:r>
      <w:r>
        <w:rPr>
          <w:rFonts w:ascii="Arial" w:cs="Arial" w:eastAsia="Arial" w:hAnsi="Arial"/>
          <w:sz w:val="22"/>
          <w:szCs w:val="22"/>
          <w:color w:val="auto"/>
        </w:rPr>
        <w:t>.</w:t>
      </w:r>
    </w:p>
    <w:p>
      <w:pPr>
        <w:spacing w:after="0" w:line="206" w:lineRule="exact"/>
        <w:rPr>
          <w:sz w:val="20"/>
          <w:szCs w:val="20"/>
          <w:color w:val="auto"/>
        </w:rPr>
      </w:pPr>
    </w:p>
    <w:p>
      <w:pPr>
        <w:jc w:val="both"/>
        <w:ind w:firstLine="1479"/>
        <w:spacing w:after="0" w:line="279" w:lineRule="auto"/>
        <w:tabs>
          <w:tab w:leader="none" w:pos="1809" w:val="left"/>
        </w:tabs>
        <w:numPr>
          <w:ilvl w:val="0"/>
          <w:numId w:val="36"/>
        </w:numPr>
        <w:rPr>
          <w:rFonts w:ascii="Arial" w:cs="Arial" w:eastAsia="Arial" w:hAnsi="Arial"/>
          <w:sz w:val="19"/>
          <w:szCs w:val="19"/>
          <w:color w:val="auto"/>
        </w:rPr>
      </w:pPr>
      <w:r>
        <w:rPr>
          <w:rFonts w:ascii="Arial" w:cs="Arial" w:eastAsia="Arial" w:hAnsi="Arial"/>
          <w:sz w:val="19"/>
          <w:szCs w:val="19"/>
          <w:color w:val="auto"/>
        </w:rPr>
        <w:t>Grantee’s rights, if any, in respect of or in connection with the Option or any other Award are derived solely from the discretionary decision of the Company to permit Grantee to participate in the Plan and to benefit from a discretionary Award. The Plan may be amended, suspended or terminated by the Company at any time, unless otherwise provided in the Plan and this Agreement. By accepting the Option, Grantee expressly acknowledges that there is no obligation on the part of the Company to continue the Plan and/or grant any additional Awards, even if Awards have been granted in the past. All decisions with respect to future grants of Awards, if any, will be at the sole discretion of the Committee.</w:t>
      </w:r>
    </w:p>
    <w:p>
      <w:pPr>
        <w:spacing w:after="0" w:line="150" w:lineRule="exact"/>
        <w:rPr>
          <w:rFonts w:ascii="Arial" w:cs="Arial" w:eastAsia="Arial" w:hAnsi="Arial"/>
          <w:sz w:val="19"/>
          <w:szCs w:val="19"/>
          <w:color w:val="auto"/>
        </w:rPr>
      </w:pPr>
    </w:p>
    <w:p>
      <w:pPr>
        <w:jc w:val="both"/>
        <w:ind w:firstLine="1505"/>
        <w:spacing w:after="0" w:line="234" w:lineRule="auto"/>
        <w:tabs>
          <w:tab w:leader="none" w:pos="2036"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Option is not intended to replace any pension rights or compensation and is not to be considered compensation or pay of a continuing or recurring nature, or part of Grantee’s normal or expected compensation, and in no way represents any portion of Grantee’s compensation or other remuneration for any purpose, including, but not limited to, calculating any severance, pension or other pay or benefit, and in no event should be considered as compensation or pay for, or relating in any way to, past employment or other services for the Company or any Subsidiary or affiliate. The value of the Option is an extraordinary item that does not constitute compensation or pay of any kind for employment or other services of any kind rendered to the Company or its Subsidiaries or affiliates and which is outside the scope of Grantee’s written employment agreement (if any).</w:t>
      </w:r>
    </w:p>
    <w:p>
      <w:pPr>
        <w:spacing w:after="0" w:line="186" w:lineRule="exact"/>
        <w:rPr>
          <w:rFonts w:ascii="Arial" w:cs="Arial" w:eastAsia="Arial" w:hAnsi="Arial"/>
          <w:sz w:val="22"/>
          <w:szCs w:val="22"/>
          <w:color w:val="auto"/>
        </w:rPr>
      </w:pPr>
    </w:p>
    <w:p>
      <w:pPr>
        <w:ind w:left="2040" w:hanging="535"/>
        <w:spacing w:after="0"/>
        <w:tabs>
          <w:tab w:leader="none" w:pos="20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Grantee acknowledges that he or she is voluntarily participating in the Plan.</w:t>
      </w:r>
    </w:p>
    <w:p>
      <w:pPr>
        <w:spacing w:after="0" w:line="206" w:lineRule="exact"/>
        <w:rPr>
          <w:rFonts w:ascii="Arial" w:cs="Arial" w:eastAsia="Arial" w:hAnsi="Arial"/>
          <w:sz w:val="22"/>
          <w:szCs w:val="22"/>
          <w:color w:val="auto"/>
        </w:rPr>
      </w:pPr>
    </w:p>
    <w:p>
      <w:pPr>
        <w:ind w:right="160" w:firstLine="1505"/>
        <w:spacing w:after="0" w:line="238" w:lineRule="auto"/>
        <w:tabs>
          <w:tab w:leader="none" w:pos="21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Neither the Plan nor the Option or any other Award granted under the Plan shall be deemed to give Grantee a right to remain in the employment of, or other service for, the Company or any Subsidiary or Affiliate in any capacity. The Company reserves the right to terminate Grantee’s employment or other service at any time, with or without cause, and for any reason.</w:t>
      </w:r>
    </w:p>
    <w:p>
      <w:pPr>
        <w:spacing w:after="0" w:line="184" w:lineRule="exact"/>
        <w:rPr>
          <w:rFonts w:ascii="Arial" w:cs="Arial" w:eastAsia="Arial" w:hAnsi="Arial"/>
          <w:sz w:val="22"/>
          <w:szCs w:val="22"/>
          <w:color w:val="auto"/>
        </w:rPr>
      </w:pPr>
    </w:p>
    <w:p>
      <w:pPr>
        <w:ind w:right="740" w:firstLine="1505"/>
        <w:spacing w:after="0" w:line="250" w:lineRule="auto"/>
        <w:tabs>
          <w:tab w:leader="none" w:pos="21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grant of the Option and Grantee’s participation in the Plan will not be interpreted to form an employment or other service relationship with the Company or any Subsidiary or affiliate.</w:t>
      </w:r>
    </w:p>
    <w:p>
      <w:pPr>
        <w:spacing w:after="0" w:line="174" w:lineRule="exact"/>
        <w:rPr>
          <w:rFonts w:ascii="Arial" w:cs="Arial" w:eastAsia="Arial" w:hAnsi="Arial"/>
          <w:sz w:val="22"/>
          <w:szCs w:val="22"/>
          <w:color w:val="auto"/>
        </w:rPr>
      </w:pPr>
    </w:p>
    <w:p>
      <w:pPr>
        <w:ind w:right="100" w:firstLine="1505"/>
        <w:spacing w:after="0" w:line="238" w:lineRule="auto"/>
        <w:tabs>
          <w:tab w:leader="none" w:pos="21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future value of the Shares is unknown, indeterminable and cannot be predicted with certainty and if Grantee vests in the Option and purchases Shares, the value of those Shares may increase or decrease. Grantee also understand that none of the Company or its Subsidiaries or affiliates is responsible for any foreign exchange fluctuation that may affect the value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left="-20" w:right="40" w:firstLine="1505"/>
        <w:spacing w:after="0" w:line="274" w:lineRule="auto"/>
        <w:tabs>
          <w:tab w:leader="none" w:pos="21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Option resulting from the termination of Grantee’s Service with the Company or any Subsidiary (for any reason whatsoever and whether or not later found to be invalid or in breach of the laws in the jurisdiction where Grantee is employed or providing services, or the terms of Grantee’s employment agreement, if any) and, in consideration of the grant of the Award to which Grantee is not otherwise entitled, Grantee irrevocably agree never to institute any claim against the Company or its Subsidiaries or affiliates, waives Grantee’s ability, if any, to bring any such claim, and releases the Company and its Subsidiaries and affiliates from any such claim; if notwithstanding the foregoing, any such claim is allowed by a court of competent jurisdiction, then, by accepting the Award, Grantee shall be deemed irrevocably to have agreed to not pursue such claim and agree to execute any and all documents necessary to request the withdrawal of such claim.</w:t>
      </w:r>
    </w:p>
    <w:p>
      <w:pPr>
        <w:spacing w:after="0" w:line="158" w:lineRule="exact"/>
        <w:rPr>
          <w:rFonts w:ascii="Arial" w:cs="Arial" w:eastAsia="Arial" w:hAnsi="Arial"/>
          <w:sz w:val="19"/>
          <w:szCs w:val="19"/>
          <w:color w:val="auto"/>
        </w:rPr>
      </w:pPr>
    </w:p>
    <w:p>
      <w:pPr>
        <w:ind w:left="-20" w:right="360" w:firstLine="1505"/>
        <w:spacing w:after="0" w:line="250" w:lineRule="auto"/>
        <w:tabs>
          <w:tab w:leader="none" w:pos="21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Grantee agrees that the Company may require Shares received pursuant to the Option to be held by a broker designated by the Company.</w:t>
      </w:r>
    </w:p>
    <w:p>
      <w:pPr>
        <w:spacing w:after="0" w:line="174" w:lineRule="exact"/>
        <w:rPr>
          <w:rFonts w:ascii="Arial" w:cs="Arial" w:eastAsia="Arial" w:hAnsi="Arial"/>
          <w:sz w:val="22"/>
          <w:szCs w:val="22"/>
          <w:color w:val="auto"/>
        </w:rPr>
      </w:pPr>
    </w:p>
    <w:p>
      <w:pPr>
        <w:ind w:left="-20" w:right="360" w:firstLine="1505"/>
        <w:spacing w:after="0" w:line="250" w:lineRule="auto"/>
        <w:tabs>
          <w:tab w:leader="none" w:pos="21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Grantee agrees that Grantee’s rights hereunder (if any) shall be subject to set-off by the Company for any valid debts Grantee owes the Company.</w:t>
      </w:r>
    </w:p>
    <w:p>
      <w:pPr>
        <w:spacing w:after="0" w:line="174" w:lineRule="exact"/>
        <w:rPr>
          <w:rFonts w:ascii="Arial" w:cs="Arial" w:eastAsia="Arial" w:hAnsi="Arial"/>
          <w:sz w:val="22"/>
          <w:szCs w:val="22"/>
          <w:color w:val="auto"/>
        </w:rPr>
      </w:pPr>
    </w:p>
    <w:p>
      <w:pPr>
        <w:ind w:left="-20" w:firstLine="1505"/>
        <w:spacing w:after="0" w:line="297" w:lineRule="auto"/>
        <w:tabs>
          <w:tab w:leader="none" w:pos="21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Unless otherwise provided in the Plan or this Agreement, or by the Company in its discretion, the Option and the benefits evidenced by this Agreement do not create any entitlement to have the Option transferred to, or assumed by, another company, nor to be exchanged, cashed out or substituted for in connection with any transaction affecting the Shares.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491490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78" w:name="page79"/>
    <w:bookmarkEnd w:id="78"/>
    <w:p>
      <w:pPr>
        <w:ind w:left="7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date first set forth above.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w:t>
      </w:r>
    </w:p>
    <w:p>
      <w:pPr>
        <w:ind w:left="440"/>
        <w:spacing w:after="0" w:line="238" w:lineRule="auto"/>
        <w:rPr>
          <w:sz w:val="20"/>
          <w:szCs w:val="20"/>
          <w:color w:val="auto"/>
        </w:rPr>
      </w:pPr>
      <w:r>
        <w:rPr>
          <w:rFonts w:ascii="Arial" w:cs="Arial" w:eastAsia="Arial" w:hAnsi="Arial"/>
          <w:sz w:val="22"/>
          <w:szCs w:val="22"/>
          <w:color w:val="auto"/>
        </w:rPr>
        <w:t>[Name]</w:t>
      </w: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651510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1" w:right="11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10120"/>
        <w:spacing w:after="0"/>
        <w:rPr>
          <w:sz w:val="20"/>
          <w:szCs w:val="20"/>
          <w:color w:val="auto"/>
        </w:rPr>
      </w:pPr>
      <w:r>
        <w:rPr>
          <w:rFonts w:ascii="Arial" w:cs="Arial" w:eastAsia="Arial" w:hAnsi="Arial"/>
          <w:sz w:val="19"/>
          <w:szCs w:val="19"/>
          <w:b w:val="1"/>
          <w:bCs w:val="1"/>
          <w:u w:val="single" w:color="auto"/>
          <w:color w:val="auto"/>
        </w:rPr>
        <w:t>Exhibit 10.2</w:t>
      </w:r>
    </w:p>
    <w:p>
      <w:pPr>
        <w:spacing w:after="0" w:line="24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RESTRICTED STOCK UNIT AGREEMENT</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UNDER THE BIOATLA, INC.</w:t>
      </w:r>
    </w:p>
    <w:p>
      <w:pPr>
        <w:ind w:left="4000"/>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THIS RESTRICTED STOCK UNIT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between BioAtla, Inc.,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and is made as of __________________, 2020 (the “</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BioAtla, Inc. 2020 Equity Incentive Plan (as it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restated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Plan permits the Company to award Restricted Stock Units with respect to shares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common stock, $0.0001 par value per share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subject to the terms of the Plan; and</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Restricted Stock Units to the Grantee in accordance with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these premises and the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168" w:lineRule="exact"/>
        <w:rPr>
          <w:sz w:val="20"/>
          <w:szCs w:val="20"/>
          <w:color w:val="auto"/>
        </w:rPr>
      </w:pPr>
    </w:p>
    <w:p>
      <w:pPr>
        <w:jc w:val="both"/>
        <w:ind w:firstLine="1505"/>
        <w:spacing w:after="0" w:line="282" w:lineRule="auto"/>
        <w:tabs>
          <w:tab w:leader="none" w:pos="203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Award of Restricted Stock Units</w:t>
      </w:r>
      <w:r>
        <w:rPr>
          <w:rFonts w:ascii="Arial" w:cs="Arial" w:eastAsia="Arial" w:hAnsi="Arial"/>
          <w:sz w:val="19"/>
          <w:szCs w:val="19"/>
          <w:color w:val="auto"/>
        </w:rPr>
        <w:t>. The Company hereby grants to the Grantee, as of the Grant Date, [_____]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With respect to each RSU that becomes vested in accordance with the terms of this Agreement, the Grantee will be entitled to receive one Share upon the settlement of such RSU (the “</w:t>
      </w:r>
      <w:r>
        <w:rPr>
          <w:rFonts w:ascii="Arial" w:cs="Arial" w:eastAsia="Arial" w:hAnsi="Arial"/>
          <w:sz w:val="19"/>
          <w:szCs w:val="19"/>
          <w:b w:val="1"/>
          <w:bCs w:val="1"/>
          <w:i w:val="1"/>
          <w:iCs w:val="1"/>
          <w:color w:val="auto"/>
        </w:rPr>
        <w:t>RSU Shares</w:t>
      </w:r>
      <w:r>
        <w:rPr>
          <w:rFonts w:ascii="Arial" w:cs="Arial" w:eastAsia="Arial" w:hAnsi="Arial"/>
          <w:sz w:val="19"/>
          <w:szCs w:val="19"/>
          <w:color w:val="auto"/>
        </w:rPr>
        <w:t>”). The RSUs are subject to the terms set forth herein, and the terms of the Plan, which terms and provisions are incorporated herein by reference. Capitalized terms used but not otherwise defined herein shall have the meanings ascribed to such terms in the Plan.</w:t>
      </w:r>
    </w:p>
    <w:p>
      <w:pPr>
        <w:spacing w:after="0" w:line="147" w:lineRule="exact"/>
        <w:rPr>
          <w:rFonts w:ascii="Arial" w:cs="Arial" w:eastAsia="Arial" w:hAnsi="Arial"/>
          <w:sz w:val="19"/>
          <w:szCs w:val="19"/>
          <w:color w:val="auto"/>
        </w:rPr>
      </w:pPr>
    </w:p>
    <w:p>
      <w:pPr>
        <w:ind w:left="2040" w:hanging="535"/>
        <w:spacing w:after="0"/>
        <w:tabs>
          <w:tab w:leader="none" w:pos="20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Vesting;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306"/>
        <w:spacing w:after="0"/>
        <w:tabs>
          <w:tab w:leader="none" w:pos="25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As of the Grant Date, the RSUs are unvested and shall become vested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00" w:type="dxa"/>
            <w:vAlign w:val="bottom"/>
            <w:tcBorders>
              <w:right w:val="single" w:sz="8" w:color="auto"/>
            </w:tcBorders>
          </w:tcPr>
          <w:p>
            <w:pPr>
              <w:spacing w:after="0"/>
              <w:rPr>
                <w:sz w:val="21"/>
                <w:szCs w:val="21"/>
                <w:color w:val="auto"/>
              </w:rPr>
            </w:pPr>
          </w:p>
        </w:tc>
        <w:tc>
          <w:tcPr>
            <w:tcW w:w="5360" w:type="dxa"/>
            <w:vAlign w:val="bottom"/>
            <w:tcBorders>
              <w:top w:val="single" w:sz="8" w:color="auto"/>
              <w:right w:val="single" w:sz="8" w:color="auto"/>
            </w:tcBorders>
          </w:tcPr>
          <w:p>
            <w:pPr>
              <w:ind w:left="2080"/>
              <w:spacing w:after="0" w:line="246" w:lineRule="exact"/>
              <w:rPr>
                <w:sz w:val="20"/>
                <w:szCs w:val="20"/>
                <w:color w:val="auto"/>
              </w:rPr>
            </w:pPr>
            <w:r>
              <w:rPr>
                <w:rFonts w:ascii="Arial" w:cs="Arial" w:eastAsia="Arial" w:hAnsi="Arial"/>
                <w:sz w:val="22"/>
                <w:szCs w:val="22"/>
                <w:b w:val="1"/>
                <w:bCs w:val="1"/>
                <w:color w:val="auto"/>
              </w:rPr>
              <w:t>Vesting Date</w:t>
            </w:r>
          </w:p>
        </w:tc>
        <w:tc>
          <w:tcPr>
            <w:tcW w:w="3140" w:type="dxa"/>
            <w:vAlign w:val="bottom"/>
            <w:tcBorders>
              <w:top w:val="single" w:sz="8" w:color="auto"/>
              <w:right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5"/>
              </w:rPr>
              <w:t>Vesting Percentage on Vesting</w:t>
            </w:r>
          </w:p>
        </w:tc>
        <w:tc>
          <w:tcPr>
            <w:tcW w:w="1340" w:type="dxa"/>
            <w:vAlign w:val="bottom"/>
          </w:tcPr>
          <w:p>
            <w:pPr>
              <w:spacing w:after="0"/>
              <w:rPr>
                <w:sz w:val="21"/>
                <w:szCs w:val="21"/>
                <w:color w:val="auto"/>
              </w:rPr>
            </w:pPr>
          </w:p>
        </w:tc>
      </w:tr>
      <w:tr>
        <w:trPr>
          <w:trHeight w:val="280"/>
        </w:trPr>
        <w:tc>
          <w:tcPr>
            <w:tcW w:w="140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1340" w:type="dxa"/>
            <w:vAlign w:val="bottom"/>
          </w:tcPr>
          <w:p>
            <w:pPr>
              <w:spacing w:after="0"/>
              <w:rPr>
                <w:sz w:val="24"/>
                <w:szCs w:val="24"/>
                <w:color w:val="auto"/>
              </w:rPr>
            </w:pPr>
          </w:p>
        </w:tc>
      </w:tr>
      <w:tr>
        <w:trPr>
          <w:trHeight w:val="236"/>
        </w:trPr>
        <w:tc>
          <w:tcPr>
            <w:tcW w:w="1400" w:type="dxa"/>
            <w:vAlign w:val="bottom"/>
            <w:tcBorders>
              <w:right w:val="single" w:sz="8" w:color="auto"/>
            </w:tcBorders>
          </w:tcPr>
          <w:p>
            <w:pPr>
              <w:spacing w:after="0"/>
              <w:rPr>
                <w:sz w:val="20"/>
                <w:szCs w:val="20"/>
                <w:color w:val="auto"/>
              </w:rPr>
            </w:pPr>
          </w:p>
        </w:tc>
        <w:tc>
          <w:tcPr>
            <w:tcW w:w="5360" w:type="dxa"/>
            <w:vAlign w:val="bottom"/>
            <w:tcBorders>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r>
        <w:trPr>
          <w:trHeight w:val="254"/>
        </w:trPr>
        <w:tc>
          <w:tcPr>
            <w:tcW w:w="1400" w:type="dxa"/>
            <w:vAlign w:val="bottom"/>
            <w:tcBorders>
              <w:right w:val="single" w:sz="8" w:color="auto"/>
            </w:tcBorders>
          </w:tcPr>
          <w:p>
            <w:pPr>
              <w:spacing w:after="0"/>
              <w:rPr>
                <w:sz w:val="22"/>
                <w:szCs w:val="22"/>
                <w:color w:val="auto"/>
              </w:rPr>
            </w:pPr>
          </w:p>
        </w:tc>
        <w:tc>
          <w:tcPr>
            <w:tcW w:w="536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First anniversary of the Vesting Commencement Date</w:t>
            </w:r>
          </w:p>
        </w:tc>
        <w:tc>
          <w:tcPr>
            <w:tcW w:w="3140" w:type="dxa"/>
            <w:vAlign w:val="bottom"/>
            <w:tcBorders>
              <w:right w:val="single" w:sz="8" w:color="auto"/>
            </w:tcBorders>
          </w:tcPr>
          <w:p>
            <w:pPr>
              <w:jc w:val="right"/>
              <w:ind w:right="1272"/>
              <w:spacing w:after="0"/>
              <w:rPr>
                <w:sz w:val="20"/>
                <w:szCs w:val="20"/>
                <w:color w:val="auto"/>
              </w:rPr>
            </w:pPr>
            <w:r>
              <w:rPr>
                <w:rFonts w:ascii="Arial" w:cs="Arial" w:eastAsia="Arial" w:hAnsi="Arial"/>
                <w:sz w:val="22"/>
                <w:szCs w:val="22"/>
                <w:color w:val="auto"/>
              </w:rPr>
              <w:t>25%</w:t>
            </w:r>
          </w:p>
        </w:tc>
        <w:tc>
          <w:tcPr>
            <w:tcW w:w="1340" w:type="dxa"/>
            <w:vAlign w:val="bottom"/>
          </w:tcPr>
          <w:p>
            <w:pPr>
              <w:spacing w:after="0"/>
              <w:rPr>
                <w:sz w:val="22"/>
                <w:szCs w:val="22"/>
                <w:color w:val="auto"/>
              </w:rPr>
            </w:pPr>
          </w:p>
        </w:tc>
      </w:tr>
      <w:tr>
        <w:trPr>
          <w:trHeight w:val="208"/>
        </w:trPr>
        <w:tc>
          <w:tcPr>
            <w:tcW w:w="1400" w:type="dxa"/>
            <w:vAlign w:val="bottom"/>
            <w:tcBorders>
              <w:right w:val="single" w:sz="8" w:color="auto"/>
            </w:tcBorders>
          </w:tcPr>
          <w:p>
            <w:pPr>
              <w:spacing w:after="0"/>
              <w:rPr>
                <w:sz w:val="18"/>
                <w:szCs w:val="18"/>
                <w:color w:val="auto"/>
              </w:rPr>
            </w:pPr>
          </w:p>
        </w:tc>
        <w:tc>
          <w:tcPr>
            <w:tcW w:w="5360" w:type="dxa"/>
            <w:vAlign w:val="bottom"/>
            <w:tcBorders>
              <w:bottom w:val="single" w:sz="8" w:color="auto"/>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1400" w:type="dxa"/>
            <w:vAlign w:val="bottom"/>
            <w:tcBorders>
              <w:right w:val="single" w:sz="8" w:color="auto"/>
            </w:tcBorders>
          </w:tcPr>
          <w:p>
            <w:pPr>
              <w:spacing w:after="0"/>
              <w:rPr>
                <w:sz w:val="19"/>
                <w:szCs w:val="19"/>
                <w:color w:val="auto"/>
              </w:rPr>
            </w:pPr>
          </w:p>
        </w:tc>
        <w:tc>
          <w:tcPr>
            <w:tcW w:w="5360" w:type="dxa"/>
            <w:vAlign w:val="bottom"/>
            <w:tcBorders>
              <w:right w:val="single" w:sz="8" w:color="auto"/>
            </w:tcBorders>
          </w:tcPr>
          <w:p>
            <w:pPr>
              <w:ind w:left="60"/>
              <w:spacing w:after="0" w:line="228" w:lineRule="exact"/>
              <w:rPr>
                <w:sz w:val="20"/>
                <w:szCs w:val="20"/>
                <w:color w:val="auto"/>
              </w:rPr>
            </w:pPr>
            <w:r>
              <w:rPr>
                <w:rFonts w:ascii="Arial" w:cs="Arial" w:eastAsia="Arial" w:hAnsi="Arial"/>
                <w:sz w:val="22"/>
                <w:szCs w:val="22"/>
                <w:color w:val="auto"/>
                <w:w w:val="93"/>
              </w:rPr>
              <w:t>The last day of each of the 36 months following the month</w:t>
            </w:r>
          </w:p>
        </w:tc>
        <w:tc>
          <w:tcPr>
            <w:tcW w:w="3140" w:type="dxa"/>
            <w:vAlign w:val="bottom"/>
            <w:tcBorders>
              <w:right w:val="single" w:sz="8" w:color="auto"/>
            </w:tcBorders>
          </w:tcPr>
          <w:p>
            <w:pPr>
              <w:jc w:val="right"/>
              <w:ind w:right="1032"/>
              <w:spacing w:after="0" w:line="228" w:lineRule="exact"/>
              <w:rPr>
                <w:sz w:val="20"/>
                <w:szCs w:val="20"/>
                <w:color w:val="auto"/>
              </w:rPr>
            </w:pPr>
            <w:r>
              <w:rPr>
                <w:rFonts w:ascii="Arial" w:cs="Arial" w:eastAsia="Arial" w:hAnsi="Arial"/>
                <w:sz w:val="22"/>
                <w:szCs w:val="22"/>
                <w:color w:val="auto"/>
              </w:rPr>
              <w:t>2.08333%</w:t>
            </w:r>
          </w:p>
        </w:tc>
        <w:tc>
          <w:tcPr>
            <w:tcW w:w="1340" w:type="dxa"/>
            <w:vAlign w:val="bottom"/>
          </w:tcPr>
          <w:p>
            <w:pPr>
              <w:spacing w:after="0"/>
              <w:rPr>
                <w:sz w:val="19"/>
                <w:szCs w:val="19"/>
                <w:color w:val="auto"/>
              </w:rPr>
            </w:pPr>
          </w:p>
        </w:tc>
      </w:tr>
      <w:tr>
        <w:trPr>
          <w:trHeight w:val="274"/>
        </w:trPr>
        <w:tc>
          <w:tcPr>
            <w:tcW w:w="1400" w:type="dxa"/>
            <w:vAlign w:val="bottom"/>
            <w:tcBorders>
              <w:right w:val="single" w:sz="8" w:color="auto"/>
            </w:tcBorders>
          </w:tcPr>
          <w:p>
            <w:pPr>
              <w:spacing w:after="0"/>
              <w:rPr>
                <w:sz w:val="23"/>
                <w:szCs w:val="23"/>
                <w:color w:val="auto"/>
              </w:rPr>
            </w:pPr>
          </w:p>
        </w:tc>
        <w:tc>
          <w:tcPr>
            <w:tcW w:w="5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 which the first</w:t>
            </w:r>
          </w:p>
        </w:tc>
        <w:tc>
          <w:tcPr>
            <w:tcW w:w="3140" w:type="dxa"/>
            <w:vAlign w:val="bottom"/>
            <w:tcBorders>
              <w:bottom w:val="single" w:sz="8" w:color="auto"/>
              <w:right w:val="single" w:sz="8" w:color="auto"/>
            </w:tcBorders>
          </w:tcPr>
          <w:p>
            <w:pPr>
              <w:spacing w:after="0"/>
              <w:rPr>
                <w:sz w:val="23"/>
                <w:szCs w:val="23"/>
                <w:color w:val="auto"/>
              </w:rPr>
            </w:pPr>
          </w:p>
        </w:tc>
        <w:tc>
          <w:tcPr>
            <w:tcW w:w="1340" w:type="dxa"/>
            <w:vAlign w:val="bottom"/>
          </w:tcPr>
          <w:p>
            <w:pPr>
              <w:spacing w:after="0"/>
              <w:rPr>
                <w:sz w:val="23"/>
                <w:szCs w:val="23"/>
                <w:color w:val="auto"/>
              </w:rPr>
            </w:pPr>
          </w:p>
        </w:tc>
      </w:tr>
      <w:tr>
        <w:trPr>
          <w:trHeight w:val="271"/>
        </w:trPr>
        <w:tc>
          <w:tcPr>
            <w:tcW w:w="1400" w:type="dxa"/>
            <w:vAlign w:val="bottom"/>
          </w:tcPr>
          <w:p>
            <w:pPr>
              <w:spacing w:after="0"/>
              <w:rPr>
                <w:sz w:val="23"/>
                <w:szCs w:val="23"/>
                <w:color w:val="auto"/>
              </w:rPr>
            </w:pPr>
          </w:p>
        </w:tc>
        <w:tc>
          <w:tcPr>
            <w:tcW w:w="5360" w:type="dxa"/>
            <w:vAlign w:val="bottom"/>
          </w:tcPr>
          <w:p>
            <w:pPr>
              <w:ind w:left="4180"/>
              <w:spacing w:after="0"/>
              <w:rPr>
                <w:sz w:val="20"/>
                <w:szCs w:val="20"/>
                <w:color w:val="auto"/>
              </w:rPr>
            </w:pPr>
            <w:r>
              <w:rPr>
                <w:rFonts w:ascii="Arial" w:cs="Arial" w:eastAsia="Arial" w:hAnsi="Arial"/>
                <w:sz w:val="22"/>
                <w:szCs w:val="22"/>
                <w:color w:val="auto"/>
              </w:rPr>
              <w:t>1</w:t>
            </w:r>
          </w:p>
        </w:tc>
        <w:tc>
          <w:tcPr>
            <w:tcW w:w="3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718"/>
        </w:trPr>
        <w:tc>
          <w:tcPr>
            <w:tcW w:w="14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ind w:left="146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1063625</wp:posOffset>
            </wp:positionH>
            <wp:positionV relativeFrom="page">
              <wp:posOffset>104140</wp:posOffset>
            </wp:positionV>
            <wp:extent cx="5419725" cy="3295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19725" cy="329565"/>
                    </a:xfrm>
                    <a:prstGeom prst="rect">
                      <a:avLst/>
                    </a:prstGeom>
                    <a:noFill/>
                  </pic:spPr>
                </pic:pic>
              </a:graphicData>
            </a:graphic>
          </wp:anchor>
        </w:drawing>
        <w:t>anniversary of the Vesting Commencement Date occurs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Vesting Commencement Date</w:t>
      </w:r>
      <w:r>
        <w:rPr>
          <w:rFonts w:ascii="Arial" w:cs="Arial" w:eastAsia="Arial" w:hAnsi="Arial"/>
          <w:sz w:val="21"/>
          <w:szCs w:val="21"/>
          <w:color w:val="auto"/>
        </w:rPr>
        <w:t>” means August 25, 2020. If the percentages above would result in a fraction of an RSU vesting on a vesting date, then the number of RSUs vesting on such vesting date shall be rounded up to the next whole number; provided, however, that in no event shall more than 100% of the RSUs become vested and settled.</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foregoing, if neither a Change in Control nor the IPO has occurred prior to a vesting date set forth above, then no vesting shall occur on such date, and instead, the RSUs that would have vested on the vesting date set forth above but for this sentence (the “</w:t>
      </w:r>
      <w:r>
        <w:rPr>
          <w:rFonts w:ascii="Arial" w:cs="Arial" w:eastAsia="Arial" w:hAnsi="Arial"/>
          <w:sz w:val="22"/>
          <w:szCs w:val="22"/>
          <w:b w:val="1"/>
          <w:bCs w:val="1"/>
          <w:i w:val="1"/>
          <w:iCs w:val="1"/>
          <w:color w:val="auto"/>
        </w:rPr>
        <w:t>Liquidity Vesting RSUs</w:t>
      </w:r>
      <w:r>
        <w:rPr>
          <w:rFonts w:ascii="Arial" w:cs="Arial" w:eastAsia="Arial" w:hAnsi="Arial"/>
          <w:sz w:val="22"/>
          <w:szCs w:val="22"/>
          <w:color w:val="auto"/>
        </w:rPr>
        <w:t>”) shall remain unvested and shall become vested upon the occurrence of the earlier of a Change in Control and the IPO, and all remaining RSUs shall continue to vest in accordance with the vesting schedule set forth above.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Vesting of any RSUs in all cases is subject to the Grantee’s continued Service (as defined below) with the Company or one of its Subsidiaries from the Grant Date through and including the applicable vesting date, which in the case of Liquidity Vesting RSUs, shall be the date on which the earlier of a Change in Control and the IPO occurs. Except as otherwise specifically provided in Section 7.2 of the Plan, if the Grantee’s Service with the Company or any of its Subsidiaries terminates for any reason prior to the date on which all of the RSUs have become vested, regardless of whether such termination is initiated by the Grantee, by the Company or by any of the Company’s Subsidiaries, then all RSUs which are unvested as of the date of such termination shall be forfeited immediately upon such termination with no compensation or other payment due to the Grantee or any other Person. In addition, if the Grantee’s Service with the Company or any of its Subsidiaries is terminated for Cause, then any RSUs which have not been settled as of such termination of Service (even if such RSUs are vested) shall be forfeited immediately upon such termination with no compensation or other payment due to the Grantee or any other Person. For purposes of this Agreement, “Service” shall mean continuous service as an employee, non-employee member of the Company’s Board of Directors or independent contractor.</w:t>
      </w:r>
    </w:p>
    <w:p>
      <w:pPr>
        <w:spacing w:after="0" w:line="200" w:lineRule="exact"/>
        <w:rPr>
          <w:sz w:val="20"/>
          <w:szCs w:val="20"/>
          <w:color w:val="auto"/>
        </w:rPr>
      </w:pP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anything to the contrary contained in any offer letter, severance agreement, employment agreement, consulting agreement or similar agreement between the Grantee and the Company or any of its Affiliates, (i) the RSUs shall not vest upon or following Grantee’s termination of Service except as provided in Section 7.2 of the Plan and (ii) the RSUs shall not vest upon a Change in Control, a change in control, a change of control or any similar event except as provided in this Agreement or in the Plan.</w:t>
      </w:r>
    </w:p>
    <w:p>
      <w:pPr>
        <w:spacing w:after="0" w:line="187" w:lineRule="exact"/>
        <w:rPr>
          <w:sz w:val="20"/>
          <w:szCs w:val="20"/>
          <w:color w:val="auto"/>
        </w:rPr>
      </w:pPr>
    </w:p>
    <w:p>
      <w:pPr>
        <w:ind w:firstLine="2254"/>
        <w:spacing w:after="0" w:line="250" w:lineRule="auto"/>
        <w:tabs>
          <w:tab w:leader="none" w:pos="2546"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RSU that becomes vested shall be settled as soon as reasonably practicable following the date on which such RSU becomes vested, and in any event within 30 days after the vesting event.</w:t>
      </w:r>
    </w:p>
    <w:p>
      <w:pPr>
        <w:spacing w:after="0" w:line="174" w:lineRule="exact"/>
        <w:rPr>
          <w:rFonts w:ascii="Arial" w:cs="Arial" w:eastAsia="Arial" w:hAnsi="Arial"/>
          <w:sz w:val="22"/>
          <w:szCs w:val="22"/>
          <w:color w:val="auto"/>
        </w:rPr>
      </w:pPr>
    </w:p>
    <w:p>
      <w:pPr>
        <w:ind w:firstLine="2254"/>
        <w:spacing w:after="0" w:line="250" w:lineRule="auto"/>
        <w:tabs>
          <w:tab w:leader="none" w:pos="2546" w:val="left"/>
        </w:tabs>
        <w:numPr>
          <w:ilvl w:val="0"/>
          <w:numId w:val="39"/>
        </w:numPr>
        <w:rPr>
          <w:rFonts w:ascii="Arial" w:cs="Arial" w:eastAsia="Arial" w:hAnsi="Arial"/>
          <w:sz w:val="22"/>
          <w:szCs w:val="22"/>
          <w:color w:val="auto"/>
        </w:rPr>
      </w:pPr>
      <w:r>
        <w:rPr>
          <w:rFonts w:ascii="Arial" w:cs="Arial" w:eastAsia="Arial" w:hAnsi="Arial"/>
          <w:sz w:val="22"/>
          <w:szCs w:val="22"/>
          <w:color w:val="auto"/>
        </w:rPr>
        <w:t>Prior to the receipt by the Grantee of an RSU Share in settlement of an RSU, the Grantee shall have no rights of a stockholder with respect to such RSU or RSU Share,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82" w:name="page83"/>
    <w:bookmarkEnd w:id="82"/>
    <w:p>
      <w:pPr>
        <w:jc w:val="both"/>
        <w:spacing w:after="0" w:line="272" w:lineRule="auto"/>
        <w:rPr>
          <w:sz w:val="20"/>
          <w:szCs w:val="20"/>
          <w:color w:val="auto"/>
        </w:rPr>
      </w:pPr>
      <w:r>
        <w:rPr>
          <w:rFonts w:ascii="Arial" w:cs="Arial" w:eastAsia="Arial" w:hAnsi="Arial"/>
          <w:sz w:val="19"/>
          <w:szCs w:val="19"/>
          <w:color w:val="auto"/>
        </w:rPr>
        <w:t>including, without limitation, the right to receive dividends with respect to such RSU or RSU Share or the right to vote such RSU or RSU Share. Notwithstanding the foregoing or anything contained in this Agreement to the contrary, if the Company declares a cash dividend on Shares with a record date during the period between the Grant Date and the date immediately preceding the date on which an RSU Share is delivered upon the settlement of a vested RSU, then the Grantee shall be entitled to receive with respect to the vested RSUs being settled on such date an amount in cash equal to the product of (i) the number of vested RSUs then being settled, multiplied by (ii) the amount of cash dividends declared per Share during the period between the Grant Date and the date immediately preceding the date on which such RSU Shares are delivered upon the settlement of such vested RSUs, with such cash payment to be made to the Grantee at the same time as RSU Shares are issued upon the settlement of such vested RSUs; provided, however, that if any such cash dividends have been declared but not paid, such payment shall not be made in respect of such cash dividend until the first payroll date after such cash dividend is paid (and if such dividend equivalent described in this Section 2(c) is not paid to the Participant by March 15</w:t>
      </w:r>
      <w:r>
        <w:rPr>
          <w:rFonts w:ascii="Arial" w:cs="Arial" w:eastAsia="Arial" w:hAnsi="Arial"/>
          <w:sz w:val="13"/>
          <w:szCs w:val="13"/>
          <w:color w:val="auto"/>
        </w:rPr>
        <w:t>th</w:t>
      </w:r>
      <w:r>
        <w:rPr>
          <w:rFonts w:ascii="Arial" w:cs="Arial" w:eastAsia="Arial" w:hAnsi="Arial"/>
          <w:sz w:val="19"/>
          <w:szCs w:val="19"/>
          <w:color w:val="auto"/>
        </w:rPr>
        <w:t xml:space="preserve"> of the year immediately following the year in which the applicable RSU vested, then such dividend equivalent shall be forfeited). Any such amounts will be forfeited upon the forfeiture of the underlying RSU, with no compensation or other payment due to the Grantee or any other Person.</w:t>
      </w:r>
    </w:p>
    <w:p>
      <w:pPr>
        <w:spacing w:after="0" w:line="156" w:lineRule="exact"/>
        <w:rPr>
          <w:sz w:val="20"/>
          <w:szCs w:val="20"/>
          <w:color w:val="auto"/>
        </w:rPr>
      </w:pPr>
    </w:p>
    <w:p>
      <w:pPr>
        <w:jc w:val="both"/>
        <w:ind w:firstLine="1505"/>
        <w:spacing w:after="0"/>
        <w:tabs>
          <w:tab w:leader="none" w:pos="203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Non-Transferability of RSUs</w:t>
      </w:r>
      <w:r>
        <w:rPr>
          <w:rFonts w:ascii="Arial" w:cs="Arial" w:eastAsia="Arial" w:hAnsi="Arial"/>
          <w:sz w:val="22"/>
          <w:szCs w:val="22"/>
          <w:color w:val="auto"/>
        </w:rPr>
        <w:t>. The RSUs may not be sold, pledged, assigned, hypothecated, gifted, transferred or disposed of in any manner either voluntarily or involuntarily by operation of law, other than by will or by the laws of descent and distribution.</w:t>
      </w:r>
    </w:p>
    <w:p>
      <w:pPr>
        <w:spacing w:after="0" w:line="186" w:lineRule="exact"/>
        <w:rPr>
          <w:rFonts w:ascii="Arial" w:cs="Arial" w:eastAsia="Arial" w:hAnsi="Arial"/>
          <w:sz w:val="22"/>
          <w:szCs w:val="22"/>
          <w:color w:val="auto"/>
        </w:rPr>
      </w:pPr>
    </w:p>
    <w:p>
      <w:pPr>
        <w:jc w:val="both"/>
        <w:ind w:firstLine="1505"/>
        <w:spacing w:after="0" w:line="246" w:lineRule="auto"/>
        <w:tabs>
          <w:tab w:leader="none" w:pos="203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Conditions on All Transfers of RSU Shares</w:t>
      </w:r>
      <w:r>
        <w:rPr>
          <w:rFonts w:ascii="Arial" w:cs="Arial" w:eastAsia="Arial" w:hAnsi="Arial"/>
          <w:sz w:val="21"/>
          <w:szCs w:val="21"/>
          <w:color w:val="auto"/>
        </w:rPr>
        <w:t xml:space="preserve">. Notwithstanding anything to the contrary contained in this Agreement or the Plan, no transfer of an RSU Share shall be made, or, if attempted or purported to be made, shall be effective, unless and until the Company is satisfied that the transfer will not violate any federal or state securities law or any other law or agreement (including this Agreement or the Plan) or the rules of any applicable stock exchange. If the transfer would violate any such law, agreement or rule and the Grantee nevertheless attempts or purports to engage in a transfer of RSU Shares, then the Company shall not recognize such transfer on the books and records of the Company and such transfer will be null and void </w:t>
      </w:r>
      <w:r>
        <w:rPr>
          <w:rFonts w:ascii="Arial" w:cs="Arial" w:eastAsia="Arial" w:hAnsi="Arial"/>
          <w:sz w:val="21"/>
          <w:szCs w:val="21"/>
          <w:i w:val="1"/>
          <w:iCs w:val="1"/>
          <w:color w:val="auto"/>
        </w:rPr>
        <w:t>ab</w:t>
      </w:r>
      <w:r>
        <w:rPr>
          <w:rFonts w:ascii="Arial" w:cs="Arial" w:eastAsia="Arial" w:hAnsi="Arial"/>
          <w:sz w:val="21"/>
          <w:szCs w:val="21"/>
          <w:color w:val="auto"/>
        </w:rPr>
        <w:t xml:space="preserve"> </w:t>
      </w:r>
      <w:r>
        <w:rPr>
          <w:rFonts w:ascii="Arial" w:cs="Arial" w:eastAsia="Arial" w:hAnsi="Arial"/>
          <w:sz w:val="21"/>
          <w:szCs w:val="21"/>
          <w:i w:val="1"/>
          <w:iCs w:val="1"/>
          <w:color w:val="auto"/>
        </w:rPr>
        <w:t>initio</w:t>
      </w:r>
      <w:r>
        <w:rPr>
          <w:rFonts w:ascii="Arial" w:cs="Arial" w:eastAsia="Arial" w:hAnsi="Arial"/>
          <w:sz w:val="21"/>
          <w:szCs w:val="21"/>
          <w:color w:val="auto"/>
        </w:rPr>
        <w:t>. In addition, the Grantee will be liable to the Company for damages, if any, which may result from such attempted or</w:t>
      </w:r>
      <w:r>
        <w:rPr>
          <w:rFonts w:ascii="Arial" w:cs="Arial" w:eastAsia="Arial" w:hAnsi="Arial"/>
          <w:sz w:val="21"/>
          <w:szCs w:val="21"/>
          <w:i w:val="1"/>
          <w:iCs w:val="1"/>
          <w:color w:val="auto"/>
        </w:rPr>
        <w:t xml:space="preserve"> </w:t>
      </w:r>
      <w:r>
        <w:rPr>
          <w:rFonts w:ascii="Arial" w:cs="Arial" w:eastAsia="Arial" w:hAnsi="Arial"/>
          <w:sz w:val="21"/>
          <w:szCs w:val="21"/>
          <w:color w:val="auto"/>
        </w:rPr>
        <w:t>purported transfer.</w:t>
      </w:r>
    </w:p>
    <w:p>
      <w:pPr>
        <w:spacing w:after="0" w:line="179"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Promise of Employment or Other Service</w:t>
      </w:r>
      <w:r>
        <w:rPr>
          <w:rFonts w:ascii="Arial" w:cs="Arial" w:eastAsia="Arial" w:hAnsi="Arial"/>
          <w:sz w:val="22"/>
          <w:szCs w:val="22"/>
          <w:color w:val="auto"/>
        </w:rPr>
        <w:t>. Neither the Plan nor the granting or holding of the RSUs nor the holding of RSU Shares will confer upon the Grantee any right to continue in the employ or other service of the Company or any Subsidiary, or limit, in any respect, the right of the Company or any Subsidiary to discharge the Grantee at any time, for any reason and with or without notice.</w:t>
      </w:r>
    </w:p>
    <w:p>
      <w:pPr>
        <w:spacing w:after="0" w:line="184" w:lineRule="exact"/>
        <w:rPr>
          <w:rFonts w:ascii="Arial" w:cs="Arial" w:eastAsia="Arial" w:hAnsi="Arial"/>
          <w:sz w:val="22"/>
          <w:szCs w:val="22"/>
          <w:color w:val="auto"/>
        </w:rPr>
      </w:pPr>
    </w:p>
    <w:p>
      <w:pPr>
        <w:jc w:val="both"/>
        <w:ind w:firstLine="1505"/>
        <w:spacing w:after="0" w:line="236" w:lineRule="auto"/>
        <w:tabs>
          <w:tab w:leader="none" w:pos="203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Grantee shall be responsible for making appropriate provision for all taxes required to be withheld in connection with the grant of RSUs and/or the settlement thereof (and the payment of any dividend equivalents). Such responsibility shall extend to all applicable federal, state, local and foreign withholding taxes. The Company or its Subsidiaries, in their sole discretion, shall have the right to retain the number of shares whose Fair Market Value equals the amount to be withheld in satisfaction of the applicable withholding taxes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line="251" w:lineRule="auto"/>
        <w:rPr>
          <w:sz w:val="20"/>
          <w:szCs w:val="20"/>
          <w:color w:val="auto"/>
        </w:rPr>
      </w:pPr>
      <w:r>
        <w:rPr>
          <w:rFonts w:ascii="Arial" w:cs="Arial" w:eastAsia="Arial" w:hAnsi="Arial"/>
          <w:sz w:val="22"/>
          <w:szCs w:val="22"/>
          <w:color w:val="auto"/>
        </w:rPr>
        <w:t>(or to withhold from any payroll or other amounts otherwise due to the Grantee the amount of withholding taxes due in connection with the RSUs or any dividend equivalents).</w:t>
      </w:r>
    </w:p>
    <w:p>
      <w:pPr>
        <w:spacing w:after="0" w:line="173" w:lineRule="exact"/>
        <w:rPr>
          <w:sz w:val="20"/>
          <w:szCs w:val="20"/>
          <w:color w:val="auto"/>
        </w:rPr>
      </w:pPr>
    </w:p>
    <w:p>
      <w:pPr>
        <w:jc w:val="both"/>
        <w:ind w:firstLine="1505"/>
        <w:spacing w:after="0" w:line="234"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Grantee has received a copy of the Plan, has read the Plan and is familiar with its terms, and hereby accepts the RSUs subject to all of the terms and provisions of the Plan and this Agreement. Pursuant to the Plan, the Committee is authorized to interpret the Plan and to adopt rules and regulations not inconsistent with the Plan as it deems appropriate. The Grantee hereby agrees to accept as binding, conclusive and final all decisions or interpretations of the Committee with respect to the Plan, this Agreement, the RSUs, the RSU Shares or any agreement relating to the RSUs or the RSU Shares. In the event of a conflict between the terms of the Plan and the terms of this Agreement, the terms of the Plan shall control.</w:t>
      </w:r>
    </w:p>
    <w:p>
      <w:pPr>
        <w:spacing w:after="0" w:line="190" w:lineRule="exact"/>
        <w:rPr>
          <w:rFonts w:ascii="Arial" w:cs="Arial" w:eastAsia="Arial" w:hAnsi="Arial"/>
          <w:sz w:val="22"/>
          <w:szCs w:val="22"/>
          <w:color w:val="auto"/>
        </w:rPr>
      </w:pPr>
    </w:p>
    <w:p>
      <w:pPr>
        <w:jc w:val="both"/>
        <w:ind w:firstLine="1505"/>
        <w:spacing w:after="0" w:line="236"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187" w:lineRule="exact"/>
        <w:rPr>
          <w:rFonts w:ascii="Arial" w:cs="Arial" w:eastAsia="Arial" w:hAnsi="Arial"/>
          <w:sz w:val="22"/>
          <w:szCs w:val="22"/>
          <w:color w:val="auto"/>
        </w:rPr>
      </w:pPr>
    </w:p>
    <w:p>
      <w:pPr>
        <w:ind w:firstLine="1505"/>
        <w:spacing w:after="0" w:line="274" w:lineRule="auto"/>
        <w:tabs>
          <w:tab w:leader="none" w:pos="2036"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construed in accordance with the laws of the State of Delaware, without regard to the application of the principles of conflicts of laws of Delaware or any other jurisdiction.</w:t>
      </w:r>
    </w:p>
    <w:p>
      <w:pPr>
        <w:spacing w:after="0" w:line="150"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spacing w:after="0" w:line="184" w:lineRule="exact"/>
        <w:rPr>
          <w:rFonts w:ascii="Arial" w:cs="Arial" w:eastAsia="Arial" w:hAnsi="Arial"/>
          <w:sz w:val="22"/>
          <w:szCs w:val="22"/>
          <w:color w:val="auto"/>
        </w:rPr>
      </w:pPr>
    </w:p>
    <w:p>
      <w:pPr>
        <w:ind w:firstLine="1505"/>
        <w:spacing w:after="0" w:line="250" w:lineRule="auto"/>
        <w:tabs>
          <w:tab w:leader="none" w:pos="20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Subject to the provisions of the Plan, this Agreement may only be amended by a writing signed by each of the parties hereto.</w:t>
      </w:r>
    </w:p>
    <w:p>
      <w:pPr>
        <w:spacing w:after="0" w:line="174"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RSUs to the Grantee by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jc w:val="both"/>
        <w:ind w:firstLine="749"/>
        <w:spacing w:after="0" w:line="328" w:lineRule="auto"/>
        <w:rPr>
          <w:sz w:val="20"/>
          <w:szCs w:val="20"/>
          <w:color w:val="auto"/>
        </w:rPr>
      </w:pPr>
      <w:r>
        <w:rPr>
          <w:rFonts w:ascii="Arial" w:cs="Arial" w:eastAsia="Arial" w:hAnsi="Arial"/>
          <w:sz w:val="19"/>
          <w:szCs w:val="19"/>
          <w:color w:val="auto"/>
        </w:rPr>
        <w:t>IN WITNESS WHEREOF, the Company has caused its duly authorized officer to execute this Agreement, and the Grantee has placed his or her signature hereon evidencing his or her agreement to the terms hereof, effective as of the Grant Date.</w:t>
      </w:r>
    </w:p>
    <w:p>
      <w:pPr>
        <w:spacing w:after="0" w:line="31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w:t>
      </w:r>
    </w:p>
    <w:p>
      <w:pPr>
        <w:ind w:left="2980"/>
        <w:spacing w:after="0" w:line="238" w:lineRule="auto"/>
        <w:rPr>
          <w:sz w:val="20"/>
          <w:szCs w:val="20"/>
          <w:color w:val="auto"/>
        </w:rPr>
      </w:pPr>
      <w:r>
        <w:rPr>
          <w:rFonts w:ascii="Arial" w:cs="Arial" w:eastAsia="Arial" w:hAnsi="Arial"/>
          <w:sz w:val="22"/>
          <w:szCs w:val="22"/>
          <w:color w:val="auto"/>
        </w:rPr>
        <w:t>Name:</w:t>
      </w:r>
    </w:p>
    <w:p>
      <w:pPr>
        <w:ind w:left="2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28"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ind w:left="10120"/>
        <w:spacing w:after="0"/>
        <w:rPr>
          <w:sz w:val="20"/>
          <w:szCs w:val="20"/>
          <w:color w:val="auto"/>
        </w:rPr>
      </w:pPr>
      <w:r>
        <w:rPr>
          <w:rFonts w:ascii="Arial" w:cs="Arial" w:eastAsia="Arial" w:hAnsi="Arial"/>
          <w:sz w:val="19"/>
          <w:szCs w:val="19"/>
          <w:b w:val="1"/>
          <w:bCs w:val="1"/>
          <w:u w:val="single" w:color="auto"/>
          <w:color w:val="auto"/>
        </w:rPr>
        <w:t>Exhibit 10.3</w:t>
      </w:r>
    </w:p>
    <w:p>
      <w:pPr>
        <w:spacing w:after="0" w:line="24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RESTRICTED STOCK UNIT AGREEMENT</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UNDER THE BIOATLA, INC.</w:t>
      </w:r>
    </w:p>
    <w:p>
      <w:pPr>
        <w:ind w:left="4000"/>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b w:val="1"/>
          <w:bCs w:val="1"/>
          <w:color w:val="auto"/>
        </w:rPr>
        <w:t xml:space="preserve">THIS RESTRICTED STOCK UNIT AGREEMENT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between BioAtla, Inc.,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and is made as of ________________, 2020 (the “</w:t>
      </w:r>
      <w:r>
        <w:rPr>
          <w:rFonts w:ascii="Arial" w:cs="Arial" w:eastAsia="Arial" w:hAnsi="Arial"/>
          <w:sz w:val="22"/>
          <w:szCs w:val="22"/>
          <w:b w:val="1"/>
          <w:bCs w:val="1"/>
          <w:i w:val="1"/>
          <w:iCs w:val="1"/>
          <w:color w:val="auto"/>
        </w:rPr>
        <w:t>Grant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maintains the BioAtla, Inc. 2020 Equity Incentive Plan (as it may be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and/or restated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Plan permits the Company to award Restricted Stock Units with respect to shares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common stock, $0.0001 par value per share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subject to the terms of the Plan; and</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grant Restricted Stock Units to the Grantee in accordance with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award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162" w:lineRule="exact"/>
        <w:rPr>
          <w:sz w:val="20"/>
          <w:szCs w:val="20"/>
          <w:color w:val="auto"/>
        </w:rPr>
      </w:pPr>
    </w:p>
    <w:p>
      <w:pPr>
        <w:ind w:firstLine="1497"/>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these premises and the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hereby, agree as follows:</w:t>
      </w:r>
    </w:p>
    <w:p>
      <w:pPr>
        <w:spacing w:after="0" w:line="168" w:lineRule="exact"/>
        <w:rPr>
          <w:sz w:val="20"/>
          <w:szCs w:val="20"/>
          <w:color w:val="auto"/>
        </w:rPr>
      </w:pPr>
    </w:p>
    <w:p>
      <w:pPr>
        <w:jc w:val="both"/>
        <w:ind w:firstLine="1505"/>
        <w:spacing w:after="0" w:line="282" w:lineRule="auto"/>
        <w:tabs>
          <w:tab w:leader="none" w:pos="203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Award of Restricted Stock Units</w:t>
      </w:r>
      <w:r>
        <w:rPr>
          <w:rFonts w:ascii="Arial" w:cs="Arial" w:eastAsia="Arial" w:hAnsi="Arial"/>
          <w:sz w:val="19"/>
          <w:szCs w:val="19"/>
          <w:color w:val="auto"/>
        </w:rPr>
        <w:t>. The Company hereby grants to the Grantee, as of the Grant Date, [_____]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With respect to each RSU that becomes vested in accordance with the terms of this Agreement, the Grantee will be entitled to receive one Share upon the settlement of such RSU (the “</w:t>
      </w:r>
      <w:r>
        <w:rPr>
          <w:rFonts w:ascii="Arial" w:cs="Arial" w:eastAsia="Arial" w:hAnsi="Arial"/>
          <w:sz w:val="19"/>
          <w:szCs w:val="19"/>
          <w:b w:val="1"/>
          <w:bCs w:val="1"/>
          <w:i w:val="1"/>
          <w:iCs w:val="1"/>
          <w:color w:val="auto"/>
        </w:rPr>
        <w:t>RSU Shares</w:t>
      </w:r>
      <w:r>
        <w:rPr>
          <w:rFonts w:ascii="Arial" w:cs="Arial" w:eastAsia="Arial" w:hAnsi="Arial"/>
          <w:sz w:val="19"/>
          <w:szCs w:val="19"/>
          <w:color w:val="auto"/>
        </w:rPr>
        <w:t>”). The RSUs are subject to the terms set forth herein, and the terms of the Plan, which terms and provisions are incorporated herein by reference. Capitalized terms used but not otherwise defined herein shall have the meanings ascribed to such terms in the Plan.</w:t>
      </w:r>
    </w:p>
    <w:p>
      <w:pPr>
        <w:spacing w:after="0" w:line="147" w:lineRule="exact"/>
        <w:rPr>
          <w:rFonts w:ascii="Arial" w:cs="Arial" w:eastAsia="Arial" w:hAnsi="Arial"/>
          <w:sz w:val="19"/>
          <w:szCs w:val="19"/>
          <w:color w:val="auto"/>
        </w:rPr>
      </w:pPr>
    </w:p>
    <w:p>
      <w:pPr>
        <w:ind w:left="2040" w:hanging="535"/>
        <w:spacing w:after="0"/>
        <w:tabs>
          <w:tab w:leader="none" w:pos="20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Vesting;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60" w:hanging="306"/>
        <w:spacing w:after="0"/>
        <w:tabs>
          <w:tab w:leader="none" w:pos="25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RSUs are unvested on the Grant Date and shall become vested as follows:</w:t>
      </w:r>
    </w:p>
    <w:p>
      <w:pPr>
        <w:spacing w:after="0" w:line="231" w:lineRule="exact"/>
        <w:rPr>
          <w:sz w:val="20"/>
          <w:szCs w:val="20"/>
          <w:color w:val="auto"/>
        </w:rPr>
      </w:pPr>
    </w:p>
    <w:tbl>
      <w:tblPr>
        <w:tblLayout w:type="fixed"/>
        <w:tblInd w:w="1590" w:type="dxa"/>
        <w:tblCellMar>
          <w:top w:w="0" w:type="dxa"/>
          <w:left w:w="0" w:type="dxa"/>
          <w:bottom w:w="0" w:type="dxa"/>
          <w:right w:w="0" w:type="dxa"/>
        </w:tblCellMar>
      </w:tblPr>
      <w:tr>
        <w:trPr>
          <w:trHeight w:val="246"/>
        </w:trPr>
        <w:tc>
          <w:tcPr>
            <w:tcW w:w="3560" w:type="dxa"/>
            <w:vAlign w:val="bottom"/>
            <w:tcBorders>
              <w:top w:val="single" w:sz="8" w:color="auto"/>
              <w:left w:val="single" w:sz="8" w:color="auto"/>
            </w:tcBorders>
          </w:tcPr>
          <w:p>
            <w:pPr>
              <w:ind w:left="1840"/>
              <w:spacing w:after="0" w:line="246" w:lineRule="exact"/>
              <w:rPr>
                <w:sz w:val="20"/>
                <w:szCs w:val="20"/>
                <w:color w:val="auto"/>
              </w:rPr>
            </w:pPr>
            <w:r>
              <w:rPr>
                <w:rFonts w:ascii="Arial" w:cs="Arial" w:eastAsia="Arial" w:hAnsi="Arial"/>
                <w:sz w:val="22"/>
                <w:szCs w:val="22"/>
                <w:b w:val="1"/>
                <w:bCs w:val="1"/>
                <w:color w:val="auto"/>
              </w:rPr>
              <w:t>Vesting Date</w:t>
            </w:r>
          </w:p>
        </w:tc>
        <w:tc>
          <w:tcPr>
            <w:tcW w:w="128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tcPr>
          <w:p>
            <w:pPr>
              <w:ind w:left="220"/>
              <w:spacing w:after="0" w:line="246" w:lineRule="exact"/>
              <w:rPr>
                <w:sz w:val="20"/>
                <w:szCs w:val="20"/>
                <w:color w:val="auto"/>
              </w:rPr>
            </w:pPr>
            <w:r>
              <w:rPr>
                <w:rFonts w:ascii="Arial" w:cs="Arial" w:eastAsia="Arial" w:hAnsi="Arial"/>
                <w:sz w:val="22"/>
                <w:szCs w:val="22"/>
                <w:b w:val="1"/>
                <w:bCs w:val="1"/>
                <w:color w:val="auto"/>
                <w:w w:val="92"/>
              </w:rPr>
              <w:t>Vesting Percentage on Vesting</w:t>
            </w:r>
          </w:p>
        </w:tc>
      </w:tr>
      <w:tr>
        <w:trPr>
          <w:trHeight w:val="280"/>
        </w:trPr>
        <w:tc>
          <w:tcPr>
            <w:tcW w:w="3560" w:type="dxa"/>
            <w:vAlign w:val="bottom"/>
            <w:tcBorders>
              <w:lef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1400"/>
              <w:spacing w:after="0"/>
              <w:rPr>
                <w:sz w:val="20"/>
                <w:szCs w:val="20"/>
                <w:color w:val="auto"/>
              </w:rPr>
            </w:pPr>
            <w:r>
              <w:rPr>
                <w:rFonts w:ascii="Arial" w:cs="Arial" w:eastAsia="Arial" w:hAnsi="Arial"/>
                <w:sz w:val="22"/>
                <w:szCs w:val="22"/>
                <w:b w:val="1"/>
                <w:bCs w:val="1"/>
                <w:color w:val="auto"/>
              </w:rPr>
              <w:t>Date</w:t>
            </w:r>
          </w:p>
        </w:tc>
      </w:tr>
      <w:tr>
        <w:trPr>
          <w:trHeight w:val="236"/>
        </w:trPr>
        <w:tc>
          <w:tcPr>
            <w:tcW w:w="356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r>
      <w:tr>
        <w:trPr>
          <w:trHeight w:val="254"/>
        </w:trPr>
        <w:tc>
          <w:tcPr>
            <w:tcW w:w="35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First anniversary of the Grant Date</w:t>
            </w:r>
          </w:p>
        </w:tc>
        <w:tc>
          <w:tcPr>
            <w:tcW w:w="1280" w:type="dxa"/>
            <w:vAlign w:val="bottom"/>
            <w:tcBorders>
              <w:right w:val="single" w:sz="8" w:color="auto"/>
            </w:tcBorders>
          </w:tcPr>
          <w:p>
            <w:pPr>
              <w:spacing w:after="0"/>
              <w:rPr>
                <w:sz w:val="22"/>
                <w:szCs w:val="22"/>
                <w:color w:val="auto"/>
              </w:rPr>
            </w:pPr>
          </w:p>
        </w:tc>
        <w:tc>
          <w:tcPr>
            <w:tcW w:w="3260" w:type="dxa"/>
            <w:vAlign w:val="bottom"/>
            <w:tcBorders>
              <w:right w:val="single" w:sz="8" w:color="auto"/>
            </w:tcBorders>
          </w:tcPr>
          <w:p>
            <w:pPr>
              <w:ind w:left="1420"/>
              <w:spacing w:after="0"/>
              <w:rPr>
                <w:sz w:val="20"/>
                <w:szCs w:val="20"/>
                <w:color w:val="auto"/>
              </w:rPr>
            </w:pPr>
            <w:r>
              <w:rPr>
                <w:rFonts w:ascii="Arial" w:cs="Arial" w:eastAsia="Arial" w:hAnsi="Arial"/>
                <w:sz w:val="22"/>
                <w:szCs w:val="22"/>
                <w:color w:val="auto"/>
              </w:rPr>
              <w:t>50%</w:t>
            </w:r>
          </w:p>
        </w:tc>
      </w:tr>
      <w:tr>
        <w:trPr>
          <w:trHeight w:val="208"/>
        </w:trPr>
        <w:tc>
          <w:tcPr>
            <w:tcW w:w="3560" w:type="dxa"/>
            <w:vAlign w:val="bottom"/>
            <w:tcBorders>
              <w:left w:val="single" w:sz="8" w:color="auto"/>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68"/>
        </w:trPr>
        <w:tc>
          <w:tcPr>
            <w:tcW w:w="3560" w:type="dxa"/>
            <w:vAlign w:val="bottom"/>
          </w:tcPr>
          <w:p>
            <w:pPr>
              <w:spacing w:after="0"/>
              <w:rPr>
                <w:sz w:val="23"/>
                <w:szCs w:val="23"/>
                <w:color w:val="auto"/>
              </w:rPr>
            </w:pPr>
          </w:p>
        </w:tc>
        <w:tc>
          <w:tcPr>
            <w:tcW w:w="1280" w:type="dxa"/>
            <w:vAlign w:val="bottom"/>
          </w:tcPr>
          <w:p>
            <w:pPr>
              <w:jc w:val="right"/>
              <w:ind w:right="632"/>
              <w:spacing w:after="0"/>
              <w:rPr>
                <w:sz w:val="20"/>
                <w:szCs w:val="20"/>
                <w:color w:val="auto"/>
              </w:rPr>
            </w:pPr>
            <w:r>
              <w:rPr>
                <w:rFonts w:ascii="Arial" w:cs="Arial" w:eastAsia="Arial" w:hAnsi="Arial"/>
                <w:sz w:val="22"/>
                <w:szCs w:val="22"/>
                <w:color w:val="auto"/>
              </w:rPr>
              <w:t>1</w:t>
            </w:r>
          </w:p>
        </w:tc>
        <w:tc>
          <w:tcPr>
            <w:tcW w:w="3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27021403.1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tbl>
      <w:tblPr>
        <w:tblLayout w:type="fixed"/>
        <w:tblInd w:w="1590" w:type="dxa"/>
        <w:tblCellMar>
          <w:top w:w="0" w:type="dxa"/>
          <w:left w:w="0" w:type="dxa"/>
          <w:bottom w:w="0" w:type="dxa"/>
          <w:right w:w="0" w:type="dxa"/>
        </w:tblCellMar>
      </w:tblPr>
      <w:tr>
        <w:trPr>
          <w:trHeight w:val="252"/>
        </w:trPr>
        <w:tc>
          <w:tcPr>
            <w:tcW w:w="4840" w:type="dxa"/>
            <w:vAlign w:val="bottom"/>
            <w:tcBorders>
              <w:top w:val="single" w:sz="8" w:color="auto"/>
              <w:left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w w:val="94"/>
              </w:rPr>
              <w:t>The last day of each of the 24 months following the</w:t>
            </w:r>
          </w:p>
        </w:tc>
        <w:tc>
          <w:tcPr>
            <w:tcW w:w="3260" w:type="dxa"/>
            <w:vAlign w:val="bottom"/>
            <w:tcBorders>
              <w:top w:val="single" w:sz="8" w:color="auto"/>
              <w:right w:val="single" w:sz="8" w:color="auto"/>
            </w:tcBorders>
          </w:tcPr>
          <w:p>
            <w:pPr>
              <w:jc w:val="right"/>
              <w:ind w:right="1092"/>
              <w:spacing w:after="0" w:line="251" w:lineRule="exact"/>
              <w:rPr>
                <w:sz w:val="20"/>
                <w:szCs w:val="20"/>
                <w:color w:val="auto"/>
              </w:rPr>
            </w:pPr>
            <w:r>
              <w:rPr>
                <w:rFonts w:ascii="Arial" w:cs="Arial" w:eastAsia="Arial" w:hAnsi="Arial"/>
                <w:sz w:val="22"/>
                <w:szCs w:val="22"/>
                <w:color w:val="auto"/>
              </w:rPr>
              <w:t>2.08333%</w:t>
            </w:r>
          </w:p>
        </w:tc>
      </w:tr>
      <w:tr>
        <w:trPr>
          <w:trHeight w:val="243"/>
        </w:trPr>
        <w:tc>
          <w:tcPr>
            <w:tcW w:w="484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month in which the first anniversary of the Grant</w:t>
            </w:r>
          </w:p>
        </w:tc>
        <w:tc>
          <w:tcPr>
            <w:tcW w:w="3260" w:type="dxa"/>
            <w:vAlign w:val="bottom"/>
            <w:tcBorders>
              <w:right w:val="single" w:sz="8" w:color="auto"/>
            </w:tcBorders>
          </w:tcPr>
          <w:p>
            <w:pPr>
              <w:spacing w:after="0"/>
              <w:rPr>
                <w:sz w:val="21"/>
                <w:szCs w:val="21"/>
                <w:color w:val="auto"/>
              </w:rPr>
            </w:pPr>
          </w:p>
        </w:tc>
      </w:tr>
      <w:tr>
        <w:trPr>
          <w:trHeight w:val="274"/>
        </w:trPr>
        <w:tc>
          <w:tcPr>
            <w:tcW w:w="4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 occurs</w:t>
            </w:r>
          </w:p>
        </w:tc>
        <w:tc>
          <w:tcPr>
            <w:tcW w:w="3260" w:type="dxa"/>
            <w:vAlign w:val="bottom"/>
            <w:tcBorders>
              <w:right w:val="single" w:sz="8" w:color="auto"/>
            </w:tcBorders>
          </w:tcPr>
          <w:p>
            <w:pPr>
              <w:spacing w:after="0"/>
              <w:rPr>
                <w:sz w:val="23"/>
                <w:szCs w:val="23"/>
                <w:color w:val="auto"/>
              </w:rPr>
            </w:pPr>
          </w:p>
        </w:tc>
      </w:tr>
      <w:tr>
        <w:trPr>
          <w:trHeight w:val="216"/>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percentages above would result in a fraction of an RSU vesting on a vesting date, then the number of RSUs vesting on such vesting date shall be rounded up to the next whole number; provided, however, that in no event shall more than 100% of the RSUs become vested and settled.</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foregoing, if neither a Change in Control nor the IPO has occurred prior to a vesting date set forth above, then no vesting shall occur on such date, and instead, the RSUs that would have vested on the vesting date set forth above but for this sentence (the “</w:t>
      </w:r>
      <w:r>
        <w:rPr>
          <w:rFonts w:ascii="Arial" w:cs="Arial" w:eastAsia="Arial" w:hAnsi="Arial"/>
          <w:sz w:val="22"/>
          <w:szCs w:val="22"/>
          <w:b w:val="1"/>
          <w:bCs w:val="1"/>
          <w:i w:val="1"/>
          <w:iCs w:val="1"/>
          <w:color w:val="auto"/>
        </w:rPr>
        <w:t>Liquidity Vesting RSUs</w:t>
      </w:r>
      <w:r>
        <w:rPr>
          <w:rFonts w:ascii="Arial" w:cs="Arial" w:eastAsia="Arial" w:hAnsi="Arial"/>
          <w:sz w:val="22"/>
          <w:szCs w:val="22"/>
          <w:color w:val="auto"/>
        </w:rPr>
        <w:t>”) shall remain unvested and shall become vested upon the occurrence of the earlier of a Change in Control and the IPO, and all remaining RSUs shall continue to vest in accordance with the vesting schedule set forth above.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Vesting of any RSUs in all cases is subject to the Grantee’s continued Service (as defined below) with the Company or one of its Subsidiaries from the Grant Date through and including the applicable vesting date, which in the case of Liquidity Vesting RSUs, shall be the date on which the earlier of a Change in Control and the IPO occurs. Except as otherwise specifically provided in Section 7.2 of the Plan, if the Grantee’s Service with the Company or any of its Subsidiaries terminates for any reason prior to the date on which all of the RSUs have become vested, regardless of whether such termination is initiated by the Grantee, by the Company or by any of the Company’s Subsidiaries, then all RSUs which are unvested as of the date of such termination shall be forfeited immediately upon such termination with no compensation or other payment due to the Grantee or any other Person. In addition, if the Grantee’s Service with the Company or any of its Subsidiaries is terminated for Cause, then any RSUs which have not been settled as of such termination of Service (even if such RSUs are vested) shall be forfeited immediately upon such termination with no compensation or other payment due to the Grantee or any other Person. For purposes of this Agreement, “Service” shall mean continuous service as an employee, non-employee member of the Company’s Board of Directors or independent contractor.</w:t>
      </w:r>
    </w:p>
    <w:p>
      <w:pPr>
        <w:spacing w:after="0" w:line="200" w:lineRule="exact"/>
        <w:rPr>
          <w:sz w:val="20"/>
          <w:szCs w:val="20"/>
          <w:color w:val="auto"/>
        </w:rPr>
      </w:pP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anything to the contrary contained in any offer letter, severance agreement, employment agreement, consulting agreement or similar agreement between the Grantee and the Company or any of its Affiliates, (i) the RSUs shall not vest upon or following Grantee’s termination of Service except as provided in Section 7.2 of the Plan and (ii) the RSUs shall not vest upon a Change in Control, a change in control, a change of control or any similar event except as provided in this Agreement or in the Plan.</w:t>
      </w:r>
    </w:p>
    <w:p>
      <w:pPr>
        <w:spacing w:after="0" w:line="187" w:lineRule="exact"/>
        <w:rPr>
          <w:sz w:val="20"/>
          <w:szCs w:val="20"/>
          <w:color w:val="auto"/>
        </w:rPr>
      </w:pPr>
    </w:p>
    <w:p>
      <w:pPr>
        <w:ind w:firstLine="2254"/>
        <w:spacing w:after="0" w:line="250" w:lineRule="auto"/>
        <w:tabs>
          <w:tab w:leader="none" w:pos="2546" w:val="left"/>
        </w:tabs>
        <w:numPr>
          <w:ilvl w:val="0"/>
          <w:numId w:val="43"/>
        </w:numPr>
        <w:rPr>
          <w:rFonts w:ascii="Arial" w:cs="Arial" w:eastAsia="Arial" w:hAnsi="Arial"/>
          <w:sz w:val="22"/>
          <w:szCs w:val="22"/>
          <w:color w:val="auto"/>
        </w:rPr>
      </w:pPr>
      <w:r>
        <w:rPr>
          <w:rFonts w:ascii="Arial" w:cs="Arial" w:eastAsia="Arial" w:hAnsi="Arial"/>
          <w:sz w:val="22"/>
          <w:szCs w:val="22"/>
          <w:color w:val="auto"/>
        </w:rPr>
        <w:t>Each RSU that becomes vested shall be settled as soon as reasonably practicable following the date on which such RSU becomes vested, and in any event within 30 days after the vesting event.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27021403.1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8" w:name="page89"/>
    <w:bookmarkEnd w:id="88"/>
    <w:p>
      <w:pPr>
        <w:jc w:val="both"/>
        <w:ind w:firstLine="2254"/>
        <w:spacing w:after="0" w:line="256" w:lineRule="auto"/>
        <w:tabs>
          <w:tab w:leader="none" w:pos="25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Prior to the receipt by the Grantee of an RSU Share in settlement of an RSU, the Grantee shall have no rights of a stockholder with respect to such RSU or RSU Share, including, without limitation, the right to receive dividends with respect to such RSU or RSU Share or the right to vote such RSU or RSU Share. Notwithstanding the foregoing or anything contained in this Agreement to the contrary, if the Company declares a cash dividend on Shares with a record date during the period between the Grant Date and the date immediately preceding the date on which an RSU Share is delivered upon the settlement of a vested RSU, then the Grantee shall be entitled to receive with respect to the vested RSUs being settled on such date an amount in cash equal to the product of (i) the number of vested RSUs then being settled, multiplied by (ii) the amount of cash dividends declared per Share during the period between the Grant Date and the date immediately preceding the date on which such RSU Shares are delivered upon the settlement of such vested RSUs, with such cash payment to be made to the Grantee at the same time as RSU Shares are issued upon the settlement of such vested RSUs; provided, however, that if any such cash dividends have been declared but not paid, such payment shall not be made in respect of such cash dividend until the first payroll date after such cash dividend is paid (and if such dividend equivalent described in this Section 2(c) is not paid to the Participant by March 15</w:t>
      </w:r>
      <w:r>
        <w:rPr>
          <w:rFonts w:ascii="Arial" w:cs="Arial" w:eastAsia="Arial" w:hAnsi="Arial"/>
          <w:sz w:val="13"/>
          <w:szCs w:val="13"/>
          <w:color w:val="auto"/>
        </w:rPr>
        <w:t>th</w:t>
      </w:r>
      <w:r>
        <w:rPr>
          <w:rFonts w:ascii="Arial" w:cs="Arial" w:eastAsia="Arial" w:hAnsi="Arial"/>
          <w:sz w:val="20"/>
          <w:szCs w:val="20"/>
          <w:color w:val="auto"/>
        </w:rPr>
        <w:t xml:space="preserve"> of the year immediately following the year in which the applicable RSU vested, then such dividend equivalent shall be forfeited). Any such amounts will be forfeited upon the forfeiture of the underlying RSU, with no compensation or other payment due to the Grantee or any other Person.</w:t>
      </w:r>
    </w:p>
    <w:p>
      <w:pPr>
        <w:spacing w:after="0" w:line="181" w:lineRule="exact"/>
        <w:rPr>
          <w:rFonts w:ascii="Arial" w:cs="Arial" w:eastAsia="Arial" w:hAnsi="Arial"/>
          <w:sz w:val="20"/>
          <w:szCs w:val="20"/>
          <w:color w:val="auto"/>
        </w:rPr>
      </w:pPr>
    </w:p>
    <w:p>
      <w:pPr>
        <w:jc w:val="both"/>
        <w:ind w:firstLine="1505"/>
        <w:spacing w:after="0"/>
        <w:tabs>
          <w:tab w:leader="none" w:pos="203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Non-Transferability of RSUs</w:t>
      </w:r>
      <w:r>
        <w:rPr>
          <w:rFonts w:ascii="Arial" w:cs="Arial" w:eastAsia="Arial" w:hAnsi="Arial"/>
          <w:sz w:val="22"/>
          <w:szCs w:val="22"/>
          <w:color w:val="auto"/>
        </w:rPr>
        <w:t>. The RSUs may not be sold, pledged, assigned, hypothecated, gifted, transferred or disposed of in any manner either voluntarily or involuntarily by operation of law, other than by will or by the laws of descent and distribution.</w:t>
      </w:r>
    </w:p>
    <w:p>
      <w:pPr>
        <w:spacing w:after="0" w:line="186" w:lineRule="exact"/>
        <w:rPr>
          <w:rFonts w:ascii="Arial" w:cs="Arial" w:eastAsia="Arial" w:hAnsi="Arial"/>
          <w:sz w:val="22"/>
          <w:szCs w:val="22"/>
          <w:color w:val="auto"/>
        </w:rPr>
      </w:pPr>
    </w:p>
    <w:p>
      <w:pPr>
        <w:jc w:val="both"/>
        <w:ind w:firstLine="1505"/>
        <w:spacing w:after="0" w:line="246" w:lineRule="auto"/>
        <w:tabs>
          <w:tab w:leader="none" w:pos="2036"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Conditions on All Transfers of RSU Shares</w:t>
      </w:r>
      <w:r>
        <w:rPr>
          <w:rFonts w:ascii="Arial" w:cs="Arial" w:eastAsia="Arial" w:hAnsi="Arial"/>
          <w:sz w:val="21"/>
          <w:szCs w:val="21"/>
          <w:color w:val="auto"/>
        </w:rPr>
        <w:t xml:space="preserve">. Notwithstanding anything to the contrary contained in this Agreement or the Plan, no transfer of an RSU Share shall be made, or, if attempted or purported to be made, shall be effective, unless and until the Company is satisfied that the transfer will not violate any federal or state securities law or any other law or agreement (including this Agreement or the Plan) or the rules of any applicable stock exchange. If the transfer would violate any such law, agreement or rule and the Grantee nevertheless attempts or purports to engage in a transfer of RSU Shares, then the Company shall not recognize such transfer on the books and records of the Company and such transfer will be null and void </w:t>
      </w:r>
      <w:r>
        <w:rPr>
          <w:rFonts w:ascii="Arial" w:cs="Arial" w:eastAsia="Arial" w:hAnsi="Arial"/>
          <w:sz w:val="21"/>
          <w:szCs w:val="21"/>
          <w:i w:val="1"/>
          <w:iCs w:val="1"/>
          <w:color w:val="auto"/>
        </w:rPr>
        <w:t>ab</w:t>
      </w:r>
      <w:r>
        <w:rPr>
          <w:rFonts w:ascii="Arial" w:cs="Arial" w:eastAsia="Arial" w:hAnsi="Arial"/>
          <w:sz w:val="21"/>
          <w:szCs w:val="21"/>
          <w:color w:val="auto"/>
        </w:rPr>
        <w:t xml:space="preserve"> </w:t>
      </w:r>
      <w:r>
        <w:rPr>
          <w:rFonts w:ascii="Arial" w:cs="Arial" w:eastAsia="Arial" w:hAnsi="Arial"/>
          <w:sz w:val="21"/>
          <w:szCs w:val="21"/>
          <w:i w:val="1"/>
          <w:iCs w:val="1"/>
          <w:color w:val="auto"/>
        </w:rPr>
        <w:t>initio</w:t>
      </w:r>
      <w:r>
        <w:rPr>
          <w:rFonts w:ascii="Arial" w:cs="Arial" w:eastAsia="Arial" w:hAnsi="Arial"/>
          <w:sz w:val="21"/>
          <w:szCs w:val="21"/>
          <w:color w:val="auto"/>
        </w:rPr>
        <w:t>. In addition, the Grantee will be liable to the Company for damages, if any, which may result from such attempted or</w:t>
      </w:r>
      <w:r>
        <w:rPr>
          <w:rFonts w:ascii="Arial" w:cs="Arial" w:eastAsia="Arial" w:hAnsi="Arial"/>
          <w:sz w:val="21"/>
          <w:szCs w:val="21"/>
          <w:i w:val="1"/>
          <w:iCs w:val="1"/>
          <w:color w:val="auto"/>
        </w:rPr>
        <w:t xml:space="preserve"> </w:t>
      </w:r>
      <w:r>
        <w:rPr>
          <w:rFonts w:ascii="Arial" w:cs="Arial" w:eastAsia="Arial" w:hAnsi="Arial"/>
          <w:sz w:val="21"/>
          <w:szCs w:val="21"/>
          <w:color w:val="auto"/>
        </w:rPr>
        <w:t>purported transfer.</w:t>
      </w:r>
    </w:p>
    <w:p>
      <w:pPr>
        <w:spacing w:after="0" w:line="179"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Promise of Employment or Other Service</w:t>
      </w:r>
      <w:r>
        <w:rPr>
          <w:rFonts w:ascii="Arial" w:cs="Arial" w:eastAsia="Arial" w:hAnsi="Arial"/>
          <w:sz w:val="22"/>
          <w:szCs w:val="22"/>
          <w:color w:val="auto"/>
        </w:rPr>
        <w:t>. Neither the Plan nor the granting or holding of the RSUs nor the holding of RSU Shares will confer upon the Grantee any right to continue in the employ or other service of the Company or any Subsidiary, or limit, in any respect, the right of the Company or any Subsidiary to discharge the Grantee at any time, for any reason and with or without notice.</w:t>
      </w:r>
    </w:p>
    <w:p>
      <w:pPr>
        <w:spacing w:after="0" w:line="184"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Grantee shall be responsible for making appropriate provision for all taxes required to be withheld in connection with the grant of RSUs and/or the settlement thereof (and the payment of any dividend equivalents). Such responsibility shall extend to all applicable federal, state, local and foreign withholding taxes. The Company or 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27021403.1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jc w:val="both"/>
        <w:spacing w:after="0" w:line="297" w:lineRule="auto"/>
        <w:rPr>
          <w:sz w:val="20"/>
          <w:szCs w:val="20"/>
          <w:color w:val="auto"/>
        </w:rPr>
      </w:pPr>
      <w:r>
        <w:rPr>
          <w:rFonts w:ascii="Arial" w:cs="Arial" w:eastAsia="Arial" w:hAnsi="Arial"/>
          <w:sz w:val="19"/>
          <w:szCs w:val="19"/>
          <w:color w:val="auto"/>
        </w:rPr>
        <w:t>Subsidiaries, in their sole discretion, shall have the right to retain the number of shares whose Fair Market Value equals the amount to be withheld in satisfaction of the applicable withholding taxes (or to withhold from any payroll or other amounts otherwise due to the Grantee the amount of withholding taxes due in connection with the RSUs or any dividend equivalents).</w:t>
      </w:r>
    </w:p>
    <w:p>
      <w:pPr>
        <w:spacing w:after="0" w:line="134" w:lineRule="exact"/>
        <w:rPr>
          <w:sz w:val="20"/>
          <w:szCs w:val="20"/>
          <w:color w:val="auto"/>
        </w:rPr>
      </w:pPr>
    </w:p>
    <w:p>
      <w:pPr>
        <w:jc w:val="both"/>
        <w:ind w:firstLine="1505"/>
        <w:spacing w:after="0" w:line="234" w:lineRule="auto"/>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Grantee has received a copy of the Plan, has read the Plan and is familiar with its terms, and hereby accepts the RSUs subject to all of the terms and provisions of the Plan and this Agreement. Pursuant to the Plan, the Committee is authorized to interpret the Plan and to adopt rules and regulations not inconsistent with the Plan as it deems appropriate. The Grantee hereby agrees to accept as binding, conclusive and final all decisions or interpretations of the Committee with respect to the Plan, this Agreement, the RSUs, the RSU Shares or any agreement relating to the RSUs or the RSU Shares. In the event of a conflict between the terms of the Plan and the terms of this Agreement, the terms of the Plan shall control.</w:t>
      </w:r>
    </w:p>
    <w:p>
      <w:pPr>
        <w:spacing w:after="0" w:line="190" w:lineRule="exact"/>
        <w:rPr>
          <w:rFonts w:ascii="Arial" w:cs="Arial" w:eastAsia="Arial" w:hAnsi="Arial"/>
          <w:sz w:val="22"/>
          <w:szCs w:val="22"/>
          <w:color w:val="auto"/>
        </w:rPr>
      </w:pPr>
    </w:p>
    <w:p>
      <w:pPr>
        <w:jc w:val="both"/>
        <w:ind w:firstLine="1505"/>
        <w:spacing w:after="0" w:line="236" w:lineRule="auto"/>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187" w:lineRule="exact"/>
        <w:rPr>
          <w:rFonts w:ascii="Arial" w:cs="Arial" w:eastAsia="Arial" w:hAnsi="Arial"/>
          <w:sz w:val="22"/>
          <w:szCs w:val="22"/>
          <w:color w:val="auto"/>
        </w:rPr>
      </w:pPr>
    </w:p>
    <w:p>
      <w:pPr>
        <w:ind w:firstLine="1505"/>
        <w:spacing w:after="0" w:line="274" w:lineRule="auto"/>
        <w:tabs>
          <w:tab w:leader="none" w:pos="2036"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construed in accordance with the laws of the State of Delaware, without regard to the application of the principles of conflicts of laws of Delaware or any other jurisdiction.</w:t>
      </w:r>
    </w:p>
    <w:p>
      <w:pPr>
        <w:spacing w:after="0" w:line="150" w:lineRule="exact"/>
        <w:rPr>
          <w:rFonts w:ascii="Arial" w:cs="Arial" w:eastAsia="Arial" w:hAnsi="Arial"/>
          <w:sz w:val="21"/>
          <w:szCs w:val="21"/>
          <w:color w:val="auto"/>
        </w:rPr>
      </w:pPr>
    </w:p>
    <w:p>
      <w:pPr>
        <w:jc w:val="both"/>
        <w:ind w:firstLine="1505"/>
        <w:spacing w:after="0" w:line="238" w:lineRule="auto"/>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spacing w:after="0" w:line="184" w:lineRule="exact"/>
        <w:rPr>
          <w:rFonts w:ascii="Arial" w:cs="Arial" w:eastAsia="Arial" w:hAnsi="Arial"/>
          <w:sz w:val="22"/>
          <w:szCs w:val="22"/>
          <w:color w:val="auto"/>
        </w:rPr>
      </w:pPr>
    </w:p>
    <w:p>
      <w:pPr>
        <w:ind w:firstLine="1505"/>
        <w:spacing w:after="0" w:line="250" w:lineRule="auto"/>
        <w:tabs>
          <w:tab w:leader="none" w:pos="203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Subject to the provisions of the Plan, this Agreement may only be amended by a writing signed by each of the parties hereto.</w:t>
      </w:r>
    </w:p>
    <w:p>
      <w:pPr>
        <w:spacing w:after="0" w:line="174" w:lineRule="exact"/>
        <w:rPr>
          <w:rFonts w:ascii="Arial" w:cs="Arial" w:eastAsia="Arial" w:hAnsi="Arial"/>
          <w:sz w:val="22"/>
          <w:szCs w:val="22"/>
          <w:color w:val="auto"/>
        </w:rPr>
      </w:pPr>
    </w:p>
    <w:p>
      <w:pPr>
        <w:jc w:val="both"/>
        <w:ind w:firstLine="1505"/>
        <w:spacing w:after="0" w:line="297" w:lineRule="auto"/>
        <w:tabs>
          <w:tab w:leader="none" w:pos="203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RSUs to the Grantee by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27021403.1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both"/>
        <w:ind w:firstLine="749"/>
        <w:spacing w:after="0" w:line="328" w:lineRule="auto"/>
        <w:rPr>
          <w:sz w:val="20"/>
          <w:szCs w:val="20"/>
          <w:color w:val="auto"/>
        </w:rPr>
      </w:pPr>
      <w:r>
        <w:rPr>
          <w:rFonts w:ascii="Arial" w:cs="Arial" w:eastAsia="Arial" w:hAnsi="Arial"/>
          <w:sz w:val="19"/>
          <w:szCs w:val="19"/>
          <w:color w:val="auto"/>
        </w:rPr>
        <w:t>IN WITNESS WHEREOF, the Company has caused its duly authorized officer to execute this Agreement, and the Grantee has placed his or her signature hereon evidencing his or her agreement to the terms hereof, effective as of the Grant Date.</w:t>
      </w:r>
    </w:p>
    <w:p>
      <w:pPr>
        <w:spacing w:after="0" w:line="31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w:t>
      </w:r>
    </w:p>
    <w:p>
      <w:pPr>
        <w:ind w:left="2980"/>
        <w:spacing w:after="0" w:line="238" w:lineRule="auto"/>
        <w:rPr>
          <w:sz w:val="20"/>
          <w:szCs w:val="20"/>
          <w:color w:val="auto"/>
        </w:rPr>
      </w:pPr>
      <w:r>
        <w:rPr>
          <w:rFonts w:ascii="Arial" w:cs="Arial" w:eastAsia="Arial" w:hAnsi="Arial"/>
          <w:sz w:val="22"/>
          <w:szCs w:val="22"/>
          <w:color w:val="auto"/>
        </w:rPr>
        <w:t>Name:</w:t>
      </w:r>
    </w:p>
    <w:p>
      <w:pPr>
        <w:ind w:left="2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27021403.1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91"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BioAtla,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91"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In connection with the Quarterly Report of BioAtla, Inc. (the “Company”) on Form 10-Q for the period ending June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Jay M. Short, Ph.D.</w:t>
      </w:r>
    </w:p>
    <w:p>
      <w:pPr>
        <w:spacing w:after="0" w:line="3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August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Richard A. Waldron</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lowerLetter"/>
      <w:start w:val="3"/>
    </w:lvl>
  </w:abstractNum>
  <w:abstractNum w:abstractNumId="32">
    <w:nsid w:val="153EA438"/>
    <w:multiLevelType w:val="hybridMultilevel"/>
    <w:lvl w:ilvl="0">
      <w:lvlJc w:val="left"/>
      <w:lvlText w:val="(%1)"/>
      <w:numFmt w:val="lowerLetter"/>
      <w:start w:val="2"/>
    </w:lvl>
  </w:abstractNum>
  <w:abstractNum w:abstractNumId="33">
    <w:nsid w:val="3855585C"/>
    <w:multiLevelType w:val="hybridMultilevel"/>
    <w:lvl w:ilvl="0">
      <w:lvlJc w:val="left"/>
      <w:lvlText w:val="%1"/>
      <w:numFmt w:val="lowerLetter"/>
      <w:start w:val="1"/>
    </w:lvl>
    <w:lvl w:ilvl="1">
      <w:lvlJc w:val="left"/>
      <w:lvlText w:val="(%2)"/>
      <w:numFmt w:val="lowerLetter"/>
      <w:start w:val="1"/>
    </w:lvl>
  </w:abstractNum>
  <w:abstractNum w:abstractNumId="34">
    <w:nsid w:val="70A64E2A"/>
    <w:multiLevelType w:val="hybridMultilevel"/>
    <w:lvl w:ilvl="0">
      <w:lvlJc w:val="left"/>
      <w:lvlText w:val="(%1)"/>
      <w:numFmt w:val="lowerLetter"/>
      <w:start w:val="2"/>
    </w:lvl>
    <w:lvl w:ilvl="1">
      <w:lvlJc w:val="left"/>
      <w:lvlText w:val="%2"/>
      <w:numFmt w:val="lowerLetter"/>
      <w:start w:val="1"/>
    </w:lvl>
  </w:abstractNum>
  <w:abstractNum w:abstractNumId="35">
    <w:nsid w:val="6A2342EC"/>
    <w:multiLevelType w:val="hybridMultilevel"/>
    <w:lvl w:ilvl="0">
      <w:lvlJc w:val="left"/>
      <w:lvlText w:val="(%1)"/>
      <w:numFmt w:val="lowerLetter"/>
      <w:start w:val="1"/>
    </w:lvl>
    <w:lvl w:ilvl="1">
      <w:lvlJc w:val="left"/>
      <w:lvlText w:val="(%2)"/>
      <w:numFmt w:val="lowerLetter"/>
      <w:start w:val="2"/>
    </w:lvl>
  </w:abstractNum>
  <w:abstractNum w:abstractNumId="36">
    <w:nsid w:val="2A487CB0"/>
    <w:multiLevelType w:val="hybridMultilevel"/>
    <w:lvl w:ilvl="0">
      <w:lvlJc w:val="left"/>
      <w:lvlText w:val="(%1)"/>
      <w:numFmt w:val="lowerLetter"/>
      <w:start w:val="7"/>
    </w:lvl>
  </w:abstractNum>
  <w:abstractNum w:abstractNumId="37">
    <w:nsid w:val="1D4ED43B"/>
    <w:multiLevelType w:val="hybridMultilevel"/>
    <w:lvl w:ilvl="0">
      <w:lvlJc w:val="left"/>
      <w:lvlText w:val="%1."/>
      <w:numFmt w:val="decimal"/>
      <w:start w:val="1"/>
    </w:lvl>
    <w:lvl w:ilvl="1">
      <w:lvlJc w:val="left"/>
      <w:lvlText w:val="(%2)"/>
      <w:numFmt w:val="lowerLetter"/>
      <w:start w:val="1"/>
    </w:lvl>
  </w:abstractNum>
  <w:abstractNum w:abstractNumId="38">
    <w:nsid w:val="725A06FB"/>
    <w:multiLevelType w:val="hybridMultilevel"/>
    <w:lvl w:ilvl="0">
      <w:lvlJc w:val="left"/>
      <w:lvlText w:val="(%1)"/>
      <w:numFmt w:val="lowerLetter"/>
      <w:start w:val="2"/>
    </w:lvl>
  </w:abstractNum>
  <w:abstractNum w:abstractNumId="39">
    <w:nsid w:val="2CD89A32"/>
    <w:multiLevelType w:val="hybridMultilevel"/>
    <w:lvl w:ilvl="0">
      <w:lvlJc w:val="left"/>
      <w:lvlText w:val="%1."/>
      <w:numFmt w:val="decimal"/>
      <w:start w:val="3"/>
    </w:lvl>
  </w:abstractNum>
  <w:abstractNum w:abstractNumId="40">
    <w:nsid w:val="57E4CCAF"/>
    <w:multiLevelType w:val="hybridMultilevel"/>
    <w:lvl w:ilvl="0">
      <w:lvlJc w:val="left"/>
      <w:lvlText w:val="%1."/>
      <w:numFmt w:val="decimal"/>
      <w:start w:val="7"/>
    </w:lvl>
  </w:abstractNum>
  <w:abstractNum w:abstractNumId="41">
    <w:nsid w:val="7A6D8D3C"/>
    <w:multiLevelType w:val="hybridMultilevel"/>
    <w:lvl w:ilvl="0">
      <w:lvlJc w:val="left"/>
      <w:lvlText w:val="%1."/>
      <w:numFmt w:val="decimal"/>
      <w:start w:val="1"/>
    </w:lvl>
    <w:lvl w:ilvl="1">
      <w:lvlJc w:val="left"/>
      <w:lvlText w:val="(%2)"/>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decimal"/>
      <w:start w:val="1"/>
    </w:lvl>
    <w:lvl w:ilvl="1">
      <w:lvlJc w:val="left"/>
      <w:lvlText w:val="(%2)"/>
      <w:numFmt w:val="lowerLetter"/>
      <w:start w:val="3"/>
    </w:lvl>
  </w:abstractNum>
  <w:abstractNum w:abstractNumId="44">
    <w:nsid w:val="6DE91B18"/>
    <w:multiLevelType w:val="hybridMultilevel"/>
    <w:lvl w:ilvl="0">
      <w:lvlJc w:val="left"/>
      <w:lvlText w:val="%1."/>
      <w:numFmt w:val="decimal"/>
      <w:start w:val="3"/>
    </w:lvl>
    <w:lvl w:ilvl="1">
      <w:lvlJc w:val="left"/>
      <w:lvlText w:val="%2"/>
      <w:numFmt w:val="lowerLetter"/>
      <w:start w:val="1"/>
    </w:lvl>
  </w:abstractNum>
  <w:abstractNum w:abstractNumId="45">
    <w:nsid w:val="38437FDB"/>
    <w:multiLevelType w:val="hybridMultilevel"/>
    <w:lvl w:ilvl="0">
      <w:lvlJc w:val="left"/>
      <w:lvlText w:val="%1."/>
      <w:numFmt w:val="decimal"/>
      <w:start w:val="7"/>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2023-08-01T16:17:04Z</dcterms:created>
  <dcterms:modified xsi:type="dcterms:W3CDTF">2023-08-01T16:17:04Z</dcterms:modified>
</cp:coreProperties>
</file>