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40630.htm"/>
      <w:bookmarkStart w:id="1" w:name="ksbcab2024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001-39787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3631"/>
        <w:gridCol w:w="1246"/>
      </w:tblGrid>
      <w:tr>
        <w:trPr/>
        <w:tc>
          <w:tcPr>
            <w:tcW w:w="36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3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6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11085 Torreyana Road, 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558-0708</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BCAB</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2, 2024, the number of shares of the registrant’s common stock outstanding was 48,335,737</w:t>
      </w:r>
      <w:r>
        <w:rPr>
          <w:rFonts w:ascii="Times New Roman" w:hAnsi="Times New Roman"/>
          <w:color w:val="000000"/>
          <w:sz w:val="20"/>
        </w:rPr>
        <w:t xml:space="preserve"> </w:t>
      </w:r>
      <w:r>
        <w:rPr>
          <w:rFonts w:ascii="Times New Roman" w:hAnsi="Times New Roman"/>
          <w:color w:val="000000"/>
          <w:sz w:val="18"/>
        </w:rPr>
        <w:t>and</w:t>
      </w:r>
      <w:r>
        <w:rPr>
          <w:rFonts w:ascii="Times New Roman" w:hAnsi="Times New Roman"/>
          <w:color w:val="000000"/>
          <w:sz w:val="20"/>
        </w:rPr>
        <w:t xml:space="preserve"> </w:t>
      </w:r>
      <w:r>
        <w:rPr>
          <w:rFonts w:ascii="Times New Roman" w:hAnsi="Times New Roman"/>
          <w:color w:val="000000"/>
          <w:sz w:val="18"/>
        </w:rPr>
        <w:t>the number of shares of the registrant’s Class B common stock outstanding was</w:t>
      </w:r>
      <w:r>
        <w:rPr>
          <w:rFonts w:ascii="Times New Roman" w:hAnsi="Times New Roman"/>
          <w:color w:val="000000"/>
          <w:sz w:val="20"/>
        </w:rPr>
        <w:t xml:space="preserve"> </w:t>
      </w:r>
      <w:r>
        <w:rPr>
          <w:rFonts w:ascii="Times New Roman" w:hAnsi="Times New Roman"/>
          <w:color w:val="000000"/>
          <w:sz w:val="18"/>
        </w:rPr>
        <w:t>0.</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8735"/>
        <w:gridCol w:w="649"/>
      </w:tblGrid>
      <w:tr>
        <w:trPr/>
        <w:tc>
          <w:tcPr>
            <w:tcW w:w="821" w:type="dxa"/>
            <w:tcBorders/>
            <w:vAlign w:val="center"/>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18"/>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18"/>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condensed_consolidated_balance_sheets">
              <w:r>
                <w:rPr>
                  <w:rStyle w:val="InternetLink"/>
                  <w:rFonts w:ascii="Times New Roman" w:hAnsi="Times New Roman"/>
                  <w:color w:val="0000FF"/>
                  <w:sz w:val="18"/>
                  <w:u w:val="single"/>
                </w:rPr>
                <w:t>Condensed Balance Sheets as of June 30, 2024 (unaudited) and December 31, 2023</w:t>
              </w:r>
            </w:hyperlink>
            <w:r>
              <w:rPr>
                <w:rFonts w:ascii="Times New Roman" w:hAnsi="Times New Roman"/>
                <w:color w:val="000000"/>
                <w:sz w:val="18"/>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bidi w:val="0"/>
              <w:spacing w:before="0" w:after="283"/>
              <w:ind w:left="259" w:right="0" w:firstLine="259"/>
              <w:jc w:val="left"/>
              <w:rPr/>
            </w:pPr>
            <w:hyperlink w:anchor="condensed_consolidated_statements_ops">
              <w:r>
                <w:rPr>
                  <w:rStyle w:val="InternetLink"/>
                  <w:rFonts w:ascii="Times New Roman" w:hAnsi="Times New Roman"/>
                  <w:color w:val="0000FF"/>
                  <w:sz w:val="18"/>
                  <w:u w:val="single"/>
                </w:rPr>
                <w:t>Condensed Statements of Operations and Comprehensive Loss (unaudited) for the three and six months ended June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pBdr/>
              <w:bidi w:val="0"/>
              <w:spacing w:before="0" w:after="283"/>
              <w:ind w:left="259" w:right="0" w:hanging="187"/>
              <w:jc w:val="left"/>
              <w:rPr/>
            </w:pPr>
            <w:hyperlink w:anchor="condensed_consolidated_soe">
              <w:r>
                <w:rPr>
                  <w:rStyle w:val="InternetLink"/>
                  <w:rFonts w:ascii="Times New Roman" w:hAnsi="Times New Roman"/>
                  <w:color w:val="0000FF"/>
                  <w:sz w:val="18"/>
                  <w:u w:val="single"/>
                </w:rPr>
                <w:t>Condensed Statements of Stockholders’ Equity (unaudited) for the three and six months ended June 30, 2024 and 2023</w:t>
              </w:r>
            </w:hyperlink>
            <w:hyperlink w:anchor="condensed_consolidated_soe">
              <w:r>
                <w:rPr>
                  <w:rStyle w:val="InternetLink"/>
                  <w:rFonts w:ascii="Times New Roman" w:hAnsi="Times New Roman"/>
                  <w:color w:val="0000FF"/>
                  <w:sz w:val="18"/>
                </w:rPr>
                <w:t xml:space="preserve"> </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condensed_consolidated_statements_cf">
              <w:r>
                <w:rPr>
                  <w:rStyle w:val="InternetLink"/>
                  <w:rFonts w:ascii="Times New Roman" w:hAnsi="Times New Roman"/>
                  <w:color w:val="0000FF"/>
                  <w:sz w:val="18"/>
                  <w:u w:val="single"/>
                </w:rPr>
                <w:t>Condensed Statements of Cash Flows (unaudited) for the six months ended June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35"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notes_financial_statements">
              <w:r>
                <w:rPr>
                  <w:rStyle w:val="InternetLink"/>
                  <w:rFonts w:ascii="Times New Roman" w:hAnsi="Times New Roman"/>
                  <w:color w:val="0000FF"/>
                  <w:sz w:val="18"/>
                  <w:u w:val="single"/>
                </w:rPr>
                <w:t>Notes to Condensed 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18"/>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18"/>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18"/>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18"/>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18"/>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18"/>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18"/>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18"/>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873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18"/>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pPr>
      <w:r>
        <w:rPr/>
        <w:t> </w:t>
      </w:r>
    </w:p>
    <w:tbl>
      <w:tblPr>
        <w:tblW w:w="10052" w:type="dxa"/>
        <w:jc w:val="left"/>
        <w:tblInd w:w="0" w:type="dxa"/>
        <w:tblLayout w:type="fixed"/>
        <w:tblCellMar>
          <w:top w:w="28" w:type="dxa"/>
          <w:left w:w="28" w:type="dxa"/>
          <w:bottom w:w="28" w:type="dxa"/>
          <w:right w:w="28" w:type="dxa"/>
        </w:tblCellMar>
      </w:tblPr>
      <w:tblGrid>
        <w:gridCol w:w="7056"/>
        <w:gridCol w:w="146"/>
        <w:gridCol w:w="211"/>
        <w:gridCol w:w="841"/>
        <w:gridCol w:w="166"/>
        <w:gridCol w:w="146"/>
        <w:gridCol w:w="219"/>
        <w:gridCol w:w="876"/>
        <w:gridCol w:w="39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116,406</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91" w:type="dxa"/>
            <w:tcBorders/>
            <w:shd w:fill="FFFFFF" w:val="cle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391" w:type="dxa"/>
            <w:tcBorders/>
            <w:shd w:fill="FFFFFF" w:val="cle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to licensor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CFF0FC"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200,000,000 shares authorized at June 30, 2024</w:t>
              <w:br/>
              <w:t>   and December 31, 2023; 0 shares issued and outstanding at June 30, 2024</w:t>
              <w:br/>
              <w:t>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350,000,000 shares authorized at </w:t>
              <w:br/>
              <w:t>   June 30, 2024 and December 31, 2023; 48,326,138 and 48,077,599</w:t>
              <w:br/>
              <w:t>   shares issued and outstanding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Class B common stock, $0.0001 par value; 15,368,569 shares authorized at </w:t>
              <w:br/>
              <w:t>   June 30, 2024 and December 31, 2023; 0 shares issued and outstanding at</w:t>
              <w:br/>
              <w: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486,930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s"/>
      <w:bookmarkEnd w:id="5"/>
      <w:r>
        <w:rPr>
          <w:rFonts w:ascii="Times New Roman" w:hAnsi="Times New Roman"/>
          <w:b/>
          <w:color w:val="000000"/>
          <w:sz w:val="20"/>
        </w:rPr>
        <w:t>Unaudited 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182"/>
        <w:gridCol w:w="211"/>
        <w:gridCol w:w="1036"/>
        <w:gridCol w:w="166"/>
        <w:gridCol w:w="211"/>
        <w:gridCol w:w="1036"/>
        <w:gridCol w:w="166"/>
        <w:gridCol w:w="146"/>
        <w:gridCol w:w="211"/>
        <w:gridCol w:w="1036"/>
        <w:gridCol w:w="166"/>
        <w:gridCol w:w="211"/>
        <w:gridCol w:w="1036"/>
        <w:gridCol w:w="391"/>
      </w:tblGrid>
      <w:tr>
        <w:trPr/>
        <w:tc>
          <w:tcPr>
            <w:tcW w:w="4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2" w:type="dxa"/>
            <w:tcBorders/>
            <w:shd w:fill="FFFFFF" w:val="cle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2"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1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1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48,214,893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47,706,426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48,151,176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47,639,977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6" w:name="condensed_consolidated_soe"/>
      <w:bookmarkEnd w:id="6"/>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40"/>
        <w:gridCol w:w="817"/>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48,106,317</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489,208</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(439,497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49,716</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191,020</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48,326,138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32"/>
        <w:gridCol w:w="825"/>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47,637,321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476,683</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(320,261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156,427</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3,675</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3,675</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90,385</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56,793</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18,807</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47,803,306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124,516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40"/>
        <w:gridCol w:w="817"/>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57,519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191,020</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48,326,138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916"/>
        <w:gridCol w:w="146"/>
        <w:gridCol w:w="249"/>
        <w:gridCol w:w="442"/>
        <w:gridCol w:w="146"/>
        <w:gridCol w:w="146"/>
        <w:gridCol w:w="886"/>
        <w:gridCol w:w="166"/>
        <w:gridCol w:w="249"/>
        <w:gridCol w:w="442"/>
        <w:gridCol w:w="146"/>
        <w:gridCol w:w="196"/>
        <w:gridCol w:w="691"/>
        <w:gridCol w:w="166"/>
        <w:gridCol w:w="217"/>
        <w:gridCol w:w="834"/>
        <w:gridCol w:w="166"/>
        <w:gridCol w:w="231"/>
        <w:gridCol w:w="821"/>
        <w:gridCol w:w="212"/>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vAlign w:val="center"/>
          </w:tcPr>
          <w:p>
            <w:pPr>
              <w:pStyle w:val="TableContents"/>
              <w:bidi w:val="0"/>
              <w:spacing w:before="0" w:after="283"/>
              <w:jc w:val="left"/>
              <w:rPr/>
            </w:pPr>
            <w:r>
              <w:rPr/>
              <w:t> </w:t>
            </w:r>
          </w:p>
        </w:tc>
        <w:tc>
          <w:tcPr>
            <w:tcW w:w="740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2023</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59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46,336,166</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473,135</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(292,801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180,339</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w:t>
            </w:r>
          </w:p>
        </w:tc>
        <w:tc>
          <w:tcPr>
            <w:tcW w:w="212" w:type="dxa"/>
            <w:tcBorders/>
            <w:shd w:fill="FFFFFF" w:val="clear"/>
            <w:vAlign w:val="center"/>
          </w:tcPr>
          <w:p>
            <w:pPr>
              <w:pStyle w:val="TableContents"/>
              <w:bidi w:val="0"/>
              <w:spacing w:before="0" w:after="283"/>
              <w:jc w:val="left"/>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179,581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56,793</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12" w:type="dxa"/>
            <w:tcBorders/>
            <w:shd w:fill="FFFFFF" w:val="clear"/>
            <w:vAlign w:val="center"/>
          </w:tcPr>
          <w:p>
            <w:pPr>
              <w:pStyle w:val="TableContents"/>
              <w:bidi w:val="0"/>
              <w:spacing w:before="0" w:after="283"/>
              <w:jc w:val="left"/>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18,807</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Class B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(63,212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47,803,306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124,516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f"/>
      <w:bookmarkEnd w:id="7"/>
      <w:r>
        <w:rPr>
          <w:rFonts w:ascii="Times New Roman" w:hAnsi="Times New Roman"/>
          <w:b/>
          <w:color w:val="000000"/>
          <w:sz w:val="20"/>
        </w:rPr>
        <w:t>Unaudited Condensed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684" w:type="dxa"/>
        <w:jc w:val="left"/>
        <w:tblInd w:w="0" w:type="dxa"/>
        <w:tblLayout w:type="fixed"/>
        <w:tblCellMar>
          <w:top w:w="28" w:type="dxa"/>
          <w:left w:w="28" w:type="dxa"/>
          <w:bottom w:w="28" w:type="dxa"/>
          <w:right w:w="28" w:type="dxa"/>
        </w:tblCellMar>
      </w:tblPr>
      <w:tblGrid>
        <w:gridCol w:w="6631"/>
        <w:gridCol w:w="146"/>
        <w:gridCol w:w="211"/>
        <w:gridCol w:w="781"/>
        <w:gridCol w:w="166"/>
        <w:gridCol w:w="146"/>
        <w:gridCol w:w="211"/>
        <w:gridCol w:w="781"/>
        <w:gridCol w:w="61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(63,212</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6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(46,748</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settlement of equity awards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Tax related to net settlement of equity awards included in accounts payable and </w:t>
              <w:br/>
              <w:t>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sz w:val="20"/>
        </w:rPr>
      </w:pPr>
      <w:bookmarkStart w:id="8" w:name="notes_financial_statements"/>
      <w:bookmarkEnd w:id="8"/>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financial statements as of June 30, 2024, and for the three and six months ended June 30, 2024 and 2023,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2023, included in its Annual Report on Form 10-K filed with the SEC on March 26,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June 30, 2024, the Company had</w:t>
      </w:r>
      <w:r>
        <w:rPr>
          <w:rFonts w:ascii="Times New Roman" w:hAnsi="Times New Roman"/>
          <w:color w:val="0000FF"/>
          <w:sz w:val="20"/>
        </w:rPr>
        <w:t xml:space="preserve"> </w:t>
      </w:r>
      <w:r>
        <w:rPr>
          <w:rFonts w:ascii="Times New Roman" w:hAnsi="Times New Roman"/>
          <w:color w:val="000000"/>
          <w:sz w:val="20"/>
        </w:rPr>
        <w:t>an accumulated deficit of $460.6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 million. The Company has not sold any shares of its common stock under the Sales Agreement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leases are included in operating lease right-of-use assets, operating lease liabilities, and operating lease liabilities, non-current on the Company’s balance sheets. The Company does not have any finance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not included in the calculation of diluted net loss per common share because to do so would be anti-dilutive are as follows (in common stock equivalents):</w:t>
      </w:r>
    </w:p>
    <w:tbl>
      <w:tblPr>
        <w:tblW w:w="4794" w:type="dxa"/>
        <w:jc w:val="left"/>
        <w:tblInd w:w="0" w:type="dxa"/>
        <w:tblLayout w:type="fixed"/>
        <w:tblCellMar>
          <w:top w:w="28" w:type="dxa"/>
          <w:left w:w="28" w:type="dxa"/>
          <w:bottom w:w="28" w:type="dxa"/>
          <w:right w:w="28" w:type="dxa"/>
        </w:tblCellMar>
      </w:tblPr>
      <w:tblGrid>
        <w:gridCol w:w="2011"/>
        <w:gridCol w:w="146"/>
        <w:gridCol w:w="146"/>
        <w:gridCol w:w="931"/>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6,557,990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288,070</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6,878,093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accounting standards that had a material impact on the Company’s financial statements during the six months ended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5987" w:type="dxa"/>
        <w:jc w:val="left"/>
        <w:tblInd w:w="0" w:type="dxa"/>
        <w:tblLayout w:type="fixed"/>
        <w:tblCellMar>
          <w:top w:w="28" w:type="dxa"/>
          <w:left w:w="28" w:type="dxa"/>
          <w:bottom w:w="28" w:type="dxa"/>
          <w:right w:w="28" w:type="dxa"/>
        </w:tblCellMar>
      </w:tblPr>
      <w:tblGrid>
        <w:gridCol w:w="3481"/>
        <w:gridCol w:w="146"/>
        <w:gridCol w:w="211"/>
        <w:gridCol w:w="571"/>
        <w:gridCol w:w="146"/>
        <w:gridCol w:w="146"/>
        <w:gridCol w:w="294"/>
        <w:gridCol w:w="80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jc w:val="left"/>
        <w:rPr/>
      </w:pPr>
      <w:r>
        <w:rPr/>
        <w:t> </w:t>
      </w:r>
    </w:p>
    <w:tbl>
      <w:tblPr>
        <w:tblW w:w="7629" w:type="dxa"/>
        <w:jc w:val="left"/>
        <w:tblInd w:w="0" w:type="dxa"/>
        <w:tblLayout w:type="fixed"/>
        <w:tblCellMar>
          <w:top w:w="28" w:type="dxa"/>
          <w:left w:w="28" w:type="dxa"/>
          <w:bottom w:w="28" w:type="dxa"/>
          <w:right w:w="28" w:type="dxa"/>
        </w:tblCellMar>
      </w:tblPr>
      <w:tblGrid>
        <w:gridCol w:w="4051"/>
        <w:gridCol w:w="146"/>
        <w:gridCol w:w="826"/>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Accounts payable and accrued expenses consist of the following (in thousands):</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60"/>
        <w:gridCol w:w="83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current financial assets and current financial liabilities are considered to be representative of their respective fair values because of the short-term nature of those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the Company had $51.7 million and $50.4 million, respectively, invested in U.S. Government and U.S. Treasury money market funds which are recorded as cash equivalents and represent a Level 1 measurement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Company’s non-financial assets and liabilities are recorded at fair value on a non-recurring basis. No transfers between levels have occurred during the periods presented.</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4.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components of lease expense included in the Company’s statements of operations and loss include (in thousands):</w:t>
      </w:r>
    </w:p>
    <w:tbl>
      <w:tblPr>
        <w:tblW w:w="7047" w:type="dxa"/>
        <w:jc w:val="left"/>
        <w:tblInd w:w="0" w:type="dxa"/>
        <w:tblLayout w:type="fixed"/>
        <w:tblCellMar>
          <w:top w:w="28" w:type="dxa"/>
          <w:left w:w="28" w:type="dxa"/>
          <w:bottom w:w="28" w:type="dxa"/>
          <w:right w:w="28" w:type="dxa"/>
        </w:tblCellMar>
      </w:tblPr>
      <w:tblGrid>
        <w:gridCol w:w="2086"/>
        <w:gridCol w:w="146"/>
        <w:gridCol w:w="307"/>
        <w:gridCol w:w="613"/>
        <w:gridCol w:w="212"/>
        <w:gridCol w:w="212"/>
        <w:gridCol w:w="307"/>
        <w:gridCol w:w="613"/>
        <w:gridCol w:w="146"/>
        <w:gridCol w:w="146"/>
        <w:gridCol w:w="280"/>
        <w:gridCol w:w="560"/>
        <w:gridCol w:w="194"/>
        <w:gridCol w:w="194"/>
        <w:gridCol w:w="280"/>
        <w:gridCol w:w="560"/>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 net</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Variable lease costs are primarily related to payments made to lessors for common area maintenance, property taxes, insurance, and other operating expenses. The Company did not have any short-term leases or finance leases for the three and six months ended June 30, 2024 and 2023, respectively.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for operating leases were as follows:</w:t>
      </w:r>
    </w:p>
    <w:tbl>
      <w:tblPr>
        <w:tblW w:w="6214" w:type="dxa"/>
        <w:jc w:val="left"/>
        <w:tblInd w:w="0" w:type="dxa"/>
        <w:tblLayout w:type="fixed"/>
        <w:tblCellMar>
          <w:top w:w="28" w:type="dxa"/>
          <w:left w:w="28" w:type="dxa"/>
          <w:bottom w:w="28" w:type="dxa"/>
          <w:right w:w="28" w:type="dxa"/>
        </w:tblCellMar>
      </w:tblPr>
      <w:tblGrid>
        <w:gridCol w:w="4111"/>
        <w:gridCol w:w="146"/>
        <w:gridCol w:w="146"/>
        <w:gridCol w:w="466"/>
        <w:gridCol w:w="271"/>
        <w:gridCol w:w="146"/>
        <w:gridCol w:w="146"/>
        <w:gridCol w:w="4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percentage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Supplemental cash flow information related to leases under which the Company is the lessee was as follows (amounts in thousands):</w:t>
      </w:r>
    </w:p>
    <w:tbl>
      <w:tblPr>
        <w:tblW w:w="10205" w:type="dxa"/>
        <w:jc w:val="left"/>
        <w:tblInd w:w="0" w:type="dxa"/>
        <w:tblLayout w:type="fixed"/>
        <w:tblCellMar>
          <w:top w:w="28" w:type="dxa"/>
          <w:left w:w="28" w:type="dxa"/>
          <w:bottom w:w="28" w:type="dxa"/>
          <w:right w:w="28" w:type="dxa"/>
        </w:tblCellMar>
      </w:tblPr>
      <w:tblGrid>
        <w:gridCol w:w="5375"/>
        <w:gridCol w:w="146"/>
        <w:gridCol w:w="296"/>
        <w:gridCol w:w="592"/>
        <w:gridCol w:w="204"/>
        <w:gridCol w:w="204"/>
        <w:gridCol w:w="296"/>
        <w:gridCol w:w="592"/>
        <w:gridCol w:w="146"/>
        <w:gridCol w:w="146"/>
        <w:gridCol w:w="272"/>
        <w:gridCol w:w="545"/>
        <w:gridCol w:w="188"/>
        <w:gridCol w:w="188"/>
        <w:gridCol w:w="272"/>
        <w:gridCol w:w="545"/>
        <w:gridCol w:w="198"/>
      </w:tblGrid>
      <w:tr>
        <w:trPr/>
        <w:tc>
          <w:tcPr>
            <w:tcW w:w="5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3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leases</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98"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 xml:space="preserve">Maturities of operating lease liabilities as of June 30, 2024 were as follows (in thousands): </w:t>
      </w:r>
    </w:p>
    <w:tbl>
      <w:tblPr>
        <w:tblW w:w="4484" w:type="dxa"/>
        <w:jc w:val="left"/>
        <w:tblInd w:w="0" w:type="dxa"/>
        <w:tblLayout w:type="fixed"/>
        <w:tblCellMar>
          <w:top w:w="28" w:type="dxa"/>
          <w:left w:w="28" w:type="dxa"/>
          <w:bottom w:w="28" w:type="dxa"/>
          <w:right w:w="28" w:type="dxa"/>
        </w:tblCellMar>
      </w:tblPr>
      <w:tblGrid>
        <w:gridCol w:w="3271"/>
        <w:gridCol w:w="146"/>
        <w:gridCol w:w="230"/>
        <w:gridCol w:w="626"/>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 months ending December 31, 2024</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21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1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16"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June 30, 2024 and December 31, 2023, the total number of common shares authorized for issuance under the 2020 Plan was 10,735,431 and 9,196,970,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 shares and 574,244 unvested options, which would have been forfeited under the original terms of the 2020 Plan, continued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for the three and six months ended June 30, 2024 and 2023 has been reported in the condensed statements of operations and comprehensive loss as follows (in thousands):</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RSU activity under the 2020 Plan for the six months ended June 30, 2024:</w:t>
      </w:r>
    </w:p>
    <w:p>
      <w:pPr>
        <w:pStyle w:val="TextBody"/>
        <w:bidi w:val="0"/>
        <w:jc w:val="left"/>
        <w:rPr/>
      </w:pPr>
      <w:r>
        <w:rPr/>
        <w:t> </w:t>
      </w:r>
    </w:p>
    <w:tbl>
      <w:tblPr>
        <w:tblW w:w="642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419"/>
        <w:gridCol w:w="114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As of June 30, 2024,</w:t>
      </w:r>
      <w:r>
        <w:rPr>
          <w:rFonts w:ascii="Times New Roman" w:hAnsi="Times New Roman"/>
          <w:color w:val="FF0000"/>
          <w:sz w:val="20"/>
        </w:rPr>
        <w:t xml:space="preserve"> </w:t>
      </w:r>
      <w:r>
        <w:rPr>
          <w:rFonts w:ascii="Times New Roman" w:hAnsi="Times New Roman"/>
          <w:color w:val="000000"/>
          <w:sz w:val="20"/>
        </w:rPr>
        <w:t xml:space="preserve">total unrecognized stock-based compensation expense for RSUs was $4.0 million, which is expected to be recognized over a remaining weighted-average period of approximately 3.4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2020 Plan for the six months ended June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3"/>
        <w:gridCol w:w="146"/>
        <w:gridCol w:w="146"/>
        <w:gridCol w:w="931"/>
        <w:gridCol w:w="166"/>
        <w:gridCol w:w="146"/>
        <w:gridCol w:w="417"/>
        <w:gridCol w:w="1136"/>
        <w:gridCol w:w="146"/>
        <w:gridCol w:w="146"/>
        <w:gridCol w:w="359"/>
        <w:gridCol w:w="1150"/>
        <w:gridCol w:w="146"/>
        <w:gridCol w:w="146"/>
        <w:gridCol w:w="211"/>
        <w:gridCol w:w="676"/>
        <w:gridCol w:w="394"/>
      </w:tblGrid>
      <w:tr>
        <w:trPr/>
        <w:tc>
          <w:tcPr>
            <w:tcW w:w="3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7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74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74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37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37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37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2024, total unrecognized stock-based compensation cost for unvested common stock options was $11.6 million, which is expected to be recognized over a remaining weighted-average period of approximately 2.44 years. The weighted-average grant date fair value of stock options granted during the six months ended June 30, 2024 was $2.19 per share. The total fair value of options vested during the six months ended June 30, 2024 was $6.2 million. Upon option exercise, the Company issues new shares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assumptions used in the Black-Scholes option pricing model to determine the fair value of stock option grants were as follows:</w:t>
      </w:r>
    </w:p>
    <w:p>
      <w:pPr>
        <w:pStyle w:val="TextBody"/>
        <w:bidi w:val="0"/>
        <w:jc w:val="left"/>
        <w:rPr/>
      </w:pPr>
      <w:r>
        <w:rPr/>
        <w:t> </w:t>
      </w:r>
    </w:p>
    <w:tbl>
      <w:tblPr>
        <w:tblW w:w="4330" w:type="dxa"/>
        <w:jc w:val="left"/>
        <w:tblInd w:w="0" w:type="dxa"/>
        <w:tblLayout w:type="fixed"/>
        <w:tblCellMar>
          <w:top w:w="28" w:type="dxa"/>
          <w:left w:w="28" w:type="dxa"/>
          <w:bottom w:w="28" w:type="dxa"/>
          <w:right w:w="28" w:type="dxa"/>
        </w:tblCellMar>
      </w:tblPr>
      <w:tblGrid>
        <w:gridCol w:w="2131"/>
        <w:gridCol w:w="146"/>
        <w:gridCol w:w="931"/>
        <w:gridCol w:w="146"/>
        <w:gridCol w:w="97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 years</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 years</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Company bases the risk-free interest rate assumption on the U.S. Treasury’s rates for U.S. Treasury zero-coupon bonds with maturities similar to those of the expected term of the award being valued.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bases the expected dividend yield assumption on the fact that it has never paid cash dividends and has no present plans to pay cash dividends.</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permits participants to purchase common stock through payroll deductions of up to 15% of their eligible compensation. As of June 30, 2024 and December 31, 2023, a total of 2,281,600 shares and 1,737,098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issued 191,020 and 56,793 shares of common stock under the ESPP during the six months ended June 30, 2024 and 2023, respectively. As of June 30, 2024, 1,766,284 shares of common stock remained available for issuance under the ESPP. Stock-based compensation expense related to the ESPP for the three and six months ended June 30, 2024 and 2023 was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are as follows in common equivalent shares:</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8"/>
        <w:gridCol w:w="947"/>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6,372,611</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2020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991,413</w:t>
            </w:r>
          </w:p>
        </w:tc>
        <w:tc>
          <w:tcPr>
            <w:tcW w:w="1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ESPP</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8,776,826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Collaboration, License and Option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Global Co-Development and Collaboration Agreement with BeiGene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2019, the Company entered into a Global Co-Development and Collaboration agreement (the “BeiGene Collaboration”) with BeiGene, Ltd. and BeiGene Switzerland GmbH (collectively “BeiGene”), for the development, manufacturing and commercialization of evalstotug (BA3071). The BeiGene Collaboration was amended several times between 2019 and 2021 and the Company received a total of $25.0 million in non-refundable payments from BeiGene during that time.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collaboration agreement with BeiGene during the three and six months ended June 30, 2024 and 2023, respectively. The Company had a $19.8 million Liability to Licensor as of June 30, 2024 and December 31,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Supply Agreement with Bristol-Myers Squibb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is obligated to provide BMS with a final report of the data resulting from the trial. The BMS Agreement was amended in October 2022 to include additional territories for our mecbotamab vedotin and ozuriftamab vedotin combination study trials. There was no impact to the Company's financial results for the three and six months ended June 30, 2024 and 2023 as a result of this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Related Party Transactions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Himalaya Therapeutics SEZC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Trial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an amended Clinical Trial Services Agreement with Himalaya Therapeutics SEZC (as so amended, the “Clinical Trial Services Agreement”). Under the Clinical Trial Services Agreement, BioAtla will pay Himalaya Therapeutics SEZC for the full-time use of two of its personnel and provide services related to the initiation of clinical trials for evalstotug in China for a period of 12 months. For the three and six months ended June 30, 2024, the Company recognized $0.1 million and $0.3 million, respectively, in research and development expense related to the Clinical Trial Services Agreement, compared to $0 and $0.1 million for the three and six months ended June 30, 2023, respectively. As of June 30, 2024, the Company had $0.1 million due to Himalaya Therapeutics SEZC, related to the Clinical Trial Services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2023 included in the Annual Report on Form 10-K, filed with the Securities and Exchange Commission, or the SEC, on March 26, 2024.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and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to date. Our ability to generate product revenue sufficient to achieve profitability will depend on the successful development and eventual commercialization of one or more of our current and future product candidates. Our net loss was $21.1 million and $44.3 million for the three and six months ended June 30, 2024, respectively, compared to $35.8 million and $63.2 million for the three and six months ended June 30, 2023, respectively. As of June 30, 2024, we had an accumulated deficit of $460.6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vary as we continue to advance clinical trials of our lead product candidates, and are expected to decrease in the near term as we complete enrollment and treatment of patients in certain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and capital requirements could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mecbotamab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ozuriftamab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evalstotug;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pipeline of bispecific and other CAB antibody-based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invest in our CAB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additional product collaborations and commercial manufacturing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sales, marketing and distribution infrastructure and relationships with third parties to commercialize product candidates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expand our operational, financial and management information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clinical, scientific, management, administrative and commercial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our cash and cash equivalents totaled approximately $61.7 million.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prioritizes and focuses clinical development of selected assets and indications, and includes completion of certain of our clinical trials and delaying development of certain pre-clinical programs. Our estimate as to how long we expect our existing cash and cash equivalents to be able to continue to fund our operations is based on assumptions that may prove to be wrong, and we could utilize our available capital resources sooner than we currently expect.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the sale of products and do not expect to generate meaningful revenue in the near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entered into collaborations and licensing agreements with various third parties that, in some cases, may provide for potential future milestone and royalty payments to us (see Note 7 to our financial statements). Prior to developing our own programs, we received revenue from services performed under fixed price service contracts that, in some cases, provided for potential milestone and royalty payments to us. We did not recognize any revenue from collaborations, licenses, or our legacy service contracts during the three and six months ended June 30, 2024 and 2023,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benefits and equity-based compensation expenses, for personnel in our research and development functions; and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equipment and facilities depreciation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decrease in the near term as we complete enrollment and treatment in certain of our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expect our general and administrative expenses to remain flat to moderately increasing in the future to support development of our prioritized CAB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earned on our cash and cash equivalent balances.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2024 and 2023</w:t>
      </w:r>
    </w:p>
    <w:p>
      <w:pPr>
        <w:pStyle w:val="TextBody"/>
        <w:bidi w:val="0"/>
        <w:spacing w:before="120" w:after="283"/>
        <w:jc w:val="left"/>
        <w:rPr/>
      </w:pPr>
      <w:r>
        <w:rPr/>
        <w:t> </w:t>
      </w:r>
    </w:p>
    <w:tbl>
      <w:tblPr>
        <w:tblW w:w="6768" w:type="dxa"/>
        <w:jc w:val="left"/>
        <w:tblInd w:w="0" w:type="dxa"/>
        <w:tblLayout w:type="fixed"/>
        <w:tblCellMar>
          <w:top w:w="28" w:type="dxa"/>
          <w:left w:w="28" w:type="dxa"/>
          <w:bottom w:w="28" w:type="dxa"/>
          <w:right w:w="28" w:type="dxa"/>
        </w:tblCellMar>
      </w:tblPr>
      <w:tblGrid>
        <w:gridCol w:w="2746"/>
        <w:gridCol w:w="146"/>
        <w:gridCol w:w="211"/>
        <w:gridCol w:w="736"/>
        <w:gridCol w:w="166"/>
        <w:gridCol w:w="146"/>
        <w:gridCol w:w="211"/>
        <w:gridCol w:w="736"/>
        <w:gridCol w:w="166"/>
        <w:gridCol w:w="146"/>
        <w:gridCol w:w="211"/>
        <w:gridCol w:w="736"/>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41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8233"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736"/>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$16.2 million and $31.0 million for the three months ended June 30, 2024 and 2023, respectively. The decrease of approximately $14.8 million was primarily driven by a $6.1 million decrease in pre-clinical development costs primarily for BA3142, our CAB B7H3 x CD3 bispecific program, and BA3361, our CAB Nectin-4 ADC program, a $4.3 million decrease in manufacturing costs primarily related to evalstotug, a $4.1 million decrease in clinical development costs for our clinical stage programs primarily due to completing Phase 2 enrollment for our ongoing ADC trials for mecbotamab vedotin and ozuriftamab vedotin, a $0.4 million decrease in stock-based compensation related to awards issued under our 2020 Equity Incentive Plan, and a $0.2 million decrease in facility related costs, offset by a $0.3 million increase in personnel related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$5.8 million and $6.2 million for the three months ended June 30, 2024 and 2023, respectively. The decrease of approximately $0.5 million was primarily driven by a $0.8 million decrease in stock-based compensation related to awards issued under our 2020 Equity Incentive Plan, and a $0.2 million decrease in insurance due to a decrease in premiums for our D&amp;O policy, offset by $0.4 million increase in professional services and consulting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$0.9 million and $1.5 million for the three months ended June 30, 2024 and 2023, respectively. The decrease of $0.6 million was due to lower cash and cash equivalents compared to the same period in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2024 and 2023</w:t>
      </w:r>
    </w:p>
    <w:p>
      <w:pPr>
        <w:pStyle w:val="TextBody"/>
        <w:bidi w:val="0"/>
        <w:spacing w:before="120" w:after="283"/>
        <w:jc w:val="left"/>
        <w:rPr/>
      </w:pPr>
      <w:r>
        <w:rPr/>
        <w:t> </w:t>
      </w:r>
    </w:p>
    <w:tbl>
      <w:tblPr>
        <w:tblW w:w="6768" w:type="dxa"/>
        <w:jc w:val="left"/>
        <w:tblInd w:w="0" w:type="dxa"/>
        <w:tblLayout w:type="fixed"/>
        <w:tblCellMar>
          <w:top w:w="28" w:type="dxa"/>
          <w:left w:w="28" w:type="dxa"/>
          <w:bottom w:w="28" w:type="dxa"/>
          <w:right w:w="28" w:type="dxa"/>
        </w:tblCellMar>
      </w:tblPr>
      <w:tblGrid>
        <w:gridCol w:w="2746"/>
        <w:gridCol w:w="146"/>
        <w:gridCol w:w="211"/>
        <w:gridCol w:w="736"/>
        <w:gridCol w:w="166"/>
        <w:gridCol w:w="146"/>
        <w:gridCol w:w="211"/>
        <w:gridCol w:w="736"/>
        <w:gridCol w:w="166"/>
        <w:gridCol w:w="146"/>
        <w:gridCol w:w="211"/>
        <w:gridCol w:w="736"/>
        <w:gridCol w:w="4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19,702</w:t>
            </w:r>
          </w:p>
        </w:tc>
        <w:tc>
          <w:tcPr>
            <w:tcW w:w="41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8233"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736"/>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$35.1 million and $52.7 million for the six months ended June 30, 2024 and 2023, respectively. The decrease of approximately $17.6 million was primarily driven by a $9.8 million decrease in pre-clinical development costs primarily for BA3142, our CAB B7H3 x CD3 bispecific program, and BA3361, our CAB Nectin-4 ADC program, a $4.9 million decrease in manufacturing costs primarily for evalstotug, a $2.7 million decrease in clinical development costs for our clinical stage programs primarily due to completing Phase 2 enrollment for our ongoing ADC trials for mecbotamab vedotin and ozuriftamab vedotin, and a $0.8 million decrease in stock-based compensation related to awards issued under our 2020 Equity Incentive Plan, offset by a $0.6 million increase in personnel related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$11.4 million and $13.5 million for the six months ended June 30, 2024 and 2023, respectively. The decrease of approximately $2.1 million was primarily driven by a $1.7 million decrease in stock-based compensation related to awards issued under our 2020 Equity Incentive Plan, a $0.3 million decrease in insurance expense due to a decrease in premiums for our D&amp;O policy, and a $0.1 million decrease in travel related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$2.1 million and $2.9 million for the six months ended June 30, 2024 and 2023, respectively. The decrease of $0.8 million was due to lower cash and cash equivalents compared to the same period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aggregate net losses and negative cash flows from operations since our inception and anticipate we will continue to incur net losses for the foreseeable future. Since July 2020, we have funded our operations primarily through the issuance of equity. As of June 30, 2024, we had cash and cash equivalents of $61.7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 We have not sold any shares of our common stock under the Sales Agreement as of June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 although we have no commitments or agreements relating to any of these types of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our current cash and cash equivalents are expected to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and the conflict between Israel and Hamas,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cash flows for the periods indicated:</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2024 was $50.0 million, which consisted of a net loss of $44.3 million, a net change of $11.0 million in our operating assets and liabilities and $5.3 million of non-cash transactions. The net change in our operating assets and liabilities was primarily due to a decrease in accounts payable and accrued expenses of $10.9 million and a net decrease in operating lease right-of-use assets and lease liabilities of $0.3 million, partially offset by a decrease in prepaid expenses and other assets of $0.3 million. The non-cash transactions primarily consisted of $4.8 million of stock-based compensation and non-cash charges of $0.5 million related to 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2023 was $46.7 million, which consisted of a net loss of $63.2 million, a net change of $8.6 million in our operating assets and liabilities and $7.9 million of non-cash transactions. The net change in our operating assets and liabilities was primarily due to an increase in accounts payable and accrued expenses of $10.6 million, partially offset by an increase in prepaid expenses and other assets of $1.7 million and a net decrease in operating lease right-of-use assets and lease liabilities of $0.3 million. The non-cash transactions primarily consisted of $7.3 million of stock-based compensation and non-cash charges of $0.6 million related to depreciation and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$0 for the six months ended June 30, 2024. Cash used in investing activities for the six months ended June 30, 2023 was $65,000, related to the purchase of property and equipment.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Provided by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$0.2 million for the six months ended June 30, 2024, consisting primarily of the proceeds from the issuance of common stock under the ESPP and the 2020 Plan, partially offset by the payment of taxes related to the net settlement of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immaterial for the six months ended June 30, 2023, consisting primarily of the proceeds from the issuance of common stock under the ESPP and the 2020 Plan, offset by payment of taxes related to the net settlement of restricted stock units.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2023.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not been any material changes to the critical accounting policies discussed therein during the six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to a smaller reporting company.</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13a-15(b) and 15d-15(b) of the Exchange Act, our management, with the participation of our Chief Executive Officer and our Chief Financial Officer, evaluated the effectiveness of our disclosure controls and procedures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our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June 30, 2024 that have materially affected, or are reasonably likely to materially affect, our internal control over financial reporting.</w:t>
      </w:r>
    </w:p>
    <w:p>
      <w:pPr>
        <w:pStyle w:val="TextBody"/>
        <w:bidi w:val="0"/>
        <w:spacing w:before="360" w:after="283"/>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spacing w:before="360" w:after="283"/>
        <w:jc w:val="left"/>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fail in development or suffer delays that adversely affect their commercial viability.</w:t>
        <w:b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early-stage clinical trials may not be predictive of results from late-stage or other clinical trials, and the results of our clinical trials may not satisfy the requirements of the U.S. Food and Drug Administration (the “FDA”), the European Medicine Agency ( the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$123.5 million and $106.5 million for the years ended December 31, 2023 and 2022, respectively. For the six months ended June 30, 2024 and 2023, our net losses were $44.3 million and $63.2 million, respectively. As of June 30, 2024, we had an accumulated deficit of $460.6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we had approximately $61.7 million in cash and cash equivalents. Based on our current operating plan, our current cash and cash equivalents are expected to be sufficient to fund our ongoing operations for a period of at least twelve months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date the financial statements included in this report are issued. Our current operating plan prioritizes and focuses clinical development of selected assets and indications, and includes completion of certain of our clinical trials and delaying development of certain preclinical programs.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our ongoing clinical trials for mecbotamab vedotin, ozuriftamab vedotin, evalstotug, and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milestone payments we may receive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of our product candidates and satisfy our obligations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invest a portion of our cash in a money market fund, which is vulnerable to market-specific risks that could adversely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products on the market and our product candidates are in various stages of development. We are currently conducting Phase 2 clinical trials of mecbotamab vedotin, ozuriftamab vedotin, and evalstotug; a Phase 1 trial of BA3182;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third-party contractors, investigators or contract research organizations, or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 including the EMA.</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patented CAB technology platform to continue to build a pipeline of product candidates and develop marketable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using our patented technology platform to develop CABs in oncology indications with our lead product candidates mecbotamab vedotin, ozuriftamab vedotin, evalstotug, and BA3182, as well as continuing to build our pipeline of product candidates. Our business depends not only on our ability to successfully develop, obtain regulatory approval for, and commercialize the product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product that we develop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our product candidate development on therapeutic CAB antibodies for the treatment of various oncology indications, such as soft tissue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 including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effective treatments for the disease indications our product candidates are intended to treat and the relative risks, benefits and costs of those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preclinical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having patients complete a trial or return for post-treatment follow-up;</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occurrence of treatment emergent adverse events, or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epidemics and outbreaks, including the COVID-19 pandemic, which in the past has resulted in, and in the future may result in, delays to patient enrollment, patients discontinuing their treatment or follow up visits or changes to trial protocols.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 related adverse events. We may also observe undesirable side effects in clinical trials for our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mecbotamab vedotin, ozuriftamab vedotin, and evalstotug are being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clinical trials may die or experience major clinical events either during the course of the clinical trials or after participating in such trials due mainly to the gravity of their illness, which has occurred in the past.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are evaluating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biologic product candidates for which we intend to seek approval may face competition through an abbreviated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(the “BPCIA”), enacted as part of the Affordable Care Act (the “ACA”),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pure and potent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obtain FDA approval. Approval by the FDA does not ensure approval by regulatory authorities outside the United States and vice versa.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sponsor may apply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sarcoma,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October 26, 2023, the FDA issued a draft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it determines it is appropriate based on mission needs and any travel limitations. Regulatory authorities outside the United States may adopt similar restrictions or other policy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if global health concerns continue to prevent the FDA or other regulatory authorities from conducting their regular inspections, reviews, or other regulatory activities, or if the volume of applications to the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the United States, there have been and continue to be a number of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initiatives culminated in the enactment of the Inflation Reduction Act, or IRA, in August 2022, which, among other things, allows HHS to directly negotiate the selling price of a statutorily specified number of drugs and biologics each year that CMS reimburses under Medicare Part B and Part D. Only high-expenditure single-source biologics that have been approved for at least 11 years (7 years for drugs)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high-expenditure single-source drugs and biologics have been challenged in multiple lawsuits. Thus, while it is unclear how the IRA will be implemented, it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or the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attract and retain qualified senior management and key clinical and scientific personnel, our business may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would, among other things, prohibit U.S. federal procurement of biotechnology equipment or services produced or provided by certain named Chinese “biotechnology companies of concern” and loans and grants to, and federal contracts with any entity that uses biotechnology equipment or services from one of these entities in performance of the government contract, grant, or loan. On May 10, 2024, the House of Representatives released an updated version of the BIOSECURE Act bill which would delay the application of the BIOSECURE Act’s provisions (1) until January 1, 2032, with respect to biotechnology equipment and services provided or produced by a named biotechnology company of concern under a contract or agreement entered before the effective date of the legislation and (2) for a period of 5 years after the identification of new biotechnology companies of concern, with respect to biotechnology equipment and services provided or produced under a contract or agreement entered before the effective date of the legislation by an entity that the government identifies in the future as a biotechnology company of concern.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conducting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February 2022, armed conflict escalated between Russia and Ukraine, and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related to health epidemics and outbreaks, including the COVID-19 pandemic, which could significantly disrupt our preclinical studies, affect enrollment of patients in our clinical trials or delay or prevent our receipt of necessary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Although the U.S. federal government has declared an end to the public health emergency related to the COVID-19 pandemic and many activities worldwide have returned to normal, the COVID-19 pandemic in the past has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following, and plan to continue to follow, recommendations from federal, state and local governments regarding workplace policies, practices and procedures. We are complying with all applicable guidelines for our clinical trials, including remote clinical monitoring. We are continuing to monitor the potential impact of the pandemic, but even though many restrictions aimed at minimizing the spread of COVID-19 have been eased or lifted in the U.S. and other countries, we cannot be certain what the overall impact will be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COVID-19 pandemic in the past has had, and in the future may have, a severe effect on the clinical trials of many drug candidates of several sponsors. The extent to which the COVID-19 pandemic may impact our preclinical and clinical trial operations is uncertain and will depend on future developments, including the severity and duration of any resurgence of COVID-19 and its variants. To date, we have experienced modest business disruptions, including with respect to the clinical trials we are conducting, and non-material impairments as a result of the pandemic. A resurgence of COVID-19 or any of its variants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certain of our product candidates.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collaboration arrangements currently pose, and future collaborations involving our product candidates will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any intellectual property developed pursuant to our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sales and marketing activities or other operations may not be in compliance with applicable laws resulting in civil or criminal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establishing commercialization collaborations, which could adversely affect our ability to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arrangement that we establish may not be favorable to us or may not be perceived as favorable, which may negatively impact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 For example, the FDA placed a partial clinical hold on one of the sites in our Phase 1 study of BA3182 due to the site not following the study protocol. The FDA did not place any other site on clinical hold, and we are advancing our Phase 1 study of BA3182.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ability to procure sufficient supplies for the development of our product candidates will depend on future developments, including the severity and duration of any resurgence of COVID-19 and its variants.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our intellectual property rights.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terms of our patents may not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and the enforcement or defense of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industries, including patent infringement lawsuits, interferences, derivation proceedings, post grant reviews, </w:t>
      </w:r>
      <w:r>
        <w:rPr>
          <w:rFonts w:ascii="Times New Roman" w:hAnsi="Times New Roman"/>
          <w:i/>
          <w:color w:val="000000"/>
          <w:sz w:val="20"/>
        </w:rPr>
        <w:t>inter partes</w:t>
      </w:r>
      <w:r>
        <w:rPr>
          <w:rFonts w:ascii="Times New Roman" w:hAnsi="Times New Roman"/>
          <w:color w:val="000000"/>
          <w:sz w:val="20"/>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date of any patent in the United States or abroad that we consider relevant may be incorrect, which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 valid and enforceable issued or granted patent covering our technology in the United States and worldwide can be extremely costly. In jurisdictions where we have not obtained patent protection, competitors may use our technology to develop their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biotechnology or biopharmaceutical companies, including our competitors or potential competitors. Although no claims against us are currently pending, we may be subject to claims that these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annual and quarterly fluctuations. Our net loss and other operating results will be affected by numerous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current or future collaborators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such as the COVID-19 pandemic;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executive officers and directors, together with holders of 5% or more of our outstanding common stock and their respective affiliates, beneficially own approximately 46.0% of our outstanding common stock. More specifically, Jay M. Short, Ph.D, our Chairman and Chief Executive Officer, together with his spouse, beneficially own approximately 7.2%, of our outstanding common stock, as of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Company’s ability to attract and retain qualified members of our board of directors may be impacted due to new laws, including recently enacted diversity quotas.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our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60" w:after="283"/>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15"/>
        <w:gridCol w:w="146"/>
        <w:gridCol w:w="6057"/>
        <w:gridCol w:w="511"/>
        <w:gridCol w:w="412"/>
        <w:gridCol w:w="631"/>
        <w:gridCol w:w="735"/>
        <w:gridCol w:w="998"/>
      </w:tblGrid>
      <w:tr>
        <w:trPr/>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715"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4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Filing Date</w:t>
            </w:r>
          </w:p>
        </w:tc>
        <w:tc>
          <w:tcPr>
            <w:tcW w:w="99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File/Furnished Herewith</w:t>
            </w:r>
          </w:p>
        </w:tc>
      </w:tr>
      <w:tr>
        <w:trPr/>
        <w:tc>
          <w:tcPr>
            <w:tcW w:w="7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7"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412"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998" w:type="dxa"/>
            <w:tcBorders/>
            <w:shd w:fill="FFFFFF" w:val="clear"/>
            <w:vAlign w:val="center"/>
          </w:tcPr>
          <w:p>
            <w:pPr>
              <w:pStyle w:val="TableContents"/>
              <w:bidi w:val="0"/>
              <w:spacing w:before="0" w:after="283"/>
              <w:jc w:val="center"/>
              <w:rPr/>
            </w:pPr>
            <w:r>
              <w:rPr/>
              <w:t> </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6057" w:type="dxa"/>
            <w:tcBorders/>
            <w:shd w:fill="FFFFFF" w:val="clear"/>
            <w:vAlign w:val="center"/>
          </w:tcPr>
          <w:p>
            <w:pPr>
              <w:pStyle w:val="TableContents"/>
              <w:bidi w:val="0"/>
              <w:spacing w:before="0" w:after="283"/>
              <w:jc w:val="left"/>
              <w:rPr/>
            </w:pPr>
            <w:hyperlink w:anchor="bcab-ex10_1.htm">
              <w:r>
                <w:rPr>
                  <w:rStyle w:val="InternetLink"/>
                  <w:rFonts w:ascii="Times New Roman" w:hAnsi="Times New Roman"/>
                  <w:color w:val="0000FF"/>
                  <w:sz w:val="20"/>
                  <w:u w:val="single"/>
                </w:rPr>
                <w:t>Amended and Restated Director Compensation Policy</w:t>
              </w:r>
            </w:hyperlink>
          </w:p>
        </w:tc>
        <w:tc>
          <w:tcPr>
            <w:tcW w:w="511" w:type="dxa"/>
            <w:tcBorders/>
            <w:shd w:fill="FFFFFF" w:val="clear"/>
            <w:vAlign w:val="center"/>
          </w:tcPr>
          <w:p>
            <w:pPr>
              <w:pStyle w:val="TableContents"/>
              <w:bidi w:val="0"/>
              <w:spacing w:before="0" w:after="283"/>
              <w:jc w:val="center"/>
              <w:rPr/>
            </w:pPr>
            <w:r>
              <w:rPr/>
              <w:t> </w:t>
            </w:r>
          </w:p>
        </w:tc>
        <w:tc>
          <w:tcPr>
            <w:tcW w:w="412"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6057" w:type="dxa"/>
            <w:tcBorders/>
            <w:shd w:fill="FFFFFF" w:val="clear"/>
            <w:vAlign w:val="center"/>
          </w:tcPr>
          <w:p>
            <w:pPr>
              <w:pStyle w:val="TableContents"/>
              <w:bidi w:val="0"/>
              <w:spacing w:before="0" w:after="283"/>
              <w:jc w:val="left"/>
              <w:rPr/>
            </w:pPr>
            <w:hyperlink w:anchor="bcab-ex10_2.htm">
              <w:r>
                <w:rPr>
                  <w:rStyle w:val="InternetLink"/>
                  <w:rFonts w:ascii="Times New Roman" w:hAnsi="Times New Roman"/>
                  <w:color w:val="0000FF"/>
                  <w:sz w:val="20"/>
                  <w:u w:val="single"/>
                </w:rPr>
                <w:t>Form of Non-Employee Director Restricted Stock Unit Agreement</w:t>
              </w:r>
            </w:hyperlink>
          </w:p>
        </w:tc>
        <w:tc>
          <w:tcPr>
            <w:tcW w:w="511" w:type="dxa"/>
            <w:tcBorders/>
            <w:shd w:fill="FFFFFF" w:val="clear"/>
            <w:vAlign w:val="center"/>
          </w:tcPr>
          <w:p>
            <w:pPr>
              <w:pStyle w:val="TableContents"/>
              <w:bidi w:val="0"/>
              <w:spacing w:before="0" w:after="283"/>
              <w:jc w:val="center"/>
              <w:rPr/>
            </w:pPr>
            <w:r>
              <w:rPr/>
              <w:t> </w:t>
            </w:r>
          </w:p>
        </w:tc>
        <w:tc>
          <w:tcPr>
            <w:tcW w:w="412"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57" w:type="dxa"/>
            <w:tcBorders/>
            <w:shd w:fill="FFFFFF" w:val="clear"/>
            <w:vAlign w:val="center"/>
          </w:tcPr>
          <w:p>
            <w:pPr>
              <w:pStyle w:val="TableContents"/>
              <w:bidi w:val="0"/>
              <w:spacing w:before="0" w:after="283"/>
              <w:jc w:val="left"/>
              <w:rPr/>
            </w:pPr>
            <w:hyperlink w:anchor="bcab-ex31_1.htm">
              <w:r>
                <w:rPr>
                  <w:rStyle w:val="InternetLink"/>
                  <w:rFonts w:ascii="Times New Roman" w:hAnsi="Times New Roman"/>
                  <w:color w:val="0000FF"/>
                  <w:sz w:val="20"/>
                  <w:u w:val="single"/>
                </w:rPr>
                <w:t>Certification of Chief Executive Officer Pursuant to Rules 13a-14(a) and 15d-14(a) as Adopted Pursuant to Section 302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57" w:type="dxa"/>
            <w:tcBorders/>
            <w:shd w:fill="FFFFFF" w:val="clear"/>
            <w:vAlign w:val="center"/>
          </w:tcPr>
          <w:p>
            <w:pPr>
              <w:pStyle w:val="TableContents"/>
              <w:bidi w:val="0"/>
              <w:spacing w:before="0" w:after="283"/>
              <w:jc w:val="left"/>
              <w:rPr/>
            </w:pPr>
            <w:hyperlink w:anchor="bcab-ex31_2.htm">
              <w:r>
                <w:rPr>
                  <w:rStyle w:val="InternetLink"/>
                  <w:rFonts w:ascii="Times New Roman" w:hAnsi="Times New Roman"/>
                  <w:color w:val="0000FF"/>
                  <w:sz w:val="20"/>
                  <w:u w:val="single"/>
                </w:rPr>
                <w:t>Certification of Chief Financial Officer Pursuant to Rules 13a-14(a) and 15d-14(a) as Adopted Pursuant to Section 302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57" w:type="dxa"/>
            <w:tcBorders/>
            <w:shd w:fill="FFFFFF" w:val="clear"/>
            <w:vAlign w:val="center"/>
          </w:tcPr>
          <w:p>
            <w:pPr>
              <w:pStyle w:val="TableContents"/>
              <w:bidi w:val="0"/>
              <w:spacing w:before="0" w:after="283"/>
              <w:jc w:val="left"/>
              <w:rPr/>
            </w:pPr>
            <w:hyperlink w:anchor="bcab-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center"/>
              <w:rPr/>
            </w:pPr>
            <w:r>
              <w:rPr/>
              <w:t> </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60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BioAtla’s Quarterly Report on Form 10-Q for the quarter ended June 30, 2024, formatted in iXBRL (inline eXtensible Business Reporting Language): (i) the Condensed Balance Sheets, (ii) the Condensed Statements of Operations and Comprehensive Loss, (iii) the Condensed Statements of Stockholders’ Equity (iv) the Condensed Statements of Cash Flows, and (v) Notes to Condensed Financial Statements, tagged as blocks of text and including detailed tags.</w:t>
            </w:r>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60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document and contained in exhibit 101).</w:t>
            </w:r>
          </w:p>
        </w:tc>
        <w:tc>
          <w:tcPr>
            <w:tcW w:w="511"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1846"/>
        <w:gridCol w:w="109"/>
        <w:gridCol w:w="406"/>
        <w:gridCol w:w="38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7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70" w:right="0" w:firstLine="7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70" w:right="0" w:firstLine="7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70" w:right="0" w:firstLine="70"/>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bcab-ex10_1.htm"/>
      <w:bookmarkStart w:id="22" w:name="ksbcabex10_1"/>
      <w:bookmarkEnd w:id="21"/>
      <w:bookmarkEnd w:id="22"/>
      <w:r>
        <w:rPr>
          <w:rFonts w:ascii="Times New Roman" w:hAnsi="Times New Roman"/>
          <w:b/>
          <w:color w:val="000000"/>
          <w:sz w:val="24"/>
        </w:rPr>
        <w:t>Exhibit 10.1</w:t>
      </w:r>
      <w:r>
        <w:br w:type="page"/>
      </w:r>
    </w:p>
    <w:p>
      <w:pPr>
        <w:pStyle w:val="TextBody"/>
        <w:bidi w:val="0"/>
        <w:jc w:val="left"/>
        <w:rPr/>
      </w:pPr>
      <w:r>
        <w:rPr/>
        <w:t> </w:t>
      </w:r>
    </w:p>
    <w:p>
      <w:pPr>
        <w:pStyle w:val="TextBody"/>
        <w:bidi w:val="0"/>
        <w:jc w:val="left"/>
        <w:rPr/>
      </w:pPr>
      <w:bookmarkStart w:id="23" w:name="ole_link5"/>
      <w:bookmarkStart w:id="24" w:name="ole_link4"/>
      <w:bookmarkEnd w:id="23"/>
      <w:bookmarkEnd w:id="24"/>
      <w:r>
        <w:rPr/>
        <w:t> </w:t>
      </w:r>
    </w:p>
    <w:p>
      <w:pPr>
        <w:pStyle w:val="TextBody"/>
        <w:bidi w:val="0"/>
        <w:jc w:val="center"/>
        <w:rPr>
          <w:rFonts w:ascii="Times New Roman" w:hAnsi="Times New Roman"/>
          <w:b/>
          <w:color w:val="000000"/>
          <w:sz w:val="24"/>
        </w:rPr>
      </w:pPr>
      <w:r>
        <w:rPr>
          <w:rFonts w:ascii="Times New Roman" w:hAnsi="Times New Roman"/>
          <w:b/>
          <w:color w:val="000000"/>
          <w:sz w:val="24"/>
        </w:rPr>
        <w:t>BIOATLA, INC.</w:t>
      </w:r>
    </w:p>
    <w:p>
      <w:pPr>
        <w:pStyle w:val="TextBody"/>
        <w:bidi w:val="0"/>
        <w:jc w:val="center"/>
        <w:rPr>
          <w:rFonts w:ascii="Times New Roman" w:hAnsi="Times New Roman"/>
          <w:b/>
          <w:color w:val="000000"/>
          <w:sz w:val="24"/>
        </w:rPr>
      </w:pPr>
      <w:r>
        <w:rPr>
          <w:rFonts w:ascii="Times New Roman" w:hAnsi="Times New Roman"/>
          <w:b/>
          <w:color w:val="000000"/>
          <w:sz w:val="24"/>
        </w:rPr>
        <w:t>DIRECTOR COMPENSATION POLICY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 amended and restated on June 13, 2024)</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Each member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BioAtla,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who is not an employee of the Company (each such member, a “</w:t>
      </w:r>
      <w:r>
        <w:rPr>
          <w:rFonts w:ascii="Times New Roman" w:hAnsi="Times New Roman"/>
          <w:b/>
          <w:i/>
          <w:color w:val="000000"/>
          <w:sz w:val="24"/>
        </w:rPr>
        <w:t>Non-Employee Director</w:t>
      </w:r>
      <w:r>
        <w:rPr>
          <w:rFonts w:ascii="Times New Roman" w:hAnsi="Times New Roman"/>
          <w:color w:val="000000"/>
          <w:sz w:val="20"/>
        </w:rPr>
        <w:t>”</w:t>
      </w:r>
      <w:r>
        <w:rPr>
          <w:rFonts w:ascii="Times New Roman" w:hAnsi="Times New Roman"/>
          <w:color w:val="000000"/>
          <w:sz w:val="24"/>
        </w:rPr>
        <w:t>), will receive the compensation described in this Director Compensation Policy (the “</w:t>
      </w:r>
      <w:r>
        <w:rPr>
          <w:rFonts w:ascii="Times New Roman" w:hAnsi="Times New Roman"/>
          <w:b/>
          <w:i/>
          <w:color w:val="000000"/>
          <w:sz w:val="24"/>
        </w:rPr>
        <w:t>Director Compensation Policy</w:t>
      </w:r>
      <w:r>
        <w:rPr>
          <w:rFonts w:ascii="Times New Roman" w:hAnsi="Times New Roman"/>
          <w:color w:val="000000"/>
          <w:sz w:val="20"/>
        </w:rPr>
        <w:t>”</w:t>
      </w:r>
      <w:r>
        <w:rPr>
          <w:rFonts w:ascii="Times New Roman" w:hAnsi="Times New Roman"/>
          <w:color w:val="000000"/>
          <w:sz w:val="24"/>
        </w:rPr>
        <w:t>) for his or her Board service following the date set forth above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Director Compensation Policy will become effective upon the Effective Date and supersedes all prior arrangements with respect to the subject matter hereof. The Director Compensation Policy may be amended at any time in the sole discretion of the Board.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Annual Cash Compensation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Each Non-Employee Director will receive the cash compensation set forth below for service on the Board or a committee of the Board. The annual cash compensation amounts will be payable in arrears, in equal quarterly installments following the end of each fiscal quarter of the Company in which the service occurred. Any amount payable for a partial quarter of service in an applicable role (including, for the avoidance of doubt, service in the Lead Director role prior to the Effective Date) will be pro-rated by multiplying such amount by a fraction, the numerator of which will be the number of days of service in such role that the Non-Employee Director provided in such quarter and the denominator of which will be the number of days in such quarter. All annual cash fees are vested upon payment.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rPr>
        <w:t>Annual Board Member Service Retainer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All Non-Employee Directors</w:t>
      </w:r>
      <w:r>
        <w:rPr>
          <w:rFonts w:ascii="Times New Roman" w:hAnsi="Times New Roman"/>
          <w:color w:val="000000"/>
          <w:sz w:val="24"/>
        </w:rPr>
        <w:t xml:space="preserve">: </w:t>
      </w:r>
      <w:r>
        <w:rPr>
          <w:rFonts w:ascii="Times New Roman" w:hAnsi="Times New Roman"/>
          <w:b/>
          <w:color w:val="000000"/>
          <w:sz w:val="24"/>
        </w:rPr>
        <w:t>$40,000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Non-Employee Director serving as Lead Director</w:t>
      </w:r>
      <w:r>
        <w:rPr>
          <w:rFonts w:ascii="Times New Roman" w:hAnsi="Times New Roman"/>
          <w:color w:val="000000"/>
          <w:sz w:val="24"/>
        </w:rPr>
        <w:t xml:space="preserve">: </w:t>
      </w:r>
      <w:r>
        <w:rPr>
          <w:rFonts w:ascii="Times New Roman" w:hAnsi="Times New Roman"/>
          <w:b/>
          <w:color w:val="000000"/>
          <w:sz w:val="24"/>
        </w:rPr>
        <w:t>25,000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rPr>
        <w:t>Annual Committee Member Service Retainer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Member of the Audit Committee</w:t>
      </w:r>
      <w:r>
        <w:rPr>
          <w:rFonts w:ascii="Times New Roman" w:hAnsi="Times New Roman"/>
          <w:color w:val="000000"/>
          <w:sz w:val="24"/>
        </w:rPr>
        <w:t xml:space="preserve">: </w:t>
      </w:r>
      <w:r>
        <w:rPr>
          <w:rFonts w:ascii="Times New Roman" w:hAnsi="Times New Roman"/>
          <w:b/>
          <w:color w:val="000000"/>
          <w:sz w:val="24"/>
        </w:rPr>
        <w:t>$7,500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Member of the Compensation Committee</w:t>
      </w:r>
      <w:r>
        <w:rPr>
          <w:rFonts w:ascii="Times New Roman" w:hAnsi="Times New Roman"/>
          <w:color w:val="000000"/>
          <w:sz w:val="24"/>
        </w:rPr>
        <w:t xml:space="preserve">: </w:t>
      </w:r>
      <w:r>
        <w:rPr>
          <w:rFonts w:ascii="Times New Roman" w:hAnsi="Times New Roman"/>
          <w:b/>
          <w:color w:val="000000"/>
          <w:sz w:val="24"/>
        </w:rPr>
        <w:t>$5,000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Member of the Nominating and Corporate Governance Committee</w:t>
      </w:r>
      <w:r>
        <w:rPr>
          <w:rFonts w:ascii="Times New Roman" w:hAnsi="Times New Roman"/>
          <w:color w:val="000000"/>
          <w:sz w:val="24"/>
        </w:rPr>
        <w:t xml:space="preserve">: </w:t>
      </w:r>
      <w:r>
        <w:rPr>
          <w:rFonts w:ascii="Times New Roman" w:hAnsi="Times New Roman"/>
          <w:b/>
          <w:color w:val="000000"/>
          <w:sz w:val="24"/>
        </w:rPr>
        <w:t>$4,000</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rPr>
        <w:t>Annual Committee Chair Service Retainer (in lieu of Annual Committee Member Service Retainer)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Chair of the Audit Committee</w:t>
      </w:r>
      <w:r>
        <w:rPr>
          <w:rFonts w:ascii="Times New Roman" w:hAnsi="Times New Roman"/>
          <w:color w:val="000000"/>
          <w:sz w:val="24"/>
        </w:rPr>
        <w:t xml:space="preserve">: </w:t>
      </w:r>
      <w:r>
        <w:rPr>
          <w:rFonts w:ascii="Times New Roman" w:hAnsi="Times New Roman"/>
          <w:b/>
          <w:color w:val="000000"/>
          <w:sz w:val="24"/>
        </w:rPr>
        <w:t>$15,000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Chair of the Compensation Committee</w:t>
      </w:r>
      <w:r>
        <w:rPr>
          <w:rFonts w:ascii="Times New Roman" w:hAnsi="Times New Roman"/>
          <w:color w:val="000000"/>
          <w:sz w:val="24"/>
        </w:rPr>
        <w:t xml:space="preserve">: </w:t>
      </w:r>
      <w:r>
        <w:rPr>
          <w:rFonts w:ascii="Times New Roman" w:hAnsi="Times New Roman"/>
          <w:b/>
          <w:color w:val="000000"/>
          <w:sz w:val="24"/>
        </w:rPr>
        <w:t>$10,000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Chair of the Nominating and Corporate Governance Committee</w:t>
      </w:r>
      <w:r>
        <w:rPr>
          <w:rFonts w:ascii="Times New Roman" w:hAnsi="Times New Roman"/>
          <w:color w:val="000000"/>
          <w:sz w:val="24"/>
        </w:rPr>
        <w:t xml:space="preserve">: </w:t>
      </w:r>
      <w:r>
        <w:rPr>
          <w:rFonts w:ascii="Times New Roman" w:hAnsi="Times New Roman"/>
          <w:b/>
          <w:color w:val="000000"/>
          <w:sz w:val="24"/>
        </w:rPr>
        <w:t>$8,000</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Equity Compensation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Non-Employee Directors will be eligible to receive such equity awards under the Company’s 2020 Equity Incentive Plan, as amended (or any successor equity incentive plan adopted by the Board and the stockholders of the Company) as may be approved from time to time by the Board subject to the recommendations of the Compensation Committee as such committee deems advisable.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Expenses; Other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Director Compensation Policy was adopted by the Board and may only be amended or terminated by the Board.</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25" w:name="bcab-ex10_2.htm"/>
      <w:bookmarkStart w:id="26" w:name="ksbcabex10_2"/>
      <w:bookmarkEnd w:id="25"/>
      <w:bookmarkEnd w:id="26"/>
      <w:r>
        <w:rPr>
          <w:rFonts w:ascii="Times New Roman" w:hAnsi="Times New Roman"/>
          <w:b/>
          <w:color w:val="000000"/>
          <w:sz w:val="24"/>
        </w:rPr>
        <w:t>Exhibit 10.2</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RESTRICTED STOCK UNIT AGREEMENT</w:t>
        <w:br/>
        <w:t xml:space="preserve">UNDER THE BIOATLA, INC. </w:t>
        <w:br/>
        <w:t>2020 EQUITY INCENTIVE PLAN</w:t>
      </w:r>
    </w:p>
    <w:p>
      <w:pPr>
        <w:pStyle w:val="TextBody"/>
        <w:bidi w:val="0"/>
        <w:jc w:val="center"/>
        <w:rPr/>
      </w:pPr>
      <w:r>
        <w:rPr/>
        <w:t> </w:t>
      </w:r>
    </w:p>
    <w:p>
      <w:pPr>
        <w:pStyle w:val="TextBody"/>
        <w:bidi w:val="0"/>
        <w:spacing w:before="0" w:after="240"/>
        <w:jc w:val="both"/>
        <w:rPr>
          <w:rFonts w:ascii="Times New Roman" w:hAnsi="Times New Roman"/>
          <w:sz w:val="20"/>
        </w:rPr>
      </w:pPr>
      <w:bookmarkStart w:id="27" w:name="ole_link1"/>
      <w:bookmarkEnd w:id="27"/>
      <w:r>
        <w:rPr>
          <w:rFonts w:ascii="Times New Roman" w:hAnsi="Times New Roman"/>
          <w:b/>
          <w:color w:val="000000"/>
          <w:sz w:val="24"/>
        </w:rPr>
        <w:t>THIS RESTRICTED STOCK UNIT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between BioAtla,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i/>
          <w:color w:val="000000"/>
          <w:sz w:val="24"/>
        </w:rPr>
        <w:t>See Third-Party Administrative Platform</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Grantee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 xml:space="preserve">is made as of </w:t>
      </w:r>
      <w:r>
        <w:rPr>
          <w:rFonts w:ascii="Times New Roman" w:hAnsi="Times New Roman"/>
          <w:b/>
          <w:i/>
          <w:color w:val="000000"/>
          <w:sz w:val="24"/>
        </w:rPr>
        <w:t>See Third-Party Administrative Platform</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Grant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color w:val="000000"/>
          <w:sz w:val="24"/>
        </w:rPr>
        <w:t>the Company maintains the BioAtla, Inc. 2020 Equity Incentive Plan (as it may be amended and/or restated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color w:val="000000"/>
          <w:sz w:val="24"/>
        </w:rPr>
        <w:t>the Plan permits the Company to award Restricted Stock Units with respect to shares of the Company’s common stock, $0.0001 par value per share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subject to the terms of the Plan;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desires to grant Restricted Stock Units to the Grantee in accordance with the terms of this award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these premises and the agreements set forth herein, the parties, intending to be legally bound hereby, agree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Award of Restricted Stock Units</w:t>
      </w:r>
      <w:r>
        <w:rPr>
          <w:rFonts w:ascii="Times New Roman" w:hAnsi="Times New Roman"/>
          <w:color w:val="000000"/>
          <w:sz w:val="24"/>
        </w:rPr>
        <w:t xml:space="preserve">. The Company hereby grants to the Grantee, as of the Grant Date, </w:t>
      </w:r>
      <w:r>
        <w:rPr>
          <w:rFonts w:ascii="Times New Roman" w:hAnsi="Times New Roman"/>
          <w:b/>
          <w:i/>
          <w:color w:val="000000"/>
          <w:sz w:val="24"/>
        </w:rPr>
        <w:t>See Third-Party Administrative Platform</w:t>
      </w:r>
      <w:r>
        <w:rPr>
          <w:color w:val="000000"/>
        </w:rPr>
        <w:t xml:space="preserve"> </w:t>
      </w:r>
      <w:r>
        <w:rPr>
          <w:rFonts w:ascii="Times New Roman" w:hAnsi="Times New Roman"/>
          <w:color w:val="000000"/>
          <w:sz w:val="24"/>
        </w:rPr>
        <w:t>Restricted Stock Units (the “</w:t>
      </w:r>
      <w:r>
        <w:rPr>
          <w:rFonts w:ascii="Times New Roman" w:hAnsi="Times New Roman"/>
          <w:b/>
          <w:i/>
          <w:color w:val="000000"/>
          <w:sz w:val="24"/>
        </w:rPr>
        <w:t>RSUs</w:t>
      </w:r>
      <w:r>
        <w:rPr>
          <w:color w:val="000000"/>
        </w:rPr>
        <w:t>”</w:t>
      </w:r>
      <w:r>
        <w:rPr>
          <w:rFonts w:ascii="Times New Roman" w:hAnsi="Times New Roman"/>
          <w:color w:val="000000"/>
          <w:sz w:val="24"/>
        </w:rPr>
        <w:t>). With respect to each RSU that becomes vested in accordance with the terms of this Agreement, the Grantee will be entitled to receive one Share upon the settlement of such RSU (the “</w:t>
      </w:r>
      <w:r>
        <w:rPr>
          <w:rFonts w:ascii="Times New Roman" w:hAnsi="Times New Roman"/>
          <w:b/>
          <w:i/>
          <w:color w:val="000000"/>
          <w:sz w:val="24"/>
        </w:rPr>
        <w:t>RSU Shares</w:t>
      </w:r>
      <w:r>
        <w:rPr>
          <w:color w:val="000000"/>
        </w:rPr>
        <w:t>”</w:t>
      </w:r>
      <w:r>
        <w:rPr>
          <w:rFonts w:ascii="Times New Roman" w:hAnsi="Times New Roman"/>
          <w:color w:val="000000"/>
          <w:sz w:val="24"/>
        </w:rPr>
        <w:t>). The RSUs are subject to the terms set forth herein, and the terms of the Plan, which terms and provisions are incorporated herein by reference. Capitalized terms used but not otherwise defined herein shall have the meanings ascribed to such terms in the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Vesting; Settlement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of the Grant Date, the RSUs are unvested and shall become vested as to 100% of the total number of RSU Shares subject to the RSU on the earlier of (a) the one-year anniversary of the Grant Date or (b) the [next/INSERT YEAR] Company annual meeting of stockholders, subject to the Grantee continuing to provide services to the Company or any of its Subsidiaries through the vesting date. Vesting of any RSUs in all cases is subject to the Grantee’s continued Service (as defined below) with the Company or one of its Subsidiaries from the Grant Date through and including the applicable vesting date. Except as otherwise specifically provided in Section 7.2 of the Plan, if the Grantee’s Service with the Company or any of its Subsidiaries terminates for any reason prior to the date on which all of the RSUs have become vested, regardless of whether such termination is initiated by the Grantee, by the Company or by any of the Company’s Subsidiaries, then all RSUs which are unvested as of the date of such termination shall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forfeited immediately upon such termination with no compensation or other payment due to the Grantee or any other Person. In addition, if the Grantee’s Service with the Company or any of its Subsidiaries is terminated for Cause, then any RSUs which have not been settled as of such termination of Service (even if such RSUs are vested) shall be forfeited immediately upon such termination with no compensation or other payment due to the Grantee or any other Person. For purposes of this Agreement, “Service” shall mean continuous service as an employee, non-employee member of the Company’s Board of Directors or independent contractor.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RSU that becomes vested shall be settled as soon as reasonably practicable following the date on which such RSU becomes vested, and in any event within 30 days after the vesting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Prior to the receipt by the Grantee of an RSU Share in settlement of an RSU, the Grantee shall have no rights of a stockholder with respect to such RSU or RSU Share, including, without limitation, the right to receive dividends with respect to such RSU or RSU Share or the right to vote such RSU or RSU Share. Notwithstanding the foregoing or anything contained in this Agreement to the contrary, if the Company declares a cash dividend on Shares with a record date during the period between the Grant Date and the date immediately preceding the date on which an RSU Share is delivered upon the settlement of a vested RSU, then the Grantee shall be entitled to receive with respect to the vested RSUs being settled on such date an amount in cash equal to the product of (i) the number of vested RSUs then being settled, multiplied by (ii) the amount of cash dividends declared per Share during the period between the Grant Date and the date immediately preceding the date on which such RSU Shares are delivered upon the settlement of such vested RSUs, with such cash payment to be made to the Grantee at the same time as RSU Shares are issued upon the settlement of such vested RSUs; provided, however, that if any such cash dividends have been declared but not paid, such payment shall not be made in respect of such cash dividend until the first payroll date after such cash dividend is paid (and if such dividend equivalent described in this Section 2(c) is not paid to the Participant by March 15</w:t>
      </w:r>
      <w:r>
        <w:rPr>
          <w:rFonts w:ascii="Times New Roman" w:hAnsi="Times New Roman"/>
          <w:color w:val="000000"/>
          <w:sz w:val="16"/>
        </w:rPr>
        <w:t>th</w:t>
      </w:r>
      <w:r>
        <w:rPr>
          <w:color w:val="000000"/>
        </w:rPr>
        <w:t xml:space="preserve"> </w:t>
      </w:r>
      <w:r>
        <w:rPr>
          <w:rFonts w:ascii="Times New Roman" w:hAnsi="Times New Roman"/>
          <w:color w:val="000000"/>
          <w:sz w:val="24"/>
        </w:rPr>
        <w:t>of the year immediately following the year in which the applicable RSU vested, then such dividend equivalent shall be forfeited). Any such amounts will be forfeited upon the forfeiture of the underlying RSU, with no compensation or other payment due to the Grantee or any other Person.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Non-Transferability of RSUs</w:t>
      </w:r>
      <w:r>
        <w:rPr>
          <w:rFonts w:ascii="Times New Roman" w:hAnsi="Times New Roman"/>
          <w:color w:val="000000"/>
          <w:sz w:val="24"/>
        </w:rPr>
        <w:t xml:space="preserve">. The RSUs may not be sold, pledged, assigned, hypothecated, gifted, transferred or disposed of in any manner either voluntarily or involuntarily by operation of law, other than by will or by the laws of descent and distribution.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color w:val="000000"/>
          <w:sz w:val="24"/>
          <w:u w:val="single"/>
        </w:rPr>
        <w:t>Conditions on All Transfers of RSU Shares</w:t>
      </w:r>
      <w:r>
        <w:rPr>
          <w:rFonts w:ascii="Times New Roman" w:hAnsi="Times New Roman"/>
          <w:color w:val="000000"/>
          <w:sz w:val="24"/>
        </w:rPr>
        <w:t xml:space="preserve">. Notwithstanding anything to the contrary contained in this Agreement or the Plan, no transfer of an RSU Share shall be made, or, if attempted or purported to be made, shall be effective, unless and until the Company is satisfied that the transfer will not violate any federal or state securities law or any other law or agreement (including this Agreement or the Plan) or the rules of any applicable stock exchange. If the transfer would violate any such law, agreement or rule and the Grantee nevertheless attempts or purports to engage in a transfer of RSU Shares, then the Company shall not recognize such transfer on the books and records of the Company and such transfer will be null and void </w:t>
      </w:r>
      <w:r>
        <w:rPr>
          <w:rFonts w:ascii="Times New Roman" w:hAnsi="Times New Roman"/>
          <w:i/>
          <w:color w:val="000000"/>
          <w:sz w:val="24"/>
        </w:rPr>
        <w:t>ab initio</w:t>
      </w:r>
      <w:r>
        <w:rPr>
          <w:rFonts w:ascii="Times New Roman" w:hAnsi="Times New Roman"/>
          <w:color w:val="000000"/>
          <w:sz w:val="24"/>
        </w:rPr>
        <w:t>. In addition, the Grantee will be liable to the Company for damages, if any, which may result from such attempted or purported transfer.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color w:val="000000"/>
          <w:sz w:val="24"/>
          <w:u w:val="single"/>
        </w:rPr>
        <w:t>No Promise of Service</w:t>
      </w:r>
      <w:r>
        <w:rPr>
          <w:rFonts w:ascii="Times New Roman" w:hAnsi="Times New Roman"/>
          <w:color w:val="000000"/>
          <w:sz w:val="24"/>
        </w:rPr>
        <w:t>. Neither the Plan nor the granting or holding of the RSUs nor the holding of RSU Shares will confer upon the Grantee any right to continue in the service of the Company or any Subsidiary, or limit, in any respect, the right of the Company or any Subsidiary to discharge the Grantee at any time, for any reason and with or without notice.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xml:space="preserve">. The Grantee shall be responsible for all tax consequences in connection with the RSUs (including any applicable withholding taxes). Such responsibility shall extend to all applicable federal, state, local and foreign withholding taxes.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color w:val="000000"/>
          <w:sz w:val="24"/>
          <w:u w:val="single"/>
        </w:rPr>
        <w:t>The Plan</w:t>
      </w:r>
      <w:r>
        <w:rPr>
          <w:rFonts w:ascii="Times New Roman" w:hAnsi="Times New Roman"/>
          <w:color w:val="000000"/>
          <w:sz w:val="24"/>
        </w:rPr>
        <w:t>. The Grantee has received a copy of the Plan, has read the Plan and is familiar with its terms, and hereby accepts the RSUs subject to all of the terms and provisions of the Plan and this Agreement. Pursuant to the Plan, the Committee is authorized to interpret the Plan and to adopt rules and regulations not inconsistent with the Plan as it deems appropriate. The Grantee hereby agrees to accept as binding, conclusive and final all decisions or interpretations of the Committee with respect to the Plan, this Agreement, the RSUs, the RSU Shares or any agreement relating to the RSUs or the RSU Shares. In the event of a conflict between the terms of the Plan and the terms of this Agreement, the terms of the Plan shall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pPr>
      <w:r>
        <w:rPr>
          <w:rFonts w:ascii="Times New Roman" w:hAnsi="Times New Roman"/>
          <w:color w:val="000000"/>
          <w:sz w:val="24"/>
          <w:u w:val="single"/>
        </w:rPr>
        <w:t>Investment Representation</w:t>
      </w:r>
      <w:r>
        <w:rPr>
          <w:rFonts w:ascii="Times New Roman" w:hAnsi="Times New Roman"/>
          <w:color w:val="000000"/>
          <w:sz w:val="24"/>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Agreement will be construed in accordance with the laws of the State of Delaware, without regard to the application of the principles of conflicts of laws of Delaware or any other jurisdiction.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Subject to the provisions of the Plan, this Agreement may only be amended by a writing signed by each of the parties 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xml:space="preserve">. This Agreement, together with the Plan, represents the entire agreement between the parties hereto relating to the subject matter hereof, and merges and supersedes all prior and contemporaneous discussions, agreements and understandings of every nature relating to the award of the RSUs to the Grantee by the Company.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Company has caused its duly authorized officer to execute this Agreement, and the Grantee has placed his or her signature hereon evidencing his or her agreement to the terms hereof, effective as of the Grant Date.</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BIOATLA,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spacing w:before="0" w:after="480"/>
        <w:jc w:val="left"/>
        <w:rPr>
          <w:rFonts w:ascii="Times New Roman" w:hAnsi="Times New Roman"/>
          <w:b/>
          <w:caps/>
          <w:color w:val="000000"/>
          <w:sz w:val="24"/>
        </w:rPr>
      </w:pPr>
      <w:r>
        <w:rPr>
          <w:rFonts w:ascii="Times New Roman" w:hAnsi="Times New Roman"/>
          <w:b/>
          <w:caps/>
          <w:color w:val="000000"/>
          <w:sz w:val="24"/>
        </w:rPr>
        <w:t>grantee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bcab-ex31_1.htm"/>
      <w:bookmarkStart w:id="29" w:name="ksbcab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846"/>
        <w:gridCol w:w="109"/>
        <w:gridCol w:w="40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bcab-ex31_2.htm"/>
      <w:bookmarkStart w:id="31" w:name="ksbcab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bcab-ex32_1.htm"/>
      <w:bookmarkStart w:id="33" w:name="ksbcab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BioAtla, Inc. (the “Company”) on Form 10-Q for the period ending June 30, 2024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1846"/>
        <w:gridCol w:w="109"/>
        <w:gridCol w:w="406"/>
        <w:gridCol w:w="25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ind w:left="7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54662</Words>
  <Characters>303958</Characters>
  <CharactersWithSpaces>358327</CharactersWithSpaces>
  <Paragraphs>4404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