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20" w:right="1900" w:hanging="3799"/>
        <w:spacing w:after="0" w:line="423"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2023</w:t>
      </w:r>
    </w:p>
    <w:p>
      <w:pPr>
        <w:spacing w:after="0" w:line="296"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920"/>
        <w:spacing w:after="0"/>
        <w:tabs>
          <w:tab w:leader="none" w:pos="6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001-39787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BIOATLA,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3" w:lineRule="exact"/>
        <w:rPr>
          <w:sz w:val="24"/>
          <w:szCs w:val="24"/>
          <w:color w:val="auto"/>
        </w:rPr>
      </w:pPr>
    </w:p>
    <w:tbl>
      <w:tblPr>
        <w:tblLayout w:type="fixed"/>
        <w:tblInd w:w="1260" w:type="dxa"/>
        <w:tblCellMar>
          <w:top w:w="0" w:type="dxa"/>
          <w:left w:w="0" w:type="dxa"/>
          <w:bottom w:w="0" w:type="dxa"/>
          <w:right w:w="0" w:type="dxa"/>
        </w:tblCellMar>
      </w:tblPr>
      <w:tr>
        <w:trPr>
          <w:trHeight w:val="234"/>
        </w:trPr>
        <w:tc>
          <w:tcPr>
            <w:tcW w:w="4900" w:type="dxa"/>
            <w:vAlign w:val="bottom"/>
          </w:tcPr>
          <w:p>
            <w:pPr>
              <w:jc w:val="center"/>
              <w:ind w:right="1708"/>
              <w:spacing w:after="0"/>
              <w:rPr>
                <w:sz w:val="20"/>
                <w:szCs w:val="20"/>
                <w:color w:val="auto"/>
              </w:rPr>
            </w:pPr>
            <w:r>
              <w:rPr>
                <w:rFonts w:ascii="Arial" w:cs="Arial" w:eastAsia="Arial" w:hAnsi="Arial"/>
                <w:sz w:val="18"/>
                <w:szCs w:val="18"/>
                <w:b w:val="1"/>
                <w:bCs w:val="1"/>
                <w:color w:val="auto"/>
                <w:w w:val="91"/>
              </w:rPr>
              <w:t>Delaware</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85-1922320</w:t>
            </w:r>
          </w:p>
        </w:tc>
      </w:tr>
      <w:tr>
        <w:trPr>
          <w:trHeight w:val="148"/>
        </w:trPr>
        <w:tc>
          <w:tcPr>
            <w:tcW w:w="4900" w:type="dxa"/>
            <w:vAlign w:val="bottom"/>
          </w:tcPr>
          <w:p>
            <w:pPr>
              <w:jc w:val="center"/>
              <w:ind w:right="1708"/>
              <w:spacing w:after="0"/>
              <w:rPr>
                <w:sz w:val="20"/>
                <w:szCs w:val="20"/>
                <w:color w:val="auto"/>
              </w:rPr>
            </w:pPr>
            <w:r>
              <w:rPr>
                <w:rFonts w:ascii="Arial" w:cs="Arial" w:eastAsia="Arial" w:hAnsi="Arial"/>
                <w:sz w:val="13"/>
                <w:szCs w:val="13"/>
                <w:b w:val="1"/>
                <w:bCs w:val="1"/>
                <w:color w:val="auto"/>
                <w:w w:val="87"/>
              </w:rPr>
              <w:t>( State or other jurisdiction of</w:t>
            </w:r>
          </w:p>
        </w:tc>
        <w:tc>
          <w:tcPr>
            <w:tcW w:w="2780" w:type="dxa"/>
            <w:vAlign w:val="bottom"/>
          </w:tcPr>
          <w:p>
            <w:pPr>
              <w:jc w:val="center"/>
              <w:ind w:left="1686"/>
              <w:spacing w:after="0"/>
              <w:rPr>
                <w:sz w:val="20"/>
                <w:szCs w:val="20"/>
                <w:color w:val="auto"/>
              </w:rPr>
            </w:pPr>
            <w:r>
              <w:rPr>
                <w:rFonts w:ascii="Arial" w:cs="Arial" w:eastAsia="Arial" w:hAnsi="Arial"/>
                <w:sz w:val="13"/>
                <w:szCs w:val="13"/>
                <w:b w:val="1"/>
                <w:bCs w:val="1"/>
                <w:color w:val="auto"/>
                <w:w w:val="90"/>
              </w:rPr>
              <w:t>(I.R.S. Employer</w:t>
            </w:r>
          </w:p>
        </w:tc>
      </w:tr>
      <w:tr>
        <w:trPr>
          <w:trHeight w:val="171"/>
        </w:trPr>
        <w:tc>
          <w:tcPr>
            <w:tcW w:w="4900" w:type="dxa"/>
            <w:vAlign w:val="bottom"/>
          </w:tcPr>
          <w:p>
            <w:pPr>
              <w:jc w:val="center"/>
              <w:ind w:right="1708"/>
              <w:spacing w:after="0"/>
              <w:rPr>
                <w:sz w:val="20"/>
                <w:szCs w:val="20"/>
                <w:color w:val="auto"/>
              </w:rPr>
            </w:pPr>
            <w:r>
              <w:rPr>
                <w:rFonts w:ascii="Arial" w:cs="Arial" w:eastAsia="Arial" w:hAnsi="Arial"/>
                <w:sz w:val="13"/>
                <w:szCs w:val="13"/>
                <w:b w:val="1"/>
                <w:bCs w:val="1"/>
                <w:color w:val="auto"/>
                <w:w w:val="90"/>
              </w:rPr>
              <w:t>incorporation or organization)</w:t>
            </w:r>
          </w:p>
        </w:tc>
        <w:tc>
          <w:tcPr>
            <w:tcW w:w="2780" w:type="dxa"/>
            <w:vAlign w:val="bottom"/>
          </w:tcPr>
          <w:p>
            <w:pPr>
              <w:jc w:val="center"/>
              <w:ind w:left="1706"/>
              <w:spacing w:after="0"/>
              <w:rPr>
                <w:sz w:val="20"/>
                <w:szCs w:val="20"/>
                <w:color w:val="auto"/>
              </w:rPr>
            </w:pPr>
            <w:r>
              <w:rPr>
                <w:rFonts w:ascii="Arial" w:cs="Arial" w:eastAsia="Arial" w:hAnsi="Arial"/>
                <w:sz w:val="13"/>
                <w:szCs w:val="13"/>
                <w:b w:val="1"/>
                <w:bCs w:val="1"/>
                <w:color w:val="auto"/>
                <w:w w:val="91"/>
              </w:rPr>
              <w:t>Identification No.)</w:t>
            </w:r>
          </w:p>
        </w:tc>
      </w:tr>
      <w:tr>
        <w:trPr>
          <w:trHeight w:val="234"/>
        </w:trPr>
        <w:tc>
          <w:tcPr>
            <w:tcW w:w="4900" w:type="dxa"/>
            <w:vAlign w:val="bottom"/>
          </w:tcPr>
          <w:p>
            <w:pPr>
              <w:jc w:val="center"/>
              <w:ind w:right="1708"/>
              <w:spacing w:after="0"/>
              <w:rPr>
                <w:sz w:val="20"/>
                <w:szCs w:val="20"/>
                <w:color w:val="auto"/>
              </w:rPr>
            </w:pPr>
            <w:r>
              <w:rPr>
                <w:rFonts w:ascii="Arial" w:cs="Arial" w:eastAsia="Arial" w:hAnsi="Arial"/>
                <w:sz w:val="16"/>
                <w:szCs w:val="16"/>
                <w:b w:val="1"/>
                <w:bCs w:val="1"/>
                <w:color w:val="auto"/>
                <w:w w:val="91"/>
              </w:rPr>
              <w:t>11085 Torreyana Road, San Diego, California</w:t>
            </w:r>
          </w:p>
        </w:tc>
        <w:tc>
          <w:tcPr>
            <w:tcW w:w="2780" w:type="dxa"/>
            <w:vAlign w:val="bottom"/>
          </w:tcPr>
          <w:p>
            <w:pPr>
              <w:jc w:val="right"/>
              <w:ind w:right="206"/>
              <w:spacing w:after="0"/>
              <w:rPr>
                <w:sz w:val="20"/>
                <w:szCs w:val="20"/>
                <w:color w:val="auto"/>
              </w:rPr>
            </w:pPr>
            <w:r>
              <w:rPr>
                <w:rFonts w:ascii="Arial" w:cs="Arial" w:eastAsia="Arial" w:hAnsi="Arial"/>
                <w:sz w:val="18"/>
                <w:szCs w:val="18"/>
                <w:b w:val="1"/>
                <w:bCs w:val="1"/>
                <w:color w:val="auto"/>
              </w:rPr>
              <w:t>92121</w:t>
            </w:r>
          </w:p>
        </w:tc>
      </w:tr>
      <w:tr>
        <w:trPr>
          <w:trHeight w:val="173"/>
        </w:trPr>
        <w:tc>
          <w:tcPr>
            <w:tcW w:w="4900" w:type="dxa"/>
            <w:vAlign w:val="bottom"/>
          </w:tcPr>
          <w:p>
            <w:pPr>
              <w:jc w:val="center"/>
              <w:ind w:right="170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80" w:type="dxa"/>
            <w:vAlign w:val="bottom"/>
          </w:tcPr>
          <w:p>
            <w:pPr>
              <w:jc w:val="center"/>
              <w:ind w:left="1686"/>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Registrant’s telephone number, including area code: (858) 558-0708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Title of each class</w:t>
            </w: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4"/>
                <w:szCs w:val="14"/>
                <w:color w:val="auto"/>
              </w:rPr>
            </w:pPr>
          </w:p>
        </w:tc>
        <w:tc>
          <w:tcPr>
            <w:tcW w:w="5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Name of each exchange on which registered</w:t>
            </w:r>
          </w:p>
        </w:tc>
        <w:tc>
          <w:tcPr>
            <w:tcW w:w="0" w:type="dxa"/>
            <w:vAlign w:val="bottom"/>
          </w:tcPr>
          <w:p>
            <w:pPr>
              <w:spacing w:after="0"/>
              <w:rPr>
                <w:sz w:val="1"/>
                <w:szCs w:val="1"/>
                <w:color w:val="auto"/>
              </w:rPr>
            </w:pPr>
          </w:p>
        </w:tc>
      </w:tr>
      <w:tr>
        <w:trPr>
          <w:trHeight w:val="185"/>
        </w:trPr>
        <w:tc>
          <w:tcPr>
            <w:tcW w:w="42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Symbol(s)</w:t>
            </w:r>
          </w:p>
        </w:tc>
        <w:tc>
          <w:tcPr>
            <w:tcW w:w="140" w:type="dxa"/>
            <w:vAlign w:val="bottom"/>
          </w:tcPr>
          <w:p>
            <w:pPr>
              <w:spacing w:after="0"/>
              <w:rPr>
                <w:sz w:val="16"/>
                <w:szCs w:val="16"/>
                <w:color w:val="auto"/>
              </w:rPr>
            </w:pPr>
          </w:p>
        </w:tc>
        <w:tc>
          <w:tcPr>
            <w:tcW w:w="5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89"/>
              </w:rPr>
              <w:t>Common Stock, $0.0001 par value per share</w:t>
            </w:r>
          </w:p>
        </w:tc>
        <w:tc>
          <w:tcPr>
            <w:tcW w:w="1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BCAB</w:t>
            </w:r>
          </w:p>
        </w:tc>
        <w:tc>
          <w:tcPr>
            <w:tcW w:w="140" w:type="dxa"/>
            <w:vAlign w:val="bottom"/>
          </w:tcPr>
          <w:p>
            <w:pPr>
              <w:spacing w:after="0"/>
              <w:rPr>
                <w:sz w:val="17"/>
                <w:szCs w:val="17"/>
                <w:color w:val="auto"/>
              </w:rPr>
            </w:pPr>
          </w:p>
        </w:tc>
        <w:tc>
          <w:tcPr>
            <w:tcW w:w="5020" w:type="dxa"/>
            <w:vAlign w:val="bottom"/>
          </w:tcPr>
          <w:p>
            <w:pPr>
              <w:jc w:val="center"/>
              <w:spacing w:after="0"/>
              <w:rPr>
                <w:sz w:val="20"/>
                <w:szCs w:val="20"/>
                <w:color w:val="auto"/>
              </w:rPr>
            </w:pPr>
            <w:r>
              <w:rPr>
                <w:rFonts w:ascii="Arial" w:cs="Arial" w:eastAsia="Arial" w:hAnsi="Arial"/>
                <w:sz w:val="16"/>
                <w:szCs w:val="16"/>
                <w:color w:val="auto"/>
                <w:w w:val="90"/>
              </w:rPr>
              <w:t>The Nasdaq Global Market</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right="180"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8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8" w:lineRule="exact"/>
        <w:rPr>
          <w:sz w:val="24"/>
          <w:szCs w:val="24"/>
          <w:color w:val="auto"/>
        </w:rPr>
      </w:pPr>
    </w:p>
    <w:p>
      <w:pPr>
        <w:ind w:right="80" w:firstLine="599"/>
        <w:spacing w:after="0" w:line="3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8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8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132" w:lineRule="exact"/>
        <w:rPr>
          <w:sz w:val="24"/>
          <w:szCs w:val="24"/>
          <w:color w:val="auto"/>
        </w:rPr>
      </w:pPr>
    </w:p>
    <w:p>
      <w:pPr>
        <w:ind w:right="22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spacing w:after="0" w:line="184" w:lineRule="exact"/>
        <w:tabs>
          <w:tab w:leader="none" w:pos="7980" w:val="left"/>
          <w:tab w:leader="none" w:pos="86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6" w:lineRule="exact"/>
        <w:rPr>
          <w:sz w:val="24"/>
          <w:szCs w:val="24"/>
          <w:color w:val="auto"/>
        </w:rPr>
      </w:pPr>
    </w:p>
    <w:p>
      <w:pPr>
        <w:ind w:firstLine="599"/>
        <w:spacing w:after="0" w:line="293" w:lineRule="auto"/>
        <w:rPr>
          <w:sz w:val="20"/>
          <w:szCs w:val="20"/>
          <w:color w:val="auto"/>
        </w:rPr>
      </w:pPr>
      <w:r>
        <w:rPr>
          <w:rFonts w:ascii="Arial" w:cs="Arial" w:eastAsia="Arial" w:hAnsi="Arial"/>
          <w:sz w:val="16"/>
          <w:szCs w:val="16"/>
          <w:color w:val="auto"/>
        </w:rPr>
        <w:t>As of May 10, 2023, the number of shares of the registrant’s common stock outstanding was 47,667,516 and the number of shares of the registrant’s Class B common stock outstanding was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00" w:type="dxa"/>
            <w:vAlign w:val="bottom"/>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PART I.</w:t>
            </w:r>
          </w:p>
        </w:tc>
        <w:tc>
          <w:tcPr>
            <w:tcW w:w="2100" w:type="dxa"/>
            <w:vAlign w:val="bottom"/>
            <w:gridSpan w:val="11"/>
            <w:vMerge w:val="restart"/>
          </w:tcPr>
          <w:p>
            <w:pPr>
              <w:spacing w:after="0"/>
              <w:rPr>
                <w:sz w:val="20"/>
                <w:szCs w:val="20"/>
                <w:color w:val="auto"/>
              </w:rPr>
            </w:pPr>
            <w:r>
              <w:rPr>
                <w:rFonts w:ascii="Arial" w:cs="Arial" w:eastAsia="Arial" w:hAnsi="Arial"/>
                <w:sz w:val="16"/>
                <w:szCs w:val="16"/>
                <w:color w:val="0000FF"/>
              </w:rPr>
              <w:t>FINANCIAL INFORMATION</w:t>
            </w:r>
          </w:p>
        </w:tc>
        <w:tc>
          <w:tcPr>
            <w:tcW w:w="7620" w:type="dxa"/>
            <w:vAlign w:val="bottom"/>
            <w:gridSpan w:val="8"/>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820" w:type="dxa"/>
            <w:vAlign w:val="bottom"/>
            <w:gridSpan w:val="2"/>
            <w:vMerge w:val="continue"/>
          </w:tcPr>
          <w:p>
            <w:pPr>
              <w:spacing w:after="0"/>
              <w:rPr>
                <w:sz w:val="14"/>
                <w:szCs w:val="14"/>
                <w:color w:val="auto"/>
              </w:rPr>
            </w:pPr>
          </w:p>
        </w:tc>
        <w:tc>
          <w:tcPr>
            <w:tcW w:w="2100" w:type="dxa"/>
            <w:vAlign w:val="bottom"/>
            <w:tcBorders>
              <w:bottom w:val="single" w:sz="8" w:color="0000FF"/>
            </w:tcBorders>
            <w:gridSpan w:val="11"/>
            <w:vMerge w:val="continue"/>
          </w:tcPr>
          <w:p>
            <w:pPr>
              <w:spacing w:after="0"/>
              <w:rPr>
                <w:sz w:val="14"/>
                <w:szCs w:val="14"/>
                <w:color w:val="auto"/>
              </w:rPr>
            </w:pPr>
          </w:p>
        </w:tc>
        <w:tc>
          <w:tcPr>
            <w:tcW w:w="762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1.</w:t>
            </w:r>
          </w:p>
        </w:tc>
        <w:tc>
          <w:tcPr>
            <w:tcW w:w="9720" w:type="dxa"/>
            <w:vAlign w:val="bottom"/>
            <w:gridSpan w:val="19"/>
          </w:tcPr>
          <w:p>
            <w:pPr>
              <w:spacing w:after="0"/>
              <w:rPr>
                <w:sz w:val="20"/>
                <w:szCs w:val="20"/>
                <w:color w:val="auto"/>
              </w:rPr>
            </w:pPr>
            <w:r>
              <w:rPr>
                <w:rFonts w:ascii="Arial" w:cs="Arial" w:eastAsia="Arial" w:hAnsi="Arial"/>
                <w:sz w:val="16"/>
                <w:szCs w:val="16"/>
                <w:color w:val="0000FF"/>
              </w:rPr>
              <w:t>Financial Statements:</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60" w:type="dxa"/>
            <w:vAlign w:val="bottom"/>
            <w:gridSpan w:val="17"/>
          </w:tcPr>
          <w:p>
            <w:pPr>
              <w:spacing w:after="0"/>
              <w:rPr>
                <w:sz w:val="20"/>
                <w:szCs w:val="20"/>
                <w:color w:val="auto"/>
              </w:rPr>
            </w:pPr>
            <w:r>
              <w:rPr>
                <w:rFonts w:ascii="Arial" w:cs="Arial" w:eastAsia="Arial" w:hAnsi="Arial"/>
                <w:sz w:val="16"/>
                <w:szCs w:val="16"/>
                <w:color w:val="0000FF"/>
              </w:rPr>
              <w:t>Condensed Balance Sheets as of March 31, 2023 (unaudited) and December 31, 2022</w:t>
            </w: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Borders>
              <w:bottom w:val="single" w:sz="8" w:color="0000EE"/>
            </w:tcBorders>
          </w:tcPr>
          <w:p>
            <w:pPr>
              <w:spacing w:after="0"/>
              <w:rPr>
                <w:sz w:val="19"/>
                <w:szCs w:val="19"/>
                <w:color w:val="auto"/>
              </w:rPr>
            </w:pPr>
          </w:p>
        </w:tc>
        <w:tc>
          <w:tcPr>
            <w:tcW w:w="822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88"/>
              </w:rPr>
              <w:t>Condensed Statements of Operations and Comprehensive Loss (unaudited) for the three months ended March 31, 2023 and 2022</w:t>
            </w:r>
          </w:p>
        </w:tc>
        <w:tc>
          <w:tcPr>
            <w:tcW w:w="12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4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FF"/>
                <w:w w:val="89"/>
              </w:rPr>
              <w:t>Condensed Statements of Stockholders’ Equity (unaudited) for the three months ended March 31, 2023 and 2022</w:t>
            </w:r>
          </w:p>
        </w:tc>
        <w:tc>
          <w:tcPr>
            <w:tcW w:w="2220" w:type="dxa"/>
            <w:vAlign w:val="bottom"/>
            <w:gridSpan w:val="2"/>
          </w:tcPr>
          <w:p>
            <w:pPr>
              <w:spacing w:after="0"/>
              <w:rPr>
                <w:sz w:val="19"/>
                <w:szCs w:val="19"/>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60" w:type="dxa"/>
            <w:vAlign w:val="bottom"/>
            <w:gridSpan w:val="17"/>
          </w:tcPr>
          <w:p>
            <w:pPr>
              <w:spacing w:after="0"/>
              <w:rPr>
                <w:sz w:val="20"/>
                <w:szCs w:val="20"/>
                <w:color w:val="auto"/>
              </w:rPr>
            </w:pPr>
            <w:r>
              <w:rPr>
                <w:rFonts w:ascii="Arial" w:cs="Arial" w:eastAsia="Arial" w:hAnsi="Arial"/>
                <w:sz w:val="16"/>
                <w:szCs w:val="16"/>
                <w:color w:val="0000FF"/>
              </w:rPr>
              <w:t>Condensed Statements of Cash Flows (unaudited) for the three months ended March 31, 2023 and 2022</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60" w:type="dxa"/>
            <w:vAlign w:val="bottom"/>
            <w:gridSpan w:val="17"/>
          </w:tcPr>
          <w:p>
            <w:pPr>
              <w:spacing w:after="0"/>
              <w:rPr>
                <w:sz w:val="20"/>
                <w:szCs w:val="20"/>
                <w:color w:val="auto"/>
              </w:rPr>
            </w:pPr>
            <w:r>
              <w:rPr>
                <w:rFonts w:ascii="Arial" w:cs="Arial" w:eastAsia="Arial" w:hAnsi="Arial"/>
                <w:sz w:val="16"/>
                <w:szCs w:val="16"/>
                <w:color w:val="0000FF"/>
              </w:rPr>
              <w:t>Notes to Condensed Financial Statements (unaudited)</w:t>
            </w: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2.</w:t>
            </w:r>
          </w:p>
        </w:tc>
        <w:tc>
          <w:tcPr>
            <w:tcW w:w="574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90"/>
              </w:rPr>
              <w:t>Management’s Discussion and Analysis of Financial Condition and Results of Operations</w:t>
            </w:r>
          </w:p>
        </w:tc>
        <w:tc>
          <w:tcPr>
            <w:tcW w:w="3980" w:type="dxa"/>
            <w:vAlign w:val="bottom"/>
            <w:gridSpan w:val="4"/>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3.</w:t>
            </w:r>
          </w:p>
        </w:tc>
        <w:tc>
          <w:tcPr>
            <w:tcW w:w="9720" w:type="dxa"/>
            <w:vAlign w:val="bottom"/>
            <w:gridSpan w:val="19"/>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4.</w:t>
            </w:r>
          </w:p>
        </w:tc>
        <w:tc>
          <w:tcPr>
            <w:tcW w:w="3840" w:type="dxa"/>
            <w:vAlign w:val="bottom"/>
            <w:tcBorders>
              <w:top w:val="single" w:sz="8" w:color="0000FF"/>
            </w:tcBorders>
            <w:gridSpan w:val="13"/>
          </w:tcPr>
          <w:p>
            <w:pPr>
              <w:spacing w:after="0"/>
              <w:rPr>
                <w:sz w:val="20"/>
                <w:szCs w:val="20"/>
                <w:color w:val="auto"/>
              </w:rPr>
            </w:pPr>
            <w:r>
              <w:rPr>
                <w:rFonts w:ascii="Arial" w:cs="Arial" w:eastAsia="Arial" w:hAnsi="Arial"/>
                <w:sz w:val="16"/>
                <w:szCs w:val="16"/>
                <w:color w:val="0000FF"/>
              </w:rPr>
              <w:t>Controls and Procedures</w:t>
            </w:r>
          </w:p>
        </w:tc>
        <w:tc>
          <w:tcPr>
            <w:tcW w:w="5880" w:type="dxa"/>
            <w:vAlign w:val="bottom"/>
            <w:gridSpan w:val="6"/>
          </w:tcPr>
          <w:p>
            <w:pPr>
              <w:spacing w:after="0"/>
              <w:rPr>
                <w:sz w:val="18"/>
                <w:szCs w:val="18"/>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PART II.</w:t>
            </w: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5860" w:type="dxa"/>
            <w:vAlign w:val="bottom"/>
            <w:gridSpan w:val="5"/>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237"/>
        </w:trPr>
        <w:tc>
          <w:tcPr>
            <w:tcW w:w="820" w:type="dxa"/>
            <w:vAlign w:val="bottom"/>
            <w:gridSpan w:val="2"/>
            <w:vMerge w:val="continue"/>
          </w:tcPr>
          <w:p>
            <w:pPr>
              <w:spacing w:after="0"/>
              <w:rPr>
                <w:sz w:val="20"/>
                <w:szCs w:val="20"/>
                <w:color w:val="auto"/>
              </w:rPr>
            </w:pPr>
          </w:p>
        </w:tc>
        <w:tc>
          <w:tcPr>
            <w:tcW w:w="174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9"/>
              </w:rPr>
              <w:t>OTHER INFORMATION</w:t>
            </w:r>
          </w:p>
        </w:tc>
        <w:tc>
          <w:tcPr>
            <w:tcW w:w="7980" w:type="dxa"/>
            <w:vAlign w:val="bottom"/>
            <w:gridSpan w:val="10"/>
          </w:tcPr>
          <w:p>
            <w:pPr>
              <w:spacing w:after="0"/>
              <w:rPr>
                <w:sz w:val="20"/>
                <w:szCs w:val="20"/>
                <w:color w:val="auto"/>
              </w:rPr>
            </w:pPr>
          </w:p>
        </w:tc>
        <w:tc>
          <w:tcPr>
            <w:tcW w:w="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1.</w:t>
            </w:r>
          </w:p>
        </w:tc>
        <w:tc>
          <w:tcPr>
            <w:tcW w:w="118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87"/>
              </w:rPr>
              <w:t>Legal Proceedings</w:t>
            </w:r>
          </w:p>
        </w:tc>
        <w:tc>
          <w:tcPr>
            <w:tcW w:w="8540" w:type="dxa"/>
            <w:vAlign w:val="bottom"/>
            <w:gridSpan w:val="13"/>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1A.</w:t>
            </w:r>
          </w:p>
        </w:tc>
        <w:tc>
          <w:tcPr>
            <w:tcW w:w="8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89"/>
              </w:rPr>
              <w:t>Risk Factors</w:t>
            </w:r>
          </w:p>
        </w:tc>
        <w:tc>
          <w:tcPr>
            <w:tcW w:w="8900" w:type="dxa"/>
            <w:vAlign w:val="bottom"/>
            <w:gridSpan w:val="15"/>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2.</w:t>
            </w:r>
          </w:p>
        </w:tc>
        <w:tc>
          <w:tcPr>
            <w:tcW w:w="9720" w:type="dxa"/>
            <w:vAlign w:val="bottom"/>
            <w:gridSpan w:val="19"/>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3.</w:t>
            </w:r>
          </w:p>
        </w:tc>
        <w:tc>
          <w:tcPr>
            <w:tcW w:w="208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6"/>
                <w:szCs w:val="16"/>
                <w:color w:val="0000FF"/>
                <w:w w:val="90"/>
              </w:rPr>
              <w:t>Defaults Upon Senior Securities</w:t>
            </w:r>
          </w:p>
        </w:tc>
        <w:tc>
          <w:tcPr>
            <w:tcW w:w="1780" w:type="dxa"/>
            <w:vAlign w:val="bottom"/>
            <w:tcBorders>
              <w:top w:val="single" w:sz="8" w:color="0000FF"/>
            </w:tcBorders>
            <w:gridSpan w:val="4"/>
          </w:tcPr>
          <w:p>
            <w:pPr>
              <w:spacing w:after="0"/>
              <w:rPr>
                <w:sz w:val="19"/>
                <w:szCs w:val="19"/>
                <w:color w:val="auto"/>
              </w:rPr>
            </w:pPr>
          </w:p>
        </w:tc>
        <w:tc>
          <w:tcPr>
            <w:tcW w:w="5860" w:type="dxa"/>
            <w:vAlign w:val="bottom"/>
            <w:gridSpan w:val="5"/>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4.</w:t>
            </w:r>
          </w:p>
        </w:tc>
        <w:tc>
          <w:tcPr>
            <w:tcW w:w="9720" w:type="dxa"/>
            <w:vAlign w:val="bottom"/>
            <w:gridSpan w:val="19"/>
          </w:tcPr>
          <w:p>
            <w:pPr>
              <w:spacing w:after="0"/>
              <w:rPr>
                <w:sz w:val="20"/>
                <w:szCs w:val="20"/>
                <w:color w:val="auto"/>
              </w:rPr>
            </w:pPr>
            <w:r>
              <w:rPr>
                <w:rFonts w:ascii="Arial" w:cs="Arial" w:eastAsia="Arial" w:hAnsi="Arial"/>
                <w:sz w:val="16"/>
                <w:szCs w:val="16"/>
                <w:color w:val="0000FF"/>
              </w:rPr>
              <w:t>Mine Safety Disclosures</w:t>
            </w: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5.</w:t>
            </w:r>
          </w:p>
        </w:tc>
        <w:tc>
          <w:tcPr>
            <w:tcW w:w="1580" w:type="dxa"/>
            <w:vAlign w:val="bottom"/>
            <w:tcBorders>
              <w:top w:val="single" w:sz="8" w:color="0000FF"/>
            </w:tcBorders>
            <w:gridSpan w:val="8"/>
          </w:tcPr>
          <w:p>
            <w:pPr>
              <w:spacing w:after="0"/>
              <w:rPr>
                <w:sz w:val="20"/>
                <w:szCs w:val="20"/>
                <w:color w:val="auto"/>
              </w:rPr>
            </w:pPr>
            <w:r>
              <w:rPr>
                <w:rFonts w:ascii="Arial" w:cs="Arial" w:eastAsia="Arial" w:hAnsi="Arial"/>
                <w:sz w:val="16"/>
                <w:szCs w:val="16"/>
                <w:color w:val="0000FF"/>
              </w:rPr>
              <w:t>Other Information</w:t>
            </w:r>
          </w:p>
        </w:tc>
        <w:tc>
          <w:tcPr>
            <w:tcW w:w="8140" w:type="dxa"/>
            <w:vAlign w:val="bottom"/>
            <w:gridSpan w:val="11"/>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6.</w:t>
            </w:r>
          </w:p>
        </w:tc>
        <w:tc>
          <w:tcPr>
            <w:tcW w:w="5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92"/>
              </w:rPr>
              <w:t>Exhibits</w:t>
            </w:r>
          </w:p>
        </w:tc>
        <w:tc>
          <w:tcPr>
            <w:tcW w:w="620" w:type="dxa"/>
            <w:vAlign w:val="bottom"/>
            <w:tcBorders>
              <w:top w:val="single" w:sz="8" w:color="0000FF"/>
            </w:tcBorders>
            <w:gridSpan w:val="2"/>
          </w:tcPr>
          <w:p>
            <w:pPr>
              <w:spacing w:after="0"/>
              <w:rPr>
                <w:sz w:val="19"/>
                <w:szCs w:val="19"/>
                <w:color w:val="auto"/>
              </w:rPr>
            </w:pPr>
          </w:p>
        </w:tc>
        <w:tc>
          <w:tcPr>
            <w:tcW w:w="8560" w:type="dxa"/>
            <w:vAlign w:val="bottom"/>
            <w:gridSpan w:val="14"/>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10540" w:type="dxa"/>
            <w:vAlign w:val="bottom"/>
            <w:gridSpan w:val="21"/>
          </w:tcPr>
          <w:p>
            <w:pPr>
              <w:ind w:left="20"/>
              <w:spacing w:after="0"/>
              <w:rPr>
                <w:sz w:val="20"/>
                <w:szCs w:val="20"/>
                <w:color w:val="auto"/>
              </w:rPr>
            </w:pPr>
            <w:r>
              <w:rPr>
                <w:rFonts w:ascii="Arial" w:cs="Arial" w:eastAsia="Arial" w:hAnsi="Arial"/>
                <w:sz w:val="16"/>
                <w:szCs w:val="16"/>
                <w:color w:val="0000FF"/>
              </w:rPr>
              <w:t>SIGNATURES</w:t>
            </w:r>
          </w:p>
        </w:tc>
        <w:tc>
          <w:tcPr>
            <w:tcW w:w="7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581"/>
        </w:trPr>
        <w:tc>
          <w:tcPr>
            <w:tcW w:w="20" w:type="dxa"/>
            <w:vAlign w:val="bottom"/>
            <w:tcBorders>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169"/>
        </w:trPr>
        <w:tc>
          <w:tcPr>
            <w:tcW w:w="7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72"/>
              <w:spacing w:after="0"/>
              <w:rPr>
                <w:sz w:val="20"/>
                <w:szCs w:val="20"/>
                <w:color w:val="auto"/>
              </w:rPr>
            </w:pPr>
            <w:r>
              <w:rPr>
                <w:rFonts w:ascii="Arial" w:cs="Arial" w:eastAsia="Arial" w:hAnsi="Arial"/>
                <w:sz w:val="14"/>
                <w:szCs w:val="14"/>
                <w:b w:val="1"/>
                <w:bCs w:val="1"/>
                <w:color w:val="auto"/>
                <w:w w:val="99"/>
              </w:rPr>
              <w:t>(unaudited)</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192,687</w:t>
            </w: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215,507</w:t>
            </w:r>
          </w:p>
        </w:tc>
        <w:tc>
          <w:tcPr>
            <w:tcW w:w="140" w:type="dxa"/>
            <w:vAlign w:val="bottom"/>
            <w:shd w:val="clear" w:color="auto" w:fill="CFF0FC"/>
          </w:tcPr>
          <w:p>
            <w:pPr>
              <w:spacing w:after="0"/>
              <w:rPr>
                <w:sz w:val="21"/>
                <w:szCs w:val="21"/>
                <w:color w:val="auto"/>
              </w:rPr>
            </w:pPr>
          </w:p>
        </w:tc>
      </w:tr>
      <w:tr>
        <w:trPr>
          <w:trHeight w:val="237"/>
        </w:trPr>
        <w:tc>
          <w:tcPr>
            <w:tcW w:w="75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7,030</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w:t>
            </w:r>
          </w:p>
        </w:tc>
        <w:tc>
          <w:tcPr>
            <w:tcW w:w="140" w:type="dxa"/>
            <w:vAlign w:val="bottom"/>
          </w:tcPr>
          <w:p>
            <w:pPr>
              <w:spacing w:after="0"/>
              <w:rPr>
                <w:sz w:val="20"/>
                <w:szCs w:val="20"/>
                <w:color w:val="auto"/>
              </w:rPr>
            </w:pPr>
          </w:p>
        </w:tc>
      </w:tr>
      <w:tr>
        <w:trPr>
          <w:trHeight w:val="243"/>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199,717</w:t>
            </w: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220,431</w:t>
            </w:r>
          </w:p>
        </w:tc>
        <w:tc>
          <w:tcPr>
            <w:tcW w:w="140" w:type="dxa"/>
            <w:vAlign w:val="bottom"/>
            <w:shd w:val="clear" w:color="auto" w:fill="CFF0FC"/>
          </w:tcPr>
          <w:p>
            <w:pPr>
              <w:spacing w:after="0"/>
              <w:rPr>
                <w:sz w:val="21"/>
                <w:szCs w:val="2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2,485</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2,728</w:t>
            </w:r>
          </w:p>
        </w:tc>
        <w:tc>
          <w:tcPr>
            <w:tcW w:w="140" w:type="dxa"/>
            <w:vAlign w:val="bottom"/>
          </w:tcPr>
          <w:p>
            <w:pPr>
              <w:spacing w:after="0"/>
              <w:rPr>
                <w:sz w:val="20"/>
                <w:szCs w:val="20"/>
                <w:color w:val="auto"/>
              </w:rPr>
            </w:pPr>
          </w:p>
        </w:tc>
      </w:tr>
      <w:tr>
        <w:trPr>
          <w:trHeight w:val="24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 net</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2,423</w:t>
            </w:r>
          </w:p>
        </w:tc>
        <w:tc>
          <w:tcPr>
            <w:tcW w:w="140" w:type="dxa"/>
            <w:vAlign w:val="bottom"/>
            <w:shd w:val="clear" w:color="auto" w:fill="CFF0FC"/>
          </w:tcPr>
          <w:p>
            <w:pPr>
              <w:spacing w:after="0"/>
              <w:rPr>
                <w:sz w:val="21"/>
                <w:szCs w:val="2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20"/>
                <w:szCs w:val="20"/>
                <w:color w:val="auto"/>
              </w:rPr>
            </w:pPr>
          </w:p>
        </w:tc>
      </w:tr>
      <w:tr>
        <w:trPr>
          <w:trHeight w:val="277"/>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204,552</w:t>
            </w:r>
          </w:p>
        </w:tc>
        <w:tc>
          <w:tcPr>
            <w:tcW w:w="3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225,736</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6"/>
        </w:trPr>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54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24,711</w:t>
            </w:r>
          </w:p>
        </w:tc>
        <w:tc>
          <w:tcPr>
            <w:tcW w:w="3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21,610</w:t>
            </w:r>
          </w:p>
        </w:tc>
        <w:tc>
          <w:tcPr>
            <w:tcW w:w="140" w:type="dxa"/>
            <w:vAlign w:val="bottom"/>
          </w:tcPr>
          <w:p>
            <w:pPr>
              <w:spacing w:after="0"/>
              <w:rPr>
                <w:sz w:val="20"/>
                <w:szCs w:val="20"/>
                <w:color w:val="auto"/>
              </w:rPr>
            </w:pPr>
          </w:p>
        </w:tc>
      </w:tr>
      <w:tr>
        <w:trPr>
          <w:trHeight w:val="243"/>
        </w:trPr>
        <w:tc>
          <w:tcPr>
            <w:tcW w:w="7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3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26,256</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23,131</w:t>
            </w:r>
          </w:p>
        </w:tc>
        <w:tc>
          <w:tcPr>
            <w:tcW w:w="140" w:type="dxa"/>
            <w:vAlign w:val="bottom"/>
          </w:tcPr>
          <w:p>
            <w:pPr>
              <w:spacing w:after="0"/>
              <w:rPr>
                <w:sz w:val="20"/>
                <w:szCs w:val="20"/>
                <w:color w:val="auto"/>
              </w:rPr>
            </w:pPr>
          </w:p>
        </w:tc>
      </w:tr>
      <w:tr>
        <w:trPr>
          <w:trHeight w:val="24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w:t>
            </w: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w:t>
            </w:r>
          </w:p>
        </w:tc>
        <w:tc>
          <w:tcPr>
            <w:tcW w:w="140" w:type="dxa"/>
            <w:vAlign w:val="bottom"/>
            <w:shd w:val="clear" w:color="auto" w:fill="CFF0FC"/>
          </w:tcPr>
          <w:p>
            <w:pPr>
              <w:spacing w:after="0"/>
              <w:rPr>
                <w:sz w:val="21"/>
                <w:szCs w:val="2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Liability to licensor</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19,806</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19,806</w:t>
            </w:r>
          </w:p>
        </w:tc>
        <w:tc>
          <w:tcPr>
            <w:tcW w:w="140" w:type="dxa"/>
            <w:vAlign w:val="bottom"/>
          </w:tcPr>
          <w:p>
            <w:pPr>
              <w:spacing w:after="0"/>
              <w:rPr>
                <w:sz w:val="20"/>
                <w:szCs w:val="20"/>
                <w:color w:val="auto"/>
              </w:rPr>
            </w:pPr>
          </w:p>
        </w:tc>
      </w:tr>
      <w:tr>
        <w:trPr>
          <w:trHeight w:val="243"/>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48,125</w:t>
            </w: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45,397</w:t>
            </w:r>
          </w:p>
        </w:tc>
        <w:tc>
          <w:tcPr>
            <w:tcW w:w="140" w:type="dxa"/>
            <w:vAlign w:val="bottom"/>
            <w:shd w:val="clear" w:color="auto" w:fill="CFF0FC"/>
          </w:tcPr>
          <w:p>
            <w:pPr>
              <w:spacing w:after="0"/>
              <w:rPr>
                <w:sz w:val="21"/>
                <w:szCs w:val="2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Commitments and contingencies (Note 5)</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540" w:type="dxa"/>
            <w:vAlign w:val="bottom"/>
          </w:tcPr>
          <w:p>
            <w:pPr>
              <w:ind w:left="200"/>
              <w:spacing w:after="0"/>
              <w:rPr>
                <w:sz w:val="20"/>
                <w:szCs w:val="20"/>
                <w:color w:val="auto"/>
              </w:rPr>
            </w:pPr>
            <w:r>
              <w:rPr>
                <w:rFonts w:ascii="Arial" w:cs="Arial" w:eastAsia="Arial" w:hAnsi="Arial"/>
                <w:sz w:val="18"/>
                <w:szCs w:val="18"/>
                <w:color w:val="auto"/>
              </w:rPr>
              <w:t>Preferred stock, $0.0001 par value; 200,000,000 shares authorized at</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540" w:type="dxa"/>
            <w:vAlign w:val="bottom"/>
          </w:tcPr>
          <w:p>
            <w:pPr>
              <w:ind w:left="320"/>
              <w:spacing w:after="0"/>
              <w:rPr>
                <w:sz w:val="20"/>
                <w:szCs w:val="20"/>
                <w:color w:val="auto"/>
              </w:rPr>
            </w:pPr>
            <w:r>
              <w:rPr>
                <w:rFonts w:ascii="Arial" w:cs="Arial" w:eastAsia="Arial" w:hAnsi="Arial"/>
                <w:sz w:val="18"/>
                <w:szCs w:val="18"/>
                <w:color w:val="auto"/>
              </w:rPr>
              <w:t>March 31, 2023 and December 31, 2022; 0 shares issued and outstanding at</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540" w:type="dxa"/>
            <w:vAlign w:val="bottom"/>
          </w:tcPr>
          <w:p>
            <w:pPr>
              <w:ind w:left="320"/>
              <w:spacing w:after="0"/>
              <w:rPr>
                <w:sz w:val="20"/>
                <w:szCs w:val="20"/>
                <w:color w:val="auto"/>
              </w:rPr>
            </w:pPr>
            <w:r>
              <w:rPr>
                <w:rFonts w:ascii="Arial" w:cs="Arial" w:eastAsia="Arial" w:hAnsi="Arial"/>
                <w:sz w:val="18"/>
                <w:szCs w:val="18"/>
                <w:color w:val="auto"/>
              </w:rPr>
              <w:t>March 31, 2023 and December 31, 2022</w:t>
            </w:r>
          </w:p>
        </w:tc>
        <w:tc>
          <w:tcPr>
            <w:tcW w:w="260" w:type="dxa"/>
            <w:vAlign w:val="bottom"/>
          </w:tcPr>
          <w:p>
            <w:pPr>
              <w:spacing w:after="0"/>
              <w:rPr>
                <w:sz w:val="20"/>
                <w:szCs w:val="20"/>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2"/>
        </w:trPr>
        <w:tc>
          <w:tcPr>
            <w:tcW w:w="7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$0.0001 par value; 350,000,000 shares authorized at</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6"/>
        </w:trPr>
        <w:tc>
          <w:tcPr>
            <w:tcW w:w="7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March 31, 2023 and December 31, 2022; 47,637,321 and 46,336,166</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4"/>
        </w:trPr>
        <w:tc>
          <w:tcPr>
            <w:tcW w:w="7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shares issued and outstanding at March 31, 2023 and December 31, 2022</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21"/>
                <w:szCs w:val="21"/>
                <w:color w:val="auto"/>
              </w:rPr>
            </w:pPr>
          </w:p>
        </w:tc>
      </w:tr>
      <w:tr>
        <w:trPr>
          <w:trHeight w:val="215"/>
        </w:trPr>
        <w:tc>
          <w:tcPr>
            <w:tcW w:w="7540" w:type="dxa"/>
            <w:vAlign w:val="bottom"/>
          </w:tcPr>
          <w:p>
            <w:pPr>
              <w:ind w:left="200"/>
              <w:spacing w:after="0"/>
              <w:rPr>
                <w:sz w:val="20"/>
                <w:szCs w:val="20"/>
                <w:color w:val="auto"/>
              </w:rPr>
            </w:pPr>
            <w:r>
              <w:rPr>
                <w:rFonts w:ascii="Arial" w:cs="Arial" w:eastAsia="Arial" w:hAnsi="Arial"/>
                <w:sz w:val="18"/>
                <w:szCs w:val="18"/>
                <w:color w:val="auto"/>
              </w:rPr>
              <w:t>Class B common stock, $0.0001 par value; 15,368,569 shares authorized at</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540" w:type="dxa"/>
            <w:vAlign w:val="bottom"/>
          </w:tcPr>
          <w:p>
            <w:pPr>
              <w:ind w:left="320"/>
              <w:spacing w:after="0"/>
              <w:rPr>
                <w:sz w:val="20"/>
                <w:szCs w:val="20"/>
                <w:color w:val="auto"/>
              </w:rPr>
            </w:pPr>
            <w:r>
              <w:rPr>
                <w:rFonts w:ascii="Arial" w:cs="Arial" w:eastAsia="Arial" w:hAnsi="Arial"/>
                <w:sz w:val="18"/>
                <w:szCs w:val="18"/>
                <w:color w:val="auto"/>
              </w:rPr>
              <w:t>March 31, 2023 and December 31, 2022; 0 and 1,211,959</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540" w:type="dxa"/>
            <w:vAlign w:val="bottom"/>
          </w:tcPr>
          <w:p>
            <w:pPr>
              <w:ind w:left="320"/>
              <w:spacing w:after="0"/>
              <w:rPr>
                <w:sz w:val="20"/>
                <w:szCs w:val="20"/>
                <w:color w:val="auto"/>
              </w:rPr>
            </w:pPr>
            <w:r>
              <w:rPr>
                <w:rFonts w:ascii="Arial" w:cs="Arial" w:eastAsia="Arial" w:hAnsi="Arial"/>
                <w:sz w:val="18"/>
                <w:szCs w:val="18"/>
                <w:color w:val="auto"/>
              </w:rPr>
              <w:t>shares issued and outstanding at March 31, 2023 and December 31, 2022</w:t>
            </w:r>
          </w:p>
        </w:tc>
        <w:tc>
          <w:tcPr>
            <w:tcW w:w="260" w:type="dxa"/>
            <w:vAlign w:val="bottom"/>
          </w:tcPr>
          <w:p>
            <w:pPr>
              <w:spacing w:after="0"/>
              <w:rPr>
                <w:sz w:val="20"/>
                <w:szCs w:val="20"/>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50"/>
        </w:trPr>
        <w:tc>
          <w:tcPr>
            <w:tcW w:w="7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476,683</w:t>
            </w: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473,135</w:t>
            </w:r>
          </w:p>
        </w:tc>
        <w:tc>
          <w:tcPr>
            <w:tcW w:w="140" w:type="dxa"/>
            <w:vAlign w:val="bottom"/>
            <w:shd w:val="clear" w:color="auto" w:fill="CFF0FC"/>
          </w:tcPr>
          <w:p>
            <w:pPr>
              <w:spacing w:after="0"/>
              <w:rPr>
                <w:sz w:val="21"/>
                <w:szCs w:val="21"/>
                <w:color w:val="auto"/>
              </w:rPr>
            </w:pPr>
          </w:p>
        </w:tc>
      </w:tr>
      <w:tr>
        <w:trPr>
          <w:trHeight w:val="237"/>
        </w:trPr>
        <w:tc>
          <w:tcPr>
            <w:tcW w:w="75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0"/>
                <w:szCs w:val="20"/>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(320,261 )</w:t>
            </w:r>
          </w:p>
        </w:tc>
        <w:tc>
          <w:tcPr>
            <w:tcW w:w="22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(292,801 )</w:t>
            </w:r>
          </w:p>
        </w:tc>
      </w:tr>
      <w:tr>
        <w:trPr>
          <w:trHeight w:val="236"/>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156,427</w:t>
            </w:r>
          </w:p>
        </w:tc>
        <w:tc>
          <w:tcPr>
            <w:tcW w:w="3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180,339</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204,552</w:t>
            </w:r>
          </w:p>
        </w:tc>
        <w:tc>
          <w:tcPr>
            <w:tcW w:w="3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225,736</w:t>
            </w:r>
          </w:p>
        </w:tc>
        <w:tc>
          <w:tcPr>
            <w:tcW w:w="14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-3531235</wp:posOffset>
            </wp:positionV>
            <wp:extent cx="1329055"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9055" cy="17970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-2887980</wp:posOffset>
            </wp:positionV>
            <wp:extent cx="8572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-2887980</wp:posOffset>
            </wp:positionV>
            <wp:extent cx="857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-187960</wp:posOffset>
            </wp:positionV>
            <wp:extent cx="8572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 Condensed Statements of Operations and Comprehensive Loss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5"/>
          </w:tcPr>
          <w:p>
            <w:pPr>
              <w:jc w:val="right"/>
              <w:ind w:right="95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702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020" w:type="dxa"/>
            <w:vAlign w:val="bottom"/>
          </w:tcPr>
          <w:p>
            <w:pPr>
              <w:ind w:left="200"/>
              <w:spacing w:after="0"/>
              <w:rPr>
                <w:sz w:val="20"/>
                <w:szCs w:val="20"/>
                <w:color w:val="auto"/>
              </w:rPr>
            </w:pPr>
            <w:r>
              <w:rPr>
                <w:rFonts w:ascii="Arial" w:cs="Arial" w:eastAsia="Arial" w:hAnsi="Arial"/>
                <w:sz w:val="18"/>
                <w:szCs w:val="18"/>
                <w:color w:val="auto"/>
              </w:rPr>
              <w:t>Research and development expense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21,697</w:t>
            </w:r>
          </w:p>
        </w:tc>
        <w:tc>
          <w:tcPr>
            <w:tcW w:w="14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16,923</w:t>
            </w:r>
          </w:p>
        </w:tc>
        <w:tc>
          <w:tcPr>
            <w:tcW w:w="140" w:type="dxa"/>
            <w:vAlign w:val="bottom"/>
          </w:tcPr>
          <w:p>
            <w:pPr>
              <w:spacing w:after="0"/>
              <w:rPr>
                <w:sz w:val="20"/>
                <w:szCs w:val="20"/>
                <w:color w:val="auto"/>
              </w:rPr>
            </w:pPr>
          </w:p>
        </w:tc>
      </w:tr>
      <w:tr>
        <w:trPr>
          <w:trHeight w:val="243"/>
        </w:trPr>
        <w:tc>
          <w:tcPr>
            <w:tcW w:w="7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 expense</w:t>
            </w:r>
          </w:p>
        </w:tc>
        <w:tc>
          <w:tcPr>
            <w:tcW w:w="4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7,233</w:t>
            </w:r>
          </w:p>
        </w:tc>
        <w:tc>
          <w:tcPr>
            <w:tcW w:w="1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0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28,930</w:t>
            </w: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24,346</w:t>
            </w:r>
          </w:p>
        </w:tc>
        <w:tc>
          <w:tcPr>
            <w:tcW w:w="140" w:type="dxa"/>
            <w:vAlign w:val="bottom"/>
          </w:tcPr>
          <w:p>
            <w:pPr>
              <w:spacing w:after="0"/>
              <w:rPr>
                <w:sz w:val="20"/>
                <w:szCs w:val="20"/>
                <w:color w:val="auto"/>
              </w:rPr>
            </w:pPr>
          </w:p>
        </w:tc>
      </w:tr>
      <w:tr>
        <w:trPr>
          <w:trHeight w:val="243"/>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0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21"/>
                <w:szCs w:val="21"/>
                <w:color w:val="auto"/>
              </w:rPr>
            </w:pPr>
          </w:p>
        </w:tc>
      </w:tr>
      <w:tr>
        <w:trPr>
          <w:trHeight w:val="237"/>
        </w:trPr>
        <w:tc>
          <w:tcPr>
            <w:tcW w:w="702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r>
      <w:tr>
        <w:trPr>
          <w:trHeight w:val="236"/>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02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2000" w:type="dxa"/>
            <w:vAlign w:val="bottom"/>
            <w:gridSpan w:val="3"/>
          </w:tcPr>
          <w:p>
            <w:pPr>
              <w:jc w:val="right"/>
              <w:ind w:right="250"/>
              <w:spacing w:after="0"/>
              <w:rPr>
                <w:sz w:val="20"/>
                <w:szCs w:val="20"/>
                <w:color w:val="auto"/>
              </w:rPr>
            </w:pPr>
            <w:r>
              <w:rPr>
                <w:rFonts w:ascii="Arial" w:cs="Arial" w:eastAsia="Arial" w:hAnsi="Arial"/>
                <w:sz w:val="18"/>
                <w:szCs w:val="18"/>
                <w:color w:val="auto"/>
              </w:rPr>
              <w:t>(27,460 ) $</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(24,254 )</w:t>
            </w:r>
          </w:p>
        </w:tc>
      </w:tr>
      <w:tr>
        <w:trPr>
          <w:trHeight w:val="20"/>
        </w:trPr>
        <w:tc>
          <w:tcPr>
            <w:tcW w:w="70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Weighted-average shares of common stock outstanding, basic and diluted</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47,578,418</w:t>
            </w: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37,322,360</w:t>
            </w:r>
          </w:p>
        </w:tc>
        <w:tc>
          <w:tcPr>
            <w:tcW w:w="14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-1499870</wp:posOffset>
            </wp:positionV>
            <wp:extent cx="857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-1499870</wp:posOffset>
            </wp:positionV>
            <wp:extent cx="857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-548005</wp:posOffset>
            </wp:positionV>
            <wp:extent cx="8572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-548005</wp:posOffset>
            </wp:positionV>
            <wp:extent cx="8572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-205105</wp:posOffset>
            </wp:positionV>
            <wp:extent cx="135445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54455" cy="205740"/>
                    </a:xfrm>
                    <a:prstGeom prst="rect">
                      <a:avLst/>
                    </a:prstGeom>
                    <a:noFill/>
                  </pic:spPr>
                </pic:pic>
              </a:graphicData>
            </a:graphic>
          </wp:anchor>
        </w:drawing>
      </w:r>
    </w:p>
    <w:p>
      <w:pPr>
        <w:spacing w:after="0" w:line="182"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37" w:right="55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4"/>
                <w:szCs w:val="14"/>
                <w:b w:val="1"/>
                <w:bCs w:val="1"/>
                <w:color w:val="auto"/>
              </w:rPr>
              <w:t>Three Months Ended March 31, 2023</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98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840" w:type="dxa"/>
            <w:vAlign w:val="bottom"/>
            <w:gridSpan w:val="3"/>
          </w:tcPr>
          <w:p>
            <w:pPr>
              <w:jc w:val="right"/>
              <w:ind w:right="522"/>
              <w:spacing w:after="0" w:line="149" w:lineRule="exact"/>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98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2100" w:type="dxa"/>
            <w:vAlign w:val="bottom"/>
            <w:gridSpan w:val="6"/>
          </w:tcPr>
          <w:p>
            <w:pPr>
              <w:ind w:left="20"/>
              <w:spacing w:after="0"/>
              <w:rPr>
                <w:sz w:val="20"/>
                <w:szCs w:val="20"/>
                <w:color w:val="auto"/>
              </w:rPr>
            </w:pPr>
            <w:r>
              <w:rPr>
                <w:rFonts w:ascii="Arial" w:cs="Arial" w:eastAsia="Arial" w:hAnsi="Arial"/>
                <w:sz w:val="14"/>
                <w:szCs w:val="14"/>
                <w:b w:val="1"/>
                <w:bCs w:val="1"/>
                <w:color w:val="auto"/>
              </w:rPr>
              <w:t>Accumulated   Stockholders’</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9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9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2022</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46,336,166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1,211,959</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62"/>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473,135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(292,801 ) $</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180,339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3,614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6"/>
              </w:rPr>
              <w:t>Issuance of common stock under equity incentive plans</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89,196</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Arial" w:cs="Arial" w:eastAsia="Arial" w:hAnsi="Arial"/>
                <w:sz w:val="16"/>
                <w:szCs w:val="16"/>
                <w:color w:val="auto"/>
                <w:w w:val="98"/>
              </w:rPr>
              <w:t>Taxes related to net share settlement of equity awards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(66 )</w:t>
            </w:r>
          </w:p>
        </w:tc>
        <w:tc>
          <w:tcPr>
            <w:tcW w:w="160" w:type="dxa"/>
            <w:vAlign w:val="bottom"/>
          </w:tcPr>
          <w:p>
            <w:pPr>
              <w:spacing w:after="0"/>
              <w:rPr>
                <w:sz w:val="19"/>
                <w:szCs w:val="19"/>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23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Conversion of Class B common stock</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1,211,959</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(1,211,959 )</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(27,460 )</w:t>
            </w: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(27,460 )</w:t>
            </w: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March 31, 2023</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47,637,321</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62"/>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476,683</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(320,261 ) $</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156,427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-25400</wp:posOffset>
            </wp:positionV>
            <wp:extent cx="85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-7620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-25400</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85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85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4"/>
                <w:szCs w:val="14"/>
                <w:b w:val="1"/>
                <w:bCs w:val="1"/>
                <w:color w:val="auto"/>
              </w:rPr>
              <w:t>Three Months Ended March 31, 2022</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98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840" w:type="dxa"/>
            <w:vAlign w:val="bottom"/>
            <w:gridSpan w:val="3"/>
          </w:tcPr>
          <w:p>
            <w:pPr>
              <w:jc w:val="right"/>
              <w:ind w:right="524"/>
              <w:spacing w:after="0" w:line="149" w:lineRule="exact"/>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98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Borders>
              <w:bottom w:val="single" w:sz="8" w:color="auto"/>
            </w:tcBorders>
            <w:gridSpan w:val="3"/>
          </w:tcPr>
          <w:p>
            <w:pPr>
              <w:jc w:val="right"/>
              <w:ind w:right="244"/>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2100" w:type="dxa"/>
            <w:vAlign w:val="bottom"/>
            <w:gridSpan w:val="6"/>
          </w:tcPr>
          <w:p>
            <w:pPr>
              <w:ind w:left="20"/>
              <w:spacing w:after="0"/>
              <w:rPr>
                <w:sz w:val="20"/>
                <w:szCs w:val="20"/>
                <w:color w:val="auto"/>
              </w:rPr>
            </w:pPr>
            <w:r>
              <w:rPr>
                <w:rFonts w:ascii="Arial" w:cs="Arial" w:eastAsia="Arial" w:hAnsi="Arial"/>
                <w:sz w:val="14"/>
                <w:szCs w:val="14"/>
                <w:b w:val="1"/>
                <w:bCs w:val="1"/>
                <w:color w:val="auto"/>
              </w:rPr>
              <w:t>Accumulated   Stockholders’</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9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9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2021</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35,799,233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1,492,059</w:t>
            </w:r>
          </w:p>
        </w:tc>
        <w:tc>
          <w:tcPr>
            <w:tcW w:w="860" w:type="dxa"/>
            <w:vAlign w:val="bottom"/>
            <w:gridSpan w:val="2"/>
            <w:shd w:val="clear" w:color="auto" w:fill="CFF0FC"/>
          </w:tcPr>
          <w:p>
            <w:pPr>
              <w:jc w:val="right"/>
              <w:ind w:right="564"/>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397,136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(186,319 ) $</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210,821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3,632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6"/>
              </w:rPr>
              <w:t>Issuance of common stock under equity incentive plans</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92,051</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Arial" w:cs="Arial" w:eastAsia="Arial" w:hAnsi="Arial"/>
                <w:sz w:val="16"/>
                <w:szCs w:val="16"/>
                <w:color w:val="auto"/>
                <w:w w:val="98"/>
              </w:rPr>
              <w:t>Taxes related to net share settlement of equity awards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(146 )</w:t>
            </w:r>
          </w:p>
        </w:tc>
        <w:tc>
          <w:tcPr>
            <w:tcW w:w="160" w:type="dxa"/>
            <w:vAlign w:val="bottom"/>
          </w:tcPr>
          <w:p>
            <w:pPr>
              <w:spacing w:after="0"/>
              <w:rPr>
                <w:sz w:val="19"/>
                <w:szCs w:val="19"/>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(146 )</w:t>
            </w: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(24,254 )</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(24,254 )</w:t>
            </w:r>
          </w:p>
        </w:tc>
        <w:tc>
          <w:tcPr>
            <w:tcW w:w="0" w:type="dxa"/>
            <w:vAlign w:val="bottom"/>
          </w:tcPr>
          <w:p>
            <w:pPr>
              <w:spacing w:after="0"/>
              <w:rPr>
                <w:sz w:val="1"/>
                <w:szCs w:val="1"/>
                <w:color w:val="auto"/>
              </w:rPr>
            </w:pPr>
          </w:p>
        </w:tc>
      </w:tr>
      <w:tr>
        <w:trPr>
          <w:trHeight w:val="23"/>
        </w:trPr>
        <w:tc>
          <w:tcPr>
            <w:tcW w:w="382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6"/>
                <w:szCs w:val="16"/>
                <w:color w:val="auto"/>
              </w:rPr>
              <w:t>Balance at March 31, 2022</w:t>
            </w:r>
          </w:p>
        </w:tc>
        <w:tc>
          <w:tcPr>
            <w:tcW w:w="960" w:type="dxa"/>
            <w:vAlign w:val="bottom"/>
          </w:tcPr>
          <w:p>
            <w:pPr>
              <w:jc w:val="right"/>
              <w:spacing w:after="0"/>
              <w:rPr>
                <w:sz w:val="20"/>
                <w:szCs w:val="20"/>
                <w:color w:val="auto"/>
              </w:rPr>
            </w:pPr>
            <w:r>
              <w:rPr>
                <w:rFonts w:ascii="Arial" w:cs="Arial" w:eastAsia="Arial" w:hAnsi="Arial"/>
                <w:sz w:val="16"/>
                <w:szCs w:val="16"/>
                <w:color w:val="auto"/>
              </w:rPr>
              <w:t>35,891,284</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1,492,059</w:t>
            </w:r>
          </w:p>
        </w:tc>
        <w:tc>
          <w:tcPr>
            <w:tcW w:w="120" w:type="dxa"/>
            <w:vAlign w:val="bottom"/>
          </w:tcPr>
          <w:p>
            <w:pPr>
              <w:spacing w:after="0"/>
              <w:rPr>
                <w:sz w:val="19"/>
                <w:szCs w:val="19"/>
                <w:color w:val="auto"/>
              </w:rPr>
            </w:pPr>
          </w:p>
        </w:tc>
        <w:tc>
          <w:tcPr>
            <w:tcW w:w="740" w:type="dxa"/>
            <w:vAlign w:val="bottom"/>
          </w:tcPr>
          <w:p>
            <w:pPr>
              <w:jc w:val="right"/>
              <w:ind w:right="564"/>
              <w:spacing w:after="0"/>
              <w:rPr>
                <w:sz w:val="20"/>
                <w:szCs w:val="20"/>
                <w:color w:val="auto"/>
              </w:rPr>
            </w:pPr>
            <w:r>
              <w:rPr>
                <w:rFonts w:ascii="Arial" w:cs="Arial" w:eastAsia="Arial" w:hAnsi="Arial"/>
                <w:sz w:val="16"/>
                <w:szCs w:val="16"/>
                <w:color w:val="auto"/>
                <w:w w:val="89"/>
              </w:rPr>
              <w:t>$</w:t>
            </w: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400,622</w:t>
            </w:r>
          </w:p>
        </w:tc>
        <w:tc>
          <w:tcPr>
            <w:tcW w:w="1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(210,573 ) $</w:t>
            </w:r>
          </w:p>
        </w:tc>
        <w:tc>
          <w:tcPr>
            <w:tcW w:w="740" w:type="dxa"/>
            <w:vAlign w:val="bottom"/>
          </w:tcPr>
          <w:p>
            <w:pPr>
              <w:jc w:val="right"/>
              <w:spacing w:after="0"/>
              <w:rPr>
                <w:sz w:val="20"/>
                <w:szCs w:val="20"/>
                <w:color w:val="auto"/>
              </w:rPr>
            </w:pPr>
            <w:r>
              <w:rPr>
                <w:rFonts w:ascii="Arial" w:cs="Arial" w:eastAsia="Arial" w:hAnsi="Arial"/>
                <w:sz w:val="16"/>
                <w:szCs w:val="16"/>
                <w:color w:val="auto"/>
              </w:rPr>
              <w:t>190,053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-179705</wp:posOffset>
            </wp:positionV>
            <wp:extent cx="85725"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-179705</wp:posOffset>
            </wp:positionV>
            <wp:extent cx="7747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-179705</wp:posOffset>
            </wp:positionV>
            <wp:extent cx="85725"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-179705</wp:posOffset>
            </wp:positionV>
            <wp:extent cx="85725"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-179705</wp:posOffset>
            </wp:positionV>
            <wp:extent cx="85725"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-179705</wp:posOffset>
            </wp:positionV>
            <wp:extent cx="85725"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-179705</wp:posOffset>
            </wp:positionV>
            <wp:extent cx="85725"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w w:val="94"/>
              </w:rPr>
              <w:t>(27,460 )</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4"/>
              </w:rPr>
              <w:t>(24,254 )</w:t>
            </w: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293</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w:t>
            </w: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(2,106 )</w:t>
            </w:r>
          </w:p>
        </w:tc>
        <w:tc>
          <w:tcPr>
            <w:tcW w:w="9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(2,278 )</w:t>
            </w:r>
          </w:p>
        </w:tc>
        <w:tc>
          <w:tcPr>
            <w:tcW w:w="0" w:type="dxa"/>
            <w:vAlign w:val="bottom"/>
          </w:tcPr>
          <w:p>
            <w:pPr>
              <w:spacing w:after="0"/>
              <w:rPr>
                <w:sz w:val="1"/>
                <w:szCs w:val="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3,151</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(2,433 )</w:t>
            </w:r>
          </w:p>
        </w:tc>
        <w:tc>
          <w:tcPr>
            <w:tcW w:w="0" w:type="dxa"/>
            <w:vAlign w:val="bottom"/>
          </w:tcPr>
          <w:p>
            <w:pPr>
              <w:spacing w:after="0"/>
              <w:rPr>
                <w:sz w:val="1"/>
                <w:szCs w:val="1"/>
                <w:color w:val="auto"/>
              </w:rPr>
            </w:pPr>
          </w:p>
        </w:tc>
      </w:tr>
      <w:tr>
        <w:trPr>
          <w:trHeight w:val="243"/>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Right-of-use assets and lease liabilities, net</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(146 )</w:t>
            </w:r>
          </w:p>
        </w:tc>
        <w:tc>
          <w:tcPr>
            <w:tcW w:w="9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Pr>
          <w:p>
            <w:pPr>
              <w:spacing w:after="0"/>
              <w:rPr>
                <w:sz w:val="20"/>
                <w:szCs w:val="20"/>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w w:val="94"/>
              </w:rPr>
              <w:t>(22,654 )</w:t>
            </w:r>
          </w:p>
        </w:tc>
        <w:tc>
          <w:tcPr>
            <w:tcW w:w="9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4"/>
              </w:rPr>
              <w:t>(25,136 )</w:t>
            </w: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tcPr>
          <w:p>
            <w:pPr>
              <w:spacing w:after="0"/>
              <w:rPr>
                <w:sz w:val="20"/>
                <w:szCs w:val="20"/>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(50 )</w:t>
            </w:r>
          </w:p>
        </w:tc>
        <w:tc>
          <w:tcPr>
            <w:tcW w:w="9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Payments for taxes related to net settlement of equity awards</w:t>
            </w:r>
          </w:p>
        </w:tc>
        <w:tc>
          <w:tcPr>
            <w:tcW w:w="9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(116 )</w:t>
            </w:r>
          </w:p>
        </w:tc>
        <w:tc>
          <w:tcPr>
            <w:tcW w:w="9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(405 )</w:t>
            </w:r>
          </w:p>
        </w:tc>
        <w:tc>
          <w:tcPr>
            <w:tcW w:w="0" w:type="dxa"/>
            <w:vAlign w:val="bottom"/>
          </w:tcPr>
          <w:p>
            <w:pPr>
              <w:spacing w:after="0"/>
              <w:rPr>
                <w:sz w:val="1"/>
                <w:szCs w:val="1"/>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Pr>
          <w:p>
            <w:pPr>
              <w:spacing w:after="0"/>
              <w:rPr>
                <w:sz w:val="20"/>
                <w:szCs w:val="20"/>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(116 )</w:t>
            </w:r>
          </w:p>
        </w:tc>
        <w:tc>
          <w:tcPr>
            <w:tcW w:w="9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(405 )</w:t>
            </w:r>
          </w:p>
        </w:tc>
        <w:tc>
          <w:tcPr>
            <w:tcW w:w="0" w:type="dxa"/>
            <w:vAlign w:val="bottom"/>
          </w:tcPr>
          <w:p>
            <w:pPr>
              <w:spacing w:after="0"/>
              <w:rPr>
                <w:sz w:val="1"/>
                <w:szCs w:val="1"/>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6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(22,820</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(25,551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215,507</w:t>
            </w:r>
          </w:p>
        </w:tc>
        <w:tc>
          <w:tcPr>
            <w:tcW w:w="3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244,979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192,687</w:t>
            </w:r>
          </w:p>
        </w:tc>
        <w:tc>
          <w:tcPr>
            <w:tcW w:w="3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219,428</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additions included in accounts payable and accrued expenses</w:t>
            </w:r>
          </w:p>
        </w:tc>
        <w:tc>
          <w:tcPr>
            <w:tcW w:w="96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600" w:type="dxa"/>
            <w:vAlign w:val="bottom"/>
            <w:tcBorders>
              <w:top w:val="single" w:sz="8" w:color="CFF0FC"/>
            </w:tcBorders>
          </w:tcPr>
          <w:p>
            <w:pPr>
              <w:ind w:left="20"/>
              <w:spacing w:after="0" w:line="202" w:lineRule="exact"/>
              <w:rPr>
                <w:sz w:val="20"/>
                <w:szCs w:val="20"/>
                <w:color w:val="auto"/>
              </w:rPr>
            </w:pPr>
            <w:r>
              <w:rPr>
                <w:rFonts w:ascii="Arial" w:cs="Arial" w:eastAsia="Arial" w:hAnsi="Arial"/>
                <w:sz w:val="18"/>
                <w:szCs w:val="18"/>
                <w:color w:val="auto"/>
              </w:rPr>
              <w:t>Tax related to net settlement of equity awards included in accounts payable and</w:t>
            </w:r>
          </w:p>
        </w:tc>
        <w:tc>
          <w:tcPr>
            <w:tcW w:w="960" w:type="dxa"/>
            <w:vAlign w:val="bottom"/>
            <w:tcBorders>
              <w:top w:val="single" w:sz="8" w:color="auto"/>
            </w:tcBorders>
            <w:vMerge w:val="restart"/>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w:t>
            </w:r>
          </w:p>
        </w:tc>
        <w:tc>
          <w:tcPr>
            <w:tcW w:w="34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vMerge w:val="restart"/>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600" w:type="dxa"/>
            <w:vAlign w:val="bottom"/>
          </w:tcPr>
          <w:p>
            <w:pPr>
              <w:ind w:left="140"/>
              <w:spacing w:after="0" w:line="203" w:lineRule="exact"/>
              <w:rPr>
                <w:sz w:val="20"/>
                <w:szCs w:val="20"/>
                <w:color w:val="auto"/>
              </w:rPr>
            </w:pPr>
            <w:r>
              <w:rPr>
                <w:rFonts w:ascii="Arial" w:cs="Arial" w:eastAsia="Arial" w:hAnsi="Arial"/>
                <w:sz w:val="18"/>
                <w:szCs w:val="18"/>
                <w:color w:val="auto"/>
              </w:rPr>
              <w:t>accrued expenses</w:t>
            </w:r>
          </w:p>
        </w:tc>
        <w:tc>
          <w:tcPr>
            <w:tcW w:w="96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-2237105</wp:posOffset>
            </wp:positionV>
            <wp:extent cx="85725"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-2237105</wp:posOffset>
            </wp:positionV>
            <wp:extent cx="85725"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-1294130</wp:posOffset>
            </wp:positionV>
            <wp:extent cx="8572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-1294130</wp:posOffset>
            </wp:positionV>
            <wp:extent cx="8572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-650875</wp:posOffset>
            </wp:positionV>
            <wp:extent cx="1303020"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020" cy="18034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-316865</wp:posOffset>
            </wp:positionV>
            <wp:extent cx="1303020" cy="3175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020" cy="317500"/>
                    </a:xfrm>
                    <a:prstGeom prst="rect">
                      <a:avLst/>
                    </a:prstGeom>
                    <a:noFill/>
                  </pic:spPr>
                </pic:pic>
              </a:graphicData>
            </a:graphic>
          </wp:anchor>
        </w:drawing>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BioAtla, LLC was formed in Delaware in March 2007 and was converted to a Delaware corporation in July 2020 and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its two lead CAB antibody drug conjugates targeting AXL and ROR2 receptors, its CAB immune-oncology antibody targeting CTLA-4 and its CAB BiSpecific targeting EpCAM.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unaudited condensed financial statements as of March 31, 2023, and for the three months ended March 31, 2023 and 2022, have been prepared in accordance with the rules and regulations of the Securities and Exchange Commission (“SEC”), and with accounting principles generally accepted in the United States (“GAAP”) applicable to interim financial statements. These unaudited condensed financial statements have been prepared on the same basis as the audited financial statements and include all adjustments, consisting of only normal recurring accruals, which in the opinion of management are necessary to present fairly the Company’s financial position as of the interim date and results of operations for the interim periods presented. Interim results are not necessarily indicative of results for a full year or future periods. These unaudited condensed financial statements should be read in conjunction with the Company’s audited financial statements for the year ended December 31, 2022, included in its Annual Report on Form 10-K filed with the SEC on March 23, 2023.</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The Company has incurred cumulative operating losses and negative cash flows from operations since its inception and expects to continue to incur significant expenses and operating losses for the foreseeable future as it continues the development of its product candidates. As of March 31, 2023, the Company had an accumulated deficit of $320.3 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spacing w:after="0" w:line="178"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included the preparation of cash flow forecasts resulting in management’s conclusion that there is not substantial doubt about the Company’s ability to continue as a going concern as its current cash and cash equivalents will be sufficient to fund the Company’s operations for a period of at least one year from the issuance date of these unaudited condensed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The preparation of the Company’s condensed financial statements requires it to make estimates and assumptions that impact the reported amounts of assets, liabilities, revenues and expenses and the disclosure of contingent assets and liabilities in the Company’s condensed financial statements and accompanying notes. The most significant estimates in the Company’s condensed financial statements relate to accruals for research and development costs, and equity-based compensation.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right="740" w:firstLine="509"/>
        <w:spacing w:after="0" w:line="274" w:lineRule="auto"/>
        <w:rPr>
          <w:sz w:val="20"/>
          <w:szCs w:val="20"/>
          <w:color w:val="auto"/>
        </w:rPr>
      </w:pPr>
      <w:r>
        <w:rPr>
          <w:rFonts w:ascii="Arial" w:cs="Arial" w:eastAsia="Arial" w:hAnsi="Arial"/>
          <w:sz w:val="17"/>
          <w:szCs w:val="17"/>
          <w:color w:val="auto"/>
        </w:rPr>
        <w:t>Financial instruments that potentially subject the Company to a significant concentration of credit risk consist primarily of cash and cash equivalents. The Company maintains deposits in federally insured financial institutions in excess of federally insured limits.</w:t>
      </w: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The Company has not experienced any losses in such accounts and management believes that the Company is not exposed to significant credit risk due to the financial position of the depository institutions in which those deposits are held.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Prior to the Company’s IPO, the fair value of RSUs was based on the estimated fair value of the underlying common stock on the date of grant and, subsequent to the Company’s IPO, the fair value is based on the closing sales price of the Company’s common stock on the date of grant. Equity award forfeitures are recognized as they occur.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not included in the calculation of the ROU asset and the related lease liability and are recognized as incurred.</w:t>
      </w:r>
    </w:p>
    <w:p>
      <w:pPr>
        <w:spacing w:after="0" w:line="77"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p>
    <w:p>
      <w:pPr>
        <w:spacing w:after="0" w:line="76"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Operating leases are included in operating lease right-of-use assets, operating lease liabilities, and operating lease liabilities, non-current on the Company’s balance sheets. The Company does not have any finance leases.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Comprehensive loss is defined as a change in equity during a period from transactions and other events and circumstances from non-owner sources. There have been no items qualifying as other comprehensive loss and, therefore, for all periods presented, the Company’s comprehensive loss was the same as its reported net loss.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RSUs, common stock options outstanding under the Company’s stock option plan, and contingently issuable shares under the Company's ESPP plan.</w:t>
      </w:r>
    </w:p>
    <w:p>
      <w:pPr>
        <w:spacing w:after="0" w:line="188"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common share because to do so would be anti-dilutive are as follows (in common stock equivalents):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8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w w:val="96"/>
              </w:rPr>
              <w:t>Three Months Ended</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76"/>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6,214,418</w:t>
            </w: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2,447,902</w:t>
            </w:r>
          </w:p>
        </w:tc>
        <w:tc>
          <w:tcPr>
            <w:tcW w:w="120" w:type="dxa"/>
            <w:vAlign w:val="bottom"/>
            <w:shd w:val="clear" w:color="auto" w:fill="CFF0FC"/>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800" w:type="dxa"/>
            <w:vAlign w:val="bottom"/>
          </w:tcPr>
          <w:p>
            <w:pPr>
              <w:jc w:val="right"/>
              <w:spacing w:after="0"/>
              <w:rPr>
                <w:sz w:val="20"/>
                <w:szCs w:val="20"/>
                <w:color w:val="auto"/>
              </w:rPr>
            </w:pPr>
            <w:r>
              <w:rPr>
                <w:rFonts w:ascii="Arial" w:cs="Arial" w:eastAsia="Arial" w:hAnsi="Arial"/>
                <w:sz w:val="18"/>
                <w:szCs w:val="18"/>
                <w:color w:val="auto"/>
              </w:rPr>
              <w:t>400,293</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862,573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ESPP shares</w:t>
            </w:r>
          </w:p>
        </w:tc>
        <w:tc>
          <w:tcPr>
            <w:tcW w:w="11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122,565</w:t>
            </w:r>
          </w:p>
        </w:tc>
        <w:tc>
          <w:tcPr>
            <w:tcW w:w="28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31,346</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6,737,276</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3,341,821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760" w:type="dxa"/>
            <w:vAlign w:val="bottom"/>
            <w:vMerge w:val="restart"/>
          </w:tcPr>
          <w:p>
            <w:pPr>
              <w:ind w:left="4500"/>
              <w:spacing w:after="0"/>
              <w:rPr>
                <w:sz w:val="20"/>
                <w:szCs w:val="20"/>
                <w:color w:val="auto"/>
              </w:rPr>
            </w:pPr>
            <w:r>
              <w:rPr>
                <w:rFonts w:ascii="Arial" w:cs="Arial" w:eastAsia="Arial" w:hAnsi="Arial"/>
                <w:sz w:val="18"/>
                <w:szCs w:val="18"/>
                <w:color w:val="auto"/>
              </w:rPr>
              <w:t>6</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08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080" w:type="dxa"/>
            <w:vAlign w:val="bottom"/>
            <w:tcBorders>
              <w:bottom w:val="single" w:sz="8" w:color="9A9A9A"/>
            </w:tcBorders>
          </w:tcPr>
          <w:p>
            <w:pPr>
              <w:spacing w:after="0"/>
              <w:rPr>
                <w:sz w:val="8"/>
                <w:szCs w:val="8"/>
                <w:color w:val="auto"/>
              </w:rPr>
            </w:pPr>
          </w:p>
        </w:tc>
        <w:tc>
          <w:tcPr>
            <w:tcW w:w="47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-539115</wp:posOffset>
            </wp:positionV>
            <wp:extent cx="7683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-539115</wp:posOffset>
            </wp:positionV>
            <wp:extent cx="7747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There were no new accounting standards that had a material impact on the Company’s financial statements during the three or three months ended March 31, 2023, and there were no other new accounting standards or pronouncements that were issued but not yet effective as of March 31, 2023 that the Company expects to have a material impact on its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Balance Sheet Details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45"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24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0" w:type="dxa"/>
            <w:vAlign w:val="bottom"/>
          </w:tcPr>
          <w:p>
            <w:pPr>
              <w:spacing w:after="0"/>
              <w:rPr>
                <w:sz w:val="20"/>
                <w:szCs w:val="20"/>
                <w:color w:val="auto"/>
              </w:rPr>
            </w:pPr>
          </w:p>
        </w:tc>
        <w:tc>
          <w:tcPr>
            <w:tcW w:w="53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Prepaid research and development</w:t>
            </w:r>
          </w:p>
        </w:tc>
        <w:tc>
          <w:tcPr>
            <w:tcW w:w="7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4,983</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Prepaid insurance</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1,578</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53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 prepaid expenses and current assets</w:t>
            </w:r>
          </w:p>
        </w:tc>
        <w:tc>
          <w:tcPr>
            <w:tcW w:w="7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0" w:type="dxa"/>
            <w:vAlign w:val="bottom"/>
          </w:tcPr>
          <w:p>
            <w:pPr>
              <w:spacing w:after="0"/>
              <w:rPr>
                <w:sz w:val="20"/>
                <w:szCs w:val="20"/>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gridSpan w:val="3"/>
            <w:vMerge w:val="restart"/>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94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w w:val="95"/>
              </w:rPr>
              <w:t>Useful life</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left="17"/>
              <w:spacing w:after="0"/>
              <w:rPr>
                <w:sz w:val="20"/>
                <w:szCs w:val="20"/>
                <w:color w:val="auto"/>
              </w:rPr>
            </w:pPr>
            <w:r>
              <w:rPr>
                <w:rFonts w:ascii="Arial" w:cs="Arial" w:eastAsia="Arial" w:hAnsi="Arial"/>
                <w:sz w:val="14"/>
                <w:szCs w:val="14"/>
                <w:b w:val="1"/>
                <w:bCs w:val="1"/>
                <w:color w:val="auto"/>
                <w:w w:val="95"/>
              </w:rPr>
              <w:t>(years)</w:t>
            </w:r>
          </w:p>
        </w:tc>
        <w:tc>
          <w:tcPr>
            <w:tcW w:w="2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center"/>
              <w:ind w:left="37"/>
              <w:spacing w:after="0"/>
              <w:rPr>
                <w:sz w:val="20"/>
                <w:szCs w:val="20"/>
                <w:color w:val="auto"/>
              </w:rPr>
            </w:pPr>
            <w:r>
              <w:rPr>
                <w:rFonts w:ascii="Arial" w:cs="Arial" w:eastAsia="Arial" w:hAnsi="Arial"/>
                <w:sz w:val="18"/>
                <w:szCs w:val="18"/>
                <w:color w:val="auto"/>
                <w:w w:val="88"/>
              </w:rPr>
              <w:t>3 - 7</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2,141</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Laboratory equipment</w:t>
            </w:r>
          </w:p>
        </w:tc>
        <w:tc>
          <w:tcPr>
            <w:tcW w:w="720" w:type="dxa"/>
            <w:vAlign w:val="bottom"/>
          </w:tcPr>
          <w:p>
            <w:pPr>
              <w:jc w:val="center"/>
              <w:ind w:left="37"/>
              <w:spacing w:after="0"/>
              <w:rPr>
                <w:sz w:val="20"/>
                <w:szCs w:val="20"/>
                <w:color w:val="auto"/>
              </w:rPr>
            </w:pPr>
            <w:r>
              <w:rPr>
                <w:rFonts w:ascii="Arial" w:cs="Arial" w:eastAsia="Arial" w:hAnsi="Arial"/>
                <w:sz w:val="18"/>
                <w:szCs w:val="18"/>
                <w:color w:val="auto"/>
                <w:w w:val="79"/>
              </w:rPr>
              <w:t>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2,315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0" w:type="dxa"/>
            <w:vAlign w:val="bottom"/>
          </w:tcPr>
          <w:p>
            <w:pPr>
              <w:spacing w:after="0"/>
              <w:rPr>
                <w:sz w:val="21"/>
                <w:szCs w:val="21"/>
                <w:color w:val="auto"/>
              </w:rPr>
            </w:pPr>
          </w:p>
        </w:tc>
        <w:tc>
          <w:tcPr>
            <w:tcW w:w="53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720" w:type="dxa"/>
            <w:vAlign w:val="bottom"/>
            <w:tcBorders>
              <w:bottom w:val="single" w:sz="8" w:color="CFF0FC"/>
            </w:tcBorders>
            <w:shd w:val="clear" w:color="auto" w:fill="CFF0FC"/>
          </w:tcPr>
          <w:p>
            <w:pPr>
              <w:jc w:val="center"/>
              <w:ind w:left="37"/>
              <w:spacing w:after="0"/>
              <w:rPr>
                <w:sz w:val="20"/>
                <w:szCs w:val="20"/>
                <w:color w:val="auto"/>
              </w:rPr>
            </w:pPr>
            <w:r>
              <w:rPr>
                <w:rFonts w:ascii="Arial" w:cs="Arial" w:eastAsia="Arial" w:hAnsi="Arial"/>
                <w:sz w:val="18"/>
                <w:szCs w:val="18"/>
                <w:color w:val="auto"/>
                <w:w w:val="88"/>
              </w:rPr>
              <w:t>2 - 3</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3,687</w:t>
            </w: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3,687</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8,143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53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(5,658 )</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(5,364 )</w:t>
            </w:r>
          </w:p>
        </w:tc>
        <w:tc>
          <w:tcPr>
            <w:tcW w:w="0" w:type="dxa"/>
            <w:vAlign w:val="bottom"/>
          </w:tcPr>
          <w:p>
            <w:pPr>
              <w:spacing w:after="0"/>
              <w:rPr>
                <w:sz w:val="1"/>
                <w:szCs w:val="1"/>
                <w:color w:val="auto"/>
              </w:rPr>
            </w:pPr>
          </w:p>
        </w:tc>
      </w:tr>
      <w:tr>
        <w:trPr>
          <w:trHeight w:val="236"/>
        </w:trPr>
        <w:tc>
          <w:tcPr>
            <w:tcW w:w="600" w:type="dxa"/>
            <w:vAlign w:val="bottom"/>
          </w:tcPr>
          <w:p>
            <w:pPr>
              <w:spacing w:after="0"/>
              <w:rPr>
                <w:sz w:val="20"/>
                <w:szCs w:val="20"/>
                <w:color w:val="auto"/>
              </w:rPr>
            </w:pPr>
          </w:p>
        </w:tc>
        <w:tc>
          <w:tcPr>
            <w:tcW w:w="534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400" w:type="dxa"/>
            <w:vAlign w:val="bottom"/>
            <w:tcBorders>
              <w:top w:val="single" w:sz="8" w:color="CFF0FC"/>
            </w:tcBorders>
            <w:gridSpan w:val="2"/>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2,485</w:t>
            </w:r>
          </w:p>
        </w:tc>
        <w:tc>
          <w:tcPr>
            <w:tcW w:w="6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12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gridSpan w:val="3"/>
            <w:vMerge w:val="restart"/>
          </w:tcPr>
          <w:p>
            <w:pPr>
              <w:spacing w:after="0"/>
              <w:rPr>
                <w:sz w:val="20"/>
                <w:szCs w:val="20"/>
                <w:color w:val="auto"/>
              </w:rPr>
            </w:pPr>
            <w:r>
              <w:rPr>
                <w:rFonts w:ascii="Arial" w:cs="Arial" w:eastAsia="Arial" w:hAnsi="Arial"/>
                <w:sz w:val="18"/>
                <w:szCs w:val="18"/>
                <w:color w:val="auto"/>
                <w:w w:val="92"/>
              </w:rPr>
              <w:t>Accounts payable and accrued expenses consist of the following (in thousands):</w:t>
            </w: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94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24"/>
                <w:szCs w:val="24"/>
                <w:color w:val="auto"/>
              </w:rPr>
            </w:pPr>
          </w:p>
        </w:tc>
        <w:tc>
          <w:tcPr>
            <w:tcW w:w="124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53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7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8,054</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Accrued compensation</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0" w:type="dxa"/>
            <w:vAlign w:val="bottom"/>
          </w:tcPr>
          <w:p>
            <w:pPr>
              <w:spacing w:after="0"/>
              <w:rPr>
                <w:sz w:val="21"/>
                <w:szCs w:val="21"/>
                <w:color w:val="auto"/>
              </w:rPr>
            </w:pPr>
          </w:p>
        </w:tc>
        <w:tc>
          <w:tcPr>
            <w:tcW w:w="53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w:t>
            </w:r>
          </w:p>
        </w:tc>
        <w:tc>
          <w:tcPr>
            <w:tcW w:w="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14,660</w:t>
            </w: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Other accrued expenses</w:t>
            </w:r>
          </w:p>
        </w:tc>
        <w:tc>
          <w:tcPr>
            <w:tcW w:w="7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53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24,711</w:t>
            </w:r>
          </w:p>
        </w:tc>
        <w:tc>
          <w:tcPr>
            <w:tcW w:w="22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21,610</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-3291205</wp:posOffset>
            </wp:positionV>
            <wp:extent cx="6858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-3291205</wp:posOffset>
            </wp:positionV>
            <wp:extent cx="7747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-1979295</wp:posOffset>
            </wp:positionV>
            <wp:extent cx="6858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-1979295</wp:posOffset>
            </wp:positionV>
            <wp:extent cx="7747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-1662430</wp:posOffset>
            </wp:positionV>
            <wp:extent cx="6858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-1662430</wp:posOffset>
            </wp:positionV>
            <wp:extent cx="7747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The carrying amounts of the Company’s current financial assets and current financial liabilities are considered to be representative of their respective fair values because of the short-term nature of those instruments. As of March 31, 2023 and December 31, 2022, the Company had no financial assets or liabilities measured at fair value on a recurring basis.</w:t>
      </w:r>
    </w:p>
    <w:p>
      <w:pPr>
        <w:spacing w:after="0" w:line="184"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237" w:lineRule="exact"/>
        <w:rPr>
          <w:sz w:val="20"/>
          <w:szCs w:val="20"/>
          <w:color w:val="auto"/>
        </w:rPr>
      </w:pPr>
    </w:p>
    <w:p>
      <w:pPr>
        <w:ind w:right="360" w:firstLine="509"/>
        <w:spacing w:after="0" w:line="258" w:lineRule="auto"/>
        <w:rPr>
          <w:sz w:val="20"/>
          <w:szCs w:val="20"/>
          <w:color w:val="auto"/>
        </w:rPr>
      </w:pPr>
      <w:r>
        <w:rPr>
          <w:rFonts w:ascii="Arial" w:cs="Arial" w:eastAsia="Arial" w:hAnsi="Arial"/>
          <w:sz w:val="18"/>
          <w:szCs w:val="18"/>
          <w:color w:val="auto"/>
        </w:rPr>
        <w:t>None of the Company’s non-financial assets and liabilities are recorded at fair value on a non-recurring basis. No transfers between levels have occurred during the periods presented.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4. Leases</w:t>
      </w:r>
    </w:p>
    <w:p>
      <w:pPr>
        <w:spacing w:after="0" w:line="121" w:lineRule="exact"/>
        <w:rPr>
          <w:sz w:val="20"/>
          <w:szCs w:val="20"/>
          <w:color w:val="auto"/>
        </w:rPr>
      </w:pPr>
    </w:p>
    <w:p>
      <w:pPr>
        <w:jc w:val="both"/>
        <w:ind w:right="180" w:firstLine="509"/>
        <w:spacing w:after="0" w:line="286" w:lineRule="auto"/>
        <w:rPr>
          <w:sz w:val="20"/>
          <w:szCs w:val="20"/>
          <w:color w:val="auto"/>
        </w:rPr>
      </w:pPr>
      <w:r>
        <w:rPr>
          <w:rFonts w:ascii="Arial" w:cs="Arial" w:eastAsia="Arial" w:hAnsi="Arial"/>
          <w:sz w:val="17"/>
          <w:szCs w:val="17"/>
          <w:color w:val="auto"/>
        </w:rPr>
        <w:t>The Company has a single operating lease for its corporate headquarters and laboratory space in San Diego, California. The lease expires in July 2025 and the Company has an option to extend the term of the lease for an additional five years. Additionally, the lease includes certain rent abatement, rent escalations, tenant improvement allowances and additional charges for common area maintenance and other costs.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included in the Company’s statements of operations and loss include (in thousands):</w:t>
      </w:r>
    </w:p>
    <w:p>
      <w:pPr>
        <w:spacing w:after="0" w:line="311" w:lineRule="exact"/>
        <w:rPr>
          <w:sz w:val="20"/>
          <w:szCs w:val="20"/>
          <w:color w:val="auto"/>
        </w:rPr>
      </w:pPr>
    </w:p>
    <w:tbl>
      <w:tblPr>
        <w:tblLayout w:type="fixed"/>
        <w:tblInd w:w="84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Three Months Ended March 31,</w:t>
            </w:r>
          </w:p>
        </w:tc>
        <w:tc>
          <w:tcPr>
            <w:tcW w:w="1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4140" w:type="dxa"/>
            <w:vAlign w:val="bottom"/>
          </w:tcPr>
          <w:p>
            <w:pPr>
              <w:spacing w:after="0"/>
              <w:rPr>
                <w:sz w:val="18"/>
                <w:szCs w:val="18"/>
                <w:color w:val="auto"/>
              </w:rPr>
            </w:pP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2023</w:t>
            </w:r>
          </w:p>
        </w:tc>
        <w:tc>
          <w:tcPr>
            <w:tcW w:w="94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r>
      <w:tr>
        <w:trPr>
          <w:trHeight w:val="237"/>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expense</w:t>
            </w:r>
          </w:p>
        </w:tc>
        <w:tc>
          <w:tcPr>
            <w:tcW w:w="1500" w:type="dxa"/>
            <w:vAlign w:val="bottom"/>
            <w:shd w:val="clear" w:color="auto" w:fill="CFF0FC"/>
          </w:tcPr>
          <w:p>
            <w:pPr>
              <w:jc w:val="right"/>
              <w:ind w:right="131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4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FF0FC"/>
          </w:tcPr>
          <w:p>
            <w:pPr>
              <w:spacing w:after="0"/>
              <w:rPr>
                <w:sz w:val="20"/>
                <w:szCs w:val="20"/>
                <w:color w:val="auto"/>
              </w:rPr>
            </w:pP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Variable lease expense</w:t>
            </w:r>
          </w:p>
        </w:tc>
        <w:tc>
          <w:tcPr>
            <w:tcW w:w="1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4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r>
      <w:tr>
        <w:trPr>
          <w:trHeight w:val="276"/>
        </w:trPr>
        <w:tc>
          <w:tcPr>
            <w:tcW w:w="4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expense, net</w:t>
            </w:r>
          </w:p>
        </w:tc>
        <w:tc>
          <w:tcPr>
            <w:tcW w:w="1500" w:type="dxa"/>
            <w:vAlign w:val="bottom"/>
            <w:tcBorders>
              <w:bottom w:val="single" w:sz="8" w:color="auto"/>
            </w:tcBorders>
            <w:shd w:val="clear" w:color="auto" w:fill="CFF0FC"/>
          </w:tcPr>
          <w:p>
            <w:pPr>
              <w:jc w:val="right"/>
              <w:ind w:right="131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4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-25400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-25400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-8255</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8" w:lineRule="exact"/>
        <w:rPr>
          <w:sz w:val="20"/>
          <w:szCs w:val="20"/>
          <w:color w:val="auto"/>
        </w:rPr>
      </w:pPr>
    </w:p>
    <w:p>
      <w:pPr>
        <w:ind w:right="120" w:firstLine="464"/>
        <w:spacing w:after="0" w:line="342" w:lineRule="auto"/>
        <w:rPr>
          <w:sz w:val="20"/>
          <w:szCs w:val="20"/>
          <w:color w:val="auto"/>
        </w:rPr>
      </w:pPr>
      <w:r>
        <w:rPr>
          <w:rFonts w:ascii="Arial" w:cs="Arial" w:eastAsia="Arial" w:hAnsi="Arial"/>
          <w:sz w:val="16"/>
          <w:szCs w:val="16"/>
          <w:color w:val="auto"/>
        </w:rPr>
        <w:t>Variable lease costs are primarily related to payments made to lessors for common area maintenance, property taxes, insurance, and other operating expenses. The Company did not have any short-term leases or finance leases for the three months ended March 31, 2023 and 2022, respectively.</w:t>
      </w:r>
    </w:p>
    <w:p>
      <w:pPr>
        <w:spacing w:after="0" w:line="9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weighted average remaining lease term and weighted average discount rate for operating leases were as follows: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5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86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1"/>
              </w:rPr>
              <w:t>2.25</w:t>
            </w:r>
          </w:p>
        </w:tc>
        <w:tc>
          <w:tcPr>
            <w:tcW w:w="28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1"/>
              </w:rPr>
              <w:t>3.25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Weighted average discount rate percentage</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3.50 %</w:t>
            </w:r>
          </w:p>
        </w:tc>
        <w:tc>
          <w:tcPr>
            <w:tcW w:w="520" w:type="dxa"/>
            <w:vAlign w:val="bottom"/>
          </w:tcPr>
          <w:p>
            <w:pPr>
              <w:spacing w:after="0"/>
              <w:rPr>
                <w:sz w:val="20"/>
                <w:szCs w:val="20"/>
                <w:color w:val="auto"/>
              </w:rPr>
            </w:pPr>
          </w:p>
        </w:tc>
        <w:tc>
          <w:tcPr>
            <w:tcW w:w="1120" w:type="dxa"/>
            <w:vAlign w:val="bottom"/>
            <w:gridSpan w:val="3"/>
          </w:tcPr>
          <w:p>
            <w:pPr>
              <w:ind w:left="620"/>
              <w:spacing w:after="0"/>
              <w:rPr>
                <w:sz w:val="20"/>
                <w:szCs w:val="20"/>
                <w:color w:val="auto"/>
              </w:rPr>
            </w:pPr>
            <w:r>
              <w:rPr>
                <w:rFonts w:ascii="Arial" w:cs="Arial" w:eastAsia="Arial" w:hAnsi="Arial"/>
                <w:sz w:val="18"/>
                <w:szCs w:val="18"/>
                <w:color w:val="auto"/>
                <w:w w:val="85"/>
              </w:rPr>
              <w:t>3.50 %</w:t>
            </w:r>
          </w:p>
        </w:tc>
      </w:tr>
    </w:tbl>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Supplemental cash flow information related to leases under which the Company is the lessee was as follows (amounts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60" w:type="dxa"/>
            <w:vAlign w:val="bottom"/>
          </w:tcPr>
          <w:p>
            <w:pPr>
              <w:spacing w:after="0"/>
              <w:rPr>
                <w:sz w:val="16"/>
                <w:szCs w:val="16"/>
                <w:color w:val="auto"/>
              </w:rPr>
            </w:pPr>
          </w:p>
        </w:tc>
        <w:tc>
          <w:tcPr>
            <w:tcW w:w="35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09"/>
        </w:trPr>
        <w:tc>
          <w:tcPr>
            <w:tcW w:w="7060" w:type="dxa"/>
            <w:vAlign w:val="bottom"/>
          </w:tcPr>
          <w:p>
            <w:pPr>
              <w:spacing w:after="0"/>
              <w:rPr>
                <w:sz w:val="18"/>
                <w:szCs w:val="18"/>
                <w:color w:val="auto"/>
              </w:rPr>
            </w:pPr>
          </w:p>
        </w:tc>
        <w:tc>
          <w:tcPr>
            <w:tcW w:w="1320" w:type="dxa"/>
            <w:vAlign w:val="bottom"/>
          </w:tcPr>
          <w:p>
            <w:pPr>
              <w:jc w:val="right"/>
              <w:ind w:right="162"/>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8"/>
                <w:szCs w:val="18"/>
                <w:color w:val="auto"/>
              </w:rPr>
            </w:pPr>
          </w:p>
        </w:tc>
        <w:tc>
          <w:tcPr>
            <w:tcW w:w="16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operating leases</w:t>
            </w:r>
          </w:p>
        </w:tc>
        <w:tc>
          <w:tcPr>
            <w:tcW w:w="1320" w:type="dxa"/>
            <w:vAlign w:val="bottom"/>
            <w:tcBorders>
              <w:top w:val="single" w:sz="8" w:color="auto"/>
            </w:tcBorders>
            <w:shd w:val="clear" w:color="auto" w:fill="CFF0FC"/>
          </w:tcPr>
          <w:p>
            <w:pPr>
              <w:jc w:val="right"/>
              <w:ind w:right="1122"/>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360" w:type="dxa"/>
            <w:vAlign w:val="bottom"/>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ind w:right="11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CFF0FC"/>
          </w:tcPr>
          <w:p>
            <w:pPr>
              <w:spacing w:after="0"/>
              <w:rPr>
                <w:sz w:val="20"/>
                <w:szCs w:val="20"/>
                <w:color w:val="auto"/>
              </w:rPr>
            </w:pPr>
          </w:p>
        </w:tc>
      </w:tr>
    </w:tbl>
    <w:p>
      <w:pPr>
        <w:spacing w:after="0" w:line="188" w:lineRule="exact"/>
        <w:rPr>
          <w:sz w:val="20"/>
          <w:szCs w:val="20"/>
          <w:color w:val="auto"/>
        </w:rPr>
      </w:pPr>
    </w:p>
    <w:p>
      <w:pPr>
        <w:ind w:right="760" w:firstLine="464"/>
        <w:spacing w:after="0" w:line="277" w:lineRule="auto"/>
        <w:rPr>
          <w:sz w:val="20"/>
          <w:szCs w:val="20"/>
          <w:color w:val="auto"/>
        </w:rPr>
      </w:pPr>
      <w:r>
        <w:rPr>
          <w:rFonts w:ascii="Arial" w:cs="Arial" w:eastAsia="Arial" w:hAnsi="Arial"/>
          <w:sz w:val="18"/>
          <w:szCs w:val="18"/>
          <w:color w:val="auto"/>
        </w:rPr>
        <w:t>As of March 31, 2023, future minimum payments under the Company's non-cancelable operating lease under ASC 842 were as follows (in thousands):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Operating</w:t>
            </w:r>
          </w:p>
        </w:tc>
      </w:tr>
      <w:tr>
        <w:trPr>
          <w:trHeight w:val="185"/>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lease</w:t>
            </w:r>
          </w:p>
        </w:tc>
      </w:tr>
      <w:tr>
        <w:trPr>
          <w:trHeight w:val="23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Nine months ending December 31, 2023</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FF0FC"/>
          </w:tcPr>
          <w:p>
            <w:pPr>
              <w:spacing w:after="0"/>
              <w:rPr>
                <w:sz w:val="20"/>
                <w:szCs w:val="20"/>
                <w:color w:val="auto"/>
              </w:rPr>
            </w:pP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0"/>
                <w:szCs w:val="20"/>
                <w:color w:val="auto"/>
              </w:rPr>
            </w:pPr>
          </w:p>
        </w:tc>
      </w:tr>
      <w:tr>
        <w:trPr>
          <w:trHeight w:val="24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FF0FC"/>
          </w:tcPr>
          <w:p>
            <w:pPr>
              <w:spacing w:after="0"/>
              <w:rPr>
                <w:sz w:val="21"/>
                <w:szCs w:val="21"/>
                <w:color w:val="auto"/>
              </w:rPr>
            </w:pP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future lease payments</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3,759</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(151 )</w:t>
            </w:r>
          </w:p>
        </w:tc>
      </w:tr>
      <w:tr>
        <w:trPr>
          <w:trHeight w:val="277"/>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3,608</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-351155</wp:posOffset>
            </wp:positionV>
            <wp:extent cx="685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The Company may grant awards of common stock under the 2020 Equity Incentive Plan (the "2020 Plan") to the Company’s employees, consultants and non-employee directors pursuant to option awards, stock appreciation rights awards, restricted stock awards, restricted stock unit awards, performance stock awards, performance stock unit awards and other stock-based awards. As 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0" w:name="page11"/>
    <w:bookmarkEnd w:id="10"/>
    <w:p>
      <w:pPr>
        <w:ind w:right="200"/>
        <w:spacing w:after="0" w:line="273" w:lineRule="auto"/>
        <w:rPr>
          <w:sz w:val="20"/>
          <w:szCs w:val="20"/>
          <w:color w:val="auto"/>
        </w:rPr>
      </w:pPr>
      <w:r>
        <w:rPr>
          <w:rFonts w:ascii="Arial" w:cs="Arial" w:eastAsia="Arial" w:hAnsi="Arial"/>
          <w:sz w:val="17"/>
          <w:szCs w:val="17"/>
          <w:color w:val="auto"/>
        </w:rPr>
        <w:t>March 31, 2023 and December 31, 2022, the total number of common shares authorized for issuance under the 2020 Plan was 9,196,970 and 7,658,509, respectively. On January 1st of each year, commencing with the first January 1st following the effective date of the 2020 Plan, the shares authorized for issuance under the 2020 Plan shall be increased by a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w:t>
      </w:r>
    </w:p>
    <w:p>
      <w:pPr>
        <w:spacing w:after="0" w:line="178"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Stock-based compensation expense for the three months ended March 31, 2023 and 2022 has been reported in the condensed statements of operations and comprehensive loss as follows (in thousands):</w:t>
      </w:r>
    </w:p>
    <w:p>
      <w:pPr>
        <w:spacing w:after="0" w:line="202" w:lineRule="exact"/>
        <w:rPr>
          <w:sz w:val="20"/>
          <w:szCs w:val="20"/>
          <w:color w:val="auto"/>
        </w:rPr>
      </w:pPr>
    </w:p>
    <w:p>
      <w:pPr>
        <w:jc w:val="center"/>
        <w:ind w:left="46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66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1120" w:type="dxa"/>
        <w:tblCellMar>
          <w:top w:w="0" w:type="dxa"/>
          <w:left w:w="0" w:type="dxa"/>
          <w:bottom w:w="0" w:type="dxa"/>
          <w:right w:w="0" w:type="dxa"/>
        </w:tblCellMar>
      </w:tblPr>
      <w:tr>
        <w:trPr>
          <w:trHeight w:val="169"/>
        </w:trPr>
        <w:tc>
          <w:tcPr>
            <w:tcW w:w="478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FF0FC"/>
          </w:tcPr>
          <w:p>
            <w:pPr>
              <w:jc w:val="right"/>
              <w:ind w:right="10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w:t>
            </w:r>
          </w:p>
        </w:tc>
        <w:tc>
          <w:tcPr>
            <w:tcW w:w="36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FF0FC"/>
          </w:tcPr>
          <w:p>
            <w:pPr>
              <w:spacing w:after="0"/>
              <w:rPr>
                <w:sz w:val="20"/>
                <w:szCs w:val="20"/>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3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120" w:type="dxa"/>
            <w:vAlign w:val="bottom"/>
          </w:tcPr>
          <w:p>
            <w:pPr>
              <w:spacing w:after="0"/>
              <w:rPr>
                <w:sz w:val="20"/>
                <w:szCs w:val="20"/>
                <w:color w:val="auto"/>
              </w:rPr>
            </w:pPr>
          </w:p>
        </w:tc>
      </w:tr>
      <w:tr>
        <w:trPr>
          <w:trHeight w:val="276"/>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FF0FC"/>
          </w:tcPr>
          <w:p>
            <w:pPr>
              <w:jc w:val="right"/>
              <w:ind w:right="10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3,614</w:t>
            </w:r>
          </w:p>
        </w:tc>
        <w:tc>
          <w:tcPr>
            <w:tcW w:w="3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3,632</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RSU activity under the 2020 Plan for the three months ended March 31, 2023:</w:t>
      </w:r>
    </w:p>
    <w:p>
      <w:pPr>
        <w:spacing w:after="0" w:line="24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38"/>
              <w:spacing w:after="0"/>
              <w:rPr>
                <w:sz w:val="20"/>
                <w:szCs w:val="20"/>
                <w:color w:val="auto"/>
              </w:rPr>
            </w:pPr>
            <w:r>
              <w:rPr>
                <w:rFonts w:ascii="Arial" w:cs="Arial" w:eastAsia="Arial" w:hAnsi="Arial"/>
                <w:sz w:val="14"/>
                <w:szCs w:val="14"/>
                <w:b w:val="1"/>
                <w:bCs w:val="1"/>
                <w:color w:val="auto"/>
                <w:w w:val="97"/>
              </w:rPr>
              <w:t>Weighted -</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6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08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20" w:type="dxa"/>
            <w:vAlign w:val="bottom"/>
          </w:tcPr>
          <w:p>
            <w:pPr>
              <w:spacing w:after="0"/>
              <w:rPr>
                <w:sz w:val="16"/>
                <w:szCs w:val="16"/>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080" w:type="dxa"/>
            <w:vAlign w:val="bottom"/>
          </w:tcPr>
          <w:p>
            <w:pPr>
              <w:jc w:val="center"/>
              <w:ind w:right="9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510,039</w:t>
            </w: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(109,746 )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March 31, 2023</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400,293</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As of March 31, 2023, total unrecognized stock-based compensation expense for RSUs was $7.2 million, which is expected to be recognized over a remaining weighted-average period of approximately 1.1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2020 Plan for the three months ended March 31,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4"/>
              </w:rPr>
              <w:t>Weighted -</w:t>
            </w:r>
          </w:p>
        </w:tc>
        <w:tc>
          <w:tcPr>
            <w:tcW w:w="2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7"/>
              </w:rPr>
              <w:t>Weighted -</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Average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Average</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rPr>
              <w:t>Aggregate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5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9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3"/>
              </w:rPr>
              <w:t>Exercise</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8"/>
              </w:rPr>
              <w:t>Price Per</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9"/>
              </w:rPr>
              <w:t>Intrinsic</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Share</w:t>
            </w:r>
          </w:p>
        </w:tc>
        <w:tc>
          <w:tcPr>
            <w:tcW w:w="2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2,736,918</w:t>
            </w: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26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3,636,148</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3,485,500</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3.84</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(8,000 )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3.72</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Expired</w:t>
            </w: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5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March 31, 2023</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6,214,418</w:t>
            </w: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8.24</w:t>
            </w:r>
          </w:p>
        </w:tc>
        <w:tc>
          <w:tcPr>
            <w:tcW w:w="148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9.30</w:t>
            </w:r>
          </w:p>
        </w:tc>
        <w:tc>
          <w:tcPr>
            <w:tcW w:w="44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37,544</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 and expected to vest at March 31, 2023</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6,214,418</w:t>
            </w:r>
          </w:p>
        </w:tc>
        <w:tc>
          <w:tcPr>
            <w:tcW w:w="3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37,544</w:t>
            </w: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Exercisable at March 31, 2023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929,919</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18.25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8.28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-548005</wp:posOffset>
            </wp:positionV>
            <wp:extent cx="8572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-205105</wp:posOffset>
            </wp:positionV>
            <wp:extent cx="85725"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205740"/>
                    </a:xfrm>
                    <a:prstGeom prst="rect">
                      <a:avLst/>
                    </a:prstGeom>
                    <a:noFill/>
                  </pic:spPr>
                </pic:pic>
              </a:graphicData>
            </a:graphic>
          </wp:anchor>
        </w:drawing>
      </w:r>
    </w:p>
    <w:p>
      <w:pPr>
        <w:spacing w:after="0" w:line="222"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As of March 31, 2023, total unrecognized stock-based compensation cost for unvested common stock options was $22.4 million, which is expected to be recognized over a remaining weighted-average period of approximately 3.5 years. The weighted- average grant date fair value of stock options granted during the three months ended March 31, 2023 was $2.69 per share. The total fair value of options vested during the three months ended March 31, 2023 was $2.7 million.</w:t>
      </w:r>
    </w:p>
    <w:p>
      <w:pPr>
        <w:spacing w:after="0" w:line="79" w:lineRule="exact"/>
        <w:rPr>
          <w:sz w:val="20"/>
          <w:szCs w:val="20"/>
          <w:color w:val="auto"/>
        </w:rPr>
      </w:pPr>
    </w:p>
    <w:p>
      <w:pPr>
        <w:ind w:right="40" w:firstLine="509"/>
        <w:spacing w:after="0" w:line="258" w:lineRule="auto"/>
        <w:rPr>
          <w:sz w:val="20"/>
          <w:szCs w:val="20"/>
          <w:color w:val="auto"/>
        </w:rPr>
      </w:pPr>
      <w:r>
        <w:rPr>
          <w:rFonts w:ascii="Arial" w:cs="Arial" w:eastAsia="Arial" w:hAnsi="Arial"/>
          <w:sz w:val="18"/>
          <w:szCs w:val="18"/>
          <w:color w:val="auto"/>
        </w:rPr>
        <w:t>On February 26, 2023, the Compensation Committee of the Company’s Board of Directors approved a modification to the Company’s 2020 Equity Incentive Plan to allow vesting of RSUs or stock options, as applicable, subject to the grantee’s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ind w:right="40"/>
        <w:spacing w:after="0" w:line="273" w:lineRule="auto"/>
        <w:rPr>
          <w:sz w:val="20"/>
          <w:szCs w:val="20"/>
          <w:color w:val="auto"/>
        </w:rPr>
      </w:pPr>
      <w:r>
        <w:rPr>
          <w:rFonts w:ascii="Arial" w:cs="Arial" w:eastAsia="Arial" w:hAnsi="Arial"/>
          <w:sz w:val="17"/>
          <w:szCs w:val="17"/>
          <w:color w:val="auto"/>
        </w:rPr>
        <w:t>service to the Company and/or one of its subsidiaries as an employee, non-employee director, or independent contractor. Unvested RSUs totaling 139,730 shares and 574,244 unvested options which would have been forfeited under the original terms of the 2020 Equity Incentive plan will now continue to vest. The Company applied modification accounting to these awards which resulted in a decrease in fair value to these awards. The Company calculated compensation cost for the modified unvested awards of $416,000 related to the RSUs and $962,000 related to the options, and will recognize these amounts over the remaining requisite service periods. The modification also resulted in an increase to the term of 130,699 fully vested options for which $123,000 of incremental compensation cost was immediately recognized on the date of the modification.</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the Black-Scholes option pricing model to determine the fair value of stock option grants were as follows:</w:t>
      </w:r>
    </w:p>
    <w:p>
      <w:pPr>
        <w:spacing w:after="0" w:line="257" w:lineRule="exact"/>
        <w:rPr>
          <w:sz w:val="20"/>
          <w:szCs w:val="20"/>
          <w:color w:val="auto"/>
        </w:rPr>
      </w:pPr>
    </w:p>
    <w:p>
      <w:pPr>
        <w:jc w:val="center"/>
        <w:ind w:left="37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376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2240" w:type="dxa"/>
        <w:tblCellMar>
          <w:top w:w="0" w:type="dxa"/>
          <w:left w:w="0" w:type="dxa"/>
          <w:bottom w:w="0" w:type="dxa"/>
          <w:right w:w="0" w:type="dxa"/>
        </w:tblCellMar>
      </w:tblPr>
      <w:tr>
        <w:trPr>
          <w:trHeight w:val="169"/>
        </w:trPr>
        <w:tc>
          <w:tcPr>
            <w:tcW w:w="3780" w:type="dxa"/>
            <w:vAlign w:val="bottom"/>
          </w:tcPr>
          <w:p>
            <w:pPr>
              <w:spacing w:after="0"/>
              <w:rPr>
                <w:sz w:val="14"/>
                <w:szCs w:val="14"/>
                <w:color w:val="auto"/>
              </w:rPr>
            </w:pPr>
          </w:p>
        </w:tc>
        <w:tc>
          <w:tcPr>
            <w:tcW w:w="140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580" w:type="dxa"/>
            <w:vAlign w:val="bottom"/>
            <w:tcBorders>
              <w:top w:val="single" w:sz="8" w:color="auto"/>
            </w:tcBorders>
            <w:gridSpan w:val="2"/>
          </w:tcPr>
          <w:p>
            <w:pPr>
              <w:jc w:val="right"/>
              <w:ind w:right="470"/>
              <w:spacing w:after="0"/>
              <w:rPr>
                <w:sz w:val="20"/>
                <w:szCs w:val="20"/>
                <w:color w:val="auto"/>
              </w:rPr>
            </w:pPr>
            <w:r>
              <w:rPr>
                <w:rFonts w:ascii="Arial" w:cs="Arial" w:eastAsia="Arial" w:hAnsi="Arial"/>
                <w:sz w:val="14"/>
                <w:szCs w:val="14"/>
                <w:b w:val="1"/>
                <w:bCs w:val="1"/>
                <w:color w:val="auto"/>
              </w:rPr>
              <w:t>2022</w:t>
            </w:r>
          </w:p>
        </w:tc>
      </w:tr>
      <w:tr>
        <w:trPr>
          <w:trHeight w:val="237"/>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18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w:t>
            </w: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00" w:type="dxa"/>
            <w:vAlign w:val="bottom"/>
          </w:tcPr>
          <w:p>
            <w:pPr>
              <w:jc w:val="right"/>
              <w:spacing w:after="0"/>
              <w:rPr>
                <w:sz w:val="20"/>
                <w:szCs w:val="20"/>
                <w:color w:val="auto"/>
              </w:rPr>
            </w:pPr>
            <w:r>
              <w:rPr>
                <w:rFonts w:ascii="Arial" w:cs="Arial" w:eastAsia="Arial" w:hAnsi="Arial"/>
                <w:sz w:val="18"/>
                <w:szCs w:val="18"/>
                <w:color w:val="auto"/>
              </w:rPr>
              <w:t>3.85%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0.52%</w:t>
            </w:r>
          </w:p>
        </w:tc>
      </w:tr>
      <w:tr>
        <w:trPr>
          <w:trHeight w:val="249"/>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400" w:type="dxa"/>
            <w:vAlign w:val="bottom"/>
          </w:tcPr>
          <w:p>
            <w:pPr>
              <w:jc w:val="right"/>
              <w:spacing w:after="0"/>
              <w:rPr>
                <w:sz w:val="20"/>
                <w:szCs w:val="20"/>
                <w:color w:val="auto"/>
              </w:rPr>
            </w:pPr>
            <w:r>
              <w:rPr>
                <w:rFonts w:ascii="Arial" w:cs="Arial" w:eastAsia="Arial" w:hAnsi="Arial"/>
                <w:sz w:val="18"/>
                <w:szCs w:val="18"/>
                <w:color w:val="auto"/>
              </w:rPr>
              <w:t>6.10 years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6.08 years</w:t>
            </w:r>
          </w:p>
        </w:tc>
      </w:tr>
    </w:tbl>
    <w:p>
      <w:pPr>
        <w:spacing w:after="0" w:line="255"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the Company’s common stock does not have a significant trading history, the expected volatility assumption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a peer group of similar companies whose share prices are publicly available. The peer group was developed based on companies in the biotechnology industry.</w:t>
      </w:r>
    </w:p>
    <w:p>
      <w:pPr>
        <w:spacing w:after="0" w:line="184"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bases the risk-free interest rate assumption on the U.S. Treasury’s rates for U.S. Treasury zero-coupon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similar to those of the expected term of the award being valued.</w:t>
      </w:r>
    </w:p>
    <w:p>
      <w:pPr>
        <w:spacing w:after="0" w:line="170"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bases the expected dividend yield assumption on the fact that it has never paid cash dividends and has no</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plans to pay cash dividends.</w:t>
      </w:r>
    </w:p>
    <w:p>
      <w:pPr>
        <w:spacing w:after="0" w:line="170" w:lineRule="exact"/>
        <w:rPr>
          <w:sz w:val="20"/>
          <w:szCs w:val="20"/>
          <w:color w:val="auto"/>
        </w:rPr>
      </w:pPr>
    </w:p>
    <w:p>
      <w:pPr>
        <w:jc w:val="both"/>
        <w:ind w:right="140" w:firstLine="509"/>
        <w:spacing w:after="0" w:line="286"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For employees, the expected term represents the period of time that options are expected to be outstanding. Because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has minimal historical exercise behavior, it determines the expected life assumption using the simplified method, which is an average of the contractual term of the option and its vesting period. For nonemployees, the expected term is generally the contractual term of the option.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The BioAtla, Inc. Employee Stock Purchase Plan (the “ESPP”) permits participants to purchase common stock through payroll deductions of up to 15% of their eligible compensation. As of March 31, 2023 and December 31, 2022, a total of 1,737,098 shares and 1,229,148 shares, respectively, of 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929,658 common shares or (iii) a number determined by the Company’s board of directors that is less than (i) and (ii). The Company did not issue any common shares under the ESPP during the three months ended March 31, 2023 and 2022. As of March 31, 2023, 1,578,352 shares of common stock remained available for issuance under the ESPP. Stock-based compensation expense related to the ESPP for the three months ended March 31, 2023 and 2022 was immaterial.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are as follows in common equivalent shares: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320" w:type="dxa"/>
            <w:vAlign w:val="bottom"/>
          </w:tcPr>
          <w:p>
            <w:pPr>
              <w:jc w:val="right"/>
              <w:ind w:right="236"/>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20" w:type="dxa"/>
            <w:vAlign w:val="bottom"/>
          </w:tcPr>
          <w:p>
            <w:pPr>
              <w:jc w:val="right"/>
              <w:ind w:right="136"/>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320" w:type="dxa"/>
            <w:vAlign w:val="bottom"/>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54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options and restricted stock units issued and outstanding</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6,614,711</w:t>
            </w:r>
          </w:p>
        </w:tc>
        <w:tc>
          <w:tcPr>
            <w:tcW w:w="220" w:type="dxa"/>
            <w:vAlign w:val="bottom"/>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3,246,957</w:t>
            </w:r>
          </w:p>
        </w:tc>
        <w:tc>
          <w:tcPr>
            <w:tcW w:w="12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Awards available for future issuance under the 2020 Plan</w:t>
            </w:r>
          </w:p>
        </w:tc>
        <w:tc>
          <w:tcPr>
            <w:tcW w:w="1320" w:type="dxa"/>
            <w:vAlign w:val="bottom"/>
          </w:tcPr>
          <w:p>
            <w:pPr>
              <w:jc w:val="right"/>
              <w:spacing w:after="0"/>
              <w:rPr>
                <w:sz w:val="20"/>
                <w:szCs w:val="20"/>
                <w:color w:val="auto"/>
              </w:rPr>
            </w:pPr>
            <w:r>
              <w:rPr>
                <w:rFonts w:ascii="Arial" w:cs="Arial" w:eastAsia="Arial" w:hAnsi="Arial"/>
                <w:sz w:val="18"/>
                <w:szCs w:val="18"/>
                <w:color w:val="auto"/>
              </w:rPr>
              <w:t>1,073,515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3,012,554</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6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Awards available for future issuance under the ESPP</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1,578,352</w:t>
            </w: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1,070,402</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Total common stock reserved for future issuance</w:t>
            </w:r>
          </w:p>
        </w:tc>
        <w:tc>
          <w:tcPr>
            <w:tcW w:w="1320" w:type="dxa"/>
            <w:vAlign w:val="bottom"/>
          </w:tcPr>
          <w:p>
            <w:pPr>
              <w:jc w:val="right"/>
              <w:spacing w:after="0"/>
              <w:rPr>
                <w:sz w:val="20"/>
                <w:szCs w:val="20"/>
                <w:color w:val="auto"/>
              </w:rPr>
            </w:pPr>
            <w:r>
              <w:rPr>
                <w:rFonts w:ascii="Arial" w:cs="Arial" w:eastAsia="Arial" w:hAnsi="Arial"/>
                <w:sz w:val="18"/>
                <w:szCs w:val="18"/>
                <w:color w:val="auto"/>
              </w:rPr>
              <w:t>9,266,578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7,329,913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20" w:type="dxa"/>
            <w:vAlign w:val="bottom"/>
            <w:vMerge w:val="restart"/>
          </w:tcPr>
          <w:p>
            <w:pPr>
              <w:ind w:left="4400"/>
              <w:spacing w:after="0"/>
              <w:rPr>
                <w:sz w:val="20"/>
                <w:szCs w:val="20"/>
                <w:color w:val="auto"/>
              </w:rPr>
            </w:pPr>
            <w:r>
              <w:rPr>
                <w:rFonts w:ascii="Arial" w:cs="Arial" w:eastAsia="Arial" w:hAnsi="Arial"/>
                <w:sz w:val="18"/>
                <w:szCs w:val="18"/>
                <w:color w:val="auto"/>
              </w:rPr>
              <w:t>10</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2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9A9A9A"/>
            </w:tcBorders>
          </w:tcPr>
          <w:p>
            <w:pPr>
              <w:spacing w:after="0"/>
              <w:rPr>
                <w:sz w:val="7"/>
                <w:szCs w:val="7"/>
                <w:color w:val="auto"/>
              </w:rPr>
            </w:pPr>
          </w:p>
        </w:tc>
        <w:tc>
          <w:tcPr>
            <w:tcW w:w="60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-530860</wp:posOffset>
            </wp:positionV>
            <wp:extent cx="6858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-530860</wp:posOffset>
            </wp:positionV>
            <wp:extent cx="7747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Collaboration, License and Option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BeiGene</w:t>
      </w:r>
    </w:p>
    <w:p>
      <w:pPr>
        <w:spacing w:after="0" w:line="117"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In April 2019, the Company entered into a Global Co-Development and Collaboration agreement (the “BeiGene Collaboration”) with BeiGene, Ltd. and BeiGene Switzerland GmbH (collectively “BeiGene”), for the development, manufacturing and commercialization of the Company’s investigational CAB CTLA-4 antibody (BA3071). The BeiGene Collaboration was amended several times between 2019 and 2021 and the Company received a total of $25.0 million in non-refundable payments from BeiGene during that time.</w:t>
      </w:r>
    </w:p>
    <w:p>
      <w:pPr>
        <w:spacing w:after="0" w:line="160"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In November 2021, the BeiGene Collaboration was terminated, subject to survival of certain provisions, and BeiGene handed back rights to know-how and materials received under the amended BeiGene Collaboration. As a result, the Company is responsible for the global development and commercialization of BA3071. As consideration for this amendment, the Company agreed to pay BeiGene mid-single digit royalties on sales worldwide and on a limited basis will share in any upfront and milestone payments received through a sublicense of BA3071. The Company reclassified its then remaining $19.8 million of deferred revenue as a long-term liability which is expected to settle as licensing payments are made to BeiGene in accordance with the resulting amendment. In the event the license is terminated, the liability will be extinguished with no further payment to BeiGene.</w:t>
      </w:r>
    </w:p>
    <w:p>
      <w:pPr>
        <w:spacing w:after="0" w:line="137"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For the three months ended March 31, 2023 and 2022, the Company did not recognize any revenue related to the collaboration agreement with BeiGene. The Company had a $19.8 million liability to licensor as of March 31, 2023 and December 31,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Contracts</w:t>
      </w:r>
    </w:p>
    <w:p>
      <w:pPr>
        <w:spacing w:after="0" w:line="117"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Prior to developing its own programs, the Company entered into various fixed price research service contracts. In connection with these service contracts, the Company may receive future milestone payments if certain clinical, regulatory and commercialization milestones are achieved. The Company is also eligible to receive royalties based on certain product sales. The Company did not recognize any revenue related to its legacy service contracts during the three months ended March 31, 2023 or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BMS Collaboration</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In January 2022, the Company and Bristol-Myers Squibb Company (“BMS”) entered into a clinical trial collaboration and supply agreement (the “BMS Agreement”). Under the terms of the BMS Agreement, BioAtla and BMS will collaborate on clinical trials of separate combination therapies using two of BioAtla’s Conditionally Active Biologic Antibody Drug Conjugates, BA3011 and BA3021, each in combination with Opdivo® (nivolumab), BMS’ proprietary anti-PD-1 monoclonal antibody product. The Company will serve as the study sponsor of the scheduled studies and will be responsible for costs associated with the trial execution. BMS will provide Opdivo® clinical drug supply at no cost for the combination study trials. After the completion of the combination therapy trials, the Company is obligated to provide BMS with a final report of the data resulting from the trial. The BMS Agreement was amended in October 2022 to include additional territories for our BA3011 and BA3021 combination study trials. There was no impact to the Company's financial results for the three months ended March 31, 2023 or 2022 as a result of this agreement.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Himalaya Therapeutics SEZC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Services Agreement</w:t>
      </w:r>
    </w:p>
    <w:p>
      <w:pPr>
        <w:spacing w:after="0" w:line="117" w:lineRule="exact"/>
        <w:rPr>
          <w:sz w:val="20"/>
          <w:szCs w:val="20"/>
          <w:color w:val="auto"/>
        </w:rPr>
      </w:pPr>
    </w:p>
    <w:p>
      <w:pPr>
        <w:ind w:right="220" w:firstLine="509"/>
        <w:spacing w:after="0" w:line="273" w:lineRule="auto"/>
        <w:rPr>
          <w:sz w:val="20"/>
          <w:szCs w:val="20"/>
          <w:color w:val="auto"/>
        </w:rPr>
      </w:pPr>
      <w:r>
        <w:rPr>
          <w:rFonts w:ascii="Arial" w:cs="Arial" w:eastAsia="Arial" w:hAnsi="Arial"/>
          <w:sz w:val="17"/>
          <w:szCs w:val="17"/>
          <w:color w:val="auto"/>
        </w:rPr>
        <w:t>In April 2022, the Company entered into a Clinical Trial Agreement with Himalaya Therapeutics SEZC. Under the agreement, Himalaya Therapeutics SEZC agreed to provide services related to the initiation of clinical trials for BA3011 in the People’s Republic of China. For the first year following effectiveness of the agreement, the Company has agreed to pay Himalaya Therapeutics SEZC for the full-time use of two of its personnel. Payments are due and payable by BioAtla to Himalaya Therapeutics SEZC on a quarterly calendar basis and are non-refundable. For the three months ended March 31, 2023, the Company recognized $0.1 million in research and development expense related to the Clinical Trial Agreement. The Company did not have any amounts due from or due to Himalaya Therapeutics SEZC as of March 31, 2023.</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401(k) Plan</w:t>
      </w:r>
    </w:p>
    <w:p>
      <w:pPr>
        <w:spacing w:after="0" w:line="121" w:lineRule="exact"/>
        <w:rPr>
          <w:sz w:val="20"/>
          <w:szCs w:val="20"/>
          <w:color w:val="auto"/>
        </w:rPr>
      </w:pPr>
    </w:p>
    <w:p>
      <w:pPr>
        <w:ind w:right="240" w:firstLine="509"/>
        <w:spacing w:after="0" w:line="255" w:lineRule="auto"/>
        <w:rPr>
          <w:sz w:val="20"/>
          <w:szCs w:val="20"/>
          <w:color w:val="auto"/>
        </w:rPr>
      </w:pPr>
      <w:r>
        <w:rPr>
          <w:rFonts w:ascii="Arial" w:cs="Arial" w:eastAsia="Arial" w:hAnsi="Arial"/>
          <w:sz w:val="18"/>
          <w:szCs w:val="18"/>
          <w:color w:val="auto"/>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To date, the Company has not made any matching contributions.</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together with our unaudited condensed financial statements and notes thereto included in “Item 1. Financial Statements” of this Quarterly Report on Form 10-Q and the audited financial statements and notes thereto as of and for the year ended December 31, 2022 included in the Annual Report on Form 10-K, filed with the Securities and Exchange Commission, or the SEC, on March 23, 2023. In addition to historical information, this Quarterly Report contains forward-looking statements that involve risks, uncertainties, and assumptions. Our actual results may differ materially from those anticipated in these forward-looking statements as a result of certain factors, including but not limited to those set forth under the caption “Risk Factors” in the Annual Report, and the caption “Risk Factors” in this Quarterly Report, as updated by our subsequent filings under the Securities Exchange Act of 1934, as amended, or the Exchange Act. Furthermore, past operating results are not necessarily indicative of results that may occur in future periods.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 —one of the fundamental challenges of existing cancer therapies.</w:t>
      </w:r>
    </w:p>
    <w:p>
      <w:pPr>
        <w:spacing w:after="0" w:line="6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are a United States-based company with research facilities in San Diego, California and, through our contractual relationship with BioDuro-Sundia, a provider of preclinical development services, in Beijing, China.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and ozuriftamab vedotin and our Phase 1 clinical trials of BA3071 and BA3182,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w:t>
      </w:r>
    </w:p>
    <w:p>
      <w:pPr>
        <w:spacing w:after="0" w:line="196"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 was $27.5 million for the three months ended March 31, 2023 compared to $24.3 million for three months ended March 31, 2022. As of March 31, 2023, we had an accumulated deficit of $320.3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increase as we conduct clinical trials of our lead product candidates and seek to expand our pipeline.</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17" w:lineRule="exact"/>
        <w:rPr>
          <w:sz w:val="20"/>
          <w:szCs w:val="20"/>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the clinical development of mecbotamab vedotin;</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the clinical development of ozuriftamab vedotin;</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the clinical development of BA3071;</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the clinical development of BA3182;</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our pipeline of bispecific and other CAB antibody-based product candidates;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invest in our CAB technology platform;</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know-how;</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additional product collaborations and commercial manufacturing relationships with third parties;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ind w:left="1000" w:right="120" w:hanging="36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 sales, marketing and distribution infrastructure and relationships with third parties to commercialize product candidates for which we may obtain marketing approval;</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expand our operational, financial and management information systems;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attract, hire and retain additional clinical, scientific, management, administrative and commercial personnel.</w:t>
      </w:r>
    </w:p>
    <w:p>
      <w:pPr>
        <w:spacing w:after="0" w:line="225" w:lineRule="exact"/>
        <w:rPr>
          <w:sz w:val="20"/>
          <w:szCs w:val="20"/>
          <w:color w:val="auto"/>
        </w:rPr>
      </w:pPr>
    </w:p>
    <w:p>
      <w:pPr>
        <w:ind w:right="220" w:firstLine="509"/>
        <w:spacing w:after="0" w:line="257" w:lineRule="auto"/>
        <w:rPr>
          <w:sz w:val="20"/>
          <w:szCs w:val="20"/>
          <w:color w:val="auto"/>
        </w:rPr>
      </w:pPr>
      <w:r>
        <w:rPr>
          <w:rFonts w:ascii="Arial" w:cs="Arial" w:eastAsia="Arial" w:hAnsi="Arial"/>
          <w:sz w:val="18"/>
          <w:szCs w:val="18"/>
          <w:color w:val="auto"/>
        </w:rPr>
        <w:t>As a result, we will require substantial additional capital to develop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8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spacing w:after="0" w:line="188"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As of March 31, 2023, our cash and cash equivalents totaled approximately $192.7 million. Based on our current operating plan, our current cash and cash equivalents are expected to be sufficient to fund our ongoing operations for a period of at least twelve months from the date of issuance of the financial statements included in this report. However, we have based this estimate on assumptions that may prove to be wrong, and we could utilize our available capital resources sooner than we currently expect.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21"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The worldwide COVID-19 pandemic may affect our ability to complete our current preclinical studies and clinical trials, initiate and complete our planned preclinical studies and clinical trials, disrupt regulatory activities or have other adverse effects on our business, results of operations, financial condition and prospects. In addition, the pandemic has caused substantial disruption in the financial markets and may adversely impact economies worldwide, both of which could adversely affect our business, operations and ability to raise funds to support our operations. To date, we have experienced modest business disruptions, including with respect to clinical trials we are conducting, and non-material impairments as a result of the pandemic. Our mecbotamab vedotin Phase 2 sarcoma trial remains on schedule and the Phase 2 interim analysis for mecbotamab vedotin NSCLC and ozuriftamab vedotin studies have experienced some modest delays. We are continuing to monitor the potential impact of the pandemic, but we cannot be certain what the overall impact will be on our business, financial condition, results of operations and prospects.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To date, we have not generated any revenue from the sale of products and do not expect to generate meaningful revenue in the near future.</w:t>
      </w:r>
    </w:p>
    <w:p>
      <w:pPr>
        <w:spacing w:after="0" w:line="237"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In 2019 we entered into a collaboration agreement with BeiGene, Ltd. The agreement was amended several times and was terminated in November 2021, which resulted in the Company assuming responsibility for development of BA3071. We received a total of $25.0 million in non-refundable payments from BeiGene from this collaboration. Pursuant to the terms of the November 2021 amendment, we agreed to pay single digit royalties to BeiGene and agreed to share on a limited basis in any upfront and milestone payments, if received, through a sublicense of BA3071. We may in the future seek third-party collaborators or joint venture partners for development and commercialization of BA3071 and additional CAB product candidates. We did not recognize any collaboration revenue for the three months ended March 31, 2023 and 2022.</w:t>
      </w:r>
    </w:p>
    <w:p>
      <w:pPr>
        <w:spacing w:after="0" w:line="178" w:lineRule="exact"/>
        <w:rPr>
          <w:sz w:val="20"/>
          <w:szCs w:val="20"/>
          <w:color w:val="auto"/>
        </w:rPr>
      </w:pPr>
    </w:p>
    <w:p>
      <w:pPr>
        <w:ind w:right="340" w:firstLine="509"/>
        <w:spacing w:after="0" w:line="255" w:lineRule="auto"/>
        <w:rPr>
          <w:sz w:val="20"/>
          <w:szCs w:val="20"/>
          <w:color w:val="auto"/>
        </w:rPr>
      </w:pPr>
      <w:r>
        <w:rPr>
          <w:rFonts w:ascii="Arial" w:cs="Arial" w:eastAsia="Arial" w:hAnsi="Arial"/>
          <w:sz w:val="18"/>
          <w:szCs w:val="18"/>
          <w:color w:val="auto"/>
        </w:rPr>
        <w:t>Prior to developing our own programs, we received revenue from services performed under fixed price service contracts that, in some cases, provided for potential milestone and royalty payments to us. We did not recognize any revenue from our legacy service contracts for the three months ended March 31, 2023 and 2022.</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 primarily of costs incurred in the discovery and development of our product candidates.</w:t>
      </w:r>
    </w:p>
    <w:p>
      <w:pPr>
        <w:spacing w:after="0" w:line="117" w:lineRule="exact"/>
        <w:rPr>
          <w:sz w:val="20"/>
          <w:szCs w:val="20"/>
          <w:color w:val="auto"/>
        </w:rPr>
      </w:pPr>
    </w:p>
    <w:p>
      <w:pPr>
        <w:ind w:left="1020" w:hanging="38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External expenses consist of:</w:t>
      </w:r>
    </w:p>
    <w:p>
      <w:pPr>
        <w:spacing w:after="0" w:line="117" w:lineRule="exact"/>
        <w:rPr>
          <w:rFonts w:ascii="Arial" w:cs="Arial" w:eastAsia="Arial" w:hAnsi="Arial"/>
          <w:sz w:val="18"/>
          <w:szCs w:val="18"/>
          <w:color w:val="auto"/>
        </w:rPr>
      </w:pPr>
    </w:p>
    <w:p>
      <w:pPr>
        <w:ind w:left="1380" w:right="660" w:hanging="374"/>
        <w:spacing w:after="0" w:line="277"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Fees paid to third parties such as contractors, clinical research organizations (CROs) and consultants, and other costs related to preclinical and clinical trials;</w:t>
      </w:r>
    </w:p>
    <w:p>
      <w:pPr>
        <w:spacing w:after="0" w:line="62" w:lineRule="exact"/>
        <w:rPr>
          <w:rFonts w:ascii="Arial" w:cs="Arial" w:eastAsia="Arial" w:hAnsi="Arial"/>
          <w:sz w:val="18"/>
          <w:szCs w:val="18"/>
          <w:color w:val="auto"/>
        </w:rPr>
      </w:pPr>
    </w:p>
    <w:p>
      <w:pPr>
        <w:ind w:left="1380" w:right="440" w:hanging="374"/>
        <w:spacing w:after="0" w:line="277"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Fees paid to third parties such as contract manufacturing organizations (CMOs) and other vendors for manufacturing research and clinical trial materials; and</w:t>
      </w:r>
    </w:p>
    <w:p>
      <w:pPr>
        <w:spacing w:after="0" w:line="62" w:lineRule="exact"/>
        <w:rPr>
          <w:rFonts w:ascii="Arial" w:cs="Arial" w:eastAsia="Arial" w:hAnsi="Arial"/>
          <w:sz w:val="18"/>
          <w:szCs w:val="18"/>
          <w:color w:val="auto"/>
        </w:rPr>
      </w:pPr>
    </w:p>
    <w:p>
      <w:pPr>
        <w:ind w:left="1380" w:hanging="374"/>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Expenses related to laboratory supplies and services.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Unallocated expenses consist of:</w:t>
      </w:r>
    </w:p>
    <w:p>
      <w:pPr>
        <w:spacing w:after="0" w:line="117" w:lineRule="exact"/>
        <w:rPr>
          <w:rFonts w:ascii="Arial" w:cs="Arial" w:eastAsia="Arial" w:hAnsi="Arial"/>
          <w:sz w:val="18"/>
          <w:szCs w:val="18"/>
          <w:color w:val="auto"/>
        </w:rPr>
      </w:pPr>
    </w:p>
    <w:p>
      <w:pPr>
        <w:ind w:left="1380" w:right="320" w:hanging="374"/>
        <w:spacing w:after="0" w:line="277"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equity-based compensation expenses, for personnel in our research and development functions; and</w:t>
      </w:r>
    </w:p>
    <w:p>
      <w:pPr>
        <w:spacing w:after="0" w:line="62" w:lineRule="exact"/>
        <w:rPr>
          <w:rFonts w:ascii="Arial" w:cs="Arial" w:eastAsia="Arial" w:hAnsi="Arial"/>
          <w:sz w:val="18"/>
          <w:szCs w:val="18"/>
          <w:color w:val="auto"/>
        </w:rPr>
      </w:pPr>
    </w:p>
    <w:p>
      <w:pPr>
        <w:ind w:left="1380" w:hanging="374"/>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Related equipment and facilities depreciation expense.</w:t>
      </w:r>
    </w:p>
    <w:p>
      <w:pPr>
        <w:spacing w:after="0" w:line="22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spacing w:after="0" w:line="184"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We expect our research and development expenses to generally increase for the foreseeable future as we continue to invest in research and development activities to advance our product candidates and our clinical programs and expand our product candidate pipeline. The process of conducting the necessary preclinical and clinical research to obtain regulatory approval is costly and time-consuming. Successful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00" w:firstLine="509"/>
        <w:spacing w:after="0" w:line="296" w:lineRule="auto"/>
        <w:rPr>
          <w:sz w:val="20"/>
          <w:szCs w:val="20"/>
          <w:color w:val="auto"/>
        </w:rPr>
      </w:pPr>
      <w:r>
        <w:rPr>
          <w:rFonts w:ascii="Arial" w:cs="Arial" w:eastAsia="Arial" w:hAnsi="Arial"/>
          <w:sz w:val="16"/>
          <w:szCs w:val="16"/>
          <w:color w:val="auto"/>
        </w:rPr>
        <w:t>Our general and administrative expenses include personnel-related expenses for personnel in our executive, finance, corporate and other administrative functions, intellectual property and patent costs, facilities and other allocated expenses, other expenses for outside professional services, including legal, human resources, investor relations, audit and accounting services and insurance costs. Personnel-related expenses consist of salaries, benefits and equity-based compensation. We also expect our general and administrative expenses to increase in the future as we increase our personnel headcount to support our research and development activities to advance our product candidates and clinical stage programs.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primarily of interest earned on our cash and cash equivalent balances.</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2023 and 2022</w:t>
      </w:r>
    </w:p>
    <w:p>
      <w:pPr>
        <w:spacing w:after="0" w:line="353"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5"/>
          </w:tcPr>
          <w:p>
            <w:pPr>
              <w:jc w:val="right"/>
              <w:ind w:right="93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5"/>
        </w:trPr>
        <w:tc>
          <w:tcPr>
            <w:tcW w:w="5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Change</w:t>
            </w:r>
          </w:p>
        </w:tc>
      </w:tr>
      <w:tr>
        <w:trPr>
          <w:trHeight w:val="169"/>
        </w:trPr>
        <w:tc>
          <w:tcPr>
            <w:tcW w:w="51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51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21,697</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16,923</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4,774</w:t>
            </w:r>
          </w:p>
        </w:tc>
        <w:tc>
          <w:tcPr>
            <w:tcW w:w="120" w:type="dxa"/>
            <w:vAlign w:val="bottom"/>
          </w:tcPr>
          <w:p>
            <w:pPr>
              <w:spacing w:after="0"/>
              <w:rPr>
                <w:sz w:val="20"/>
                <w:szCs w:val="20"/>
                <w:color w:val="auto"/>
              </w:rPr>
            </w:pPr>
          </w:p>
        </w:tc>
      </w:tr>
      <w:tr>
        <w:trPr>
          <w:trHeight w:val="243"/>
        </w:trPr>
        <w:tc>
          <w:tcPr>
            <w:tcW w:w="5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7,233</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7,423</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(190 )</w:t>
            </w:r>
          </w:p>
        </w:tc>
      </w:tr>
      <w:tr>
        <w:trPr>
          <w:trHeight w:val="236"/>
        </w:trPr>
        <w:tc>
          <w:tcPr>
            <w:tcW w:w="51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28,930</w:t>
            </w:r>
          </w:p>
        </w:tc>
        <w:tc>
          <w:tcPr>
            <w:tcW w:w="3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24,346</w:t>
            </w: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4,584</w:t>
            </w:r>
          </w:p>
        </w:tc>
        <w:tc>
          <w:tcPr>
            <w:tcW w:w="120" w:type="dxa"/>
            <w:vAlign w:val="bottom"/>
            <w:tcBorders>
              <w:top w:val="single" w:sz="8" w:color="CFF0FC"/>
            </w:tcBorders>
          </w:tcPr>
          <w:p>
            <w:pPr>
              <w:spacing w:after="0"/>
              <w:rPr>
                <w:sz w:val="20"/>
                <w:szCs w:val="20"/>
                <w:color w:val="auto"/>
              </w:rPr>
            </w:pPr>
          </w:p>
        </w:tc>
      </w:tr>
      <w:tr>
        <w:trPr>
          <w:trHeight w:val="24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(28,930</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(24,346</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(4,584</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5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FF0FC"/>
          </w:tcPr>
          <w:p>
            <w:pPr>
              <w:spacing w:after="0"/>
              <w:rPr>
                <w:sz w:val="21"/>
                <w:szCs w:val="21"/>
                <w:color w:val="auto"/>
              </w:rPr>
            </w:pPr>
          </w:p>
        </w:tc>
      </w:tr>
      <w:tr>
        <w:trPr>
          <w:trHeight w:val="237"/>
        </w:trPr>
        <w:tc>
          <w:tcPr>
            <w:tcW w:w="510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0"/>
                <w:szCs w:val="20"/>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(10 )</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37"/>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(27,460 )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(24,254 )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(3,206 )</w:t>
            </w:r>
          </w:p>
        </w:tc>
      </w:tr>
      <w:tr>
        <w:trPr>
          <w:trHeight w:val="20"/>
        </w:trPr>
        <w:tc>
          <w:tcPr>
            <w:tcW w:w="5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-1139190</wp:posOffset>
            </wp:positionV>
            <wp:extent cx="7747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-1139190</wp:posOffset>
            </wp:positionV>
            <wp:extent cx="7747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-1139190</wp:posOffset>
            </wp:positionV>
            <wp:extent cx="7747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-187960</wp:posOffset>
            </wp:positionV>
            <wp:extent cx="7747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-187960</wp:posOffset>
            </wp:positionV>
            <wp:extent cx="7747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-187960</wp:posOffset>
            </wp:positionV>
            <wp:extent cx="7747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allocated by CAB program for the periods indicated:</w:t>
      </w:r>
    </w:p>
    <w:p>
      <w:pPr>
        <w:spacing w:after="0" w:line="353"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8"/>
              </w:rPr>
              <w:t>Three Months Ended</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5"/>
        </w:trPr>
        <w:tc>
          <w:tcPr>
            <w:tcW w:w="44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44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4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9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expenses:</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BA3011 (AXL-ADC)</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4,559</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4,717</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(158 )</w:t>
            </w:r>
          </w:p>
        </w:tc>
      </w:tr>
      <w:tr>
        <w:trPr>
          <w:trHeight w:val="249"/>
        </w:trPr>
        <w:tc>
          <w:tcPr>
            <w:tcW w:w="4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BA3021 (ROR2-ADC)</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FF0FC"/>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BA3071 (CTLA-4)</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2,752</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1,732</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0"/>
                <w:szCs w:val="20"/>
                <w:color w:val="auto"/>
              </w:rPr>
            </w:pPr>
          </w:p>
        </w:tc>
      </w:tr>
      <w:tr>
        <w:trPr>
          <w:trHeight w:val="243"/>
        </w:trPr>
        <w:tc>
          <w:tcPr>
            <w:tcW w:w="4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CAB Programs</w:t>
            </w:r>
          </w:p>
        </w:tc>
        <w:tc>
          <w:tcPr>
            <w:tcW w:w="9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6,738</w:t>
            </w:r>
          </w:p>
        </w:tc>
        <w:tc>
          <w:tcPr>
            <w:tcW w:w="3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4,200</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4460" w:type="dxa"/>
            <w:vAlign w:val="bottom"/>
          </w:tcPr>
          <w:p>
            <w:pPr>
              <w:ind w:left="20"/>
              <w:spacing w:after="0"/>
              <w:rPr>
                <w:sz w:val="20"/>
                <w:szCs w:val="20"/>
                <w:color w:val="auto"/>
              </w:rPr>
            </w:pPr>
            <w:r>
              <w:rPr>
                <w:rFonts w:ascii="Arial" w:cs="Arial" w:eastAsia="Arial" w:hAnsi="Arial"/>
                <w:sz w:val="18"/>
                <w:szCs w:val="18"/>
                <w:color w:val="auto"/>
              </w:rPr>
              <w:t>Total external expenses</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16,192</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12,437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3,755</w:t>
            </w:r>
          </w:p>
        </w:tc>
        <w:tc>
          <w:tcPr>
            <w:tcW w:w="120" w:type="dxa"/>
            <w:vAlign w:val="bottom"/>
          </w:tcPr>
          <w:p>
            <w:pPr>
              <w:spacing w:after="0"/>
              <w:rPr>
                <w:sz w:val="20"/>
                <w:szCs w:val="20"/>
                <w:color w:val="auto"/>
              </w:rPr>
            </w:pPr>
          </w:p>
        </w:tc>
      </w:tr>
      <w:tr>
        <w:trPr>
          <w:trHeight w:val="249"/>
        </w:trPr>
        <w:tc>
          <w:tcPr>
            <w:tcW w:w="4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Personnel and related</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FF0FC"/>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Equity-based compensation</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1,451</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r>
      <w:tr>
        <w:trPr>
          <w:trHeight w:val="243"/>
        </w:trPr>
        <w:tc>
          <w:tcPr>
            <w:tcW w:w="4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Facilities and other</w:t>
            </w:r>
          </w:p>
        </w:tc>
        <w:tc>
          <w:tcPr>
            <w:tcW w:w="9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w:t>
            </w:r>
          </w:p>
        </w:tc>
        <w:tc>
          <w:tcPr>
            <w:tcW w:w="3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446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21,697</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16,923</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4,774</w:t>
            </w:r>
          </w:p>
        </w:tc>
        <w:tc>
          <w:tcPr>
            <w:tcW w:w="120" w:type="dxa"/>
            <w:vAlign w:val="bottom"/>
          </w:tcPr>
          <w:p>
            <w:pPr>
              <w:spacing w:after="0"/>
              <w:rPr>
                <w:sz w:val="20"/>
                <w:szCs w:val="20"/>
                <w:color w:val="auto"/>
              </w:rPr>
            </w:pPr>
          </w:p>
        </w:tc>
      </w:tr>
      <w:tr>
        <w:trPr>
          <w:trHeight w:val="20"/>
        </w:trPr>
        <w:tc>
          <w:tcPr>
            <w:tcW w:w="4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-814070</wp:posOffset>
            </wp:positionV>
            <wp:extent cx="77470" cy="162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-814070</wp:posOffset>
            </wp:positionV>
            <wp:extent cx="76835"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-814070</wp:posOffset>
            </wp:positionV>
            <wp:extent cx="77470"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-187960</wp:posOffset>
            </wp:positionV>
            <wp:extent cx="7747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-187960</wp:posOffset>
            </wp:positionV>
            <wp:extent cx="7683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-187960</wp:posOffset>
            </wp:positionV>
            <wp:extent cx="7747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41"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Research and development expenses were $21.7 million and $16.9 million for the three months ended March 31, 2023 and 2022, respectively. The increase of approximately $4.8 million was primarily driven by a $2.9 million increase in pre-clinical development and manufacturing costs for various programs, a $0.8 million increase in clinical development for our clinical-stage programs, a $0.6 million increase in personnel related costs due to an increase in headcount to support ongoing development activities for our programs, a $0.2 million increase in stock-based compensation related to awards issued under our 2020 Equity Incentive Plan, and a $0.2 million increase in facility related and other costs.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General and administrative expenses were $7.2 million and $7.4 million for the three months ended March 31, 2023 and 2022, respectively. The decrease of approximately $0.2 million was primarily driven by a $0.3 million decrease in insurance due to a decrease in premiums for our D&amp;O policy, and a $0.2 million decrease in stock-based compensation related to awards issued under our 2020 Equity Incentive Plan. This was offset by a $0.2 million increase in travel related costs and a $0.1 million increase in personnel related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40" w:firstLine="509"/>
        <w:spacing w:after="0" w:line="258" w:lineRule="auto"/>
        <w:rPr>
          <w:sz w:val="20"/>
          <w:szCs w:val="20"/>
          <w:color w:val="auto"/>
        </w:rPr>
      </w:pPr>
      <w:r>
        <w:rPr>
          <w:rFonts w:ascii="Arial" w:cs="Arial" w:eastAsia="Arial" w:hAnsi="Arial"/>
          <w:sz w:val="18"/>
          <w:szCs w:val="18"/>
          <w:color w:val="auto"/>
        </w:rPr>
        <w:t>Interest income was $1.5 million and $85,000 for the three months ended March 31, 2023 and 2022, respectively. The increase of $1.4 million was due to greater cash balances and higher yields earned compared to the same period in 2022.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We have incurred aggregate net losses and negative cash flows from operations since our inception and anticipate we will continue to incur net losses for the foreseeable future. As of March 31, 2023, we had cash and cash equivalents of $192.7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spacing w:after="0" w:line="38" w:lineRule="exact"/>
        <w:rPr>
          <w:sz w:val="20"/>
          <w:szCs w:val="20"/>
          <w:color w:val="auto"/>
        </w:rPr>
      </w:pPr>
    </w:p>
    <w:p>
      <w:pPr>
        <w:ind w:left="1000" w:right="320" w:hanging="36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initiation, scope, rate of progress, results and costs of our preclinical studies, clinical trials and other related activities for our product candidates;</w:t>
      </w:r>
    </w:p>
    <w:p>
      <w:pPr>
        <w:spacing w:after="0" w:line="62" w:lineRule="exact"/>
        <w:rPr>
          <w:rFonts w:ascii="Arial" w:cs="Arial" w:eastAsia="Arial" w:hAnsi="Arial"/>
          <w:sz w:val="18"/>
          <w:szCs w:val="18"/>
          <w:color w:val="auto"/>
        </w:rPr>
      </w:pPr>
    </w:p>
    <w:p>
      <w:pPr>
        <w:ind w:left="1000" w:right="100" w:hanging="36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and establishing commercial supplies and sales, marketing and distribution capabilities;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costs of capital expenditures to support our research and development efforts;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and characteristics of other product candidates that we pursue;</w:t>
      </w:r>
    </w:p>
    <w:p>
      <w:pPr>
        <w:spacing w:after="0" w:line="117" w:lineRule="exact"/>
        <w:rPr>
          <w:rFonts w:ascii="Arial" w:cs="Arial" w:eastAsia="Arial" w:hAnsi="Arial"/>
          <w:sz w:val="18"/>
          <w:szCs w:val="18"/>
          <w:color w:val="auto"/>
        </w:rPr>
      </w:pPr>
    </w:p>
    <w:p>
      <w:pPr>
        <w:ind w:left="1000" w:right="120" w:hanging="36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75"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scientific and medical personnel;</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competing products that may limit market penetration of our product candidates;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00" w:right="400" w:hanging="36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any collaboration, licensing, or other arrangements into which we may enter in the future, including the timing of receipt of any milestone or royalty payments under these agreements;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compliance and administrative costs associated with being a public company; and</w:t>
      </w:r>
    </w:p>
    <w:p>
      <w:pPr>
        <w:spacing w:after="0" w:line="117" w:lineRule="exact"/>
        <w:rPr>
          <w:rFonts w:ascii="Arial" w:cs="Arial" w:eastAsia="Arial" w:hAnsi="Arial"/>
          <w:sz w:val="18"/>
          <w:szCs w:val="18"/>
          <w:color w:val="auto"/>
        </w:rPr>
      </w:pPr>
    </w:p>
    <w:p>
      <w:pPr>
        <w:ind w:left="1000" w:right="160" w:hanging="36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although we have no commitments or agreements relating to any of these types of transactions.</w:t>
      </w:r>
    </w:p>
    <w:p>
      <w:pPr>
        <w:spacing w:after="0" w:line="170"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Based on our current operating plan, our current cash and cash equivalents are expected to be sufficient to fund our ongoing operations for a period of at least twelve months from the date the financial statements included in this report are issued. However, we have based this estimate on assumptions that may prove to be wrong, and we could utilize our available capital resources sooner than we currently expect.</w:t>
      </w:r>
    </w:p>
    <w:p>
      <w:pPr>
        <w:spacing w:after="0" w:line="165" w:lineRule="exact"/>
        <w:rPr>
          <w:sz w:val="20"/>
          <w:szCs w:val="20"/>
          <w:color w:val="auto"/>
        </w:rPr>
      </w:pPr>
    </w:p>
    <w:p>
      <w:pPr>
        <w:ind w:right="40" w:firstLine="509"/>
        <w:spacing w:after="0" w:line="266" w:lineRule="auto"/>
        <w:rPr>
          <w:sz w:val="20"/>
          <w:szCs w:val="20"/>
          <w:color w:val="auto"/>
        </w:rPr>
      </w:pPr>
      <w:r>
        <w:rPr>
          <w:rFonts w:ascii="Arial" w:cs="Arial" w:eastAsia="Arial" w:hAnsi="Arial"/>
          <w:sz w:val="17"/>
          <w:szCs w:val="17"/>
          <w:color w:val="auto"/>
        </w:rPr>
        <w:t>In addition, we will require additional funding in order to complete development of our product candidates and commercialize our products, if approved. We may seek to raise any necessary additional capital through a combination of public or private equity offerings, debt financings, collaborations, strategic alliances, licensing arrangements and other marketing and distribution arrangements. We cannot assure you that, in the event we require additional financing,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Because of the numerous risks and uncertainties associated with the development and commercialization of our product candidates, we are unable to estimate the amounts of increased capital outlays and operating expenditures associated with our current and anticipated preclinical studies and clinical trials.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a variety of causes, including supply chain disruptions, and geopolitical disruptions, including the recent conflict between Russia and Ukraine,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ind w:right="220"/>
        <w:spacing w:after="0" w:line="259" w:lineRule="auto"/>
        <w:rPr>
          <w:sz w:val="20"/>
          <w:szCs w:val="20"/>
          <w:color w:val="auto"/>
        </w:rPr>
      </w:pPr>
      <w:r>
        <w:rPr>
          <w:rFonts w:ascii="Arial" w:cs="Arial" w:eastAsia="Arial" w:hAnsi="Arial"/>
          <w:sz w:val="18"/>
          <w:szCs w:val="18"/>
          <w:color w:val="auto"/>
        </w:rPr>
        <w:t>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summarizes our cash flows for the periods indicated:</w:t>
      </w:r>
    </w:p>
    <w:p>
      <w:pPr>
        <w:spacing w:after="0" w:line="257"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1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76"/>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74"/>
              </w:rPr>
              <w:t>thousands)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(22,654 )</w:t>
            </w:r>
          </w:p>
        </w:tc>
        <w:tc>
          <w:tcPr>
            <w:tcW w:w="120" w:type="dxa"/>
            <w:vAlign w:val="bottom"/>
          </w:tcPr>
          <w:p>
            <w:pPr>
              <w:spacing w:after="0"/>
              <w:rPr>
                <w:sz w:val="20"/>
                <w:szCs w:val="20"/>
                <w:color w:val="auto"/>
              </w:rPr>
            </w:pPr>
          </w:p>
        </w:tc>
        <w:tc>
          <w:tcPr>
            <w:tcW w:w="400" w:type="dxa"/>
            <w:vAlign w:val="bottom"/>
          </w:tcPr>
          <w:p>
            <w:pPr>
              <w:jc w:val="center"/>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(25,136 )</w:t>
            </w:r>
          </w:p>
        </w:tc>
      </w:tr>
      <w:tr>
        <w:trPr>
          <w:trHeight w:val="249"/>
        </w:trPr>
        <w:tc>
          <w:tcPr>
            <w:tcW w:w="51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(50 )</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(10 )</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(116 )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(405 )</w:t>
            </w:r>
          </w:p>
        </w:tc>
      </w:tr>
      <w:tr>
        <w:trPr>
          <w:trHeight w:val="276"/>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center"/>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(25,551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-25400</wp:posOffset>
            </wp:positionV>
            <wp:extent cx="596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596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Net cash used in operating activities for the three months ended March 31, 2023 was $22.7 million, which consisted of a net loss of $27.5 million, a net change of $0.9 million in our operating assets and liabilities and $3.9 million of non-cash transactions. The net change in our operating assets and liabilities was primarily due to an increase in accounts payable and accrued expenses of $3.2 million, offset by an increase in prepaid expenses and other assets of $2.1 million. The non-cash transactions primarily consisted of $3.6 million of stock-based compensation and non-cash charges of $0.3 million related to depreciation and amortization.</w:t>
      </w:r>
    </w:p>
    <w:p>
      <w:pPr>
        <w:spacing w:after="0" w:line="80"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Net cash used in operating activities for the three months ended March 31, 2022 was $25.1 million, which consisted of a net loss of $24.3 million, a net change of $4.8 million in our operating assets and liabilities and $3.9 million of non-cash transactions. The net change in our operating assets and liabilities was primarily due to a decrease in accounts payable and accrued expenses of $2.4 million, offset by an increase in prepaid expenses and other assets of $2.3 million. The non-cash transactions primarily consisted of $3.6 million of stock-based compensation and non-cash charges of $0.3 million related to depreciation and amortization.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Cash used in investing activities was $50,000 for the three months ended March 31, 2023 and $10,000 for the three months ended March 31, 2022, respectively, related to the purchase of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Financing Activities</w:t>
      </w:r>
    </w:p>
    <w:p>
      <w:pPr>
        <w:spacing w:after="0" w:line="117"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Net cash used in financing activities was $0.1 million for the three months ended March 31, 2023, which consisted primarily of the payment of taxes related to the net settlement of restricted stock units.</w:t>
      </w:r>
    </w:p>
    <w:p>
      <w:pPr>
        <w:spacing w:after="0" w:line="62"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Net cash used in financing activities was $0.4 million for the three months ended March 31, 2022, which consisted primarily of the payment of taxes related to the net settlement of restricted stock units.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spacing w:after="0" w:line="195" w:lineRule="exact"/>
        <w:rPr>
          <w:sz w:val="20"/>
          <w:szCs w:val="20"/>
          <w:color w:val="auto"/>
        </w:rPr>
      </w:pPr>
    </w:p>
    <w:p>
      <w:pPr>
        <w:ind w:right="160" w:firstLine="509"/>
        <w:spacing w:after="0" w:line="254" w:lineRule="auto"/>
        <w:rPr>
          <w:sz w:val="20"/>
          <w:szCs w:val="20"/>
          <w:color w:val="auto"/>
        </w:rPr>
      </w:pPr>
      <w:r>
        <w:rPr>
          <w:rFonts w:ascii="Arial" w:cs="Arial" w:eastAsia="Arial" w:hAnsi="Arial"/>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see the section entitled “Management’s Discussion and Analysis of Financial Condition and Results of Operations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9" w:name="page20"/>
    <w:bookmarkEnd w:id="19"/>
    <w:p>
      <w:pPr>
        <w:ind w:right="20"/>
        <w:spacing w:after="0" w:line="277" w:lineRule="auto"/>
        <w:rPr>
          <w:sz w:val="20"/>
          <w:szCs w:val="20"/>
          <w:color w:val="auto"/>
        </w:rPr>
      </w:pPr>
      <w:r>
        <w:rPr>
          <w:rFonts w:ascii="Arial" w:cs="Arial" w:eastAsia="Arial" w:hAnsi="Arial"/>
          <w:sz w:val="18"/>
          <w:szCs w:val="18"/>
          <w:color w:val="auto"/>
        </w:rPr>
        <w:t>— Critical Accounting Policies and Estimates” contained in our Annual Report on Form 10-K for the year ended December 31, 2022. There have not been any material changes to the critical accounting policies discussed therein during the three months ended March 31,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entered into any off-balance sheet arrangements, as defined in the rules and regulations of the SEC.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 to a smaller reporting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As required by Rules 13a-15(b) and 15d-15(b) of the Exchange Act, our management, with the participation of our Chief Executive Officer and our Chief Financial Officer, evaluated the effectiveness of our disclosure controls and procedures as of March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2023, our Chief Executive Officer and our Chief Financial Officer concluded that, as of such date, our disclosure controls and procedures were effective at the reasonable assurance level.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2023 that have materially affected, or are reasonably likely to materially affect, our internal control over financial reporting.</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Investing in our common stock involves a high degree of risk. You should carefully consider all information in this Quarterly Report on Form 10-Q, including our condensed financial statements and related notes appearing elsewhere in this report and “Management’s Discussion and Analysis of Financial Condition and Results of Operations,” before purchasing our common stock. These risks are discussed more fully in the section titled “Risk Factors.” These risks and uncertainties include, but are not limited to, the following:</w:t>
      </w:r>
    </w:p>
    <w:p>
      <w:pPr>
        <w:spacing w:after="0" w:line="79" w:lineRule="exact"/>
        <w:rPr>
          <w:sz w:val="20"/>
          <w:szCs w:val="20"/>
          <w:color w:val="auto"/>
        </w:rPr>
      </w:pPr>
    </w:p>
    <w:p>
      <w:pPr>
        <w:ind w:left="1000" w:right="120" w:hanging="36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a limited operating history and no products approved for commercial sale, and we have a history of significant losses and expect to continue to incur significant losses for the foreseeable future.</w:t>
      </w:r>
    </w:p>
    <w:p>
      <w:pPr>
        <w:spacing w:after="0" w:line="62" w:lineRule="exact"/>
        <w:rPr>
          <w:rFonts w:ascii="Arial" w:cs="Arial" w:eastAsia="Arial" w:hAnsi="Arial"/>
          <w:sz w:val="18"/>
          <w:szCs w:val="18"/>
          <w:color w:val="auto"/>
        </w:rPr>
      </w:pPr>
    </w:p>
    <w:p>
      <w:pPr>
        <w:ind w:left="1000" w:right="280" w:hanging="368"/>
        <w:spacing w:after="0" w:line="255"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0" w:name="page21"/>
    <w:bookmarkEnd w:id="20"/>
    <w:p>
      <w:pPr>
        <w:ind w:left="368" w:hanging="368"/>
        <w:spacing w:after="0"/>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candidates may fail in development or suffer delays that adversely affect their commercial viability.</w:t>
      </w:r>
    </w:p>
    <w:p>
      <w:pPr>
        <w:spacing w:after="0" w:line="23" w:lineRule="exact"/>
        <w:rPr>
          <w:rFonts w:ascii="Arial" w:cs="Arial" w:eastAsia="Arial" w:hAnsi="Arial"/>
          <w:sz w:val="18"/>
          <w:szCs w:val="18"/>
          <w:color w:val="auto"/>
        </w:rPr>
      </w:pPr>
    </w:p>
    <w:p>
      <w:pPr>
        <w:ind w:left="368" w:right="360"/>
        <w:spacing w:after="0" w:line="260" w:lineRule="auto"/>
        <w:rPr>
          <w:rFonts w:ascii="Arial" w:cs="Arial" w:eastAsia="Arial" w:hAnsi="Arial"/>
          <w:sz w:val="18"/>
          <w:szCs w:val="18"/>
          <w:color w:val="auto"/>
        </w:rPr>
      </w:pPr>
      <w:r>
        <w:rPr>
          <w:rFonts w:ascii="Arial" w:cs="Arial" w:eastAsia="Arial" w:hAnsi="Arial"/>
          <w:sz w:val="18"/>
          <w:szCs w:val="18"/>
          <w:color w:val="auto"/>
        </w:rPr>
        <w:t>We are substantially dependent on the success of our patented CAB technology platform, and our future success depends heavily on the successful development of this platform.</w:t>
      </w:r>
    </w:p>
    <w:p>
      <w:pPr>
        <w:spacing w:after="0" w:line="77" w:lineRule="exact"/>
        <w:rPr>
          <w:rFonts w:ascii="Arial" w:cs="Arial" w:eastAsia="Arial" w:hAnsi="Arial"/>
          <w:sz w:val="18"/>
          <w:szCs w:val="18"/>
          <w:color w:val="auto"/>
        </w:rPr>
      </w:pPr>
    </w:p>
    <w:p>
      <w:pPr>
        <w:ind w:left="368" w:right="700" w:hanging="368"/>
        <w:spacing w:after="0" w:line="277"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expend our resources to pursue particular product candidates and fail to capitalize on product candidates that may be more profitable or for which there is a greater likelihood of success.</w:t>
      </w:r>
    </w:p>
    <w:p>
      <w:pPr>
        <w:spacing w:after="0" w:line="62" w:lineRule="exact"/>
        <w:rPr>
          <w:rFonts w:ascii="Arial" w:cs="Arial" w:eastAsia="Arial" w:hAnsi="Arial"/>
          <w:sz w:val="18"/>
          <w:szCs w:val="18"/>
          <w:color w:val="auto"/>
        </w:rPr>
      </w:pPr>
    </w:p>
    <w:p>
      <w:pPr>
        <w:ind w:left="368" w:right="500" w:hanging="368"/>
        <w:spacing w:after="0" w:line="277"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may not be receptive to our product candidates because they are based on our novel therapeutic modality, and we may not generate any future revenue from the sale or licensing of product candidates.</w:t>
      </w:r>
    </w:p>
    <w:p>
      <w:pPr>
        <w:spacing w:after="0" w:line="62" w:lineRule="exact"/>
        <w:rPr>
          <w:rFonts w:ascii="Arial" w:cs="Arial" w:eastAsia="Arial" w:hAnsi="Arial"/>
          <w:sz w:val="18"/>
          <w:szCs w:val="18"/>
          <w:color w:val="auto"/>
        </w:rPr>
      </w:pPr>
    </w:p>
    <w:p>
      <w:pPr>
        <w:ind w:left="368" w:right="220" w:hanging="368"/>
        <w:spacing w:after="0" w:line="277"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62" w:lineRule="exact"/>
        <w:rPr>
          <w:rFonts w:ascii="Arial" w:cs="Arial" w:eastAsia="Arial" w:hAnsi="Arial"/>
          <w:sz w:val="18"/>
          <w:szCs w:val="18"/>
          <w:color w:val="auto"/>
        </w:rPr>
      </w:pPr>
    </w:p>
    <w:p>
      <w:pPr>
        <w:ind w:left="368" w:right="60" w:hanging="368"/>
        <w:spacing w:after="0" w:line="308" w:lineRule="auto"/>
        <w:tabs>
          <w:tab w:leader="none" w:pos="368"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rFonts w:ascii="Arial" w:cs="Arial" w:eastAsia="Arial" w:hAnsi="Arial"/>
          <w:sz w:val="17"/>
          <w:szCs w:val="17"/>
          <w:color w:val="auto"/>
        </w:rPr>
      </w:pPr>
    </w:p>
    <w:p>
      <w:pPr>
        <w:ind w:left="368" w:right="880" w:hanging="368"/>
        <w:spacing w:after="0" w:line="277"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the commencement and completion of clinical trials could increase costs and delay or prevent regulatory approval and commercialization of our product candidates.</w:t>
      </w:r>
    </w:p>
    <w:p>
      <w:pPr>
        <w:spacing w:after="0" w:line="62" w:lineRule="exact"/>
        <w:rPr>
          <w:rFonts w:ascii="Arial" w:cs="Arial" w:eastAsia="Arial" w:hAnsi="Arial"/>
          <w:sz w:val="18"/>
          <w:szCs w:val="18"/>
          <w:color w:val="auto"/>
        </w:rPr>
      </w:pPr>
    </w:p>
    <w:p>
      <w:pPr>
        <w:ind w:left="368" w:right="420" w:hanging="368"/>
        <w:spacing w:after="0" w:line="277"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competition from entities that have developed or may develop product candidates for cancer, including companies developing novel treatments and technology platforms.</w:t>
      </w:r>
    </w:p>
    <w:p>
      <w:pPr>
        <w:spacing w:after="0" w:line="62" w:lineRule="exact"/>
        <w:rPr>
          <w:rFonts w:ascii="Arial" w:cs="Arial" w:eastAsia="Arial" w:hAnsi="Arial"/>
          <w:sz w:val="18"/>
          <w:szCs w:val="18"/>
          <w:color w:val="auto"/>
        </w:rPr>
      </w:pPr>
    </w:p>
    <w:p>
      <w:pPr>
        <w:ind w:left="368" w:hanging="368"/>
        <w:spacing w:after="0"/>
        <w:tabs>
          <w:tab w:leader="none" w:pos="368"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be unable to obtain U.S. or foreign regulatory approval and, as a result, unable to commercialize our product candidates.</w:t>
      </w:r>
    </w:p>
    <w:p>
      <w:pPr>
        <w:spacing w:after="0" w:line="128" w:lineRule="exact"/>
        <w:rPr>
          <w:rFonts w:ascii="Arial" w:cs="Arial" w:eastAsia="Arial" w:hAnsi="Arial"/>
          <w:sz w:val="17"/>
          <w:szCs w:val="17"/>
          <w:color w:val="auto"/>
        </w:rPr>
      </w:pPr>
    </w:p>
    <w:p>
      <w:pPr>
        <w:ind w:left="368" w:right="100" w:hanging="368"/>
        <w:spacing w:after="0" w:line="311" w:lineRule="auto"/>
        <w:tabs>
          <w:tab w:leader="none" w:pos="368"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40" w:lineRule="exact"/>
        <w:rPr>
          <w:rFonts w:ascii="Arial" w:cs="Arial" w:eastAsia="Arial" w:hAnsi="Arial"/>
          <w:sz w:val="16"/>
          <w:szCs w:val="16"/>
          <w:color w:val="auto"/>
        </w:rPr>
      </w:pPr>
    </w:p>
    <w:p>
      <w:pPr>
        <w:ind w:left="368" w:right="740" w:hanging="368"/>
        <w:spacing w:after="0" w:line="277"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if we receive regulatory approval for any of our product candidates, we will be subject to ongoing regulatory obligations and continued regulatory review, which may result in significant additional expense.</w:t>
      </w:r>
    </w:p>
    <w:p>
      <w:pPr>
        <w:spacing w:after="0" w:line="62" w:lineRule="exact"/>
        <w:rPr>
          <w:rFonts w:ascii="Arial" w:cs="Arial" w:eastAsia="Arial" w:hAnsi="Arial"/>
          <w:sz w:val="18"/>
          <w:szCs w:val="18"/>
          <w:color w:val="auto"/>
        </w:rPr>
      </w:pPr>
    </w:p>
    <w:p>
      <w:pPr>
        <w:ind w:left="368" w:right="500" w:hanging="368"/>
        <w:spacing w:after="0" w:line="277"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attract and retain qualified senior management and key scientific personnel, our business may be materially and adversely affected.</w:t>
      </w:r>
    </w:p>
    <w:p>
      <w:pPr>
        <w:spacing w:after="0" w:line="62" w:lineRule="exact"/>
        <w:rPr>
          <w:rFonts w:ascii="Arial" w:cs="Arial" w:eastAsia="Arial" w:hAnsi="Arial"/>
          <w:sz w:val="18"/>
          <w:szCs w:val="18"/>
          <w:color w:val="auto"/>
        </w:rPr>
      </w:pPr>
    </w:p>
    <w:p>
      <w:pPr>
        <w:ind w:left="368" w:right="80" w:hanging="368"/>
        <w:spacing w:after="0" w:line="342" w:lineRule="auto"/>
        <w:tabs>
          <w:tab w:leader="none" w:pos="368"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15" w:lineRule="exact"/>
        <w:rPr>
          <w:rFonts w:ascii="Arial" w:cs="Arial" w:eastAsia="Arial" w:hAnsi="Arial"/>
          <w:sz w:val="16"/>
          <w:szCs w:val="16"/>
          <w:color w:val="auto"/>
        </w:rPr>
      </w:pPr>
    </w:p>
    <w:p>
      <w:pPr>
        <w:ind w:left="368" w:right="120" w:hanging="368"/>
        <w:spacing w:after="0" w:line="263"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75" w:lineRule="exact"/>
        <w:rPr>
          <w:rFonts w:ascii="Arial" w:cs="Arial" w:eastAsia="Arial" w:hAnsi="Arial"/>
          <w:sz w:val="18"/>
          <w:szCs w:val="18"/>
          <w:color w:val="auto"/>
        </w:rPr>
      </w:pPr>
    </w:p>
    <w:p>
      <w:pPr>
        <w:ind w:left="368" w:right="340" w:hanging="368"/>
        <w:spacing w:after="0" w:line="263"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risks related to health epidemics and outbreaks, including the COVID-19 pandemic, which could significantly disrupt our preclinical studies and could affect enrollment of patients in our clinical trials. Continuation and increasing severity of these conditions could delay or prevent our receipt of necessary regulatory approvals.</w:t>
      </w:r>
    </w:p>
    <w:p>
      <w:pPr>
        <w:spacing w:after="0" w:line="75" w:lineRule="exact"/>
        <w:rPr>
          <w:rFonts w:ascii="Arial" w:cs="Arial" w:eastAsia="Arial" w:hAnsi="Arial"/>
          <w:sz w:val="18"/>
          <w:szCs w:val="18"/>
          <w:color w:val="auto"/>
        </w:rPr>
      </w:pPr>
    </w:p>
    <w:p>
      <w:pPr>
        <w:jc w:val="both"/>
        <w:ind w:left="368" w:right="40" w:hanging="368"/>
        <w:spacing w:after="0" w:line="263"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spacing w:after="0" w:line="75" w:lineRule="exact"/>
        <w:rPr>
          <w:rFonts w:ascii="Arial" w:cs="Arial" w:eastAsia="Arial" w:hAnsi="Arial"/>
          <w:sz w:val="18"/>
          <w:szCs w:val="18"/>
          <w:color w:val="auto"/>
        </w:rPr>
      </w:pPr>
    </w:p>
    <w:p>
      <w:pPr>
        <w:ind w:left="368" w:right="40" w:hanging="368"/>
        <w:spacing w:after="0" w:line="286" w:lineRule="auto"/>
        <w:tabs>
          <w:tab w:leader="none" w:pos="368"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57" w:lineRule="exact"/>
        <w:rPr>
          <w:rFonts w:ascii="Arial" w:cs="Arial" w:eastAsia="Arial" w:hAnsi="Arial"/>
          <w:sz w:val="17"/>
          <w:szCs w:val="17"/>
          <w:color w:val="auto"/>
        </w:rPr>
      </w:pPr>
    </w:p>
    <w:p>
      <w:pPr>
        <w:ind w:left="368" w:hanging="368"/>
        <w:spacing w:after="0" w:line="263" w:lineRule="auto"/>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spacing w:after="0" w:line="75" w:lineRule="exact"/>
        <w:rPr>
          <w:rFonts w:ascii="Arial" w:cs="Arial" w:eastAsia="Arial" w:hAnsi="Arial"/>
          <w:sz w:val="18"/>
          <w:szCs w:val="18"/>
          <w:color w:val="auto"/>
        </w:rPr>
      </w:pPr>
    </w:p>
    <w:p>
      <w:pPr>
        <w:ind w:left="368" w:hanging="368"/>
        <w:spacing w:after="0"/>
        <w:tabs>
          <w:tab w:leader="none" w:pos="3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future issuance of equity or of debt securities that are convertible into equity will dilute our share capital.</w:t>
      </w:r>
    </w:p>
    <w:p>
      <w:pPr>
        <w:spacing w:after="0" w:line="117" w:lineRule="exact"/>
        <w:rPr>
          <w:rFonts w:ascii="Arial" w:cs="Arial" w:eastAsia="Arial" w:hAnsi="Arial"/>
          <w:sz w:val="18"/>
          <w:szCs w:val="18"/>
          <w:color w:val="auto"/>
        </w:rPr>
      </w:pPr>
    </w:p>
    <w:p>
      <w:pPr>
        <w:ind w:left="368" w:right="420" w:hanging="368"/>
        <w:spacing w:after="0" w:line="274" w:lineRule="auto"/>
        <w:tabs>
          <w:tab w:leader="none" w:pos="368"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ind w:left="4888"/>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61595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8"/>
          </w:cols>
          <w:pgMar w:left="952" w:top="44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spacing w:after="0" w:line="76"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and ozuriftamab vedotin,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spacing w:after="0" w:line="16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$106.5 million and $95.4 million for the years ended December 31, 2022 and 2021, respectively. For the three months ended March 31, 2023 and 2022, our net losses were $27.5 million and $24.3 million, respectively. As of March 31, 2023, we had an accumulated deficit of $320.3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increase substantially as we conduct clinical trials of our lead product candidates and seek to expand our pipeline, and as a result of macroeconomic factors, including inflation. For example, recently, several of our vendors have passed along price increases they have experienced in their own business as a result of inflation.</w:t>
      </w:r>
    </w:p>
    <w:p>
      <w:pPr>
        <w:spacing w:after="0" w:line="18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8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1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mecbotamab vedotin, ozuriftamab vedotin and BA3071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185" w:lineRule="exact"/>
        <w:rPr>
          <w:sz w:val="20"/>
          <w:szCs w:val="20"/>
          <w:color w:val="auto"/>
        </w:rPr>
      </w:pPr>
    </w:p>
    <w:p>
      <w:pPr>
        <w:jc w:val="both"/>
        <w:ind w:right="200" w:firstLine="509"/>
        <w:spacing w:after="0" w:line="254" w:lineRule="auto"/>
        <w:rPr>
          <w:sz w:val="20"/>
          <w:szCs w:val="20"/>
          <w:color w:val="auto"/>
        </w:rPr>
      </w:pPr>
      <w:r>
        <w:rPr>
          <w:rFonts w:ascii="Arial" w:cs="Arial" w:eastAsia="Arial" w:hAnsi="Arial"/>
          <w:sz w:val="18"/>
          <w:szCs w:val="18"/>
          <w:color w:val="auto"/>
        </w:rPr>
        <w:t>As of March 31, 2023, we had approximately $192.7 million in cash and cash equivalents. Based on our current operating plan, our current cash and cash equivalents are expected to be sufficient to fund our ongoing operations for a period of at least twelve months from the date of issuance of the financial statements included in this report. Our estimate as to how long we expect our existing cash and cash equivalents to be able to continue to fund our operations is based on assumptions that may prove to be wrong,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ind w:right="300"/>
        <w:spacing w:after="0" w:line="342" w:lineRule="auto"/>
        <w:rPr>
          <w:sz w:val="20"/>
          <w:szCs w:val="20"/>
          <w:color w:val="auto"/>
        </w:rPr>
      </w:pPr>
      <w:r>
        <w:rPr>
          <w:rFonts w:ascii="Arial" w:cs="Arial" w:eastAsia="Arial" w:hAnsi="Arial"/>
          <w:sz w:val="16"/>
          <w:szCs w:val="16"/>
          <w:color w:val="auto"/>
        </w:rPr>
        <w:t>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24"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We plan to use our existing cash and cash equivalents to fund the research and development of our product candidates and development programs and to fund working capital and other general corporate purposes. Advancing the development of our product candidates will require a significant amount of capital. Our existing cash and cash equivalents may not be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spacing w:after="0" w:line="70" w:lineRule="exact"/>
        <w:rPr>
          <w:sz w:val="20"/>
          <w:szCs w:val="20"/>
          <w:color w:val="auto"/>
        </w:rPr>
      </w:pPr>
    </w:p>
    <w:p>
      <w:pPr>
        <w:ind w:left="1000" w:hanging="36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progress of our ongoing clinical trials for mecbotamab vedotin and ozuriftamab vedotin;</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progress of the clinical development efforts for BA3071;</w:t>
      </w:r>
    </w:p>
    <w:p>
      <w:pPr>
        <w:spacing w:after="0" w:line="117" w:lineRule="exact"/>
        <w:rPr>
          <w:rFonts w:ascii="Arial" w:cs="Arial" w:eastAsia="Arial" w:hAnsi="Arial"/>
          <w:sz w:val="18"/>
          <w:szCs w:val="18"/>
          <w:color w:val="auto"/>
        </w:rPr>
      </w:pPr>
    </w:p>
    <w:p>
      <w:pPr>
        <w:ind w:left="1000" w:right="400" w:hanging="36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progress of our collaborators with whom we have entered, or may in the future enter, into collaboration agreements and research and development agreements;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amount of milestone payments we may receive under our collaboration agreements;</w:t>
      </w:r>
    </w:p>
    <w:p>
      <w:pPr>
        <w:spacing w:after="0" w:line="117" w:lineRule="exact"/>
        <w:rPr>
          <w:rFonts w:ascii="Arial" w:cs="Arial" w:eastAsia="Arial" w:hAnsi="Arial"/>
          <w:sz w:val="18"/>
          <w:szCs w:val="18"/>
          <w:color w:val="auto"/>
        </w:rPr>
      </w:pPr>
    </w:p>
    <w:p>
      <w:pPr>
        <w:ind w:left="1000" w:right="200" w:hanging="36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current licenses, collaboration and research and development programs or possibly establish new collaboration arrangements;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1000" w:right="580" w:hanging="36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of our product candidates and satisfy our obligations as a public company.</w:t>
      </w:r>
    </w:p>
    <w:p>
      <w:pPr>
        <w:spacing w:after="0" w:line="170" w:lineRule="exact"/>
        <w:rPr>
          <w:sz w:val="20"/>
          <w:szCs w:val="20"/>
          <w:color w:val="auto"/>
        </w:rPr>
      </w:pPr>
    </w:p>
    <w:p>
      <w:pPr>
        <w:ind w:firstLine="509"/>
        <w:spacing w:after="0" w:line="265" w:lineRule="auto"/>
        <w:rPr>
          <w:sz w:val="20"/>
          <w:szCs w:val="20"/>
          <w:color w:val="auto"/>
        </w:rPr>
      </w:pPr>
      <w:r>
        <w:rPr>
          <w:rFonts w:ascii="Arial" w:cs="Arial" w:eastAsia="Arial" w:hAnsi="Arial"/>
          <w:sz w:val="17"/>
          <w:szCs w:val="17"/>
          <w:color w:val="auto"/>
        </w:rPr>
        <w:t>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Our financial condition could be adversely affected by general conditions in the global economy and in the global financial markets. For example, global financial crises have caused extreme volatility and disruptions in the capital and credit markets. Additionally, although we had no direct exposure to the March 2023 failure of Silicon Valley Bank, its potential near- and long-term effects on the biotechnology industry and its participants such as our vendors, suppliers, collaborators and investors, may also adversely affect our financial condition, operations and stock price.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A severe or prolonged economic downturn, such as a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licensing product rights, entering into product development collaborations,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spacing w:after="0" w:line="41"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We have no products on the market and our product candidates are in various stages of development. We are currently conducting Phase 2 clinical trials of mecbotamab vedotin and ozuriftamab vedotin; we have begun dosing patients in our Phase 1 trial of BA3071 and various other product candidates are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In addition, the FDA may not agree with our clinical trial plans. For example, we have initiated potentially registration-enabling Phase 2 trials for mecbotamab vedotin in treatment-refractory sarcoma patients. Based on recent FDA written responses, we are initiating part 2 of our Phase 2 trial in undifferentiated pleomorphic sarcoma (UPS) and anticipate study enrollment to commence by year end. However, we cannot assure you that the FDA will agree that the results from this trial or other trials will be sufficient to support approval of any of our product candidates. For example, the objective response rates on our primary endpoints may not be sufficient, we may not demonstrate a sufficient duration of response, or there may be limitations with the total sample size of our studies and dose selection strategy.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 among others:</w:t>
      </w:r>
    </w:p>
    <w:p>
      <w:pPr>
        <w:spacing w:after="0" w:line="74" w:lineRule="exact"/>
        <w:rPr>
          <w:sz w:val="20"/>
          <w:szCs w:val="20"/>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our clinical trials resulting from factors including those related to the COVID-19 pandemic;</w:t>
      </w:r>
    </w:p>
    <w:p>
      <w:pPr>
        <w:spacing w:after="0" w:line="117" w:lineRule="exact"/>
        <w:rPr>
          <w:rFonts w:ascii="Arial" w:cs="Arial" w:eastAsia="Arial" w:hAnsi="Arial"/>
          <w:sz w:val="18"/>
          <w:szCs w:val="18"/>
          <w:color w:val="auto"/>
        </w:rPr>
      </w:pPr>
    </w:p>
    <w:p>
      <w:pPr>
        <w:ind w:left="1000" w:right="660" w:hanging="36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or inconclusive results from preclinical testing or clinical trials leading to a decision or requirement to conduct additional preclinical testing or clinical trials or abandon a program;</w:t>
      </w:r>
    </w:p>
    <w:p>
      <w:pPr>
        <w:spacing w:after="0" w:line="62" w:lineRule="exact"/>
        <w:rPr>
          <w:rFonts w:ascii="Arial" w:cs="Arial" w:eastAsia="Arial" w:hAnsi="Arial"/>
          <w:sz w:val="18"/>
          <w:szCs w:val="18"/>
          <w:color w:val="auto"/>
        </w:rPr>
      </w:pPr>
    </w:p>
    <w:p>
      <w:pPr>
        <w:ind w:left="1000" w:right="900" w:hanging="36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product-related side effects experienced by participants in clinical trials or by individuals using therapeutic biologics that share characteristics with our product candidates;</w:t>
      </w:r>
    </w:p>
    <w:p>
      <w:pPr>
        <w:spacing w:after="0" w:line="62" w:lineRule="exact"/>
        <w:rPr>
          <w:rFonts w:ascii="Arial" w:cs="Arial" w:eastAsia="Arial" w:hAnsi="Arial"/>
          <w:sz w:val="18"/>
          <w:szCs w:val="18"/>
          <w:color w:val="auto"/>
        </w:rPr>
      </w:pPr>
    </w:p>
    <w:p>
      <w:pPr>
        <w:ind w:left="1000" w:right="240" w:hanging="368"/>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delays in submitting INDs or comparable foreign applications or delays or failure in obtaining the necessary approvals from regulators or institutional review boards, or IRBs, to commence a clinical trial, or a suspension or termination of a clinical trial once commenced;</w:t>
      </w:r>
    </w:p>
    <w:p>
      <w:pPr>
        <w:spacing w:after="0" w:line="15" w:lineRule="exact"/>
        <w:rPr>
          <w:rFonts w:ascii="Arial" w:cs="Arial" w:eastAsia="Arial" w:hAnsi="Arial"/>
          <w:sz w:val="16"/>
          <w:szCs w:val="16"/>
          <w:color w:val="auto"/>
        </w:rPr>
      </w:pPr>
    </w:p>
    <w:p>
      <w:pPr>
        <w:ind w:left="1000" w:hanging="368"/>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conditions imposed by the FDA or comparable foreign authorities, including the EMA, regarding the scope or design of clinical trials;</w:t>
      </w:r>
    </w:p>
    <w:p>
      <w:pPr>
        <w:spacing w:after="0" w:line="128" w:lineRule="exact"/>
        <w:rPr>
          <w:rFonts w:ascii="Arial" w:cs="Arial" w:eastAsia="Arial" w:hAnsi="Arial"/>
          <w:sz w:val="17"/>
          <w:szCs w:val="17"/>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enrolling patients in clinical trials;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 drop-out rates of patients;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inadequate drug materials or other supplies necessary for the conduct of our clinical trials;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poor effectiveness of our product candidates during clinical trials;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deficiencies in our third-party manufacturers’ manufacturing processes or facilities;</w:t>
      </w:r>
    </w:p>
    <w:p>
      <w:pPr>
        <w:spacing w:after="0" w:line="117" w:lineRule="exact"/>
        <w:rPr>
          <w:rFonts w:ascii="Arial" w:cs="Arial" w:eastAsia="Arial" w:hAnsi="Arial"/>
          <w:sz w:val="18"/>
          <w:szCs w:val="18"/>
          <w:color w:val="auto"/>
        </w:rPr>
      </w:pPr>
    </w:p>
    <w:p>
      <w:pPr>
        <w:ind w:left="1000" w:right="140" w:hanging="368"/>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spacing w:after="0" w:line="15" w:lineRule="exact"/>
        <w:rPr>
          <w:rFonts w:ascii="Arial" w:cs="Arial" w:eastAsia="Arial" w:hAnsi="Arial"/>
          <w:sz w:val="16"/>
          <w:szCs w:val="16"/>
          <w:color w:val="auto"/>
        </w:rPr>
      </w:pPr>
    </w:p>
    <w:p>
      <w:pPr>
        <w:ind w:left="1000" w:right="160" w:hanging="36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any third-party contractors, investigators or contract research organizations, or CROs,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1000" w:right="160" w:hanging="36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or product candidates in particular; or</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 including the EMA.</w:t>
      </w:r>
    </w:p>
    <w:p>
      <w:pPr>
        <w:spacing w:after="0" w:line="225" w:lineRule="exact"/>
        <w:rPr>
          <w:sz w:val="20"/>
          <w:szCs w:val="20"/>
          <w:color w:val="auto"/>
        </w:rPr>
      </w:pPr>
    </w:p>
    <w:p>
      <w:pPr>
        <w:ind w:right="100" w:firstLine="509"/>
        <w:spacing w:after="0" w:line="258" w:lineRule="auto"/>
        <w:rPr>
          <w:sz w:val="20"/>
          <w:szCs w:val="20"/>
          <w:color w:val="auto"/>
        </w:rPr>
      </w:pPr>
      <w:r>
        <w:rPr>
          <w:rFonts w:ascii="Arial" w:cs="Arial" w:eastAsia="Arial" w:hAnsi="Arial"/>
          <w:sz w:val="18"/>
          <w:szCs w:val="18"/>
          <w:color w:val="auto"/>
        </w:rPr>
        <w:t>Because CABs represent a new generation of antibodies, a delay or failure in development of any CAB product candidate could represent a major set-back for our patented technology platform and for our company generally.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4" w:name="page25"/>
    <w:bookmarkEnd w:id="24"/>
    <w:p>
      <w:pPr>
        <w:ind w:right="440"/>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our patented CAB technology platform, and our future success depends heavily on the successful development of this platform.</w:t>
      </w:r>
    </w:p>
    <w:p>
      <w:pPr>
        <w:spacing w:after="0" w:line="62"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We use our CAB technology platform to develop product candidates for cancer therapies.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could be required to abandon or redesign all of our current product candidates, which could have a material adverse effect on our business, financial condition, results of operations and prospects.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patented CAB technology platform to continue to build a pipeline of product candidates and develop marketable products.</w:t>
      </w:r>
    </w:p>
    <w:p>
      <w:pPr>
        <w:spacing w:after="0" w:line="6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are using our patented technology platform to develop CABs in oncology indications with our lead product candidates mecbotamab vedotin and ozuriftamab vedotin, as well as continuing to build our pipeline of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spacing w:after="0" w:line="2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expend our resources to pursue particular product candidates and fail to capitalize on product candidates that may be more profitable or for which there is a greater likelihood of success.</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develop are smaller than we believe they are, our revenue may be adversely affected and our business may suffer.</w:t>
      </w:r>
    </w:p>
    <w:p>
      <w:pPr>
        <w:spacing w:after="0" w:line="62" w:lineRule="exact"/>
        <w:rPr>
          <w:sz w:val="20"/>
          <w:szCs w:val="20"/>
          <w:color w:val="auto"/>
        </w:rPr>
      </w:pPr>
    </w:p>
    <w:p>
      <w:pPr>
        <w:ind w:right="100" w:firstLine="509"/>
        <w:spacing w:after="0" w:line="266" w:lineRule="auto"/>
        <w:rPr>
          <w:sz w:val="20"/>
          <w:szCs w:val="20"/>
          <w:color w:val="auto"/>
        </w:rPr>
      </w:pPr>
      <w:r>
        <w:rPr>
          <w:rFonts w:ascii="Arial" w:cs="Arial" w:eastAsia="Arial" w:hAnsi="Arial"/>
          <w:sz w:val="17"/>
          <w:szCs w:val="17"/>
          <w:color w:val="auto"/>
        </w:rPr>
        <w:t>We focus our product candidate development on therapeutic CAB antibodies for the treatment of various oncology indications, such as soft tissue and bone sarcoma, NSCLC, melanoma, ovarian cancer,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In addition, the subset of patients that are likely to respond to our product candidates, as identified by our quantitative biomarker assay/Target Membrane Percent Score ("TmPS"), may not correspond with and may be smaller than what market data may indicate.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5" w:name="page26"/>
    <w:bookmarkEnd w:id="25"/>
    <w:p>
      <w:pPr>
        <w:ind w:right="320"/>
        <w:spacing w:after="0" w:line="277"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because they are based on our novel therapeutic modality, and we may not generate any future revenue from the sale or licensing of product candidates.</w:t>
      </w:r>
    </w:p>
    <w:p>
      <w:pPr>
        <w:spacing w:after="0" w:line="6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spacing w:after="0" w:line="68" w:lineRule="exact"/>
        <w:rPr>
          <w:sz w:val="20"/>
          <w:szCs w:val="20"/>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our receipt of any marketing and commercialization approvals;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safety and efficacy of our product candidates;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or warnings contained in any labeling approved by the FDA or other regulatory authority, including the EMA;</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patients to obtain biopsies to determine the TmPS score for treatment eligibility;</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 candidates;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patients to accept any new methods of administration;</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any physician education programs;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adequate government and third-party payor reimbursement;</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17" w:lineRule="exact"/>
        <w:rPr>
          <w:rFonts w:ascii="Arial" w:cs="Arial" w:eastAsia="Arial" w:hAnsi="Arial"/>
          <w:sz w:val="18"/>
          <w:szCs w:val="18"/>
          <w:color w:val="auto"/>
        </w:rPr>
      </w:pPr>
    </w:p>
    <w:p>
      <w:pPr>
        <w:ind w:left="1000" w:right="140" w:hanging="36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alternative effective treatments for the disease indications our product candidates are intended to treat and the relative risks, benefits and costs of those treatments.</w:t>
      </w:r>
    </w:p>
    <w:p>
      <w:pPr>
        <w:spacing w:after="0" w:line="170"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62" w:lineRule="exact"/>
        <w:rPr>
          <w:sz w:val="20"/>
          <w:szCs w:val="20"/>
          <w:color w:val="auto"/>
        </w:rPr>
      </w:pPr>
    </w:p>
    <w:p>
      <w:pPr>
        <w:ind w:right="160" w:firstLine="509"/>
        <w:spacing w:after="0" w:line="269" w:lineRule="auto"/>
        <w:rPr>
          <w:sz w:val="20"/>
          <w:szCs w:val="20"/>
          <w:color w:val="auto"/>
        </w:rPr>
      </w:pPr>
      <w:r>
        <w:rPr>
          <w:rFonts w:ascii="Arial" w:cs="Arial" w:eastAsia="Arial" w:hAnsi="Arial"/>
          <w:sz w:val="17"/>
          <w:szCs w:val="17"/>
          <w:color w:val="auto"/>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including in our Phase 2 clinical trials of mecbotamab vedotin for the treatment of soft tissue and bone sarcoma and for the treatment of refractory NSCLC, in our Phase 2 clinical trial of ozuriftamab vedotin for the treatment of refractory melanoma and NSCLC and in any subsequent or post-marketing confirmatory clinical trials.</w:t>
      </w:r>
    </w:p>
    <w:p>
      <w:pPr>
        <w:spacing w:after="0" w:line="77" w:lineRule="exact"/>
        <w:rPr>
          <w:sz w:val="20"/>
          <w:szCs w:val="20"/>
          <w:color w:val="auto"/>
        </w:rPr>
      </w:pPr>
    </w:p>
    <w:p>
      <w:pPr>
        <w:ind w:right="60" w:firstLine="509"/>
        <w:spacing w:after="0" w:line="266" w:lineRule="auto"/>
        <w:rPr>
          <w:sz w:val="20"/>
          <w:szCs w:val="20"/>
          <w:color w:val="auto"/>
        </w:rPr>
      </w:pPr>
      <w:r>
        <w:rPr>
          <w:rFonts w:ascii="Arial" w:cs="Arial" w:eastAsia="Arial" w:hAnsi="Arial"/>
          <w:sz w:val="17"/>
          <w:szCs w:val="17"/>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For example, we have initiated potentially registration-enabling Phase 2 trials for mecbotamab vedotin in treatment-refractory sarcoma patients. Based on recent FDA written responses, we are initiating part 2 of our Phase 2 trial in undifferentiated pleomorphic sarcoma (UPS) and anticipate study enrollment to commence by year end. However, we cannot assure you that the FDA will agree that the results from this trial or other trials will be sufficient to support approval of any of our product candidates. For example, the objective response rates on our primary endpoints may not be sufficient, we may not demonstrate a sufficient duration of response, or there may be limitations with the total sample size of our studies and dose selection strategy.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ind w:right="300"/>
        <w:spacing w:after="0" w:line="342" w:lineRule="auto"/>
        <w:rPr>
          <w:sz w:val="20"/>
          <w:szCs w:val="20"/>
          <w:color w:val="auto"/>
        </w:rPr>
      </w:pPr>
      <w:r>
        <w:rPr>
          <w:rFonts w:ascii="Arial" w:cs="Arial" w:eastAsia="Arial" w:hAnsi="Arial"/>
          <w:sz w:val="16"/>
          <w:szCs w:val="16"/>
          <w:color w:val="auto"/>
        </w:rPr>
        <w:t>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spacing w:after="0" w:line="16"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Furthermore, while multi-center investigator-initiated clinical trials of mecbotamab vedotin and ozuriftamab vedotin in patients with platinum-resistant ovarian cancer started to enroll patients in Canada in 2022,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investigator-initiated trials are inconsistent with, or different from, the results of our ongoing or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form the basis for regulatory approval of our product candidates.</w:t>
      </w:r>
    </w:p>
    <w:p>
      <w:pPr>
        <w:spacing w:after="0" w:line="30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Preliminary, preplanned interim and topline data from our clinical trials that we announce or publish from time to time may change as more patient data become available and/or are subject to audit and verification procedures that could result in material changes in the final data.</w:t>
      </w:r>
    </w:p>
    <w:p>
      <w:pPr>
        <w:spacing w:after="0" w:line="16"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72"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2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Delays in the commencement and completion of clinical trials could increase costs and delay or prevent regulatory approval and commercialization of our product candidates.</w:t>
      </w:r>
    </w:p>
    <w:p>
      <w:pPr>
        <w:spacing w:after="0" w:line="62" w:lineRule="exact"/>
        <w:rPr>
          <w:sz w:val="20"/>
          <w:szCs w:val="20"/>
          <w:color w:val="auto"/>
        </w:rPr>
      </w:pPr>
    </w:p>
    <w:p>
      <w:pPr>
        <w:jc w:val="both"/>
        <w:ind w:right="100" w:firstLine="509"/>
        <w:spacing w:after="0" w:line="286" w:lineRule="auto"/>
        <w:rPr>
          <w:sz w:val="20"/>
          <w:szCs w:val="20"/>
          <w:color w:val="auto"/>
        </w:rPr>
      </w:pPr>
      <w:r>
        <w:rPr>
          <w:rFonts w:ascii="Arial" w:cs="Arial" w:eastAsia="Arial" w:hAnsi="Arial"/>
          <w:sz w:val="17"/>
          <w:szCs w:val="17"/>
          <w:color w:val="auto"/>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spacing w:after="0" w:line="57" w:lineRule="exact"/>
        <w:rPr>
          <w:sz w:val="20"/>
          <w:szCs w:val="20"/>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preclinical data;</w:t>
      </w:r>
    </w:p>
    <w:p>
      <w:pPr>
        <w:spacing w:after="0" w:line="117" w:lineRule="exact"/>
        <w:rPr>
          <w:rFonts w:ascii="Arial" w:cs="Arial" w:eastAsia="Arial" w:hAnsi="Arial"/>
          <w:sz w:val="18"/>
          <w:szCs w:val="18"/>
          <w:color w:val="auto"/>
        </w:rPr>
      </w:pPr>
    </w:p>
    <w:p>
      <w:pPr>
        <w:ind w:left="1000" w:right="540" w:hanging="36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receiving the required regulatory clearance from the appropriate regulatory authorities to commence clinical trials or amend clinical trial protocols, including any objections to our INDs or protocol amendments from the FDA;</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reaching, or a failure to reach, a consensus with regulatory authorities on study design;</w:t>
      </w:r>
    </w:p>
    <w:p>
      <w:pPr>
        <w:spacing w:after="0" w:line="117" w:lineRule="exact"/>
        <w:rPr>
          <w:rFonts w:ascii="Arial" w:cs="Arial" w:eastAsia="Arial" w:hAnsi="Arial"/>
          <w:sz w:val="18"/>
          <w:szCs w:val="18"/>
          <w:color w:val="auto"/>
        </w:rPr>
      </w:pPr>
    </w:p>
    <w:p>
      <w:pPr>
        <w:ind w:left="1000" w:right="160" w:hanging="368"/>
        <w:spacing w:after="0" w:line="258"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CROs and clinical trial sites, the terms of which can be subject to extensive negotiation and may vary significantly among different CROs and trial sites;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obtaining IRB approval at each site;</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in recruiting suitable patients to participate in a trial;</w:t>
      </w:r>
    </w:p>
    <w:p>
      <w:pPr>
        <w:spacing w:after="0" w:line="117" w:lineRule="exact"/>
        <w:rPr>
          <w:rFonts w:ascii="Arial" w:cs="Arial" w:eastAsia="Arial" w:hAnsi="Arial"/>
          <w:sz w:val="18"/>
          <w:szCs w:val="18"/>
          <w:color w:val="auto"/>
        </w:rPr>
      </w:pPr>
    </w:p>
    <w:p>
      <w:pPr>
        <w:ind w:left="1000" w:right="200" w:hanging="36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clinical trials to ensure adequate statistical power to detect statistically significant treatment effects;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having patients complete a trial or return for post-treatment follow-up;</w:t>
      </w:r>
    </w:p>
    <w:p>
      <w:pPr>
        <w:spacing w:after="0" w:line="117" w:lineRule="exact"/>
        <w:rPr>
          <w:rFonts w:ascii="Arial" w:cs="Arial" w:eastAsia="Arial" w:hAnsi="Arial"/>
          <w:sz w:val="18"/>
          <w:szCs w:val="18"/>
          <w:color w:val="auto"/>
        </w:rPr>
      </w:pPr>
    </w:p>
    <w:p>
      <w:pPr>
        <w:ind w:left="1000" w:right="60" w:hanging="36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CROs or clinical trial sites failing to comply with regulatory requirements or meet their contractual obligations to us in a timely manner, or at all, deviating from the protocol or dropping out of a clinical trial;</w:t>
      </w:r>
    </w:p>
    <w:p>
      <w:pPr>
        <w:spacing w:after="0" w:line="62" w:lineRule="exact"/>
        <w:rPr>
          <w:rFonts w:ascii="Arial" w:cs="Arial" w:eastAsia="Arial" w:hAnsi="Arial"/>
          <w:sz w:val="18"/>
          <w:szCs w:val="18"/>
          <w:color w:val="auto"/>
        </w:rPr>
      </w:pPr>
    </w:p>
    <w:p>
      <w:pPr>
        <w:ind w:left="1000" w:right="180" w:hanging="36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safety issues, including occurrence of treatment emergent adverse events, or TEAEs, associated with the product candidate that are viewed to outweigh the product candidate’s potential benefits;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adding new clinical trial sites;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ambiguous or negative interim results;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in manufacturing sufficient quantities of product candidate acceptable for use in clinical trials in a timely manner, or at all; or</w:t>
      </w:r>
    </w:p>
    <w:p>
      <w:pPr>
        <w:spacing w:after="0" w:line="128" w:lineRule="exact"/>
        <w:rPr>
          <w:rFonts w:ascii="Arial" w:cs="Arial" w:eastAsia="Arial" w:hAnsi="Arial"/>
          <w:sz w:val="17"/>
          <w:szCs w:val="17"/>
          <w:color w:val="auto"/>
        </w:rPr>
      </w:pPr>
    </w:p>
    <w:p>
      <w:pPr>
        <w:ind w:left="1000" w:hanging="368"/>
        <w:spacing w:after="0" w:line="259"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COVID-19 pandemic, which continues to adversely affect the pace of patient enrollment in clinical trials, also has caused clinical sites to redirect personnel and resources to focus on immediate and often unplanned numbers and needs of COVID-19 patients. In addition, the pandemic may result in clinical site closures, delays to patient enrollment, patients discontinuing their treatment or follow up visits or changes to trial protocols.</w:t>
      </w:r>
    </w:p>
    <w:p>
      <w:pPr>
        <w:spacing w:after="0" w:line="187"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in which such trials are being conducted, by a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spacing w:after="0" w:line="200"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spacing w:after="0" w:line="2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62"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 For example, we may face difficulty enrolling a sufficient number of patients in a timely manner in our clinical trials for mecbotamab vedotin and ozuriftamab vedotin due to the limited number of suitable patients meeting the required AXL or ROR2 tumor membrane expression levels.</w:t>
      </w:r>
    </w:p>
    <w:p>
      <w:pPr>
        <w:spacing w:after="0" w:line="68" w:lineRule="exact"/>
        <w:rPr>
          <w:sz w:val="20"/>
          <w:szCs w:val="20"/>
          <w:color w:val="auto"/>
        </w:rPr>
      </w:pPr>
    </w:p>
    <w:p>
      <w:pPr>
        <w:ind w:right="40" w:firstLine="509"/>
        <w:spacing w:after="0" w:line="267" w:lineRule="auto"/>
        <w:rPr>
          <w:sz w:val="20"/>
          <w:szCs w:val="20"/>
          <w:color w:val="auto"/>
        </w:rPr>
      </w:pPr>
      <w:r>
        <w:rPr>
          <w:rFonts w:ascii="Arial" w:cs="Arial" w:eastAsia="Arial" w:hAnsi="Arial"/>
          <w:sz w:val="17"/>
          <w:szCs w:val="17"/>
          <w:color w:val="auto"/>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the COVID-19 pandemic or other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right="140"/>
        <w:spacing w:after="0" w:line="279" w:lineRule="auto"/>
        <w:rPr>
          <w:sz w:val="20"/>
          <w:szCs w:val="20"/>
          <w:color w:val="auto"/>
        </w:rPr>
      </w:pPr>
      <w:r>
        <w:rPr>
          <w:rFonts w:ascii="Arial" w:cs="Arial" w:eastAsia="Arial" w:hAnsi="Arial"/>
          <w:sz w:val="17"/>
          <w:szCs w:val="17"/>
          <w:color w:val="auto"/>
        </w:rPr>
        <w:t>Furthermore, any negative results or new safety signals we may report in clinical trials of our product candidates may make it difficult or impossible to recruit and retain patients in other clinical trials we are conducting. Similarly,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63"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spacing w:after="0" w:line="295" w:lineRule="exact"/>
        <w:rPr>
          <w:sz w:val="20"/>
          <w:szCs w:val="20"/>
          <w:color w:val="auto"/>
        </w:rPr>
      </w:pPr>
    </w:p>
    <w:p>
      <w:pPr>
        <w:ind w:right="480"/>
        <w:spacing w:after="0" w:line="375" w:lineRule="auto"/>
        <w:rPr>
          <w:sz w:val="20"/>
          <w:szCs w:val="20"/>
          <w:color w:val="auto"/>
        </w:rPr>
      </w:pPr>
      <w:r>
        <w:rPr>
          <w:rFonts w:ascii="Arial" w:cs="Arial" w:eastAsia="Arial" w:hAnsi="Arial"/>
          <w:sz w:val="15"/>
          <w:szCs w:val="15"/>
          <w:b w:val="1"/>
          <w:bCs w:val="1"/>
          <w:i w:val="1"/>
          <w:iCs w:val="1"/>
          <w:color w:val="auto"/>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spacing w:after="0" w:line="1"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spacing w:after="0" w:line="192"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In our clinical trials for mecbotamab vedotin and ozuriftamab vedotin, we have observed adverse events such as reversible myelosuppression, transient liver enzyme elevations, pyrexia, or fever, metabolic disturbances and peripheral neuropathy.</w:t>
      </w:r>
    </w:p>
    <w:p>
      <w:pPr>
        <w:spacing w:after="0" w:line="170"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w:t>
      </w:r>
    </w:p>
    <w:p>
      <w:pPr>
        <w:spacing w:after="0" w:line="188"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mecbotamab vedotin and ozuriftamab vedotin have demonstrated manageable tolerability profiles thus far, we cannot assure you that these and our other product candidates will not cause more severe side effects in a greater proportion of patients.</w:t>
      </w:r>
    </w:p>
    <w:p>
      <w:pPr>
        <w:spacing w:after="0" w:line="18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In addition, mecbotamab vedotin and ozuriftamab vedotin are being studied in combination with other therapies, which may exacerbate adverse events associated with the therapy. Patients treated with mecbotamab vedotin, ozuriftamab vedotin or our other product candidates may also be undergoing surgical, radiation or chemotherapy treatments, which can cause side effects or adverse events that are unrelated to our product candidate but may still impact the success of our clinical trials.</w:t>
      </w:r>
    </w:p>
    <w:p>
      <w:pPr>
        <w:spacing w:after="0" w:line="187"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our mecbotamab vedotin and ozuriftamab vedotin clinical trials may die or experience major clinical events either during the course of our clinical trials or after participating in such trials due mainly to the gravity of their illness, which has occurred in the past.</w:t>
      </w:r>
    </w:p>
    <w:p>
      <w:pPr>
        <w:spacing w:after="0" w:line="17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In the event that any of our product candidates receive regulatory approval, and we or others later identify undesirable and unforeseen side effects caused by such product, negative consequences, including any of the following, could occur:</w:t>
      </w:r>
    </w:p>
    <w:p>
      <w:pPr>
        <w:spacing w:after="0" w:line="62" w:lineRule="exact"/>
        <w:rPr>
          <w:sz w:val="20"/>
          <w:szCs w:val="20"/>
          <w:color w:val="auto"/>
        </w:rPr>
      </w:pPr>
    </w:p>
    <w:p>
      <w:pPr>
        <w:ind w:left="1000" w:right="520" w:hanging="36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their approval of such product, or seek an injunction against its manufacture or distribution;</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conduct additional clinical trials or post-approval studies;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requested or required to recall a product or change the way such product is administered to patients;</w:t>
      </w:r>
    </w:p>
    <w:p>
      <w:pPr>
        <w:spacing w:after="0" w:line="117" w:lineRule="exact"/>
        <w:rPr>
          <w:rFonts w:ascii="Arial" w:cs="Arial" w:eastAsia="Arial" w:hAnsi="Arial"/>
          <w:sz w:val="18"/>
          <w:szCs w:val="18"/>
          <w:color w:val="auto"/>
        </w:rPr>
      </w:pPr>
    </w:p>
    <w:p>
      <w:pPr>
        <w:ind w:left="1000" w:right="380" w:hanging="368"/>
        <w:spacing w:after="0" w:line="258"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jc w:val="both"/>
        <w:ind w:left="1000" w:right="80" w:hanging="368"/>
        <w:spacing w:after="0" w:line="342"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spacing w:after="0" w:line="15" w:lineRule="exact"/>
        <w:rPr>
          <w:rFonts w:ascii="Arial" w:cs="Arial" w:eastAsia="Arial" w:hAnsi="Arial"/>
          <w:sz w:val="16"/>
          <w:szCs w:val="16"/>
          <w:color w:val="auto"/>
        </w:rPr>
      </w:pPr>
    </w:p>
    <w:p>
      <w:pPr>
        <w:ind w:left="1000" w:right="560" w:hanging="36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implement a REMs and/or create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right="20" w:firstLine="509"/>
        <w:spacing w:after="0" w:line="311"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spacing w:after="0" w:line="2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developing certain of our product candidates in combination with other therapies, and regulatory approval, safety or supply issues with these other therapies may delay or prevent the development and approval of our product candidates.</w:t>
      </w:r>
    </w:p>
    <w:p>
      <w:pPr>
        <w:spacing w:after="0" w:line="6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Currently, we are evaluating the use of each of mecbotamab vedotin and ozuriftamab vedotin in combination with an anti-PD-1 inhibitor and plan to evaluate the use of BA3071 in combination with an anti-PD-1 inhibitor.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spacing w:after="0" w:line="19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It is expected that BA3071 will also be evaluated in combination with an anti-PD-1 antibody in late stage development for solid tumor patients.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95"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2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If safe and effective use of any of our product candidates, such as mecbotamab vedotin and ozuriftamab vedotin, depends on a companion diagnostic test, then the FDA generally will require approval or clearance of that companion diagnostic before or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spacing w:after="0" w:line="84"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We are exploring predictive biomarkers to determine patient selection for our clinical trials. Specifically, to help inform which patients may be most suitable for treatment with mecbotamab vedotin and ozuriftamab vedotin, we have developed a quantitative biomarker assay that has been validated in accordance with CLIA requirements, the TmPS, which measures AXL and ROR2 expression levels on the tumor membrane. We are using both AXL and ROR2 TmPS scores in our ongoing clinical trials and they may be used for patient selection in future clinical trials. If the AXL and ROR2 TmPS scores prove to be a useful method for patient selection, we will incorporate the specific diagnostic test into our potentially registration-enabling studies and have partnered with a diagnostic provider to codevelop a companion diagnostic.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ind w:firstLine="509"/>
        <w:spacing w:after="0" w:line="285" w:lineRule="auto"/>
        <w:rPr>
          <w:sz w:val="20"/>
          <w:szCs w:val="20"/>
          <w:color w:val="auto"/>
        </w:rPr>
      </w:pPr>
      <w:r>
        <w:rPr>
          <w:rFonts w:ascii="Arial" w:cs="Arial" w:eastAsia="Arial" w:hAnsi="Arial"/>
          <w:sz w:val="16"/>
          <w:szCs w:val="16"/>
          <w:color w:val="auto"/>
        </w:rPr>
        <w:t>If use of a companion diagnostic test is essential for the safe and effective use of any of our product candidates, such as mecbotamab vedotin and ozuriftamab vedotin, then the FDA generally will require approval or clearance of that companion diagnostic before or at the same time that the FDA approves our product candidates, if at all. The FDA has generally required in vitro companion diagnostics intended to select the patients who will respond to cancer treatment to obtain a PMA for that diagnostic simultaneously with approval of the therapeutic. The process of obtaining or creating such diagnostic and obtaining PMA approval is time-consuming and costly and a delay in diagnostic approval could delay drug approval.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adversely affect our business, financial condition, results of operations and prospects.</w:t>
      </w:r>
    </w:p>
    <w:p>
      <w:pPr>
        <w:spacing w:after="0" w:line="68"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We expect to rely on third parties for the design, development and manufacture of companion diagnostic tests for our product candidates that require such tests. 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spacing w:after="0" w:line="303"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41"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safer and more effective than competing products. Our commercial opportunity and success will be reduced or eliminated if competing products are safer, more effective or less expensive than the therapeutics we develop.</w:t>
      </w:r>
    </w:p>
    <w:p>
      <w:pPr>
        <w:spacing w:after="0" w:line="19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Although we do not believe competing companies have selective CAB technology, there is a wide array of activity in multiple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spacing w:after="0" w:line="185"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ind w:right="100"/>
        <w:spacing w:after="0" w:line="272" w:lineRule="auto"/>
        <w:rPr>
          <w:sz w:val="20"/>
          <w:szCs w:val="20"/>
          <w:color w:val="auto"/>
        </w:rPr>
      </w:pPr>
      <w:r>
        <w:rPr>
          <w:rFonts w:ascii="Arial" w:cs="Arial" w:eastAsia="Arial" w:hAnsi="Arial"/>
          <w:sz w:val="17"/>
          <w:szCs w:val="17"/>
          <w:color w:val="auto"/>
        </w:rPr>
        <w:t>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77"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78"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biologic product candidates for which we intend to seek approval may face competition through an abbreviated pathway.</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ACA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spacing w:after="0" w:line="73"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any product candidates we may develop to be reference products for competing products, potentially creating the opportunity for generic competition sooner than anticipated.</w:t>
      </w:r>
    </w:p>
    <w:p>
      <w:pPr>
        <w:spacing w:after="0" w:line="29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failure could have a material and adverse effect on our business, financial condition, results of operations and prospects.</w:t>
      </w:r>
    </w:p>
    <w:p>
      <w:pPr>
        <w:spacing w:after="0" w:line="62" w:lineRule="exact"/>
        <w:rPr>
          <w:sz w:val="20"/>
          <w:szCs w:val="20"/>
          <w:color w:val="auto"/>
        </w:rPr>
      </w:pPr>
    </w:p>
    <w:p>
      <w:pPr>
        <w:ind w:right="20" w:firstLine="509"/>
        <w:spacing w:after="0" w:line="266" w:lineRule="auto"/>
        <w:rPr>
          <w:sz w:val="20"/>
          <w:szCs w:val="20"/>
          <w:color w:val="auto"/>
        </w:rPr>
      </w:pPr>
      <w:r>
        <w:rPr>
          <w:rFonts w:ascii="Arial" w:cs="Arial" w:eastAsia="Arial" w:hAnsi="Arial"/>
          <w:sz w:val="17"/>
          <w:szCs w:val="17"/>
          <w:color w:val="auto"/>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obtain U.S. or foreign regulatory approval and, as a result, unable to commercialize our product candidates.</w:t>
      </w:r>
    </w:p>
    <w:p>
      <w:pPr>
        <w:spacing w:after="0" w:line="117"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spacing w:after="0" w:line="178"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We have not completed any large-scale or pivotal clinical trials nor managed the regulatory approval process with the FDA or any other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For example, the Oncology Center of Excellence within the FDA has recently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 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and Project Equity, which is an initiative to ensure that the data submitted to the FDA for approval of oncology medical products adequately reflects the demographic representation of patients for whom the medical products are intended. We are considering these and other policy changes as they relate to our programs.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our product candidates could fail to receive regulatory approval for many reasons including the following:</w:t>
      </w:r>
    </w:p>
    <w:p>
      <w:pPr>
        <w:spacing w:after="0" w:line="117" w:lineRule="exact"/>
        <w:rPr>
          <w:sz w:val="20"/>
          <w:szCs w:val="20"/>
          <w:color w:val="auto"/>
        </w:rPr>
      </w:pPr>
    </w:p>
    <w:p>
      <w:pPr>
        <w:ind w:left="1000" w:hanging="36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1000" w:right="20" w:hanging="36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pure and potent for its proposed indication;</w:t>
      </w:r>
    </w:p>
    <w:p>
      <w:pPr>
        <w:spacing w:after="0" w:line="62" w:lineRule="exact"/>
        <w:rPr>
          <w:rFonts w:ascii="Arial" w:cs="Arial" w:eastAsia="Arial" w:hAnsi="Arial"/>
          <w:sz w:val="18"/>
          <w:szCs w:val="18"/>
          <w:color w:val="auto"/>
        </w:rPr>
      </w:pPr>
    </w:p>
    <w:p>
      <w:pPr>
        <w:ind w:left="1000" w:right="360" w:hanging="36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of clinical trials may fail to achieve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hanging="408"/>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demonstrate that the dose for the product candidate has been optimized;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demonstrate a sufficient response rate or duration of response for a product candidate;</w:t>
      </w:r>
    </w:p>
    <w:p>
      <w:pPr>
        <w:spacing w:after="0" w:line="117" w:lineRule="exact"/>
        <w:rPr>
          <w:rFonts w:ascii="Arial" w:cs="Arial" w:eastAsia="Arial" w:hAnsi="Arial"/>
          <w:sz w:val="18"/>
          <w:szCs w:val="18"/>
          <w:color w:val="auto"/>
        </w:rPr>
      </w:pPr>
    </w:p>
    <w:p>
      <w:pPr>
        <w:ind w:left="1000" w:right="600" w:hanging="36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submitted in support of regulatory approval;</w:t>
      </w:r>
    </w:p>
    <w:p>
      <w:pPr>
        <w:spacing w:after="0" w:line="62" w:lineRule="exact"/>
        <w:rPr>
          <w:rFonts w:ascii="Arial" w:cs="Arial" w:eastAsia="Arial" w:hAnsi="Arial"/>
          <w:sz w:val="18"/>
          <w:szCs w:val="18"/>
          <w:color w:val="auto"/>
        </w:rPr>
      </w:pPr>
    </w:p>
    <w:p>
      <w:pPr>
        <w:ind w:left="1000" w:right="140" w:hanging="368"/>
        <w:spacing w:after="0" w:line="308"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spacing w:after="0" w:line="38" w:lineRule="exact"/>
        <w:rPr>
          <w:rFonts w:ascii="Arial" w:cs="Arial" w:eastAsia="Arial" w:hAnsi="Arial"/>
          <w:sz w:val="17"/>
          <w:szCs w:val="17"/>
          <w:color w:val="auto"/>
        </w:rPr>
      </w:pPr>
    </w:p>
    <w:p>
      <w:pPr>
        <w:ind w:left="1000" w:hanging="36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our contractors may not meet the current Good Manufacturing Practices, or cGMPs, and other applicable requirements for</w:t>
      </w:r>
    </w:p>
    <w:p>
      <w:pPr>
        <w:spacing w:after="0" w:line="23" w:lineRule="exact"/>
        <w:rPr>
          <w:sz w:val="20"/>
          <w:szCs w:val="20"/>
          <w:color w:val="auto"/>
        </w:rPr>
      </w:pPr>
    </w:p>
    <w:p>
      <w:pPr>
        <w:ind w:left="1000" w:right="400"/>
        <w:spacing w:after="0" w:line="250" w:lineRule="auto"/>
        <w:rPr>
          <w:sz w:val="20"/>
          <w:szCs w:val="20"/>
          <w:color w:val="auto"/>
        </w:rPr>
      </w:pPr>
      <w:r>
        <w:rPr>
          <w:rFonts w:ascii="Arial" w:cs="Arial" w:eastAsia="Arial" w:hAnsi="Arial"/>
          <w:sz w:val="18"/>
          <w:szCs w:val="18"/>
          <w:color w:val="auto"/>
        </w:rPr>
        <w:t>manufacturing processes, procedures, documentation and facilities necessary for approval by the FDA or comparable foreign regulatory authorities.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3" w:name="page34"/>
    <w:bookmarkEnd w:id="33"/>
    <w:p>
      <w:pPr>
        <w:ind w:firstLine="509"/>
        <w:spacing w:after="0" w:line="272" w:lineRule="auto"/>
        <w:rPr>
          <w:sz w:val="20"/>
          <w:szCs w:val="20"/>
          <w:color w:val="auto"/>
        </w:rPr>
      </w:pPr>
      <w:r>
        <w:rPr>
          <w:rFonts w:ascii="Arial" w:cs="Arial" w:eastAsia="Arial" w:hAnsi="Arial"/>
          <w:sz w:val="17"/>
          <w:szCs w:val="17"/>
          <w:color w:val="auto"/>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77" w:lineRule="exact"/>
        <w:rPr>
          <w:sz w:val="20"/>
          <w:szCs w:val="20"/>
          <w:color w:val="auto"/>
        </w:rPr>
      </w:pPr>
    </w:p>
    <w:p>
      <w:pPr>
        <w:jc w:val="both"/>
        <w:ind w:right="160" w:firstLine="509"/>
        <w:spacing w:after="0" w:line="287" w:lineRule="auto"/>
        <w:rPr>
          <w:sz w:val="20"/>
          <w:szCs w:val="20"/>
          <w:color w:val="auto"/>
        </w:rPr>
      </w:pPr>
      <w:r>
        <w:rPr>
          <w:rFonts w:ascii="Arial" w:cs="Arial" w:eastAsia="Arial" w:hAnsi="Arial"/>
          <w:sz w:val="16"/>
          <w:szCs w:val="16"/>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Moreover, the time required to obtain approval may differ from that required to obtain FDA approval. Approval by the FDA does not ensure approval by regulatory authorities outside the United States and vice versa.</w:t>
      </w:r>
    </w:p>
    <w:p>
      <w:pPr>
        <w:spacing w:after="0" w:line="29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b w:val="1"/>
          <w:bCs w:val="1"/>
          <w:i w:val="1"/>
          <w:iCs w:val="1"/>
          <w:color w:val="auto"/>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8"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We intend to seek accelerated approval for mecbotamab vedotin and ozuriftamab vedotin, and we may seek accelerated approval for one or more of our other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sponsors are required to verify and describe the product’s clinical benefit generally in the form of confirmatory trials. These confirmatory trials must be completed with due diligence, and the FDA may require that the trial be designed, initiated, and/or fully enrolled prior to approval. If we were to pursue accelerated approval for a product candidate for a disease or condition, we would likely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unless we were able to demonstrate a meaningful advantage over the approved product.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76"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Prior to seeking accelerated approval for any of our product candidates, we intend to seek feedback from the FDA and will otherwise evaluate our ability to seek and receive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spacing w:after="0" w:line="70" w:lineRule="exact"/>
        <w:rPr>
          <w:sz w:val="20"/>
          <w:szCs w:val="20"/>
          <w:color w:val="auto"/>
        </w:rPr>
      </w:pPr>
    </w:p>
    <w:p>
      <w:pPr>
        <w:ind w:right="660" w:firstLine="509"/>
        <w:spacing w:after="0" w:line="258" w:lineRule="auto"/>
        <w:rPr>
          <w:sz w:val="20"/>
          <w:szCs w:val="20"/>
          <w:color w:val="auto"/>
        </w:rPr>
      </w:pPr>
      <w:r>
        <w:rPr>
          <w:rFonts w:ascii="Arial" w:cs="Arial" w:eastAsia="Arial" w:hAnsi="Arial"/>
          <w:sz w:val="18"/>
          <w:szCs w:val="18"/>
          <w:color w:val="auto"/>
        </w:rPr>
        <w:t>Recently, the accelerated approval pathway has come under scrutiny within the FDA and by Congress. The FDA has put increased focus on ensuring that confirmatory studies are conducted with diligence and, ultimately, that such studies confirm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right="740"/>
        <w:spacing w:after="0" w:line="277" w:lineRule="auto"/>
        <w:rPr>
          <w:sz w:val="20"/>
          <w:szCs w:val="20"/>
          <w:color w:val="auto"/>
        </w:rPr>
      </w:pPr>
      <w:r>
        <w:rPr>
          <w:rFonts w:ascii="Arial" w:cs="Arial" w:eastAsia="Arial" w:hAnsi="Arial"/>
          <w:sz w:val="18"/>
          <w:szCs w:val="18"/>
          <w:color w:val="auto"/>
        </w:rPr>
        <w:t>benefit. For example, the FDA has convened its Oncologic Drugs Advisory Committee to review what the FDA has called dangling or delinquent accelerated approvals where confirmatory studies have not been completed or where results did not confirm benefit.</w:t>
      </w:r>
    </w:p>
    <w:p>
      <w:pPr>
        <w:spacing w:after="0" w:line="62"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The recent enactment of FDORA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In addition, the Oncology Center of Excellence has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w:t>
      </w:r>
    </w:p>
    <w:p>
      <w:pPr>
        <w:spacing w:after="0" w:line="30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78"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The manufacturer and manufacturing facilities we use to make a future product, if any, will also be subject to periodic review and inspection by the FDA and other regulatory agencies,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8" w:lineRule="exact"/>
        <w:rPr>
          <w:sz w:val="20"/>
          <w:szCs w:val="20"/>
          <w:color w:val="auto"/>
        </w:rPr>
      </w:pPr>
    </w:p>
    <w:p>
      <w:pPr>
        <w:ind w:left="1000" w:hanging="36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the product from the market or voluntary or mandatory product recalls;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trials;</w:t>
      </w:r>
    </w:p>
    <w:p>
      <w:pPr>
        <w:spacing w:after="0" w:line="117" w:lineRule="exact"/>
        <w:rPr>
          <w:rFonts w:ascii="Arial" w:cs="Arial" w:eastAsia="Arial" w:hAnsi="Arial"/>
          <w:sz w:val="18"/>
          <w:szCs w:val="18"/>
          <w:color w:val="auto"/>
        </w:rPr>
      </w:pPr>
    </w:p>
    <w:p>
      <w:pPr>
        <w:ind w:left="1000" w:right="500" w:hanging="36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 of approval or refusal by the FDA or comparable regulatory authorities in other jurisdictions to approve pending applications or supplements to approved applications filed by us, our current collaborator or any future strategic partners;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suspension or revocation of product license approvals;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40" w:firstLine="509"/>
        <w:spacing w:after="0" w:line="252"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right="16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2"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7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spacing w:after="0" w:line="196"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For example, in the United States,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78" w:lineRule="exact"/>
        <w:rPr>
          <w:sz w:val="20"/>
          <w:szCs w:val="20"/>
          <w:color w:val="auto"/>
        </w:rPr>
      </w:pPr>
    </w:p>
    <w:p>
      <w:pPr>
        <w:ind w:right="120" w:firstLine="509"/>
        <w:spacing w:after="0" w:line="290" w:lineRule="auto"/>
        <w:rPr>
          <w:sz w:val="20"/>
          <w:szCs w:val="20"/>
          <w:color w:val="auto"/>
        </w:rPr>
      </w:pPr>
      <w:r>
        <w:rPr>
          <w:rFonts w:ascii="Arial" w:cs="Arial" w:eastAsia="Arial" w:hAnsi="Arial"/>
          <w:sz w:val="16"/>
          <w:szCs w:val="16"/>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of using step therapy for Part B drugs beginning January 1, 2020. This final rule codified CMS’s policy change that was effective January 1, 2019.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5"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spacing w:after="0" w:line="181"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ind w:right="80"/>
        <w:spacing w:after="0" w:line="272" w:lineRule="auto"/>
        <w:rPr>
          <w:sz w:val="20"/>
          <w:szCs w:val="20"/>
          <w:color w:val="auto"/>
        </w:rPr>
      </w:pPr>
      <w:r>
        <w:rPr>
          <w:rFonts w:ascii="Arial" w:cs="Arial" w:eastAsia="Arial" w:hAnsi="Arial"/>
          <w:sz w:val="17"/>
          <w:szCs w:val="17"/>
          <w:color w:val="auto"/>
        </w:rPr>
        <w:t>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mecbotamab vedotin as a treatment for soft tissue and bone sarcoma, physicians may nevertheless use our product for their patients in a manner that is inconsistent with the approved labeling. If we are found to have promoted such off-label uses, we may become subject to significant liability.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spacing w:after="0" w:line="2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Disruptions at the FDA, the SEC and other government agencies caused by, among other factors,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63"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or approved by necessary government agencies, which would adversely affect our business. For example, in recent years, notably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and subsequently, on March 18, 2020, the FDA announced its intention to temporarily postpone routine surveillance inspections of domestic manufacturing facilities. Subsequently, on July 20, 2020, the FDA announced its intention to resume certain domestic on-site inspections,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In addition, on April 15, 2021, the FDA issued a guidance document in which the FDA outlined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is otherwise limited by travel restrictions, but where the FDA determines that a remote evaluation would still be appropriate. Regulatory authorities outside the United States may adopt similar restrictions or other policy measures in response to the COVID-19 pandemic.</w:t>
      </w:r>
    </w:p>
    <w:p>
      <w:pPr>
        <w:spacing w:after="0" w:line="186"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Additionally, as of June 23, 2020, the FDA noted it was continuing to ensure timely reviews of applications for medical products during the COVID-19 pandemic in line with its user fee performance goals. On July 16, 2020, the FDA noted that it is continuing to expedite oncology product development with its staff teleworking full-time.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delays could impact our ability to access the public markets and obtain necessary capital in order to properly capitalize and continue our operations.</w:t>
      </w:r>
    </w:p>
    <w:p>
      <w:pPr>
        <w:spacing w:after="0" w:line="34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62"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29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suppliers and vendors may engage in misconduct or other improper activities, including noncompliance with regulatory standards and requirements.</w:t>
      </w:r>
    </w:p>
    <w:p>
      <w:pPr>
        <w:spacing w:after="0" w:line="62"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consultants, suppliers and vendors may engage in fraudulent conduct or other illegal activity. Misconduct by these parties could include intentional, reckless and/or negligent conduct or disclosure of unauthorized activities to us that violates: (i) FDA laws and regulations, including those laws that require the reporting of true, complete and accurate information to the FDA, (ii) manufacturing standards, (iii) federal and state healthcare fraud and abuse laws and regulations or (iv)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 including exclusion from government healthcare programs, and serious harm to our reputation.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0" w:lineRule="exact"/>
        <w:rPr>
          <w:sz w:val="20"/>
          <w:szCs w:val="20"/>
          <w:color w:val="auto"/>
        </w:rPr>
      </w:pPr>
    </w:p>
    <w:p>
      <w:pPr>
        <w:ind w:firstLine="509"/>
        <w:spacing w:after="0" w:line="266" w:lineRule="auto"/>
        <w:rPr>
          <w:sz w:val="20"/>
          <w:szCs w:val="20"/>
          <w:color w:val="auto"/>
        </w:rPr>
      </w:pPr>
      <w:r>
        <w:rPr>
          <w:rFonts w:ascii="Arial" w:cs="Arial" w:eastAsia="Arial" w:hAnsi="Arial"/>
          <w:sz w:val="17"/>
          <w:szCs w:val="17"/>
          <w:color w:val="auto"/>
        </w:rPr>
        <w:t>For example, in March 2010, the ACA was enacted, which substantially changed the way healthcare is financed by both the government and private insurers and significantly impacted the U.S. pharmaceutical industry. Among other things, the ACA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By way of example, the ACA increased manufacturers’ rebate liability under the Medicaid Drug Rebate Program, imposed a significant annual fee on companies that manufacture or import branded prescription drug products and required manufacturers to provide a discount off the negotiated price of prescriptions filled by beneficiaries in the Medicare Part D coverage gap, referred to as the “donut hole,” which is now 70% of the negotiated price. There have been executive, legislative and judicial efforts to modify, repeal, or otherwise invalidate all, or certain provisions of, the ACA. For example, the Tax Cuts and Jobs Act, among other things, included a provision that repealed,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spacing w:after="0" w:line="259" w:lineRule="auto"/>
        <w:rPr>
          <w:sz w:val="20"/>
          <w:szCs w:val="20"/>
          <w:color w:val="auto"/>
        </w:rPr>
      </w:pPr>
      <w:r>
        <w:rPr>
          <w:rFonts w:ascii="Arial" w:cs="Arial" w:eastAsia="Arial" w:hAnsi="Arial"/>
          <w:sz w:val="18"/>
          <w:szCs w:val="18"/>
          <w:color w:val="auto"/>
        </w:rPr>
        <w:t>procedural grounds that argued the ACA is unconstitutional in its entirety because the “individual mandate” was repealed by Congress. Thus, the ACA will remain in effect in its current form. It is possible that the ACA will be subject to judicial or Congressional challenges in the future. It is unclear how any future challenges to the ACA and the healthcare reform measures of the Biden administration will impact the ACA and our business. We are continuing to monitor any changes to the ACA that, in turn, may potentially impact our business in the future.</w:t>
      </w:r>
    </w:p>
    <w:p>
      <w:pPr>
        <w:spacing w:after="0" w:line="79"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included aggregate reductions to Medicare payments to providers of 2% per fiscal year. These reductions went into effect on April 1, 2013 and, due to subsequent legislative amendments to the statute, will remain in effect through 2030 unless additional Congressional action is taken, with the exception of a temporary suspension from May 1, 2020 through March 31, 2022, and a reduction to the sequestration cut to 1% from April 1, 2022 to June 30, 2022, due to the COVID-19 pandemic.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 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64"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Furthermore,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Inflation Reduction Act, or IRA, in August 2022, which will, among other things, allow HHS to negotiate the selling price of certain drugs and biologics that CMS reimburses under Medicare Part B and Part D, although only high-expenditure single-source biologics that have been approved for at least 11 years (7 years for drugs) can be selected by CMS for negotiation, with the negotiated price taking effect two years after the selection year. The negotiated prices, which will first become effective in 2026, will be capped at a statutory ceiling price. Beginning in October 2022 for Medicare Part D and January 2023 for Medicare Part B, the law also penalizes drug manufacturers that increase prices of Medicare Part D and Part B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will take effect progressively starting in 2023, although they may be subject to legal challenges. It is unclear to what extent other statutory, regulatory, and administrative initiatives will be enacted and implemented, and to what extent these or any future legislation or regulations by the Biden administration or subsequent administrations will have on our business, including market acceptance, and sales, of our products and product candidates.</w:t>
      </w:r>
    </w:p>
    <w:p>
      <w:pPr>
        <w:spacing w:after="0" w:line="284"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53"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49"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right="20" w:firstLine="509"/>
        <w:spacing w:after="0" w:line="255"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 It is possible that additional governmental action is taken to address the COVID-19 pandemic. For example, on April 18, 2020, CMS announced that QHP issuers under the ACA may suspend activities related to the collection and reporting of quality data that would have otherwise been reported between May and June 2020 given the challenges healthcare providers were facing responding to the COVID-19 virus.</w:t>
      </w:r>
    </w:p>
    <w:p>
      <w:pPr>
        <w:spacing w:after="0" w:line="84" w:lineRule="exact"/>
        <w:rPr>
          <w:sz w:val="20"/>
          <w:szCs w:val="20"/>
          <w:color w:val="auto"/>
        </w:rPr>
      </w:pPr>
    </w:p>
    <w:p>
      <w:pPr>
        <w:ind w:right="360" w:firstLine="509"/>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9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80"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68" w:lineRule="exact"/>
        <w:rPr>
          <w:sz w:val="20"/>
          <w:szCs w:val="20"/>
          <w:color w:val="auto"/>
        </w:rPr>
      </w:pPr>
    </w:p>
    <w:p>
      <w:pPr>
        <w:ind w:left="1000" w:right="100" w:hanging="368"/>
        <w:spacing w:after="0" w:line="25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79" w:lineRule="exact"/>
        <w:rPr>
          <w:rFonts w:ascii="Arial" w:cs="Arial" w:eastAsia="Arial" w:hAnsi="Arial"/>
          <w:sz w:val="18"/>
          <w:szCs w:val="18"/>
          <w:color w:val="auto"/>
        </w:rPr>
      </w:pPr>
    </w:p>
    <w:p>
      <w:pPr>
        <w:ind w:left="1000" w:right="60" w:hanging="368"/>
        <w:spacing w:after="0" w:line="255"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84" w:lineRule="exact"/>
        <w:rPr>
          <w:rFonts w:ascii="Arial" w:cs="Arial" w:eastAsia="Arial" w:hAnsi="Arial"/>
          <w:sz w:val="18"/>
          <w:szCs w:val="18"/>
          <w:color w:val="auto"/>
        </w:rPr>
      </w:pPr>
    </w:p>
    <w:p>
      <w:pPr>
        <w:ind w:left="1000" w:hanging="368"/>
        <w:spacing w:after="0" w:line="25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9" w:lineRule="exact"/>
        <w:rPr>
          <w:rFonts w:ascii="Arial" w:cs="Arial" w:eastAsia="Arial" w:hAnsi="Arial"/>
          <w:sz w:val="18"/>
          <w:szCs w:val="18"/>
          <w:color w:val="auto"/>
        </w:rPr>
      </w:pPr>
    </w:p>
    <w:p>
      <w:pPr>
        <w:ind w:left="1020" w:right="180" w:hanging="383"/>
        <w:spacing w:after="0" w:line="25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HIPAA, as amended by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79" w:lineRule="exact"/>
        <w:rPr>
          <w:rFonts w:ascii="Arial" w:cs="Arial" w:eastAsia="Arial" w:hAnsi="Arial"/>
          <w:sz w:val="18"/>
          <w:szCs w:val="18"/>
          <w:color w:val="auto"/>
        </w:rPr>
      </w:pPr>
    </w:p>
    <w:p>
      <w:pPr>
        <w:ind w:left="1000" w:right="660" w:hanging="36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and state consumer protection and unfair competition laws, which broadly regulate marketplace activities and activities that potentially harm customers;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U.S. Physician Payments Sunshine Act created under the ACA, and its implementing regulations, which require that certain</w:t>
      </w:r>
    </w:p>
    <w:p>
      <w:pPr>
        <w:spacing w:after="0" w:line="23" w:lineRule="exact"/>
        <w:rPr>
          <w:sz w:val="20"/>
          <w:szCs w:val="20"/>
          <w:color w:val="auto"/>
        </w:rPr>
      </w:pPr>
    </w:p>
    <w:p>
      <w:pPr>
        <w:ind w:left="1000" w:right="40"/>
        <w:spacing w:after="0" w:line="281" w:lineRule="auto"/>
        <w:rPr>
          <w:sz w:val="20"/>
          <w:szCs w:val="20"/>
          <w:color w:val="auto"/>
        </w:rPr>
      </w:pPr>
      <w:r>
        <w:rPr>
          <w:rFonts w:ascii="Arial" w:cs="Arial" w:eastAsia="Arial" w:hAnsi="Arial"/>
          <w:sz w:val="16"/>
          <w:szCs w:val="16"/>
          <w:color w:val="auto"/>
        </w:rPr>
        <w:t>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 hospitals, as well as ownership and investment interests held by the physicians described above and their immediate family members; 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left="1000" w:right="20" w:hanging="368"/>
        <w:spacing w:after="0" w:line="272"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77" w:lineRule="exact"/>
        <w:rPr>
          <w:sz w:val="20"/>
          <w:szCs w:val="20"/>
          <w:color w:val="auto"/>
        </w:rPr>
      </w:pPr>
    </w:p>
    <w:p>
      <w:pPr>
        <w:ind w:firstLine="509"/>
        <w:spacing w:after="0" w:line="266" w:lineRule="auto"/>
        <w:rPr>
          <w:sz w:val="20"/>
          <w:szCs w:val="20"/>
          <w:color w:val="auto"/>
        </w:rPr>
      </w:pPr>
      <w:r>
        <w:rPr>
          <w:rFonts w:ascii="Arial" w:cs="Arial" w:eastAsia="Arial" w:hAnsi="Arial"/>
          <w:sz w:val="17"/>
          <w:szCs w:val="17"/>
          <w:color w:val="auto"/>
        </w:rPr>
        <w:t>State and foreign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geographical scope of European Union data protection law to non-European Union entities under certain conditions, tightens existing European Union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 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 individual rights, with respect to personal information, and such laws may differ from each other, all of which may complicate compliance efforts. For example, the CCPA, as modified by the CPRA,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and CPRA may increase our compliance costs and potential liability, and similar laws have been proposed at the federal level and in other states.</w:t>
      </w:r>
    </w:p>
    <w:p>
      <w:pPr>
        <w:spacing w:after="0" w:line="198"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privacy and securities laws and regulations worldwide will involve substantial costs. If our operations are found to be in violation of any of the laws described above or any other governmental laws and regulations that may apply to us, we may be subject to regulatory investigations and enforcement actions, as well as civil private plaintiff litigation, which could mean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Responding to regulatory inquiries and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6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right="20"/>
        <w:spacing w:after="0" w:line="269" w:lineRule="auto"/>
        <w:rPr>
          <w:sz w:val="20"/>
          <w:szCs w:val="20"/>
          <w:color w:val="auto"/>
        </w:rPr>
      </w:pPr>
      <w:r>
        <w:rPr>
          <w:rFonts w:ascii="Arial" w:cs="Arial" w:eastAsia="Arial" w:hAnsi="Arial"/>
          <w:sz w:val="17"/>
          <w:szCs w:val="17"/>
          <w:color w:val="auto"/>
        </w:rPr>
        <w:t>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1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Certain laws and regulations may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29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62"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spacing w:after="0" w:line="164"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spacing w:after="0" w:line="187" w:lineRule="exact"/>
        <w:rPr>
          <w:sz w:val="20"/>
          <w:szCs w:val="20"/>
          <w:color w:val="auto"/>
        </w:rPr>
      </w:pPr>
    </w:p>
    <w:p>
      <w:pPr>
        <w:ind w:right="560" w:firstLine="509"/>
        <w:spacing w:after="0" w:line="258" w:lineRule="auto"/>
        <w:rPr>
          <w:sz w:val="20"/>
          <w:szCs w:val="20"/>
          <w:color w:val="auto"/>
        </w:rPr>
      </w:pPr>
      <w:r>
        <w:rPr>
          <w:rFonts w:ascii="Arial" w:cs="Arial" w:eastAsia="Arial" w:hAnsi="Arial"/>
          <w:sz w:val="18"/>
          <w:szCs w:val="18"/>
          <w:color w:val="auto"/>
        </w:rPr>
        <w:t>Environmental, health and safety laws and regulations are becoming increasingly more stringent. We may incur substantial costs in order to comply with current or future environmental, health and safety laws and regulations. These current or future laws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right="720"/>
        <w:spacing w:after="0" w:line="277" w:lineRule="auto"/>
        <w:rPr>
          <w:sz w:val="20"/>
          <w:szCs w:val="20"/>
          <w:color w:val="auto"/>
        </w:rPr>
      </w:pPr>
      <w:r>
        <w:rPr>
          <w:rFonts w:ascii="Arial" w:cs="Arial" w:eastAsia="Arial" w:hAnsi="Arial"/>
          <w:sz w:val="18"/>
          <w:szCs w:val="18"/>
          <w:color w:val="auto"/>
        </w:rPr>
        <w:t>regulations may impair our research, development or production efforts. Our failure to comply with these laws and regulations also may result in substantial fines, penalties or other sanctions.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attract and retain qualified senior management and key scientific personnel, our business may be materially and adversely affected.</w:t>
      </w:r>
    </w:p>
    <w:p>
      <w:pPr>
        <w:spacing w:after="0" w:line="140"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as well as our clinical development leaders,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spacing w:after="0" w:line="188"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Competition for qualified personnel in the pharmaceutical, biopharmaceutical and biotechnology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76"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spacing w:after="0" w:line="2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 among others:</w:t>
      </w:r>
    </w:p>
    <w:p>
      <w:pPr>
        <w:spacing w:after="0" w:line="76" w:lineRule="exact"/>
        <w:rPr>
          <w:sz w:val="20"/>
          <w:szCs w:val="20"/>
          <w:color w:val="auto"/>
        </w:rPr>
      </w:pPr>
    </w:p>
    <w:p>
      <w:pPr>
        <w:ind w:left="1000" w:hanging="36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020" w:right="260" w:hanging="383"/>
        <w:spacing w:after="0" w:line="26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regulatory review process for mecbotamab vedotin and ozuriftamab vedotin and any other product candidates, while complying with our contractual obligations to contractors and other third parties; and</w:t>
      </w:r>
    </w:p>
    <w:p>
      <w:pPr>
        <w:spacing w:after="0" w:line="75" w:lineRule="exact"/>
        <w:rPr>
          <w:rFonts w:ascii="Arial" w:cs="Arial" w:eastAsia="Arial" w:hAnsi="Arial"/>
          <w:sz w:val="18"/>
          <w:szCs w:val="18"/>
          <w:color w:val="auto"/>
        </w:rPr>
      </w:pPr>
    </w:p>
    <w:p>
      <w:pPr>
        <w:ind w:left="1000" w:hanging="36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right="320" w:firstLine="509"/>
        <w:spacing w:after="0" w:line="254"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mecbotamab vedotin, ozuriftamab vedotin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3" w:name="page44"/>
    <w:bookmarkEnd w:id="43"/>
    <w:p>
      <w:pPr>
        <w:ind w:right="20" w:firstLine="509"/>
        <w:spacing w:after="0" w:line="269" w:lineRule="auto"/>
        <w:rPr>
          <w:sz w:val="20"/>
          <w:szCs w:val="20"/>
          <w:color w:val="auto"/>
        </w:rPr>
      </w:pPr>
      <w:r>
        <w:rPr>
          <w:rFonts w:ascii="Arial" w:cs="Arial" w:eastAsia="Arial" w:hAnsi="Arial"/>
          <w:sz w:val="17"/>
          <w:szCs w:val="17"/>
          <w:color w:val="auto"/>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mecbotamab vedotin, ozuriftamab vedotin and any future product candidates and, accordingly, may not achieve our research, development and commercialization goals.</w:t>
      </w:r>
    </w:p>
    <w:p>
      <w:pPr>
        <w:spacing w:after="0" w:line="2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62" w:lineRule="exact"/>
        <w:rPr>
          <w:sz w:val="20"/>
          <w:szCs w:val="20"/>
          <w:color w:val="auto"/>
        </w:rPr>
      </w:pPr>
    </w:p>
    <w:p>
      <w:pPr>
        <w:ind w:right="80" w:firstLine="509"/>
        <w:spacing w:after="0" w:line="286" w:lineRule="auto"/>
        <w:rPr>
          <w:sz w:val="20"/>
          <w:szCs w:val="20"/>
          <w:color w:val="auto"/>
        </w:rPr>
      </w:pPr>
      <w:r>
        <w:rPr>
          <w:rFonts w:ascii="Arial" w:cs="Arial" w:eastAsia="Arial" w:hAnsi="Arial"/>
          <w:sz w:val="16"/>
          <w:szCs w:val="16"/>
          <w:color w:val="auto"/>
        </w:rPr>
        <w:t>We are exposed to the risk that our employees and independent contractors, including principal investigators, CROs, consultants and vendors may violate (intentionally or unintentionally) our internal processes and procedures, or engage in misconduct or other illegal activity. Such actions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w:t>
      </w:r>
    </w:p>
    <w:p>
      <w:pPr>
        <w:spacing w:after="0" w:line="1"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manufacturing standards, including cGMP requirements, (3) data privacy, security, fraud and abuse and other healthcare laws and regulations in the</w:t>
      </w:r>
    </w:p>
    <w:p>
      <w:pPr>
        <w:spacing w:after="0" w:line="32" w:lineRule="exact"/>
        <w:rPr>
          <w:rFonts w:ascii="Arial" w:cs="Arial" w:eastAsia="Arial" w:hAnsi="Arial"/>
          <w:sz w:val="16"/>
          <w:szCs w:val="16"/>
          <w:color w:val="auto"/>
        </w:rPr>
      </w:pPr>
    </w:p>
    <w:p>
      <w:pPr>
        <w:spacing w:after="0" w:line="285" w:lineRule="auto"/>
        <w:rPr>
          <w:rFonts w:ascii="Arial" w:cs="Arial" w:eastAsia="Arial" w:hAnsi="Arial"/>
          <w:sz w:val="16"/>
          <w:szCs w:val="16"/>
          <w:color w:val="auto"/>
        </w:rPr>
      </w:pPr>
      <w:r>
        <w:rPr>
          <w:rFonts w:ascii="Arial" w:cs="Arial" w:eastAsia="Arial" w:hAnsi="Arial"/>
          <w:sz w:val="16"/>
          <w:szCs w:val="16"/>
          <w:color w:val="auto"/>
        </w:rPr>
        <w:t>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prevent and deter these activities and/or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actions, including fraud or other misconduct, even if none occurred. If any such actions are instituted against us, we may incur significant costs to respond, and if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27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We depend on our information technology systems and those of our CROs, manufacturers, contractors and consultants. Our internal computer systems, or those of any of our CROs, manufacturers, other contractors, consultants, existing or future collaborators, may fail or suffer security or data privacy breaches or other unauthorized or improper access to, use or acquisition of or destruction of our proprietary and confidential data, employee data or personal data, which could result in additional costs, loss of revenue significant liabilities, harm to our reputation and material disruption of our operations.</w:t>
      </w:r>
    </w:p>
    <w:p>
      <w:pPr>
        <w:spacing w:after="0" w:line="80" w:lineRule="exact"/>
        <w:rPr>
          <w:sz w:val="20"/>
          <w:szCs w:val="20"/>
          <w:color w:val="auto"/>
        </w:rPr>
      </w:pPr>
    </w:p>
    <w:p>
      <w:pPr>
        <w:ind w:right="80" w:firstLine="509"/>
        <w:spacing w:after="0" w:line="266" w:lineRule="auto"/>
        <w:rPr>
          <w:sz w:val="20"/>
          <w:szCs w:val="20"/>
          <w:color w:val="auto"/>
        </w:rPr>
      </w:pPr>
      <w:r>
        <w:rPr>
          <w:rFonts w:ascii="Arial" w:cs="Arial" w:eastAsia="Arial" w:hAnsi="Arial"/>
          <w:sz w:val="17"/>
          <w:szCs w:val="17"/>
          <w:color w:val="auto"/>
        </w:rPr>
        <w:t>In the ordinary course of our business, we collect, store and transmit large amounts of confidential information, including intellectual property, proprietary business information and personal information. Despite the implementation of security measures, our internal computer systems and infrastructure and those of our current and any future CROs, manufacturers, other contractors, consultants, existing or future collaborators and other third-party service providers are vulnerable to unauthorized access, impairment, or damage from various methods, including cybersecurity attacks, ransomware attacks, breaches, intentional or accidental mistakes or errors, or other technological failures, which can include, among other things, computer viruses, malware, exploit of unpatched product or service vulnerabilities, unauthorized access attempts (including third parties gaining access to systems using stolen or inferred credentials), denial-of-service attacks, phishing attempts, service disruptions, natural disasters, fire, terrorism, war and telecommunication and electrical failures. As the cyber-threat landscape evolves, these attacks are growing in frequency, levels of persistence, sophistication and intensity, are becoming increasingly difficult to detect, and are being conducted by sophisticated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spacing w:after="0" w:line="269" w:lineRule="auto"/>
        <w:rPr>
          <w:sz w:val="20"/>
          <w:szCs w:val="20"/>
          <w:color w:val="auto"/>
        </w:rPr>
      </w:pPr>
      <w:r>
        <w:rPr>
          <w:rFonts w:ascii="Arial" w:cs="Arial" w:eastAsia="Arial" w:hAnsi="Arial"/>
          <w:sz w:val="17"/>
          <w:szCs w:val="17"/>
          <w:color w:val="auto"/>
        </w:rPr>
        <w:t>breaches that may remain undetected for an extended period. If such an event were to occur and cause interruptions in our operations, impact to critical data or systems, or result in the unauthorized acquisition of or access to personally identifiable information or individually identifiable health information (violating certain privacy, cybersecurity or data protection laws such as HIPAA, HITECH, the CCPA and GDPR), it could result in a material disruption of our product candidate development programs and our business operations and we could incur significant liabilities. There also could be requirements that we notify individuals and regulators in the event of unauthorized access to, acquisition, destruction, alteration, or misuse of, personal or health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and result in the loss of confidence by our partners, customers, and stakeholders, and thereby have longer term adverse impact on our business operations and revenue.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spacing w:after="0" w:line="179" w:lineRule="exact"/>
        <w:rPr>
          <w:sz w:val="20"/>
          <w:szCs w:val="20"/>
          <w:color w:val="auto"/>
        </w:rPr>
      </w:pPr>
    </w:p>
    <w:p>
      <w:pPr>
        <w:ind w:right="220" w:firstLine="509"/>
        <w:spacing w:after="0" w:line="257" w:lineRule="auto"/>
        <w:rPr>
          <w:sz w:val="20"/>
          <w:szCs w:val="20"/>
          <w:color w:val="auto"/>
        </w:rPr>
      </w:pPr>
      <w:r>
        <w:rPr>
          <w:rFonts w:ascii="Arial" w:cs="Arial" w:eastAsia="Arial" w:hAnsi="Arial"/>
          <w:sz w:val="18"/>
          <w:szCs w:val="18"/>
          <w:color w:val="auto"/>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spacing w:after="0" w:line="188"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9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current enterprise resource planning (“ERP”) system requires an upgrade or conversion to a new ERP system to support the Company’s anticipated growth.</w:t>
      </w:r>
    </w:p>
    <w:p>
      <w:pPr>
        <w:spacing w:after="0" w:line="62"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In support of our anticipated growth and commercialization of our product candidates, we intend to select and implement a new ERP system. Our ERP system requires significant upgrades or conversion to a new ERP system. Implementing new or upgraded systems carries substantial risk, including failure to operate as designed, failure to properly integrate with our systems, potential loss of data or information, cost overruns, implementation delays, and disruption of operations. Third-party vendors are also relied upon to design, program, maintain, and service the ERP system. Any failures of these vendors to properly deliver their services could have a material adverse effect on our business. In addition, any disruptions or malfunctions affecting our ERP system implementation plan could cause critical information upon which we rely to be delayed, defective, corrupted, inadequate, or inaccessible. We may experience difficulties in our business operations, or difficulties in operating our business under these systems, either of which could disrupt our operations, including our ability to accurately maintain our books and records, provide accurate, timely and reliable reports on our financial and operations results, or otherwise operate our business, and could lead to increased costs and other difficulties. In the event we experience significant disruptions as a result of the implementation or upgrade of new systems or otherwise, we may not be able to fix our systems in an efficient and timely manner. We may not realize the benefits we anticipate should all or part of the ERP system upgrade implementation process prove to be ineffective. Accordingly, such events may disrupt or reduce the efficiency of our entire operations and have a material adverse effect on our operating results and cash flows.</w:t>
      </w:r>
    </w:p>
    <w:p>
      <w:pPr>
        <w:spacing w:after="0" w:line="29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76"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We conduct preclinical research and development activities in China through BioDuro-Sundia, which is U.S. owned, but governed by Chinese laws, rules and regulations. Additionally, our agreement with Himalaya Therapeutics Limited Company is for the initiation of clinical trials of BA3021 in the People’s Republic of China.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right="60" w:firstLine="509"/>
        <w:spacing w:after="0" w:line="270" w:lineRule="auto"/>
        <w:rPr>
          <w:sz w:val="20"/>
          <w:szCs w:val="20"/>
          <w:color w:val="auto"/>
        </w:rPr>
      </w:pPr>
      <w:r>
        <w:rPr>
          <w:rFonts w:ascii="Arial" w:cs="Arial" w:eastAsia="Arial" w:hAnsi="Arial"/>
          <w:sz w:val="17"/>
          <w:szCs w:val="17"/>
          <w:color w:val="auto"/>
        </w:rPr>
        <w:t>Furthermore, we are exposed to the possibility of disruption of our research and development activities in the event of changes in the policies of the United States or Chinese governments, political unrest or unstable economic conditions in China, including the escalation of tensions between China and Taiwan, such as recent step up of military exercises around Taiwan by China. In addition, disagreements between the United States and China with respect to their political, military or economic policies toward Taiwan may contribute to further controversies. For example, a trade war could lead to increased costs for clinical materials that are manufactured in China. These interruptions or failures and any restrictive measures resulting from a deterioration of U.S.- China 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spacing w:after="0" w:line="289"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Our current operations are concentrated in two locations. We or the third parties upon whom we depend may be adversely affected by earthquakes, wildfires or other natural disasters, and our business continuity and disaster recovery plans may not adequately protect us from a serious disaster.</w:t>
      </w:r>
    </w:p>
    <w:p>
      <w:pPr>
        <w:spacing w:after="0" w:line="1"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A portion of our current operations are located in our facilities in San Diego, California, and we conduct a portion of our research and development activities in China through our arrangement with BioDuro-Sundia.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which are stored in a one master cell bank for each antibody manufactured stored in multiple locations.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conducting business internationally.</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our collaborators or licensees may seek regulatory approval of our product candidates outside of the United States including in China, the European Union, Australia, New Zealand, and Japan. Additionally, pursuant to our agreement with Himalaya Therapeutics Limited Company, we conduct clinical trials in the People’s Republic of China. Accordingly, we expect that we will be subject to additional risks related to operating in foreign countries if we obtain the necessary approvals, including, among others:</w:t>
      </w:r>
    </w:p>
    <w:p>
      <w:pPr>
        <w:spacing w:after="0" w:line="79" w:lineRule="exact"/>
        <w:rPr>
          <w:sz w:val="20"/>
          <w:szCs w:val="20"/>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differing regulatory requirements and reimbursement regimes in foreign countries;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00" w:right="280" w:hanging="36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regulations;</w:t>
      </w:r>
    </w:p>
    <w:p>
      <w:pPr>
        <w:spacing w:after="0" w:line="117" w:lineRule="exact"/>
        <w:rPr>
          <w:rFonts w:ascii="Arial" w:cs="Arial" w:eastAsia="Arial" w:hAnsi="Arial"/>
          <w:sz w:val="18"/>
          <w:szCs w:val="18"/>
          <w:color w:val="auto"/>
        </w:rPr>
      </w:pPr>
    </w:p>
    <w:p>
      <w:pPr>
        <w:ind w:left="1000" w:right="280" w:hanging="36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Additionally, in February 2022, armed conflict escalated between Russia and Ukraine. It is not possible to predict the broader consequences of this conflict, which could include further sanctions, embargoes, greater regional instability, geopolitical shifts and other adverse effects on macroeconomic conditions, currency exchange rates, supply chains and financial markets. These and other risks associated with our international operations may materially adversely affect our ability to attain or maintain profitable operations.</w:t>
      </w:r>
    </w:p>
    <w:p>
      <w:pPr>
        <w:spacing w:after="0" w:line="29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face risks related to health epidemics and outbreaks, including the COVID-19 pandemic, which could significantly disrupt our preclinical studies and could affect enrollment of patients in our clinical trials. Continuation and increasing severity of these conditions could delay or prevent our receipt of necessary regulatory approvals.</w:t>
      </w:r>
    </w:p>
    <w:p>
      <w:pPr>
        <w:spacing w:after="0" w:line="76"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face risks related to health epidemics or outbreaks of communicable diseases. The outbreak of communicable diseases could result in a widespread health crisis that could adversely affect general commercial activity and the economies and financial markets of many countries, which in the case of COVID-19 has occurred. The COVID-19 pandemic has resulted in governments implementing numerous containment measures, such as travel bans and restrictions, particularly quarantines, shelter-in-place or total lock-down orders and business limitations and shutdowns. Some restrictions aimed at minimizing the spread of COVID-19 have been and may from time to time be eased or lifted in the U.S. and other countries; however, in response to local surges and new waves of infection, including those caused by the spread of the Delta, Omicron and other variants, some countries, states, and local governments have maintained or reinstituted these restrictions, or may reinstitute these restrictions from time to time, in response to rising rates of infection.</w:t>
      </w:r>
    </w:p>
    <w:p>
      <w:pPr>
        <w:spacing w:after="0" w:line="192"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We are following, and plan to continue to follow, recommendations from federal, state and local governments regarding workplace policies, practices and procedures. During 2022 we modified our hybrid work policy to allow for flexibility based on department needs and travel requirements. We are complying with all applicable guidelines for our clinical trials, including remote clinical monitoring. We are continuing to monitor the potential impact of the pandemic, but we cannot be certain what the overall impact will be on our business, financial condition, results of operations and prospects.</w:t>
      </w:r>
    </w:p>
    <w:p>
      <w:pPr>
        <w:spacing w:after="0" w:line="157"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In addition, the COVID-19 pandemic is having a severe effect on the clinical trials of many drug candidates of several sponsors. Some trials have been merely delayed, while others have been cancelled. The extent to which the COVID-19 pandemic may impact our preclinical and clinical trial operations will depend on future developments, which are highly uncertain and cannot be predicted with confidence, such as the duration and geographic reach of the outbreak, the severity of COVID-19 (including its variant strains, such as the highly transmissible Delta and Omicron variants), the effectiveness of actions to contain and treat COVID-19 and the rate of vaccination and efficacy of approved vaccines against COVID-19 and its variant strains. To date, we have experienced modest business disruptions, including with respect to the clinical trials we are conducting, and non-material impairments as a result of the pandemic. The continued spread of COVID-19 could adversely impact our clinical trial operations, including our ability to recruit and retain patients and principal investigators and site staff who, as healthcare providers, may have heightened exposure to COVID-19 if an outbreak occurs in their geography.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the outbreak may affect their ability to devote sufficient time and resources to our programs or to travel to sites to perform work for us. Similarly, our preclinical trials could be delayed and/or disrupted by the COVID-19 pandemic. As a result,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i w:val="1"/>
          <w:iCs w:val="1"/>
          <w:color w:val="auto"/>
        </w:rPr>
        <w:t>We have entered, and may in the future seek to enter, into collaborations with third parties for the development and commercialization of certain of our product candidates. If we fail to enter into such collaborations, or such collaborations are not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successful, we may not be able to capitalize on the market potential of our patented technology platform and resulting product candidates.</w:t>
      </w:r>
    </w:p>
    <w:p>
      <w:pPr>
        <w:spacing w:after="0" w:line="140"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have entered, and may in the future seek to enter, into collaborations with third parties for the development and commercialization of certain of our product candidates. In addition, we may in the future seek third-party collaborators or joint venture partners for development and commercialization of additional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existing collaboration arrangements currently pose, and future collaborations involving our product candidates will pose, the following risks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us:</w:t>
      </w:r>
    </w:p>
    <w:p>
      <w:pPr>
        <w:spacing w:after="0" w:line="103" w:lineRule="exact"/>
        <w:rPr>
          <w:sz w:val="20"/>
          <w:szCs w:val="20"/>
          <w:color w:val="auto"/>
        </w:rPr>
      </w:pPr>
    </w:p>
    <w:p>
      <w:pPr>
        <w:ind w:left="1000" w:hanging="36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1000" w:right="20" w:hanging="368"/>
        <w:spacing w:after="0" w:line="25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spacing w:after="0" w:line="78" w:lineRule="exact"/>
        <w:rPr>
          <w:rFonts w:ascii="Arial" w:cs="Arial" w:eastAsia="Arial" w:hAnsi="Arial"/>
          <w:sz w:val="18"/>
          <w:szCs w:val="18"/>
          <w:color w:val="auto"/>
        </w:rPr>
      </w:pPr>
    </w:p>
    <w:p>
      <w:pPr>
        <w:ind w:left="1000" w:right="320" w:hanging="368"/>
        <w:spacing w:after="0" w:line="308"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000" w:right="100" w:hanging="368"/>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1000" w:right="440" w:hanging="36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1000" w:right="560" w:hanging="368"/>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5" w:lineRule="exact"/>
        <w:rPr>
          <w:rFonts w:ascii="Arial" w:cs="Arial" w:eastAsia="Arial" w:hAnsi="Arial"/>
          <w:sz w:val="18"/>
          <w:szCs w:val="18"/>
          <w:color w:val="auto"/>
        </w:rPr>
      </w:pPr>
    </w:p>
    <w:p>
      <w:pPr>
        <w:ind w:left="1000" w:hanging="36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1000" w:right="20" w:hanging="368"/>
        <w:spacing w:after="0" w:line="342"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1000" w:hanging="36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any intellectual property developed pursuant to our collaborations;</w:t>
      </w:r>
    </w:p>
    <w:p>
      <w:pPr>
        <w:spacing w:after="0" w:line="117" w:lineRule="exact"/>
        <w:rPr>
          <w:rFonts w:ascii="Arial" w:cs="Arial" w:eastAsia="Arial" w:hAnsi="Arial"/>
          <w:sz w:val="18"/>
          <w:szCs w:val="18"/>
          <w:color w:val="auto"/>
        </w:rPr>
      </w:pPr>
    </w:p>
    <w:p>
      <w:pPr>
        <w:jc w:val="both"/>
        <w:ind w:left="1020" w:right="220" w:hanging="383"/>
        <w:spacing w:after="0" w:line="286"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spacing w:after="0" w:line="57" w:lineRule="exact"/>
        <w:rPr>
          <w:rFonts w:ascii="Arial" w:cs="Arial" w:eastAsia="Arial" w:hAnsi="Arial"/>
          <w:sz w:val="17"/>
          <w:szCs w:val="17"/>
          <w:color w:val="auto"/>
        </w:rPr>
      </w:pPr>
    </w:p>
    <w:p>
      <w:pPr>
        <w:ind w:left="1020" w:right="560" w:hanging="38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this may result in a need for additional capital to pursue further development or commercialization of the applicable current or future product candidates; and</w:t>
      </w:r>
    </w:p>
    <w:p>
      <w:pPr>
        <w:spacing w:after="0" w:line="62" w:lineRule="exact"/>
        <w:rPr>
          <w:rFonts w:ascii="Arial" w:cs="Arial" w:eastAsia="Arial" w:hAnsi="Arial"/>
          <w:sz w:val="18"/>
          <w:szCs w:val="18"/>
          <w:color w:val="auto"/>
        </w:rPr>
      </w:pPr>
    </w:p>
    <w:p>
      <w:pPr>
        <w:ind w:left="1000" w:right="20" w:hanging="36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sales and marketing activities or other operations may not be in compliance with applicable laws resulting in civil or criminal proceedings.</w:t>
      </w:r>
    </w:p>
    <w:p>
      <w:pPr>
        <w:spacing w:after="0" w:line="170"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8" w:name="page49"/>
    <w:bookmarkEnd w:id="48"/>
    <w:p>
      <w:pPr>
        <w:ind w:right="220"/>
        <w:spacing w:after="0" w:line="263" w:lineRule="auto"/>
        <w:rPr>
          <w:sz w:val="20"/>
          <w:szCs w:val="20"/>
          <w:color w:val="auto"/>
        </w:rPr>
      </w:pPr>
      <w:r>
        <w:rPr>
          <w:rFonts w:ascii="Arial" w:cs="Arial" w:eastAsia="Arial" w:hAnsi="Arial"/>
          <w:sz w:val="18"/>
          <w:szCs w:val="18"/>
          <w:b w:val="1"/>
          <w:bCs w:val="1"/>
          <w:i w:val="1"/>
          <w:iCs w:val="1"/>
          <w:color w:val="auto"/>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spacing w:after="0" w:line="76"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spacing w:after="0" w:line="63"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spacing w:after="0" w:line="30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commercialization collaborations, which could adversely affect our ability to commercialize our product candidates, if approved.</w:t>
      </w:r>
    </w:p>
    <w:p>
      <w:pPr>
        <w:spacing w:after="0" w:line="62"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From time to time, we may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Moreover, such arrangements are complex and time-consuming to negotiate, document and implement and they may require substantial resources to maintain.</w:t>
      </w:r>
    </w:p>
    <w:p>
      <w:pPr>
        <w:spacing w:after="0" w:line="192" w:lineRule="exact"/>
        <w:rPr>
          <w:sz w:val="20"/>
          <w:szCs w:val="20"/>
          <w:color w:val="auto"/>
        </w:rPr>
      </w:pPr>
    </w:p>
    <w:p>
      <w:pPr>
        <w:ind w:right="200" w:firstLine="509"/>
        <w:spacing w:after="0" w:line="301" w:lineRule="auto"/>
        <w:rPr>
          <w:sz w:val="20"/>
          <w:szCs w:val="20"/>
          <w:color w:val="auto"/>
        </w:rPr>
      </w:pPr>
      <w:r>
        <w:rPr>
          <w:rFonts w:ascii="Arial" w:cs="Arial" w:eastAsia="Arial" w:hAnsi="Arial"/>
          <w:sz w:val="16"/>
          <w:szCs w:val="16"/>
          <w:color w:val="auto"/>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spacing w:after="0" w:line="26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6"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rely, and expect we will continue to rely, on third-party investigators, CROs, data management organizations and consultants to conduct, supervise and monitor our ongoing clinical trials and preclinical studies. We currently rely on third parties to manage and conduct our clinical trials of mecbotamab vedotin, ozuriftamab vedotin and BA3071.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 might not be diligent, careful or timely in conducting our preclinical studies or clinical trials, resulting in the preclinical studies or clinical trials being delayed or unsuccessful.</w:t>
      </w:r>
    </w:p>
    <w:p>
      <w:pPr>
        <w:spacing w:after="0" w:line="88" w:lineRule="exact"/>
        <w:rPr>
          <w:sz w:val="20"/>
          <w:szCs w:val="20"/>
          <w:color w:val="auto"/>
        </w:rPr>
      </w:pPr>
    </w:p>
    <w:p>
      <w:pPr>
        <w:ind w:firstLine="509"/>
        <w:spacing w:after="0" w:line="266" w:lineRule="auto"/>
        <w:rPr>
          <w:sz w:val="20"/>
          <w:szCs w:val="20"/>
          <w:color w:val="auto"/>
        </w:rPr>
      </w:pPr>
      <w:r>
        <w:rPr>
          <w:rFonts w:ascii="Arial" w:cs="Arial" w:eastAsia="Arial" w:hAnsi="Arial"/>
          <w:sz w:val="17"/>
          <w:szCs w:val="17"/>
          <w:color w:val="auto"/>
        </w:rPr>
        <w:t>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Furthermore, we depend on the availability of various animals to conduct certain preclinical studies that we are required to complete prior to submitting an IND and initiating clinical development or to continue clinical development, including pharmacological and toxicology evaluations. There is currently a global shortage of animals available for drug development, due in part to an increase in demand from companies and other institutions developing vaccines and treatments for COVID-19. This has caused the cost of obtaining animals for our preclinical studies to increase dramatically, and if the shortage continues, could also result in delays to our development timelines. In all events, we are responsible for ensuring that each of our preclinical studies and clinical trials are conducted in accordance with the general investigational plan, protocols for the trial and regulatory requirements. The FDA requires preclinical studies to be conducted in accordance with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ind w:right="40"/>
        <w:spacing w:after="0" w:line="277" w:lineRule="auto"/>
        <w:rPr>
          <w:sz w:val="20"/>
          <w:szCs w:val="20"/>
          <w:color w:val="auto"/>
        </w:rPr>
      </w:pPr>
      <w:r>
        <w:rPr>
          <w:rFonts w:ascii="Arial" w:cs="Arial" w:eastAsia="Arial" w:hAnsi="Arial"/>
          <w:sz w:val="18"/>
          <w:szCs w:val="18"/>
          <w:color w:val="auto"/>
        </w:rPr>
        <w:t>does not relieve us of these responsibilities and requirements. Any adverse development or delay in our preclinical studies and clinical trials could have a material and adverse effect on our business, financial condition, results of operations and prospects.</w:t>
      </w:r>
    </w:p>
    <w:p>
      <w:pPr>
        <w:spacing w:after="0" w:line="27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spacing w:after="0" w:line="79"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spacing w:after="0" w:line="174"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If we submit an application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spacing w:after="0" w:line="192"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spacing w:after="0" w:line="79" w:lineRule="exact"/>
        <w:rPr>
          <w:sz w:val="20"/>
          <w:szCs w:val="20"/>
          <w:color w:val="auto"/>
        </w:rPr>
      </w:pPr>
    </w:p>
    <w:p>
      <w:pPr>
        <w:ind w:left="1000" w:right="500" w:hanging="368"/>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75"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140" w:lineRule="exact"/>
        <w:rPr>
          <w:rFonts w:ascii="Arial" w:cs="Arial" w:eastAsia="Arial" w:hAnsi="Arial"/>
          <w:sz w:val="16"/>
          <w:szCs w:val="16"/>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7" w:lineRule="exact"/>
        <w:rPr>
          <w:rFonts w:ascii="Arial" w:cs="Arial" w:eastAsia="Arial" w:hAnsi="Arial"/>
          <w:sz w:val="18"/>
          <w:szCs w:val="18"/>
          <w:color w:val="auto"/>
        </w:rPr>
      </w:pPr>
    </w:p>
    <w:p>
      <w:pPr>
        <w:ind w:left="1000" w:right="480" w:hanging="36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not being properly identified;</w:t>
      </w:r>
    </w:p>
    <w:p>
      <w:pPr>
        <w:spacing w:after="0" w:line="62" w:lineRule="exact"/>
        <w:rPr>
          <w:rFonts w:ascii="Arial" w:cs="Arial" w:eastAsia="Arial" w:hAnsi="Arial"/>
          <w:sz w:val="18"/>
          <w:szCs w:val="18"/>
          <w:color w:val="auto"/>
        </w:rPr>
      </w:pPr>
    </w:p>
    <w:p>
      <w:pPr>
        <w:ind w:left="1020" w:right="40" w:hanging="38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25"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ind w:right="60"/>
        <w:spacing w:after="0" w:line="259" w:lineRule="auto"/>
        <w:rPr>
          <w:sz w:val="20"/>
          <w:szCs w:val="20"/>
          <w:color w:val="auto"/>
        </w:rPr>
      </w:pPr>
      <w:r>
        <w:rPr>
          <w:rFonts w:ascii="Arial" w:cs="Arial" w:eastAsia="Arial" w:hAnsi="Arial"/>
          <w:sz w:val="18"/>
          <w:szCs w:val="18"/>
          <w:color w:val="auto"/>
        </w:rPr>
        <w:t>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spacing w:after="0" w:line="295"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b w:val="1"/>
          <w:bCs w:val="1"/>
          <w:i w:val="1"/>
          <w:iCs w:val="1"/>
          <w:color w:val="auto"/>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spacing w:after="0" w:line="63"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spacing w:after="0" w:line="181"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All of our therapeutic antibodies are manufactured by starting with cells which are stored in a cell bank. We have one master cell bank for each antibody manufactured in accordance with cGMPs, which is stored in multiple locations. We are currently creating multiple working cell banks.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171"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For example, the extent to which the COVID-19 pandemic impacts the ability to procure sufficient supplies for the development of our product candidates will depend on the severity and duration of the spread of the virus, and the actions undertaken to contain COVID-19 or treat its effects.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76"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spacing w:after="0" w:line="308" w:lineRule="auto"/>
        <w:rPr>
          <w:sz w:val="20"/>
          <w:szCs w:val="20"/>
          <w:color w:val="auto"/>
        </w:rPr>
      </w:pPr>
      <w:r>
        <w:rPr>
          <w:rFonts w:ascii="Arial" w:cs="Arial" w:eastAsia="Arial" w:hAnsi="Arial"/>
          <w:sz w:val="17"/>
          <w:szCs w:val="17"/>
          <w:color w:val="auto"/>
        </w:rPr>
        <w:t>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spacing w:after="0" w:line="14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spacing w:after="0" w:line="192" w:lineRule="exact"/>
        <w:rPr>
          <w:sz w:val="20"/>
          <w:szCs w:val="20"/>
          <w:color w:val="auto"/>
        </w:rPr>
      </w:pPr>
    </w:p>
    <w:p>
      <w:pPr>
        <w:ind w:right="120" w:firstLine="509"/>
        <w:spacing w:after="0" w:line="272" w:lineRule="auto"/>
        <w:rPr>
          <w:sz w:val="20"/>
          <w:szCs w:val="20"/>
          <w:color w:val="auto"/>
        </w:rPr>
      </w:pPr>
      <w:r>
        <w:rPr>
          <w:rFonts w:ascii="Arial" w:cs="Arial" w:eastAsia="Arial" w:hAnsi="Arial"/>
          <w:sz w:val="17"/>
          <w:szCs w:val="17"/>
          <w:color w:val="auto"/>
        </w:rPr>
        <w:t xml:space="preserve">Once granted, patents may remain open to opposition, interference,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As of March 23, 2023, there is an ongoing patent opposition proceeding regarding our patent EP2 406 399 at the European Patent Office which is related to a version of methods used for evolving and screening potential product candidates. The Opposition Division revoked EP2 406 399 in its decision dated March 10, 2020 and we filed an appeal on July 20, 2020. In addition, we cannot assure you that:</w:t>
      </w:r>
    </w:p>
    <w:p>
      <w:pPr>
        <w:spacing w:after="0" w:line="69" w:lineRule="exact"/>
        <w:rPr>
          <w:sz w:val="20"/>
          <w:szCs w:val="20"/>
          <w:color w:val="auto"/>
        </w:rPr>
      </w:pPr>
    </w:p>
    <w:p>
      <w:pPr>
        <w:ind w:left="1000" w:hanging="36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obtain, maintain, protect and enforce intellectual property protection for our technologies and product candidates.</w:t>
      </w:r>
    </w:p>
    <w:p>
      <w:pPr>
        <w:spacing w:after="0" w:line="117" w:lineRule="exact"/>
        <w:rPr>
          <w:rFonts w:ascii="Arial" w:cs="Arial" w:eastAsia="Arial" w:hAnsi="Arial"/>
          <w:sz w:val="18"/>
          <w:szCs w:val="18"/>
          <w:color w:val="auto"/>
        </w:rPr>
      </w:pPr>
    </w:p>
    <w:p>
      <w:pPr>
        <w:ind w:left="1000" w:right="180" w:hanging="36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1000" w:right="360" w:hanging="36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licensors, or our existing or future collaborators are the first to make the inventions covered by each of our issued patents and pending patent applications that we own or license.</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or our licensors, or our existing or future collaborators are the first to file patent applications covering certain aspects of our inventions.</w:t>
      </w:r>
    </w:p>
    <w:p>
      <w:pPr>
        <w:spacing w:after="0" w:line="140" w:lineRule="exact"/>
        <w:rPr>
          <w:rFonts w:ascii="Arial" w:cs="Arial" w:eastAsia="Arial" w:hAnsi="Arial"/>
          <w:sz w:val="16"/>
          <w:szCs w:val="16"/>
          <w:color w:val="auto"/>
        </w:rPr>
      </w:pPr>
    </w:p>
    <w:p>
      <w:pPr>
        <w:ind w:left="1000" w:right="460" w:hanging="36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third party may not challenge our patents and, if challenged, that a court would hold that our patents are valid, enforceable and infringed.</w:t>
      </w:r>
    </w:p>
    <w:p>
      <w:pPr>
        <w:spacing w:after="0" w:line="140" w:lineRule="exact"/>
        <w:rPr>
          <w:rFonts w:ascii="Arial" w:cs="Arial" w:eastAsia="Arial" w:hAnsi="Arial"/>
          <w:sz w:val="16"/>
          <w:szCs w:val="16"/>
          <w:color w:val="auto"/>
        </w:rPr>
      </w:pPr>
    </w:p>
    <w:p>
      <w:pPr>
        <w:ind w:left="1000" w:hanging="368"/>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 or will not be challenged by third parties.</w:t>
      </w:r>
    </w:p>
    <w:p>
      <w:pPr>
        <w:spacing w:after="0" w:line="140" w:lineRule="exact"/>
        <w:rPr>
          <w:rFonts w:ascii="Arial" w:cs="Arial" w:eastAsia="Arial" w:hAnsi="Arial"/>
          <w:sz w:val="16"/>
          <w:szCs w:val="16"/>
          <w:color w:val="auto"/>
        </w:rPr>
      </w:pPr>
    </w:p>
    <w:p>
      <w:pPr>
        <w:ind w:left="1000" w:hanging="36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Pending patent applications that we own or may license will lead to issued patents.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28" w:lineRule="exact"/>
        <w:rPr>
          <w:rFonts w:ascii="Arial" w:cs="Arial" w:eastAsia="Arial" w:hAnsi="Arial"/>
          <w:sz w:val="17"/>
          <w:szCs w:val="17"/>
          <w:color w:val="auto"/>
        </w:rPr>
      </w:pPr>
    </w:p>
    <w:p>
      <w:pPr>
        <w:ind w:left="1000" w:right="160" w:hanging="368"/>
        <w:spacing w:after="0" w:line="30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commercial markets.</w:t>
      </w:r>
    </w:p>
    <w:p>
      <w:pPr>
        <w:spacing w:after="0" w:line="146"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auto"/>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spacing w:after="0" w:line="192"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2" w:name="page53"/>
    <w:bookmarkEnd w:id="52"/>
    <w:p>
      <w:pPr>
        <w:ind w:right="420"/>
        <w:spacing w:after="0" w:line="277" w:lineRule="auto"/>
        <w:rPr>
          <w:sz w:val="20"/>
          <w:szCs w:val="20"/>
          <w:color w:val="auto"/>
        </w:rPr>
      </w:pPr>
      <w:r>
        <w:rPr>
          <w:rFonts w:ascii="Arial" w:cs="Arial" w:eastAsia="Arial" w:hAnsi="Arial"/>
          <w:sz w:val="18"/>
          <w:szCs w:val="18"/>
          <w:color w:val="auto"/>
        </w:rPr>
        <w:t>obligations could give our licensor the right to terminate the license. Termination of a necessary license could have a material adverse impact on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spacing w:after="0" w:line="182"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our patents may not protect our competitive position on our product candidates for an adequate amount of time.</w:t>
      </w:r>
    </w:p>
    <w:p>
      <w:pPr>
        <w:spacing w:after="0" w:line="117"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2039, subject to any additional patent extensions that may be available for such patents. If patents are issued on our pending patent applications, the resulting patents are projected to expire on dates ranging from 2030 to 2043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right="60"/>
        <w:spacing w:after="0" w:line="254" w:lineRule="auto"/>
        <w:rPr>
          <w:sz w:val="20"/>
          <w:szCs w:val="20"/>
          <w:color w:val="auto"/>
        </w:rPr>
      </w:pPr>
      <w:r>
        <w:rPr>
          <w:rFonts w:ascii="Arial" w:cs="Arial" w:eastAsia="Arial" w:hAnsi="Arial"/>
          <w:sz w:val="18"/>
          <w:szCs w:val="18"/>
          <w:color w:val="auto"/>
        </w:rPr>
        <w:t>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3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62"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 September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spacing w:after="0" w:line="192"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88"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spacing w:after="0" w:line="28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95"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For example, the U.S. Supreme Court has ruled on several patent cases in recent years, sometimes narrowing the scope of patent protection available in certain circumstances, weakening the rights of patent owners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34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2"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spacing w:after="0" w:line="176"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92"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96"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b w:val="1"/>
          <w:bCs w:val="1"/>
          <w:i w:val="1"/>
          <w:iCs w:val="1"/>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spacing w:after="0" w:line="41" w:lineRule="exact"/>
        <w:rPr>
          <w:sz w:val="20"/>
          <w:szCs w:val="20"/>
          <w:color w:val="auto"/>
        </w:rPr>
      </w:pPr>
    </w:p>
    <w:p>
      <w:pPr>
        <w:ind w:firstLine="509"/>
        <w:spacing w:after="0" w:line="266"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spacing w:after="0" w:line="200" w:lineRule="exact"/>
        <w:rPr>
          <w:sz w:val="20"/>
          <w:szCs w:val="20"/>
          <w:color w:val="auto"/>
        </w:rPr>
      </w:pPr>
    </w:p>
    <w:p>
      <w:pPr>
        <w:ind w:right="100" w:firstLine="509"/>
        <w:spacing w:after="0" w:line="258" w:lineRule="auto"/>
        <w:rPr>
          <w:sz w:val="20"/>
          <w:szCs w:val="20"/>
          <w:color w:val="auto"/>
        </w:rPr>
      </w:pPr>
      <w:r>
        <w:rPr>
          <w:rFonts w:ascii="Arial" w:cs="Arial" w:eastAsia="Arial" w:hAnsi="Arial"/>
          <w:sz w:val="18"/>
          <w:szCs w:val="18"/>
          <w:color w:val="auto"/>
        </w:rPr>
        <w:t>We or our collaboration partner, or any future strategic partners may be subject to third-party claims for infringement or misappropriation of patent or other proprietary rights. If we or our licensors, or any future strategic partners are found to infringe 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spacing w:after="0" w:line="269" w:lineRule="auto"/>
        <w:rPr>
          <w:sz w:val="20"/>
          <w:szCs w:val="20"/>
          <w:color w:val="auto"/>
        </w:rPr>
      </w:pPr>
      <w:r>
        <w:rPr>
          <w:rFonts w:ascii="Arial" w:cs="Arial" w:eastAsia="Arial" w:hAnsi="Arial"/>
          <w:sz w:val="17"/>
          <w:szCs w:val="17"/>
          <w:color w:val="auto"/>
        </w:rPr>
        <w:t>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182"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200" w:firstLine="509"/>
        <w:spacing w:after="0" w:line="293" w:lineRule="auto"/>
        <w:rPr>
          <w:sz w:val="20"/>
          <w:szCs w:val="20"/>
          <w:color w:val="auto"/>
        </w:rPr>
      </w:pPr>
      <w:r>
        <w:rPr>
          <w:rFonts w:ascii="Arial" w:cs="Arial" w:eastAsia="Arial" w:hAnsi="Arial"/>
          <w:sz w:val="16"/>
          <w:szCs w:val="16"/>
          <w:color w:val="auto"/>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7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spacing w:after="0" w:line="76" w:lineRule="exact"/>
        <w:rPr>
          <w:sz w:val="20"/>
          <w:szCs w:val="20"/>
          <w:color w:val="auto"/>
        </w:rPr>
      </w:pPr>
    </w:p>
    <w:p>
      <w:pPr>
        <w:ind w:right="20" w:firstLine="509"/>
        <w:spacing w:after="0" w:line="258" w:lineRule="auto"/>
        <w:rPr>
          <w:sz w:val="20"/>
          <w:szCs w:val="20"/>
          <w:color w:val="auto"/>
        </w:rPr>
      </w:pPr>
      <w:r>
        <w:rPr>
          <w:rFonts w:ascii="Arial" w:cs="Arial" w:eastAsia="Arial" w:hAnsi="Arial"/>
          <w:sz w:val="18"/>
          <w:szCs w:val="18"/>
          <w:color w:val="auto"/>
        </w:rPr>
        <w:t>Competitors may infringe our patents or the patents of our licensors. If we were to initiate legal proceedings against a third party to enforce a patent covering one of our products or our technology, the defendant could counterclaim that our patent is invalid 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ind w:right="40"/>
        <w:spacing w:after="0" w:line="269" w:lineRule="auto"/>
        <w:rPr>
          <w:sz w:val="20"/>
          <w:szCs w:val="20"/>
          <w:color w:val="auto"/>
        </w:rPr>
      </w:pPr>
      <w:r>
        <w:rPr>
          <w:rFonts w:ascii="Arial" w:cs="Arial" w:eastAsia="Arial" w:hAnsi="Arial"/>
          <w:sz w:val="17"/>
          <w:szCs w:val="17"/>
          <w:color w:val="auto"/>
        </w:rPr>
        <w:t>unenforceable, or the court may refuse to stop the defendant in such infringement proceeding from using the technology at issue on the grounds that our patents do not cover the technology in question.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182"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spacing w:after="0" w:line="161"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spacing w:after="0" w:line="168" w:lineRule="exact"/>
        <w:rPr>
          <w:sz w:val="20"/>
          <w:szCs w:val="20"/>
          <w:color w:val="auto"/>
        </w:rPr>
      </w:pPr>
    </w:p>
    <w:p>
      <w:pPr>
        <w:ind w:firstLine="509"/>
        <w:spacing w:after="0" w:line="266" w:lineRule="auto"/>
        <w:rPr>
          <w:sz w:val="20"/>
          <w:szCs w:val="20"/>
          <w:color w:val="auto"/>
        </w:rPr>
      </w:pPr>
      <w:r>
        <w:rPr>
          <w:rFonts w:ascii="Arial" w:cs="Arial" w:eastAsia="Arial" w:hAnsi="Arial"/>
          <w:sz w:val="17"/>
          <w:szCs w:val="17"/>
          <w:color w:val="auto"/>
        </w:rPr>
        <w:t xml:space="preserve">We generally file a provisional patent application first (a priority filing) at the USPTO. An international application under the Patent Cooperation Treaty, or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7"/>
          <w:szCs w:val="17"/>
          <w:i w:val="1"/>
          <w:iCs w:val="1"/>
          <w:color w:val="auto"/>
        </w:rPr>
        <w:t>inter alia</w:t>
      </w:r>
      <w:r>
        <w:rPr>
          <w:rFonts w:ascii="Arial" w:cs="Arial" w:eastAsia="Arial" w:hAnsi="Arial"/>
          <w:sz w:val="17"/>
          <w:szCs w:val="17"/>
          <w:color w:val="auto"/>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ind w:firstLine="509"/>
        <w:spacing w:after="0" w:line="269"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6"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84"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spacing w:after="0" w:line="1" w:lineRule="exact"/>
        <w:rPr>
          <w:sz w:val="20"/>
          <w:szCs w:val="20"/>
          <w:color w:val="auto"/>
        </w:rPr>
      </w:pPr>
    </w:p>
    <w:p>
      <w:pPr>
        <w:ind w:right="100" w:firstLine="509"/>
        <w:spacing w:after="0" w:line="269" w:lineRule="auto"/>
        <w:rPr>
          <w:sz w:val="20"/>
          <w:szCs w:val="20"/>
          <w:color w:val="auto"/>
        </w:rPr>
      </w:pPr>
      <w:r>
        <w:rPr>
          <w:rFonts w:ascii="Arial" w:cs="Arial" w:eastAsia="Arial" w:hAnsi="Arial"/>
          <w:sz w:val="17"/>
          <w:szCs w:val="17"/>
          <w:color w:val="auto"/>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ind w:right="220"/>
        <w:spacing w:after="0" w:line="301" w:lineRule="auto"/>
        <w:rPr>
          <w:sz w:val="20"/>
          <w:szCs w:val="20"/>
          <w:color w:val="auto"/>
        </w:rPr>
      </w:pPr>
      <w:r>
        <w:rPr>
          <w:rFonts w:ascii="Arial" w:cs="Arial" w:eastAsia="Arial" w:hAnsi="Arial"/>
          <w:sz w:val="16"/>
          <w:szCs w:val="16"/>
          <w:color w:val="auto"/>
        </w:rPr>
        <w:t>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spacing w:after="0" w:line="265"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spacing w:after="0" w:line="292"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3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460" w:firstLine="509"/>
        <w:spacing w:after="0" w:line="258" w:lineRule="auto"/>
        <w:rPr>
          <w:sz w:val="20"/>
          <w:szCs w:val="20"/>
          <w:color w:val="auto"/>
        </w:rPr>
      </w:pPr>
      <w:r>
        <w:rPr>
          <w:rFonts w:ascii="Arial" w:cs="Arial" w:eastAsia="Arial" w:hAnsi="Arial"/>
          <w:sz w:val="18"/>
          <w:szCs w:val="18"/>
          <w:color w:val="auto"/>
        </w:rPr>
        <w:t>We expect our operating results to be subject to annual and quarterly fluctuations. Our net loss and other operating results will be affected by numerous factors, including, among others: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9" w:name="page60"/>
    <w:bookmarkEnd w:id="59"/>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our product candidates or future development programs;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or the addition or termination of clinical trials;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our existing collaborations and any potential additional collaborations, licensing or similar arrangements;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28" w:lineRule="exact"/>
        <w:rPr>
          <w:rFonts w:ascii="Arial" w:cs="Arial" w:eastAsia="Arial" w:hAnsi="Arial"/>
          <w:sz w:val="17"/>
          <w:szCs w:val="17"/>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00" w:right="160" w:hanging="36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00" w:right="540" w:hanging="36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our operating results fall below the expectations of investors or securities analysts, the price of our common stock could decline substantially.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Furthermore, any fluctuations in our operating results may, in turn, cause the price of our stock to fluctuate substantially.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could lose all or part of your investment.</w:t>
      </w:r>
    </w:p>
    <w:p>
      <w:pPr>
        <w:spacing w:after="0" w:line="117"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The market price for our common stock may be influenced by many factors, including the other risks described in this section and the following:</w:t>
      </w:r>
    </w:p>
    <w:p>
      <w:pPr>
        <w:spacing w:after="0" w:line="62" w:lineRule="exact"/>
        <w:rPr>
          <w:sz w:val="20"/>
          <w:szCs w:val="20"/>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results of our clinical trials or those of our competitors;</w:t>
      </w:r>
    </w:p>
    <w:p>
      <w:pPr>
        <w:spacing w:after="0" w:line="117" w:lineRule="exact"/>
        <w:rPr>
          <w:rFonts w:ascii="Arial" w:cs="Arial" w:eastAsia="Arial" w:hAnsi="Arial"/>
          <w:sz w:val="18"/>
          <w:szCs w:val="18"/>
          <w:color w:val="auto"/>
        </w:rPr>
      </w:pPr>
    </w:p>
    <w:p>
      <w:pPr>
        <w:ind w:left="1000" w:right="540" w:hanging="36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00" w:right="440" w:hanging="36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current or future collaborators or our competitors, and the timing of these introductions or announcements;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new collaboration agreements, or the restructuring or termination of current collaboration agreements;</w:t>
      </w:r>
    </w:p>
    <w:p>
      <w:pPr>
        <w:spacing w:after="0" w:line="117" w:lineRule="exact"/>
        <w:rPr>
          <w:rFonts w:ascii="Arial" w:cs="Arial" w:eastAsia="Arial" w:hAnsi="Arial"/>
          <w:sz w:val="18"/>
          <w:szCs w:val="18"/>
          <w:color w:val="auto"/>
        </w:rPr>
      </w:pPr>
    </w:p>
    <w:p>
      <w:pPr>
        <w:ind w:left="1000" w:right="420" w:hanging="36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products, preclinical studies, clinical trials, manufacturing process or sales and marketing terms;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7" w:lineRule="exact"/>
        <w:rPr>
          <w:rFonts w:ascii="Arial" w:cs="Arial" w:eastAsia="Arial" w:hAnsi="Arial"/>
          <w:sz w:val="18"/>
          <w:szCs w:val="18"/>
          <w:color w:val="auto"/>
        </w:rPr>
      </w:pPr>
    </w:p>
    <w:p>
      <w:pPr>
        <w:ind w:left="1000" w:right="620" w:hanging="36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concerning any future collaborations, including those regarding manufacturing, supply and commercialization of our products;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1000" w:hanging="36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00" w:right="360" w:hanging="368"/>
        <w:spacing w:after="0" w:line="258"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analysts’ recommendations regarding our common stock, other comparable companies or our industry generally;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ind w:left="1000" w:hanging="368"/>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right="400" w:firstLine="509"/>
        <w:spacing w:after="0" w:line="263"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17"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 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spacing w:after="0" w:line="27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research or reports regarding us, our business or our market, our stock price and trading volume could decline.</w:t>
      </w:r>
    </w:p>
    <w:p>
      <w:pPr>
        <w:spacing w:after="0" w:line="62"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30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38"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As of March 31, 2023, executive officers and directors, together with holders of 5% or more of our outstanding common stock and their respective affiliates, beneficially own approximately 30.9% of our outstanding common stock. More specifically, Jay M. Short, Ph.D, our Chairman and Chief Executive Officer, together with his spouse, Carolyn Anderson Short, our former Chief of Intellectual Property and Strategy and Assistant Secretary, beneficially own approximately 6.4%, of our outstanding common stock, as of March 31, 2023.</w:t>
      </w:r>
    </w:p>
    <w:p>
      <w:pPr>
        <w:spacing w:after="0" w:line="187"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1" w:name="page62"/>
    <w:bookmarkEnd w:id="61"/>
    <w:p>
      <w:pPr>
        <w:jc w:val="both"/>
        <w:ind w:right="360"/>
        <w:spacing w:after="0" w:line="259" w:lineRule="auto"/>
        <w:rPr>
          <w:sz w:val="20"/>
          <w:szCs w:val="20"/>
          <w:color w:val="auto"/>
        </w:rPr>
      </w:pPr>
      <w:r>
        <w:rPr>
          <w:rFonts w:ascii="Arial" w:cs="Arial" w:eastAsia="Arial" w:hAnsi="Arial"/>
          <w:sz w:val="18"/>
          <w:szCs w:val="18"/>
          <w:color w:val="auto"/>
        </w:rPr>
        <w:t>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8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addition, we have entered into certain related party transactions with Himalaya Therapeutics SEZC, Inversagen, LLC and BioAtla Holdings, LLC, including various licensing arrangements with respect to certain CAB antibodies. Dr. Short and his wife, Carolyn Anderson Short, are each a manager of Inversagen, LLC and BioAtla Holdings, LLC and a director of Himalaya Therapeutics SEZC. In addition, Ms. Anderson Short is also an officer of Himalaya Therapeutics SEZC. These related party transactions, and any future related party transactions, create the possibility of actual conflicts of interest with regard to Dr. Short.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84"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pursuant to future awards granted under those plans will become available for sale in the public market to the extent permitted by Rules 144 and 701 under the Securities Act.</w:t>
      </w:r>
    </w:p>
    <w:p>
      <w:pPr>
        <w:spacing w:after="0" w:line="18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Certain holders of our outstanding shares have rights, subject to certain conditions, to require us to file registration statements covering the sale of their shares or to include their shares in registration statements that we may file for ourselves or our other stockholders. We also registered the offer and sale of all shares of common stock that we may issue under our equity compensation plans, which shares will be able to be sold in the public market upon issuance, subject to applicable securities laws and the lock-up agreements.</w:t>
      </w:r>
    </w:p>
    <w:p>
      <w:pPr>
        <w:spacing w:after="0" w:line="295"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80" w:lineRule="exact"/>
        <w:rPr>
          <w:sz w:val="20"/>
          <w:szCs w:val="20"/>
          <w:color w:val="auto"/>
        </w:rPr>
      </w:pPr>
    </w:p>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117" w:lineRule="exact"/>
        <w:rPr>
          <w:rFonts w:ascii="Arial" w:cs="Arial" w:eastAsia="Arial" w:hAnsi="Arial"/>
          <w:sz w:val="18"/>
          <w:szCs w:val="18"/>
          <w:color w:val="auto"/>
        </w:rPr>
      </w:pPr>
    </w:p>
    <w:p>
      <w:pPr>
        <w:ind w:left="1000" w:right="180" w:hanging="368"/>
        <w:spacing w:after="0" w:line="308"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requirement that special meetings of stockholders be called only by the chairman of our board of directors, our chief executive officer, or our board of directors pursuant to a resolution adopted by a majority of the total number of authorized directors;</w:t>
      </w:r>
    </w:p>
    <w:p>
      <w:pPr>
        <w:spacing w:after="0" w:line="38" w:lineRule="exact"/>
        <w:rPr>
          <w:rFonts w:ascii="Arial" w:cs="Arial" w:eastAsia="Arial" w:hAnsi="Arial"/>
          <w:sz w:val="17"/>
          <w:szCs w:val="17"/>
          <w:color w:val="auto"/>
        </w:rPr>
      </w:pPr>
    </w:p>
    <w:p>
      <w:pPr>
        <w:ind w:left="1000" w:hanging="368"/>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40" w:lineRule="exact"/>
        <w:rPr>
          <w:rFonts w:ascii="Arial" w:cs="Arial" w:eastAsia="Arial" w:hAnsi="Arial"/>
          <w:sz w:val="16"/>
          <w:szCs w:val="16"/>
          <w:color w:val="auto"/>
        </w:rPr>
      </w:pPr>
    </w:p>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requirement that directors may only be removed “for cause” and only with 66 2/3% voting stock of our stockholders;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requirement that only the board of directors may change the number of directors and fill vacancies on the board;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serving staggered terms of three years each;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25"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ind w:right="400"/>
        <w:spacing w:after="0" w:line="277" w:lineRule="auto"/>
        <w:rPr>
          <w:sz w:val="20"/>
          <w:szCs w:val="20"/>
          <w:color w:val="auto"/>
        </w:rPr>
      </w:pPr>
      <w:r>
        <w:rPr>
          <w:rFonts w:ascii="Arial" w:cs="Arial" w:eastAsia="Arial" w:hAnsi="Arial"/>
          <w:sz w:val="18"/>
          <w:szCs w:val="18"/>
          <w:b w:val="1"/>
          <w:bCs w:val="1"/>
          <w:i w:val="1"/>
          <w:iCs w:val="1"/>
          <w:color w:val="auto"/>
        </w:rPr>
        <w:t>The Company’s ability to attract and retain qualified members of our board of directors may be impacted due to new state laws, including recently enacted gender quotas.</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September 2018, California enacted SB 826 requiring public companies headquartered in California to maintain minimum female representation on their boards of directors as follows: by the end of 2019, at least one woman on its board, by the end of 2020, public company boards with five members will be required to have at least two female directors, and public company boards with six or more members will be required to have at least three female directors.</w:t>
      </w:r>
    </w:p>
    <w:p>
      <w:pPr>
        <w:spacing w:after="0" w:line="79"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In September 2020, California enacted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w:t>
      </w:r>
    </w:p>
    <w:p>
      <w:pPr>
        <w:spacing w:after="0" w:line="79"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In addition to that initial 2021 requirement, the law mandates that the number of directors from underrepresented communities be increased by the end of calendar year 2022, depending on the size of the board.</w:t>
      </w:r>
    </w:p>
    <w:p>
      <w:pPr>
        <w:spacing w:after="0" w:line="62"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Each of these measures has been challenged in court, and although judges of the California Superior Court ruled that AB 979 and SB 826 violate the California constitution in April 2022 and May 2022, respectively, the Secretary of State of the State of California has appealed such rulings, and the ultimate enforceability of these or similar laws remains uncertain.</w:t>
      </w:r>
    </w:p>
    <w:p>
      <w:pPr>
        <w:spacing w:after="0" w:line="29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In addition, the Company is subject to the listing rules from Nasdaq related to board diversity and disclosure, which require all companies listed on Nasdaq's U.S. exchanges to publicly disclose consistent, transparent diversity statistics regarding their board of directors. Additionally, the rules require most Nasdaq-listed companies to have, or explain why they do not have, at least two diverse directors, including one who self-identifies as female and one who self-identifies as either an underrepresented minority or LGBTQ+.</w:t>
      </w:r>
    </w:p>
    <w:p>
      <w:pPr>
        <w:spacing w:after="0" w:line="79" w:lineRule="exact"/>
        <w:rPr>
          <w:sz w:val="20"/>
          <w:szCs w:val="20"/>
          <w:color w:val="auto"/>
        </w:rPr>
      </w:pPr>
    </w:p>
    <w:p>
      <w:pPr>
        <w:ind w:right="340" w:firstLine="509"/>
        <w:spacing w:after="0" w:line="259" w:lineRule="auto"/>
        <w:rPr>
          <w:sz w:val="20"/>
          <w:szCs w:val="20"/>
          <w:color w:val="auto"/>
        </w:rPr>
      </w:pPr>
      <w:r>
        <w:rPr>
          <w:rFonts w:ascii="Arial" w:cs="Arial" w:eastAsia="Arial" w:hAnsi="Arial"/>
          <w:sz w:val="18"/>
          <w:szCs w:val="18"/>
          <w:color w:val="auto"/>
        </w:rPr>
        <w:t>Failure to achieve designated minimum gender and diversity levels in a timely manner exposes such companies to financial penalties and reputational harm. While we are currently in compliance with these regulations, we cannot assure that we can recruit, attract and/or retain qualified members of the board and meet gender and diversity quotas as a result of the California laws or Nasdaq rules, which may expose us to penalties and/or reputational harm.</w:t>
      </w:r>
    </w:p>
    <w:p>
      <w:pPr>
        <w:spacing w:after="0" w:line="29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We have incurred, and will continue to incur, significant costs as a result of operating as a public company, and our management is required to devote substantial time to compliance initiatives and corporate governance practices. Additionally, if we fail to maintain proper and effective internal controls, our ability to produce accurate financial statements on a timely basis could be impaired.</w:t>
      </w:r>
    </w:p>
    <w:p>
      <w:pPr>
        <w:spacing w:after="0" w:line="57"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As a public company, we have incurred and will continue to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need to devote a substantial amount of time to these compliance initiatives. Moreover, these rules and regulations increase our legal and financial compliance costs and make some activities more time-consuming and costly. For example, compared to our prior private company status, these rules and regulations make it more difficult and more expensive for us to obtain director and officer liability insurance, and required us to accept reduced policy limits and coverage or to incur substantial costs to maintain the same or similar coverage.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6" w:lineRule="exact"/>
        <w:rPr>
          <w:sz w:val="20"/>
          <w:szCs w:val="20"/>
          <w:color w:val="auto"/>
        </w:rPr>
      </w:pPr>
    </w:p>
    <w:p>
      <w:pPr>
        <w:ind w:firstLine="509"/>
        <w:spacing w:after="0" w:line="266" w:lineRule="auto"/>
        <w:rPr>
          <w:sz w:val="20"/>
          <w:szCs w:val="20"/>
          <w:color w:val="auto"/>
        </w:rPr>
      </w:pPr>
      <w:r>
        <w:rPr>
          <w:rFonts w:ascii="Arial" w:cs="Arial" w:eastAsia="Arial" w:hAnsi="Arial"/>
          <w:sz w:val="17"/>
          <w:szCs w:val="17"/>
          <w:color w:val="auto"/>
        </w:rPr>
        <w:t>In addition, as a public company, we are required to incur costs and obligations in order to comply with SEC rules that implement Section 404 of the Sarbanes-Oxley Act. Under these rules, we are required to make a formal assessment of the effectiveness of our internal control over financial reporting, and once we cease to be a smaller reporting company, we will be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 costly and challenging. In this regard, we have, and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ind w:right="100"/>
        <w:spacing w:after="0" w:line="259" w:lineRule="auto"/>
        <w:rPr>
          <w:sz w:val="20"/>
          <w:szCs w:val="20"/>
          <w:color w:val="auto"/>
        </w:rPr>
      </w:pPr>
      <w:r>
        <w:rPr>
          <w:rFonts w:ascii="Arial" w:cs="Arial" w:eastAsia="Arial" w:hAnsi="Arial"/>
          <w:sz w:val="18"/>
          <w:szCs w:val="18"/>
          <w:color w:val="auto"/>
        </w:rPr>
        <w:t>Since becoming a public company, we increased, and may in the future further increase, the number of employees dedicated to finance and reporting, and the services of outside consultants to meet requirements, which has increased our operating expenses. Beginning January 1, 2023, we will be a smaller reporting company and therefore, will no longer be required to include an attestation report on internal control over financial reporting by our independent registered public accounting firm for as long as we remain a smaller reporting company.</w:t>
      </w:r>
    </w:p>
    <w:p>
      <w:pPr>
        <w:spacing w:after="0" w:line="18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may not prevent or detect all errors and all fraud.</w:t>
      </w:r>
    </w:p>
    <w:p>
      <w:pPr>
        <w:spacing w:after="0" w:line="187"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Global Market.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360" w:firstLine="509"/>
        <w:spacing w:after="0" w:line="25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your ability to achieve a return on your investment will depend on appreciation of the value of our common stock.</w:t>
      </w:r>
    </w:p>
    <w:p>
      <w:pPr>
        <w:spacing w:after="0" w:line="62"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our management’s attention.</w:t>
      </w:r>
    </w:p>
    <w:p>
      <w:pPr>
        <w:spacing w:after="0" w:line="117"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spacing w:after="0" w:line="29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w:t>
      </w:r>
    </w:p>
    <w:p>
      <w:pPr>
        <w:spacing w:after="0" w:line="4" w:lineRule="exact"/>
        <w:rPr>
          <w:sz w:val="20"/>
          <w:szCs w:val="20"/>
          <w:color w:val="auto"/>
        </w:rPr>
      </w:pPr>
    </w:p>
    <w:p>
      <w:pPr>
        <w:ind w:firstLine="8"/>
        <w:spacing w:after="0" w:line="250" w:lineRule="auto"/>
        <w:tabs>
          <w:tab w:leader="none" w:pos="29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spacing w:after="0" w:line="288" w:lineRule="auto"/>
        <w:rPr>
          <w:sz w:val="20"/>
          <w:szCs w:val="20"/>
          <w:color w:val="auto"/>
        </w:rPr>
      </w:pPr>
      <w:r>
        <w:rPr>
          <w:rFonts w:ascii="Arial" w:cs="Arial" w:eastAsia="Arial" w:hAnsi="Arial"/>
          <w:sz w:val="16"/>
          <w:szCs w:val="16"/>
          <w:color w:val="auto"/>
        </w:rPr>
        <w:t>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On December 15, 2020, the SEC declared effective our registration statement on Form S-1 (File No. 333-250093), as amended, filed in connection with our IPO. At the closing of the offering on December 18, 2020, we issued and sold 12,075,000 shares of our common stock at the initial public offering price to the public of $18.00 per share, which included the exercise in full of the underwriters’ option to purchase additional shares. We received gross proceeds from the IPO of $217.4 million, before deducting underwriting discounts and commissions of approximately $15.2 million and estimated offering costs of approximately $3.8 million.</w:t>
      </w:r>
    </w:p>
    <w:p>
      <w:pPr>
        <w:spacing w:after="0" w:line="188"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As of March 31, 2023, we have used approximately $138.3 million of the proceeds from our IPO. There has been no material change in the planned use of such proceeds from that described in the final prospectus filed by us with the SEC on December 17,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12"/>
            <w:vMerge w:val="restart"/>
          </w:tcPr>
          <w:p>
            <w:pPr>
              <w:ind w:left="5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 No.</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380" w:type="dxa"/>
            <w:vAlign w:val="bottom"/>
          </w:tcPr>
          <w:p>
            <w:pPr>
              <w:jc w:val="center"/>
              <w:ind w:left="22"/>
              <w:spacing w:after="0"/>
              <w:rPr>
                <w:sz w:val="20"/>
                <w:szCs w:val="20"/>
                <w:color w:val="auto"/>
              </w:rPr>
            </w:pPr>
            <w:r>
              <w:rPr>
                <w:rFonts w:ascii="Arial" w:cs="Arial" w:eastAsia="Arial" w:hAnsi="Arial"/>
                <w:sz w:val="14"/>
                <w:szCs w:val="14"/>
                <w:b w:val="1"/>
                <w:bCs w:val="1"/>
                <w:color w:val="auto"/>
              </w:rPr>
              <w:t>Exhibit Filing</w:t>
            </w:r>
          </w:p>
        </w:tc>
        <w:tc>
          <w:tcPr>
            <w:tcW w:w="1320" w:type="dxa"/>
            <w:vAlign w:val="bottom"/>
          </w:tcPr>
          <w:p>
            <w:pPr>
              <w:ind w:left="180"/>
              <w:spacing w:after="0"/>
              <w:rPr>
                <w:sz w:val="20"/>
                <w:szCs w:val="20"/>
                <w:color w:val="auto"/>
              </w:rPr>
            </w:pPr>
            <w:r>
              <w:rPr>
                <w:rFonts w:ascii="Arial" w:cs="Arial" w:eastAsia="Arial" w:hAnsi="Arial"/>
                <w:sz w:val="14"/>
                <w:szCs w:val="14"/>
                <w:b w:val="1"/>
                <w:bCs w:val="1"/>
                <w:color w:val="auto"/>
              </w:rPr>
              <w:t>File/Furnished</w:t>
            </w:r>
          </w:p>
        </w:tc>
        <w:tc>
          <w:tcPr>
            <w:tcW w:w="0" w:type="dxa"/>
            <w:vAlign w:val="bottom"/>
          </w:tcPr>
          <w:p>
            <w:pPr>
              <w:spacing w:after="0"/>
              <w:rPr>
                <w:sz w:val="1"/>
                <w:szCs w:val="1"/>
                <w:color w:val="auto"/>
              </w:rPr>
            </w:pPr>
          </w:p>
        </w:tc>
      </w:tr>
      <w:tr>
        <w:trPr>
          <w:trHeight w:val="185"/>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1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Date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02"/>
        </w:trPr>
        <w:tc>
          <w:tcPr>
            <w:tcW w:w="1000" w:type="dxa"/>
            <w:vAlign w:val="bottom"/>
            <w:vMerge w:val="restart"/>
          </w:tcPr>
          <w:p>
            <w:pPr>
              <w:ind w:left="20"/>
              <w:spacing w:after="0" w:line="182"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8"/>
                <w:szCs w:val="8"/>
                <w:color w:val="auto"/>
              </w:rPr>
            </w:pPr>
          </w:p>
        </w:tc>
        <w:tc>
          <w:tcPr>
            <w:tcW w:w="2160" w:type="dxa"/>
            <w:vAlign w:val="bottom"/>
            <w:gridSpan w:val="3"/>
            <w:vMerge w:val="restart"/>
          </w:tcPr>
          <w:p>
            <w:pPr>
              <w:spacing w:after="0" w:line="182" w:lineRule="exact"/>
              <w:rPr>
                <w:rFonts w:ascii="Arial" w:cs="Arial" w:eastAsia="Arial" w:hAnsi="Arial"/>
                <w:sz w:val="18"/>
                <w:szCs w:val="18"/>
                <w:color w:val="0000FF"/>
                <w:w w:val="89"/>
              </w:rPr>
            </w:pPr>
            <w:hyperlink r:id="rId166">
              <w:r>
                <w:rPr>
                  <w:rFonts w:ascii="Arial" w:cs="Arial" w:eastAsia="Arial" w:hAnsi="Arial"/>
                  <w:sz w:val="18"/>
                  <w:szCs w:val="18"/>
                  <w:color w:val="0000FF"/>
                  <w:w w:val="89"/>
                </w:rPr>
                <w:t>Open Market Sale Agreement</w:t>
              </w:r>
            </w:hyperlink>
          </w:p>
        </w:tc>
        <w:tc>
          <w:tcPr>
            <w:tcW w:w="220" w:type="dxa"/>
            <w:vAlign w:val="bottom"/>
            <w:tcBorders>
              <w:bottom w:val="single" w:sz="8" w:color="0000FF"/>
            </w:tcBorders>
            <w:gridSpan w:val="3"/>
          </w:tcPr>
          <w:p>
            <w:pPr>
              <w:spacing w:after="0" w:line="88" w:lineRule="exact"/>
              <w:rPr>
                <w:rFonts w:ascii="Arial" w:cs="Arial" w:eastAsia="Arial" w:hAnsi="Arial"/>
                <w:sz w:val="10"/>
                <w:szCs w:val="10"/>
                <w:color w:val="0000FF"/>
              </w:rPr>
            </w:pPr>
            <w:hyperlink r:id="rId166">
              <w:r>
                <w:rPr>
                  <w:rFonts w:ascii="Arial" w:cs="Arial" w:eastAsia="Arial" w:hAnsi="Arial"/>
                  <w:sz w:val="10"/>
                  <w:szCs w:val="10"/>
                  <w:color w:val="0000FF"/>
                </w:rPr>
                <w:t>SM</w:t>
              </w:r>
            </w:hyperlink>
          </w:p>
        </w:tc>
        <w:tc>
          <w:tcPr>
            <w:tcW w:w="820" w:type="dxa"/>
            <w:vAlign w:val="bottom"/>
            <w:gridSpan w:val="3"/>
            <w:vMerge w:val="restart"/>
          </w:tcPr>
          <w:p>
            <w:pPr>
              <w:spacing w:after="0" w:line="182" w:lineRule="exact"/>
              <w:rPr>
                <w:rFonts w:ascii="Arial" w:cs="Arial" w:eastAsia="Arial" w:hAnsi="Arial"/>
                <w:sz w:val="18"/>
                <w:szCs w:val="18"/>
                <w:color w:val="0000FF"/>
                <w:w w:val="84"/>
              </w:rPr>
            </w:pPr>
            <w:hyperlink r:id="rId166">
              <w:r>
                <w:rPr>
                  <w:rFonts w:ascii="Arial" w:cs="Arial" w:eastAsia="Arial" w:hAnsi="Arial"/>
                  <w:sz w:val="18"/>
                  <w:szCs w:val="18"/>
                  <w:color w:val="0000FF"/>
                  <w:w w:val="84"/>
                </w:rPr>
                <w:t>,dated as of</w:t>
              </w:r>
            </w:hyperlink>
          </w:p>
        </w:tc>
        <w:tc>
          <w:tcPr>
            <w:tcW w:w="500" w:type="dxa"/>
            <w:vAlign w:val="bottom"/>
            <w:gridSpan w:val="5"/>
            <w:vMerge w:val="restart"/>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vMerge w:val="restart"/>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440" w:type="dxa"/>
            <w:vAlign w:val="bottom"/>
            <w:vMerge w:val="restart"/>
          </w:tcPr>
          <w:p>
            <w:pPr>
              <w:jc w:val="right"/>
              <w:ind w:right="239"/>
              <w:spacing w:after="0" w:line="182" w:lineRule="exact"/>
              <w:rPr>
                <w:sz w:val="20"/>
                <w:szCs w:val="20"/>
                <w:color w:val="auto"/>
              </w:rPr>
            </w:pPr>
            <w:r>
              <w:rPr>
                <w:rFonts w:ascii="Arial" w:cs="Arial" w:eastAsia="Arial" w:hAnsi="Arial"/>
                <w:sz w:val="18"/>
                <w:szCs w:val="18"/>
                <w:color w:val="auto"/>
              </w:rPr>
              <w:t>001-39787</w:t>
            </w:r>
          </w:p>
        </w:tc>
        <w:tc>
          <w:tcPr>
            <w:tcW w:w="1060" w:type="dxa"/>
            <w:vAlign w:val="bottom"/>
            <w:vMerge w:val="restart"/>
          </w:tcPr>
          <w:p>
            <w:pPr>
              <w:jc w:val="right"/>
              <w:ind w:right="319"/>
              <w:spacing w:after="0" w:line="182" w:lineRule="exact"/>
              <w:rPr>
                <w:sz w:val="20"/>
                <w:szCs w:val="20"/>
                <w:color w:val="auto"/>
              </w:rPr>
            </w:pPr>
            <w:r>
              <w:rPr>
                <w:rFonts w:ascii="Arial" w:cs="Arial" w:eastAsia="Arial" w:hAnsi="Arial"/>
                <w:sz w:val="18"/>
                <w:szCs w:val="18"/>
                <w:color w:val="auto"/>
              </w:rPr>
              <w:t>1.1</w:t>
            </w:r>
          </w:p>
        </w:tc>
        <w:tc>
          <w:tcPr>
            <w:tcW w:w="1380" w:type="dxa"/>
            <w:vAlign w:val="bottom"/>
            <w:vMerge w:val="restart"/>
          </w:tcPr>
          <w:p>
            <w:pPr>
              <w:jc w:val="right"/>
              <w:ind w:right="122"/>
              <w:spacing w:after="0" w:line="182" w:lineRule="exact"/>
              <w:rPr>
                <w:sz w:val="20"/>
                <w:szCs w:val="20"/>
                <w:color w:val="auto"/>
              </w:rPr>
            </w:pPr>
            <w:r>
              <w:rPr>
                <w:rFonts w:ascii="Arial" w:cs="Arial" w:eastAsia="Arial" w:hAnsi="Arial"/>
                <w:sz w:val="18"/>
                <w:szCs w:val="18"/>
                <w:color w:val="auto"/>
              </w:rPr>
              <w:t>2023-01-06</w:t>
            </w: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0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160" w:type="dxa"/>
            <w:vAlign w:val="bottom"/>
            <w:tcBorders>
              <w:bottom w:val="single" w:sz="8" w:color="0000EE"/>
            </w:tcBorders>
            <w:gridSpan w:val="3"/>
            <w:vMerge w:val="continue"/>
          </w:tcPr>
          <w:p>
            <w:pPr>
              <w:spacing w:after="0"/>
              <w:rPr>
                <w:sz w:val="5"/>
                <w:szCs w:val="5"/>
                <w:color w:val="auto"/>
              </w:rPr>
            </w:pPr>
          </w:p>
        </w:tc>
        <w:tc>
          <w:tcPr>
            <w:tcW w:w="220" w:type="dxa"/>
            <w:vAlign w:val="bottom"/>
            <w:tcBorders>
              <w:bottom w:val="single" w:sz="8" w:color="0000EE"/>
            </w:tcBorders>
            <w:gridSpan w:val="3"/>
          </w:tcPr>
          <w:p>
            <w:pPr>
              <w:spacing w:after="0"/>
              <w:rPr>
                <w:sz w:val="5"/>
                <w:szCs w:val="5"/>
                <w:color w:val="auto"/>
              </w:rPr>
            </w:pPr>
          </w:p>
        </w:tc>
        <w:tc>
          <w:tcPr>
            <w:tcW w:w="820" w:type="dxa"/>
            <w:vAlign w:val="bottom"/>
            <w:tcBorders>
              <w:bottom w:val="single" w:sz="8" w:color="0000EE"/>
            </w:tcBorders>
            <w:gridSpan w:val="3"/>
            <w:vMerge w:val="continue"/>
          </w:tcPr>
          <w:p>
            <w:pPr>
              <w:spacing w:after="0"/>
              <w:rPr>
                <w:sz w:val="5"/>
                <w:szCs w:val="5"/>
                <w:color w:val="auto"/>
              </w:rPr>
            </w:pPr>
          </w:p>
        </w:tc>
        <w:tc>
          <w:tcPr>
            <w:tcW w:w="500" w:type="dxa"/>
            <w:vAlign w:val="bottom"/>
            <w:tcBorders>
              <w:bottom w:val="single" w:sz="8" w:color="0000FF"/>
            </w:tcBorders>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166">
              <w:r>
                <w:rPr>
                  <w:rFonts w:ascii="Arial" w:cs="Arial" w:eastAsia="Arial" w:hAnsi="Arial"/>
                  <w:sz w:val="18"/>
                  <w:szCs w:val="18"/>
                  <w:color w:val="0000FF"/>
                  <w:w w:val="92"/>
                </w:rPr>
                <w:t>January 6, 2023 between BioAtla, Inc. and</w:t>
              </w:r>
            </w:hyperlink>
          </w:p>
        </w:tc>
        <w:tc>
          <w:tcPr>
            <w:tcW w:w="56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gridSpan w:val="14"/>
          </w:tcPr>
          <w:p>
            <w:pPr>
              <w:spacing w:after="0" w:line="196" w:lineRule="exact"/>
              <w:rPr>
                <w:rFonts w:ascii="Arial" w:cs="Arial" w:eastAsia="Arial" w:hAnsi="Arial"/>
                <w:sz w:val="18"/>
                <w:szCs w:val="18"/>
                <w:color w:val="0000FF"/>
              </w:rPr>
            </w:pPr>
            <w:hyperlink r:id="rId166">
              <w:r>
                <w:rPr>
                  <w:rFonts w:ascii="Arial" w:cs="Arial" w:eastAsia="Arial" w:hAnsi="Arial"/>
                  <w:sz w:val="18"/>
                  <w:szCs w:val="18"/>
                  <w:color w:val="0000FF"/>
                </w:rPr>
                <w:t>Jefferies LLC</w:t>
              </w:r>
            </w:hyperlink>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9"/>
                <w:szCs w:val="19"/>
                <w:color w:val="auto"/>
              </w:rPr>
            </w:pPr>
          </w:p>
        </w:tc>
        <w:tc>
          <w:tcPr>
            <w:tcW w:w="36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4"/>
              </w:rPr>
              <w:t>Certification of Chief Executive Officer Pursuant</w:t>
            </w:r>
          </w:p>
        </w:tc>
        <w:tc>
          <w:tcPr>
            <w:tcW w:w="1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0"/>
              </w:rPr>
              <w:t>to Rules 13a-14(a) and 15d-14(a) as Adopted</w:t>
            </w:r>
          </w:p>
        </w:tc>
        <w:tc>
          <w:tcPr>
            <w:tcW w:w="40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tcBorders>
              <w:bottom w:val="single" w:sz="8" w:color="0000FF"/>
            </w:tcBorders>
            <w:gridSpan w:val="14"/>
          </w:tcPr>
          <w:p>
            <w:pPr>
              <w:spacing w:after="0" w:line="196" w:lineRule="exact"/>
              <w:rPr>
                <w:sz w:val="20"/>
                <w:szCs w:val="20"/>
                <w:color w:val="auto"/>
              </w:rPr>
            </w:pPr>
            <w:r>
              <w:rPr>
                <w:rFonts w:ascii="Arial" w:cs="Arial" w:eastAsia="Arial" w:hAnsi="Arial"/>
                <w:sz w:val="18"/>
                <w:szCs w:val="18"/>
                <w:color w:val="0000FF"/>
                <w:w w:val="90"/>
              </w:rPr>
              <w:t>Pursuant to Section 302 of the Sarbanes-Oxley Act</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gridSpan w:val="14"/>
          </w:tcPr>
          <w:p>
            <w:pPr>
              <w:spacing w:after="0" w:line="196" w:lineRule="exact"/>
              <w:rPr>
                <w:sz w:val="20"/>
                <w:szCs w:val="20"/>
                <w:color w:val="auto"/>
              </w:rPr>
            </w:pPr>
            <w:r>
              <w:rPr>
                <w:rFonts w:ascii="Arial" w:cs="Arial" w:eastAsia="Arial" w:hAnsi="Arial"/>
                <w:sz w:val="18"/>
                <w:szCs w:val="18"/>
                <w:color w:val="0000FF"/>
              </w:rPr>
              <w:t>of 2002.</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9"/>
                <w:szCs w:val="19"/>
                <w:color w:val="auto"/>
              </w:rPr>
            </w:pPr>
          </w:p>
        </w:tc>
        <w:tc>
          <w:tcPr>
            <w:tcW w:w="37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3"/>
              </w:rPr>
              <w:t>Certification of Chief Financial Officer Pursuant to</w:t>
            </w:r>
          </w:p>
        </w:tc>
        <w:tc>
          <w:tcPr>
            <w:tcW w:w="40" w:type="dxa"/>
            <w:vAlign w:val="bottom"/>
            <w:tcBorders>
              <w:bottom w:val="single" w:sz="8" w:color="0000FF"/>
            </w:tcBorders>
          </w:tcPr>
          <w:p>
            <w:pPr>
              <w:spacing w:after="0"/>
              <w:rPr>
                <w:sz w:val="19"/>
                <w:szCs w:val="19"/>
                <w:color w:val="auto"/>
              </w:rPr>
            </w:pPr>
          </w:p>
        </w:tc>
        <w:tc>
          <w:tcPr>
            <w:tcW w:w="1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2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90"/>
              </w:rPr>
              <w:t>Rules 13a-14(a) and 15d-14(a) as Adopted</w:t>
            </w:r>
          </w:p>
        </w:tc>
        <w:tc>
          <w:tcPr>
            <w:tcW w:w="58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tcBorders>
              <w:bottom w:val="single" w:sz="8" w:color="0000FF"/>
            </w:tcBorders>
            <w:gridSpan w:val="14"/>
          </w:tcPr>
          <w:p>
            <w:pPr>
              <w:spacing w:after="0" w:line="196" w:lineRule="exact"/>
              <w:rPr>
                <w:sz w:val="20"/>
                <w:szCs w:val="20"/>
                <w:color w:val="auto"/>
              </w:rPr>
            </w:pPr>
            <w:r>
              <w:rPr>
                <w:rFonts w:ascii="Arial" w:cs="Arial" w:eastAsia="Arial" w:hAnsi="Arial"/>
                <w:sz w:val="18"/>
                <w:szCs w:val="18"/>
                <w:color w:val="0000FF"/>
                <w:w w:val="90"/>
              </w:rPr>
              <w:t>Pursuant to Section 302 of the Sarbanes-Oxley Act</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gridSpan w:val="14"/>
          </w:tcPr>
          <w:p>
            <w:pPr>
              <w:spacing w:after="0" w:line="196" w:lineRule="exact"/>
              <w:rPr>
                <w:sz w:val="20"/>
                <w:szCs w:val="20"/>
                <w:color w:val="auto"/>
              </w:rPr>
            </w:pPr>
            <w:r>
              <w:rPr>
                <w:rFonts w:ascii="Arial" w:cs="Arial" w:eastAsia="Arial" w:hAnsi="Arial"/>
                <w:sz w:val="18"/>
                <w:szCs w:val="18"/>
                <w:color w:val="0000FF"/>
              </w:rPr>
              <w:t>of 2002.</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9"/>
                <w:szCs w:val="19"/>
                <w:color w:val="auto"/>
              </w:rPr>
            </w:pPr>
          </w:p>
        </w:tc>
        <w:tc>
          <w:tcPr>
            <w:tcW w:w="36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5"/>
              </w:rPr>
              <w:t>Certification of Chief Executive Officer and Chief</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gridSpan w:val="14"/>
          </w:tcPr>
          <w:p>
            <w:pPr>
              <w:spacing w:after="0" w:line="196" w:lineRule="exact"/>
              <w:rPr>
                <w:sz w:val="20"/>
                <w:szCs w:val="20"/>
                <w:color w:val="auto"/>
              </w:rPr>
            </w:pPr>
            <w:r>
              <w:rPr>
                <w:rFonts w:ascii="Arial" w:cs="Arial" w:eastAsia="Arial" w:hAnsi="Arial"/>
                <w:sz w:val="18"/>
                <w:szCs w:val="18"/>
                <w:color w:val="0000FF"/>
              </w:rPr>
              <w:t>Financial Officer Pursuant to 18</w:t>
            </w:r>
          </w:p>
        </w:tc>
        <w:tc>
          <w:tcPr>
            <w:tcW w:w="118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auto"/>
              </w:rPr>
              <w:t>63</w:t>
            </w:r>
          </w:p>
        </w:tc>
        <w:tc>
          <w:tcPr>
            <w:tcW w:w="1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12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-1953895</wp:posOffset>
            </wp:positionV>
            <wp:extent cx="260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tbl>
      <w:tblPr>
        <w:tblLayout w:type="fixed"/>
        <w:tblInd w:w="2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6780" w:type="dxa"/>
            <w:vAlign w:val="bottom"/>
          </w:tcPr>
          <w:p>
            <w:pPr>
              <w:ind w:left="280"/>
              <w:spacing w:after="0"/>
              <w:rPr>
                <w:sz w:val="20"/>
                <w:szCs w:val="20"/>
                <w:color w:val="auto"/>
              </w:rPr>
            </w:pPr>
            <w:r>
              <w:rPr>
                <w:rFonts w:ascii="Arial" w:cs="Arial" w:eastAsia="Arial" w:hAnsi="Arial"/>
                <w:sz w:val="18"/>
                <w:szCs w:val="18"/>
                <w:color w:val="auto"/>
              </w:rPr>
              <w:t>U.S.C. Section 1350, as Adopted Pursuant to</w:t>
            </w:r>
          </w:p>
        </w:tc>
        <w:tc>
          <w:tcPr>
            <w:tcW w:w="300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6780" w:type="dxa"/>
            <w:vAlign w:val="bottom"/>
          </w:tcPr>
          <w:p>
            <w:pPr>
              <w:ind w:left="280"/>
              <w:spacing w:after="0"/>
              <w:rPr>
                <w:sz w:val="20"/>
                <w:szCs w:val="20"/>
                <w:color w:val="auto"/>
              </w:rPr>
            </w:pPr>
            <w:r>
              <w:rPr>
                <w:rFonts w:ascii="Arial" w:cs="Arial" w:eastAsia="Arial" w:hAnsi="Arial"/>
                <w:sz w:val="18"/>
                <w:szCs w:val="18"/>
                <w:color w:val="auto"/>
              </w:rPr>
              <w:t>Section 906 of the Sarbanes-Oxley Act of 2002.</w:t>
            </w:r>
          </w:p>
        </w:tc>
        <w:tc>
          <w:tcPr>
            <w:tcW w:w="3000" w:type="dxa"/>
            <w:vAlign w:val="bottom"/>
          </w:tcPr>
          <w:p>
            <w:pPr>
              <w:spacing w:after="0"/>
              <w:rPr>
                <w:sz w:val="20"/>
                <w:szCs w:val="20"/>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6780" w:type="dxa"/>
            <w:vAlign w:val="bottom"/>
          </w:tcPr>
          <w:p>
            <w:pPr>
              <w:ind w:left="280"/>
              <w:spacing w:after="0"/>
              <w:rPr>
                <w:sz w:val="20"/>
                <w:szCs w:val="20"/>
                <w:color w:val="auto"/>
              </w:rPr>
            </w:pPr>
            <w:r>
              <w:rPr>
                <w:rFonts w:ascii="Arial" w:cs="Arial" w:eastAsia="Arial" w:hAnsi="Arial"/>
                <w:sz w:val="18"/>
                <w:szCs w:val="18"/>
                <w:color w:val="auto"/>
              </w:rPr>
              <w:t>Inline XBRL Instance Document – the instance</w:t>
            </w:r>
          </w:p>
        </w:tc>
        <w:tc>
          <w:tcPr>
            <w:tcW w:w="3000" w:type="dxa"/>
            <w:vAlign w:val="bottom"/>
          </w:tcPr>
          <w:p>
            <w:pPr>
              <w:ind w:left="2860"/>
              <w:spacing w:after="0"/>
              <w:rPr>
                <w:sz w:val="20"/>
                <w:szCs w:val="20"/>
                <w:color w:val="auto"/>
              </w:rPr>
            </w:pPr>
            <w:r>
              <w:rPr>
                <w:rFonts w:ascii="Arial" w:cs="Arial" w:eastAsia="Arial" w:hAnsi="Arial"/>
                <w:sz w:val="18"/>
                <w:szCs w:val="18"/>
                <w:color w:val="auto"/>
                <w:w w:val="99"/>
              </w:rPr>
              <w:t>X</w:t>
            </w:r>
          </w:p>
        </w:tc>
      </w:tr>
      <w:tr>
        <w:trPr>
          <w:trHeight w:val="216"/>
        </w:trPr>
        <w:tc>
          <w:tcPr>
            <w:tcW w:w="860" w:type="dxa"/>
            <w:vAlign w:val="bottom"/>
          </w:tcPr>
          <w:p>
            <w:pPr>
              <w:spacing w:after="0"/>
              <w:rPr>
                <w:sz w:val="18"/>
                <w:szCs w:val="18"/>
                <w:color w:val="auto"/>
              </w:rPr>
            </w:pPr>
          </w:p>
        </w:tc>
        <w:tc>
          <w:tcPr>
            <w:tcW w:w="6780" w:type="dxa"/>
            <w:vAlign w:val="bottom"/>
          </w:tcPr>
          <w:p>
            <w:pPr>
              <w:ind w:left="280"/>
              <w:spacing w:after="0"/>
              <w:rPr>
                <w:sz w:val="20"/>
                <w:szCs w:val="20"/>
                <w:color w:val="auto"/>
              </w:rPr>
            </w:pPr>
            <w:r>
              <w:rPr>
                <w:rFonts w:ascii="Arial" w:cs="Arial" w:eastAsia="Arial" w:hAnsi="Arial"/>
                <w:sz w:val="18"/>
                <w:szCs w:val="18"/>
                <w:color w:val="auto"/>
              </w:rPr>
              <w:t>document does not appear in the Interactive Data</w:t>
            </w:r>
          </w:p>
        </w:tc>
        <w:tc>
          <w:tcPr>
            <w:tcW w:w="30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780" w:type="dxa"/>
            <w:vAlign w:val="bottom"/>
          </w:tcPr>
          <w:p>
            <w:pPr>
              <w:ind w:left="280"/>
              <w:spacing w:after="0"/>
              <w:rPr>
                <w:sz w:val="20"/>
                <w:szCs w:val="20"/>
                <w:color w:val="auto"/>
              </w:rPr>
            </w:pPr>
            <w:r>
              <w:rPr>
                <w:rFonts w:ascii="Arial" w:cs="Arial" w:eastAsia="Arial" w:hAnsi="Arial"/>
                <w:sz w:val="18"/>
                <w:szCs w:val="18"/>
                <w:color w:val="auto"/>
              </w:rPr>
              <w:t>File because XBRL tags are embedded within the</w:t>
            </w:r>
          </w:p>
        </w:tc>
        <w:tc>
          <w:tcPr>
            <w:tcW w:w="300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6780" w:type="dxa"/>
            <w:vAlign w:val="bottom"/>
          </w:tcPr>
          <w:p>
            <w:pPr>
              <w:ind w:left="280"/>
              <w:spacing w:after="0"/>
              <w:rPr>
                <w:sz w:val="20"/>
                <w:szCs w:val="20"/>
                <w:color w:val="auto"/>
              </w:rPr>
            </w:pPr>
            <w:r>
              <w:rPr>
                <w:rFonts w:ascii="Arial" w:cs="Arial" w:eastAsia="Arial" w:hAnsi="Arial"/>
                <w:sz w:val="18"/>
                <w:szCs w:val="18"/>
                <w:color w:val="auto"/>
              </w:rPr>
              <w:t>Inline XBRL document.</w:t>
            </w:r>
          </w:p>
        </w:tc>
        <w:tc>
          <w:tcPr>
            <w:tcW w:w="3000" w:type="dxa"/>
            <w:vAlign w:val="bottom"/>
          </w:tcPr>
          <w:p>
            <w:pPr>
              <w:spacing w:after="0"/>
              <w:rPr>
                <w:sz w:val="20"/>
                <w:szCs w:val="20"/>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6780" w:type="dxa"/>
            <w:vAlign w:val="bottom"/>
          </w:tcPr>
          <w:p>
            <w:pPr>
              <w:ind w:left="280"/>
              <w:spacing w:after="0"/>
              <w:rPr>
                <w:sz w:val="20"/>
                <w:szCs w:val="20"/>
                <w:color w:val="auto"/>
              </w:rPr>
            </w:pPr>
            <w:r>
              <w:rPr>
                <w:rFonts w:ascii="Arial" w:cs="Arial" w:eastAsia="Arial" w:hAnsi="Arial"/>
                <w:sz w:val="18"/>
                <w:szCs w:val="18"/>
                <w:color w:val="auto"/>
              </w:rPr>
              <w:t>The following materials from BioAtla’s Quarterly</w:t>
            </w:r>
          </w:p>
        </w:tc>
        <w:tc>
          <w:tcPr>
            <w:tcW w:w="3000" w:type="dxa"/>
            <w:vAlign w:val="bottom"/>
          </w:tcPr>
          <w:p>
            <w:pPr>
              <w:ind w:left="2860"/>
              <w:spacing w:after="0"/>
              <w:rPr>
                <w:sz w:val="20"/>
                <w:szCs w:val="20"/>
                <w:color w:val="auto"/>
              </w:rPr>
            </w:pPr>
            <w:r>
              <w:rPr>
                <w:rFonts w:ascii="Arial" w:cs="Arial" w:eastAsia="Arial" w:hAnsi="Arial"/>
                <w:sz w:val="18"/>
                <w:szCs w:val="18"/>
                <w:color w:val="auto"/>
                <w:w w:val="99"/>
              </w:rPr>
              <w:t>X</w:t>
            </w:r>
          </w:p>
        </w:tc>
      </w:tr>
      <w:tr>
        <w:trPr>
          <w:trHeight w:val="216"/>
        </w:trPr>
        <w:tc>
          <w:tcPr>
            <w:tcW w:w="860" w:type="dxa"/>
            <w:vAlign w:val="bottom"/>
          </w:tcPr>
          <w:p>
            <w:pPr>
              <w:spacing w:after="0"/>
              <w:rPr>
                <w:sz w:val="18"/>
                <w:szCs w:val="18"/>
                <w:color w:val="auto"/>
              </w:rPr>
            </w:pPr>
          </w:p>
        </w:tc>
        <w:tc>
          <w:tcPr>
            <w:tcW w:w="6780" w:type="dxa"/>
            <w:vAlign w:val="bottom"/>
          </w:tcPr>
          <w:p>
            <w:pPr>
              <w:ind w:left="280"/>
              <w:spacing w:after="0"/>
              <w:rPr>
                <w:sz w:val="20"/>
                <w:szCs w:val="20"/>
                <w:color w:val="auto"/>
              </w:rPr>
            </w:pPr>
            <w:r>
              <w:rPr>
                <w:rFonts w:ascii="Arial" w:cs="Arial" w:eastAsia="Arial" w:hAnsi="Arial"/>
                <w:sz w:val="18"/>
                <w:szCs w:val="18"/>
                <w:color w:val="auto"/>
              </w:rPr>
              <w:t>Report on Form 10-Q for the quarter ended March</w:t>
            </w:r>
          </w:p>
        </w:tc>
        <w:tc>
          <w:tcPr>
            <w:tcW w:w="30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780" w:type="dxa"/>
            <w:vAlign w:val="bottom"/>
          </w:tcPr>
          <w:p>
            <w:pPr>
              <w:ind w:left="280"/>
              <w:spacing w:after="0"/>
              <w:rPr>
                <w:sz w:val="20"/>
                <w:szCs w:val="20"/>
                <w:color w:val="auto"/>
              </w:rPr>
            </w:pPr>
            <w:r>
              <w:rPr>
                <w:rFonts w:ascii="Arial" w:cs="Arial" w:eastAsia="Arial" w:hAnsi="Arial"/>
                <w:sz w:val="18"/>
                <w:szCs w:val="18"/>
                <w:color w:val="auto"/>
              </w:rPr>
              <w:t>31, 2023, formatted in iXBRL (inline eXtensible</w:t>
            </w:r>
          </w:p>
        </w:tc>
        <w:tc>
          <w:tcPr>
            <w:tcW w:w="30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780" w:type="dxa"/>
            <w:vAlign w:val="bottom"/>
          </w:tcPr>
          <w:p>
            <w:pPr>
              <w:ind w:left="280"/>
              <w:spacing w:after="0"/>
              <w:rPr>
                <w:sz w:val="20"/>
                <w:szCs w:val="20"/>
                <w:color w:val="auto"/>
              </w:rPr>
            </w:pPr>
            <w:r>
              <w:rPr>
                <w:rFonts w:ascii="Arial" w:cs="Arial" w:eastAsia="Arial" w:hAnsi="Arial"/>
                <w:sz w:val="18"/>
                <w:szCs w:val="18"/>
                <w:color w:val="auto"/>
              </w:rPr>
              <w:t>Business Reporting Language): (i) the Condensed</w:t>
            </w:r>
          </w:p>
        </w:tc>
        <w:tc>
          <w:tcPr>
            <w:tcW w:w="30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780" w:type="dxa"/>
            <w:vAlign w:val="bottom"/>
          </w:tcPr>
          <w:p>
            <w:pPr>
              <w:ind w:left="280"/>
              <w:spacing w:after="0"/>
              <w:rPr>
                <w:sz w:val="20"/>
                <w:szCs w:val="20"/>
                <w:color w:val="auto"/>
              </w:rPr>
            </w:pPr>
            <w:r>
              <w:rPr>
                <w:rFonts w:ascii="Arial" w:cs="Arial" w:eastAsia="Arial" w:hAnsi="Arial"/>
                <w:sz w:val="18"/>
                <w:szCs w:val="18"/>
                <w:color w:val="auto"/>
              </w:rPr>
              <w:t>Balance Sheets, (ii) the Condensed Statements of</w:t>
            </w:r>
          </w:p>
        </w:tc>
        <w:tc>
          <w:tcPr>
            <w:tcW w:w="30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780" w:type="dxa"/>
            <w:vAlign w:val="bottom"/>
          </w:tcPr>
          <w:p>
            <w:pPr>
              <w:ind w:left="280"/>
              <w:spacing w:after="0"/>
              <w:rPr>
                <w:sz w:val="20"/>
                <w:szCs w:val="20"/>
                <w:color w:val="auto"/>
              </w:rPr>
            </w:pPr>
            <w:r>
              <w:rPr>
                <w:rFonts w:ascii="Arial" w:cs="Arial" w:eastAsia="Arial" w:hAnsi="Arial"/>
                <w:sz w:val="18"/>
                <w:szCs w:val="18"/>
                <w:color w:val="auto"/>
              </w:rPr>
              <w:t>Operations and Comprehensive Loss, (iii) the</w:t>
            </w:r>
          </w:p>
        </w:tc>
        <w:tc>
          <w:tcPr>
            <w:tcW w:w="30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780" w:type="dxa"/>
            <w:vAlign w:val="bottom"/>
          </w:tcPr>
          <w:p>
            <w:pPr>
              <w:ind w:left="280"/>
              <w:spacing w:after="0"/>
              <w:rPr>
                <w:sz w:val="20"/>
                <w:szCs w:val="20"/>
                <w:color w:val="auto"/>
              </w:rPr>
            </w:pPr>
            <w:r>
              <w:rPr>
                <w:rFonts w:ascii="Arial" w:cs="Arial" w:eastAsia="Arial" w:hAnsi="Arial"/>
                <w:sz w:val="18"/>
                <w:szCs w:val="18"/>
                <w:color w:val="auto"/>
              </w:rPr>
              <w:t>Condensed Statements of Stockholders’ Equity</w:t>
            </w:r>
          </w:p>
        </w:tc>
        <w:tc>
          <w:tcPr>
            <w:tcW w:w="30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780" w:type="dxa"/>
            <w:vAlign w:val="bottom"/>
          </w:tcPr>
          <w:p>
            <w:pPr>
              <w:ind w:left="280"/>
              <w:spacing w:after="0"/>
              <w:rPr>
                <w:sz w:val="20"/>
                <w:szCs w:val="20"/>
                <w:color w:val="auto"/>
              </w:rPr>
            </w:pPr>
            <w:r>
              <w:rPr>
                <w:rFonts w:ascii="Arial" w:cs="Arial" w:eastAsia="Arial" w:hAnsi="Arial"/>
                <w:sz w:val="18"/>
                <w:szCs w:val="18"/>
                <w:color w:val="auto"/>
              </w:rPr>
              <w:t>(iv) the Condensed Statements of Cash Flows, and</w:t>
            </w:r>
          </w:p>
        </w:tc>
        <w:tc>
          <w:tcPr>
            <w:tcW w:w="30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780" w:type="dxa"/>
            <w:vAlign w:val="bottom"/>
          </w:tcPr>
          <w:p>
            <w:pPr>
              <w:ind w:left="280"/>
              <w:spacing w:after="0"/>
              <w:rPr>
                <w:sz w:val="20"/>
                <w:szCs w:val="20"/>
                <w:color w:val="auto"/>
              </w:rPr>
            </w:pPr>
            <w:r>
              <w:rPr>
                <w:rFonts w:ascii="Arial" w:cs="Arial" w:eastAsia="Arial" w:hAnsi="Arial"/>
                <w:sz w:val="18"/>
                <w:szCs w:val="18"/>
                <w:color w:val="auto"/>
              </w:rPr>
              <w:t>(v) Notes to Condensed Financial Statements,</w:t>
            </w:r>
          </w:p>
        </w:tc>
        <w:tc>
          <w:tcPr>
            <w:tcW w:w="30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780" w:type="dxa"/>
            <w:vAlign w:val="bottom"/>
          </w:tcPr>
          <w:p>
            <w:pPr>
              <w:ind w:left="280"/>
              <w:spacing w:after="0"/>
              <w:rPr>
                <w:sz w:val="20"/>
                <w:szCs w:val="20"/>
                <w:color w:val="auto"/>
              </w:rPr>
            </w:pPr>
            <w:r>
              <w:rPr>
                <w:rFonts w:ascii="Arial" w:cs="Arial" w:eastAsia="Arial" w:hAnsi="Arial"/>
                <w:sz w:val="18"/>
                <w:szCs w:val="18"/>
                <w:color w:val="auto"/>
              </w:rPr>
              <w:t>tagged as blocks of text and including detailed</w:t>
            </w:r>
          </w:p>
        </w:tc>
        <w:tc>
          <w:tcPr>
            <w:tcW w:w="300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6780" w:type="dxa"/>
            <w:vAlign w:val="bottom"/>
          </w:tcPr>
          <w:p>
            <w:pPr>
              <w:ind w:left="280"/>
              <w:spacing w:after="0"/>
              <w:rPr>
                <w:sz w:val="20"/>
                <w:szCs w:val="20"/>
                <w:color w:val="auto"/>
              </w:rPr>
            </w:pPr>
            <w:r>
              <w:rPr>
                <w:rFonts w:ascii="Arial" w:cs="Arial" w:eastAsia="Arial" w:hAnsi="Arial"/>
                <w:sz w:val="18"/>
                <w:szCs w:val="18"/>
                <w:color w:val="auto"/>
              </w:rPr>
              <w:t>tags</w:t>
            </w:r>
          </w:p>
        </w:tc>
        <w:tc>
          <w:tcPr>
            <w:tcW w:w="3000" w:type="dxa"/>
            <w:vAlign w:val="bottom"/>
          </w:tcPr>
          <w:p>
            <w:pPr>
              <w:spacing w:after="0"/>
              <w:rPr>
                <w:sz w:val="20"/>
                <w:szCs w:val="20"/>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6780" w:type="dxa"/>
            <w:vAlign w:val="bottom"/>
          </w:tcPr>
          <w:p>
            <w:pPr>
              <w:ind w:left="280"/>
              <w:spacing w:after="0"/>
              <w:rPr>
                <w:sz w:val="20"/>
                <w:szCs w:val="20"/>
                <w:color w:val="auto"/>
              </w:rPr>
            </w:pPr>
            <w:r>
              <w:rPr>
                <w:rFonts w:ascii="Arial" w:cs="Arial" w:eastAsia="Arial" w:hAnsi="Arial"/>
                <w:sz w:val="18"/>
                <w:szCs w:val="18"/>
                <w:color w:val="auto"/>
              </w:rPr>
              <w:t>Cover Page Interactive Data File (formatted as</w:t>
            </w:r>
          </w:p>
        </w:tc>
        <w:tc>
          <w:tcPr>
            <w:tcW w:w="3000" w:type="dxa"/>
            <w:vAlign w:val="bottom"/>
          </w:tcPr>
          <w:p>
            <w:pPr>
              <w:ind w:left="2860"/>
              <w:spacing w:after="0"/>
              <w:rPr>
                <w:sz w:val="20"/>
                <w:szCs w:val="20"/>
                <w:color w:val="auto"/>
              </w:rPr>
            </w:pPr>
            <w:r>
              <w:rPr>
                <w:rFonts w:ascii="Arial" w:cs="Arial" w:eastAsia="Arial" w:hAnsi="Arial"/>
                <w:sz w:val="18"/>
                <w:szCs w:val="18"/>
                <w:color w:val="auto"/>
                <w:w w:val="99"/>
              </w:rPr>
              <w:t>X</w:t>
            </w:r>
          </w:p>
        </w:tc>
      </w:tr>
      <w:tr>
        <w:trPr>
          <w:trHeight w:val="216"/>
        </w:trPr>
        <w:tc>
          <w:tcPr>
            <w:tcW w:w="860" w:type="dxa"/>
            <w:vAlign w:val="bottom"/>
          </w:tcPr>
          <w:p>
            <w:pPr>
              <w:spacing w:after="0"/>
              <w:rPr>
                <w:sz w:val="18"/>
                <w:szCs w:val="18"/>
                <w:color w:val="auto"/>
              </w:rPr>
            </w:pPr>
          </w:p>
        </w:tc>
        <w:tc>
          <w:tcPr>
            <w:tcW w:w="6780" w:type="dxa"/>
            <w:vAlign w:val="bottom"/>
          </w:tcPr>
          <w:p>
            <w:pPr>
              <w:ind w:left="280"/>
              <w:spacing w:after="0"/>
              <w:rPr>
                <w:sz w:val="20"/>
                <w:szCs w:val="20"/>
                <w:color w:val="auto"/>
              </w:rPr>
            </w:pPr>
            <w:r>
              <w:rPr>
                <w:rFonts w:ascii="Arial" w:cs="Arial" w:eastAsia="Arial" w:hAnsi="Arial"/>
                <w:sz w:val="18"/>
                <w:szCs w:val="18"/>
                <w:color w:val="auto"/>
              </w:rPr>
              <w:t>Inline XBRL document and contained in exhibit</w:t>
            </w:r>
          </w:p>
        </w:tc>
        <w:tc>
          <w:tcPr>
            <w:tcW w:w="300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6780" w:type="dxa"/>
            <w:vAlign w:val="bottom"/>
          </w:tcPr>
          <w:p>
            <w:pPr>
              <w:ind w:left="280"/>
              <w:spacing w:after="0"/>
              <w:rPr>
                <w:sz w:val="20"/>
                <w:szCs w:val="20"/>
                <w:color w:val="auto"/>
              </w:rPr>
            </w:pPr>
            <w:r>
              <w:rPr>
                <w:rFonts w:ascii="Arial" w:cs="Arial" w:eastAsia="Arial" w:hAnsi="Arial"/>
                <w:sz w:val="18"/>
                <w:szCs w:val="18"/>
                <w:color w:val="auto"/>
              </w:rPr>
              <w:t>101)</w:t>
            </w:r>
          </w:p>
        </w:tc>
        <w:tc>
          <w:tcPr>
            <w:tcW w:w="30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Furnished and not filed.</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382" w:right="919" w:bottom="1440" w:gutter="0" w:footer="0" w:header="0"/>
        </w:sectPr>
      </w:pPr>
    </w:p>
    <w:bookmarkStart w:id="66" w:name="page67"/>
    <w:bookmarkEnd w:id="66"/>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Company Name</w:t>
      </w:r>
    </w:p>
    <w:p>
      <w:pPr>
        <w:spacing w:after="0" w:line="279" w:lineRule="exact"/>
        <w:rPr>
          <w:sz w:val="20"/>
          <w:szCs w:val="20"/>
          <w:color w:val="auto"/>
        </w:rPr>
      </w:pPr>
    </w:p>
    <w:p>
      <w:pPr>
        <w:ind w:left="20"/>
        <w:spacing w:after="0"/>
        <w:tabs>
          <w:tab w:leader="none" w:pos="5560" w:val="left"/>
          <w:tab w:leader="none" w:pos="782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M. Short,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3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Jay M. Short, Ph.D.</w:t>
      </w:r>
    </w:p>
    <w:p>
      <w:pPr>
        <w:spacing w:after="0" w:line="36"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ind w:left="20"/>
        <w:spacing w:after="0"/>
        <w:tabs>
          <w:tab w:leader="none" w:pos="5560" w:val="left"/>
          <w:tab w:leader="none" w:pos="780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 Waldron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0"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Richard A. Waldron</w:t>
      </w:r>
    </w:p>
    <w:p>
      <w:pPr>
        <w:spacing w:after="0" w:line="36"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(Principal Financial and Accounting Officer)</w:t>
      </w: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337" w:right="699" w:bottom="1440" w:gutter="0" w:footer="0" w:header="0"/>
        </w:sectPr>
      </w:pPr>
    </w:p>
    <w:bookmarkStart w:id="67" w:name="page68"/>
    <w:bookmarkEnd w:id="6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Jay M. Short, Ph.D., certify that:</w:t>
      </w:r>
    </w:p>
    <w:p>
      <w:pPr>
        <w:spacing w:after="0" w:line="225"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BioAtla, Inc.;</w:t>
      </w:r>
    </w:p>
    <w:p>
      <w:pPr>
        <w:spacing w:after="0" w:line="225" w:lineRule="exact"/>
        <w:rPr>
          <w:rFonts w:ascii="Arial" w:cs="Arial" w:eastAsia="Arial" w:hAnsi="Arial"/>
          <w:sz w:val="18"/>
          <w:szCs w:val="18"/>
          <w:color w:val="auto"/>
        </w:rPr>
      </w:pPr>
    </w:p>
    <w:p>
      <w:pPr>
        <w:jc w:val="both"/>
        <w:ind w:left="520" w:right="200" w:hanging="512"/>
        <w:spacing w:after="0" w:line="263"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20" w:hanging="512"/>
        <w:spacing w:after="0" w:line="291" w:lineRule="auto"/>
        <w:tabs>
          <w:tab w:leader="none" w:pos="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5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020" w:right="80" w:hanging="503"/>
        <w:spacing w:after="0" w:line="263"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200" w:hanging="503"/>
        <w:spacing w:after="0" w:line="263"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00" w:hanging="503"/>
        <w:spacing w:after="0" w:line="342" w:lineRule="auto"/>
        <w:tabs>
          <w:tab w:leader="none" w:pos="10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180" w:hanging="503"/>
        <w:spacing w:after="0" w:line="263"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520" w:right="160" w:hanging="512"/>
        <w:spacing w:after="0" w:line="342" w:lineRule="auto"/>
        <w:tabs>
          <w:tab w:leader="none" w:pos="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640" w:hanging="503"/>
        <w:spacing w:after="0" w:line="342" w:lineRule="auto"/>
        <w:tabs>
          <w:tab w:leader="none" w:pos="10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380" w:hanging="503"/>
        <w:spacing w:after="0" w:line="277"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782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M. Short,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0"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Jay M. Short, Ph.D.</w:t>
      </w:r>
    </w:p>
    <w:p>
      <w:pPr>
        <w:spacing w:after="0" w:line="36"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A. Waldron, certify that:</w:t>
      </w:r>
    </w:p>
    <w:p>
      <w:pPr>
        <w:spacing w:after="0" w:line="225"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BioAtla, Inc.;</w:t>
      </w:r>
    </w:p>
    <w:p>
      <w:pPr>
        <w:spacing w:after="0" w:line="225" w:lineRule="exact"/>
        <w:rPr>
          <w:rFonts w:ascii="Arial" w:cs="Arial" w:eastAsia="Arial" w:hAnsi="Arial"/>
          <w:sz w:val="18"/>
          <w:szCs w:val="18"/>
          <w:color w:val="auto"/>
        </w:rPr>
      </w:pPr>
    </w:p>
    <w:p>
      <w:pPr>
        <w:jc w:val="both"/>
        <w:ind w:left="520" w:right="200" w:hanging="512"/>
        <w:spacing w:after="0" w:line="263"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20" w:hanging="512"/>
        <w:spacing w:after="0" w:line="291" w:lineRule="auto"/>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5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020" w:right="80" w:hanging="503"/>
        <w:spacing w:after="0" w:line="263"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200" w:hanging="503"/>
        <w:spacing w:after="0" w:line="263"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00" w:hanging="503"/>
        <w:spacing w:after="0" w:line="342" w:lineRule="auto"/>
        <w:tabs>
          <w:tab w:leader="none" w:pos="10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180" w:hanging="503"/>
        <w:spacing w:after="0" w:line="263"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520" w:right="160" w:hanging="512"/>
        <w:spacing w:after="0" w:line="342" w:lineRule="auto"/>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640" w:hanging="503"/>
        <w:spacing w:after="0" w:line="342" w:lineRule="auto"/>
        <w:tabs>
          <w:tab w:leader="none" w:pos="10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380" w:hanging="503"/>
        <w:spacing w:after="0" w:line="277"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780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 Waldron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0"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Richard A. Waldron</w:t>
      </w:r>
    </w:p>
    <w:p>
      <w:pPr>
        <w:spacing w:after="0" w:line="36"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right="3360" w:firstLine="84"/>
        <w:spacing w:after="0" w:line="323" w:lineRule="auto"/>
        <w:tabs>
          <w:tab w:leader="none" w:pos="3677"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U.S.C. SECTION 1350, AS ADOPTED PURSUANT TO SECTION 906 OF THE SARBANES-OXLEY ACT OF 2002</w:t>
      </w:r>
    </w:p>
    <w:p>
      <w:pPr>
        <w:spacing w:after="0" w:line="138"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In connection with the Quarterly Report of BioAtla, Inc. (the “Company”) on Form 10-Q for the period ending March 31, 2023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38" w:lineRule="exact"/>
        <w:rPr>
          <w:sz w:val="20"/>
          <w:szCs w:val="20"/>
          <w:color w:val="auto"/>
        </w:rPr>
      </w:pPr>
    </w:p>
    <w:p>
      <w:pPr>
        <w:ind w:left="20"/>
        <w:spacing w:after="0"/>
        <w:tabs>
          <w:tab w:leader="none" w:pos="5680" w:val="left"/>
          <w:tab w:leader="none" w:pos="782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M. Short,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Jay M. Short, Ph.D.</w:t>
      </w:r>
    </w:p>
    <w:p>
      <w:pPr>
        <w:spacing w:after="0" w:line="36"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ind w:left="20"/>
        <w:spacing w:after="0"/>
        <w:tabs>
          <w:tab w:leader="none" w:pos="5680" w:val="left"/>
          <w:tab w:leader="none" w:pos="780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 Waldron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0"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Richard A. Waldron</w:t>
      </w:r>
    </w:p>
    <w:p>
      <w:pPr>
        <w:spacing w:after="0" w:line="36"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Financial and Accounting Officer)</w:t>
      </w:r>
    </w:p>
    <w:p>
      <w:pPr>
        <w:spacing w:after="0" w:line="224"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lvl w:ilvl="1">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emdash "/>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2"/>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lowerRoman"/>
      <w:start w:val="4"/>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8"/>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66" Type="http://schemas.openxmlformats.org/officeDocument/2006/relationships/hyperlink" Target="https://www.sec.gov/Archives/edgar/data/1826892/000119312523003550/d437048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2023-05-11T16:31:20Z</dcterms:created>
  <dcterms:modified xsi:type="dcterms:W3CDTF">2023-05-11T16:31:20Z</dcterms:modified>
</cp:coreProperties>
</file>