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left"/>
        <w:rPr/>
      </w:pPr>
      <w:bookmarkStart w:id="0" w:name="bcab-20260603.htm"/>
      <w:bookmarkStart w:id="1" w:name="ksbcab20260603"/>
      <w:bookmarkEnd w:id="0"/>
      <w:bookmarkEnd w:id="1"/>
      <w:r>
        <w:rPr/>
        <w:t> </w:t>
      </w:r>
    </w:p>
    <w:p>
      <w:pPr>
        <w:pStyle w:val="TextBody"/>
        <w:bidi w:val="0"/>
        <w:jc w:val="center"/>
        <w:rPr>
          <w:rFonts w:ascii="Times New Roman" w:hAnsi="Times New Roman"/>
          <w:b/>
          <w:caps/>
          <w:color w:val="000000"/>
          <w:sz w:val="36"/>
        </w:rPr>
      </w:pPr>
      <w:r>
        <w:rPr>
          <w:rFonts w:ascii="Times New Roman" w:hAnsi="Times New Roman"/>
          <w:b/>
          <w:caps/>
          <w:color w:val="000000"/>
          <w:sz w:val="36"/>
        </w:rPr>
        <w:t>UNITED STATES</w:t>
        <w:br/>
        <w:t>SECURITIES AND EXCHANGE COMMISSION</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Washington, D.C. 20549</w:t>
      </w:r>
    </w:p>
    <w:p>
      <w:pPr>
        <w:pStyle w:val="TextBody"/>
        <w:pBdr>
          <w:bottom w:val="single" w:sz="4" w:space="1" w:color="000000"/>
        </w:pBdr>
        <w:bidi w:val="0"/>
        <w:spacing w:before="0" w:after="240"/>
        <w:jc w:val="left"/>
        <w:rPr/>
      </w:pPr>
      <w:r>
        <w:rPr/>
        <w:t> </w:t>
      </w:r>
    </w:p>
    <w:p>
      <w:pPr>
        <w:pStyle w:val="TextBody"/>
        <w:bidi w:val="0"/>
        <w:jc w:val="center"/>
        <w:rPr>
          <w:rFonts w:ascii="Times New Roman" w:hAnsi="Times New Roman"/>
          <w:b/>
          <w:caps/>
          <w:color w:val="000000"/>
          <w:sz w:val="36"/>
        </w:rPr>
      </w:pPr>
      <w:r>
        <w:rPr>
          <w:rFonts w:ascii="Times New Roman" w:hAnsi="Times New Roman"/>
          <w:b/>
          <w:caps/>
          <w:color w:val="000000"/>
          <w:sz w:val="36"/>
        </w:rPr>
        <w:t>SCHEDULE 14A</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Proxy Statement Pursuant to Section (a) of the</w:t>
        <w:br/>
        <w:t>Securities Exchange Act of 1934</w:t>
        <w:br/>
        <w:t>(Amendment No.)</w:t>
      </w:r>
    </w:p>
    <w:p>
      <w:pPr>
        <w:pStyle w:val="TextBody"/>
        <w:pBdr>
          <w:bottom w:val="single" w:sz="4" w:space="1" w:color="000000"/>
        </w:pBdr>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240"/>
        <w:jc w:val="left"/>
        <w:rPr/>
      </w:pPr>
      <w:r>
        <w:rPr>
          <w:color w:val="000000"/>
        </w:rPr>
        <w:t xml:space="preserve">☐ </w:t>
      </w:r>
      <w:r>
        <w:rPr>
          <w:rFonts w:ascii="Times New Roman" w:hAnsi="Times New Roman"/>
          <w:color w:val="000000"/>
          <w:sz w:val="20"/>
        </w:rPr>
        <w:t>Preliminary Proxy Statement</w:t>
      </w:r>
    </w:p>
    <w:p>
      <w:pPr>
        <w:pStyle w:val="TextBody"/>
        <w:bidi w:val="0"/>
        <w:spacing w:before="0" w:after="240"/>
        <w:jc w:val="left"/>
        <w:rPr/>
      </w:pPr>
      <w:r>
        <w:rPr>
          <w:color w:val="000000"/>
        </w:rPr>
        <w:t xml:space="preserve">☐ </w:t>
      </w:r>
      <w:r>
        <w:rPr>
          <w:rFonts w:ascii="Times New Roman" w:hAnsi="Times New Roman"/>
          <w:color w:val="000000"/>
          <w:sz w:val="20"/>
        </w:rPr>
        <w:t>Confidential, for Use of the Commission Only (as permitted by Rule 14a-6(e)(2))</w:t>
      </w:r>
    </w:p>
    <w:p>
      <w:pPr>
        <w:pStyle w:val="TextBody"/>
        <w:bidi w:val="0"/>
        <w:spacing w:before="0" w:after="240"/>
        <w:jc w:val="left"/>
        <w:rPr/>
      </w:pPr>
      <w:r>
        <w:rPr>
          <w:color w:val="000000"/>
        </w:rPr>
        <w:t xml:space="preserve">☒ </w:t>
      </w:r>
      <w:r>
        <w:rPr>
          <w:rFonts w:ascii="Times New Roman" w:hAnsi="Times New Roman"/>
          <w:color w:val="000000"/>
          <w:sz w:val="20"/>
        </w:rPr>
        <w:t>Definitive Proxy Statement</w:t>
      </w:r>
    </w:p>
    <w:p>
      <w:pPr>
        <w:pStyle w:val="TextBody"/>
        <w:bidi w:val="0"/>
        <w:spacing w:before="0" w:after="240"/>
        <w:jc w:val="left"/>
        <w:rPr/>
      </w:pPr>
      <w:r>
        <w:rPr>
          <w:color w:val="000000"/>
        </w:rPr>
        <w:t xml:space="preserve">☐ </w:t>
      </w:r>
      <w:r>
        <w:rPr>
          <w:rFonts w:ascii="Times New Roman" w:hAnsi="Times New Roman"/>
          <w:color w:val="000000"/>
          <w:sz w:val="20"/>
        </w:rPr>
        <w:t>Definitive Additional Materials</w:t>
      </w:r>
    </w:p>
    <w:p>
      <w:pPr>
        <w:pStyle w:val="TextBody"/>
        <w:bidi w:val="0"/>
        <w:spacing w:before="0" w:after="240"/>
        <w:jc w:val="left"/>
        <w:rPr/>
      </w:pPr>
      <w:r>
        <w:rPr>
          <w:color w:val="000000"/>
        </w:rPr>
        <w:t xml:space="preserve">☐ </w:t>
      </w:r>
      <w:r>
        <w:rPr>
          <w:rFonts w:ascii="Times New Roman" w:hAnsi="Times New Roman"/>
          <w:color w:val="000000"/>
          <w:sz w:val="20"/>
        </w:rPr>
        <w:t>Soliciting Material under §240.14a-12</w:t>
      </w:r>
    </w:p>
    <w:p>
      <w:pPr>
        <w:pStyle w:val="TextBody"/>
        <w:bidi w:val="0"/>
        <w:jc w:val="center"/>
        <w:rPr>
          <w:rFonts w:ascii="Times New Roman" w:hAnsi="Times New Roman"/>
          <w:b/>
          <w:caps/>
          <w:color w:val="000000"/>
          <w:sz w:val="28"/>
        </w:rPr>
      </w:pPr>
      <w:r>
        <w:rPr>
          <w:rFonts w:ascii="Times New Roman" w:hAnsi="Times New Roman"/>
          <w:b/>
          <w:caps/>
          <w:color w:val="000000"/>
          <w:sz w:val="28"/>
        </w:rPr>
        <w:t>BIOATLA,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Payment of Filing Fee (Check the appropriate box):</w:t>
      </w:r>
    </w:p>
    <w:p>
      <w:pPr>
        <w:pStyle w:val="TextBody"/>
        <w:bidi w:val="0"/>
        <w:spacing w:before="0" w:after="240"/>
        <w:jc w:val="left"/>
        <w:rPr/>
      </w:pPr>
      <w:r>
        <w:rPr>
          <w:color w:val="000000"/>
        </w:rPr>
        <w:t xml:space="preserve">☒ </w:t>
      </w:r>
      <w:r>
        <w:rPr>
          <w:rFonts w:ascii="Times New Roman" w:hAnsi="Times New Roman"/>
          <w:color w:val="000000"/>
          <w:sz w:val="20"/>
        </w:rPr>
        <w:t>No fee required.</w:t>
      </w:r>
    </w:p>
    <w:p>
      <w:pPr>
        <w:pStyle w:val="TextBody"/>
        <w:bidi w:val="0"/>
        <w:spacing w:before="0" w:after="24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pPr>
      <w:r>
        <w:rPr/>
        <w:drawing>
          <wp:inline distT="0" distB="0" distL="0" distR="0">
            <wp:extent cx="13430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676275"/>
                    </a:xfrm>
                    <a:prstGeom prst="rect">
                      <a:avLst/>
                    </a:prstGeom>
                  </pic:spPr>
                </pic:pic>
              </a:graphicData>
            </a:graphic>
          </wp:inline>
        </w:drawing>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June 3,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Our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are cordially invited to attend the 2026 Annual Meeting of Stockholders, or the Annual Meeting, of BioAtla, Inc. on Thursday, July 16, 2026 at 8:00 a.m. Pacific Time. The Annual Meeting will be a completely virtual meeting, conducted only via live webcast on the internet at https://web.viewproxy.com/BCAB/2026. There will be no physical location for the Annual Meeting. You will be able to attend and participate in the Annual Meeting online, submit questions during the meeting and vote your shares electronically. In addition, although the live webcast is available only to stockholders at the time of the meeting, following completion of the Annual Meeting, a webcast replay will be posted to the Investors—Events &amp; Presentations section of our website at www.bioatla.com.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matters expected to be acted upon at the Annual Meeting are described in the accompanying Notice of Annual Meeting of Stockholders and Proxy Statement. The Annual Meeting materials include the notice, the Proxy Statement, our Annual Report on Form 10-K for the fiscal year ended December 31, 2025 (as amended on Form 10-K/A, the “Annual Report on Form 10-K”) and the proxy card, each of which is enclosed.</w:t>
      </w:r>
    </w:p>
    <w:p>
      <w:pPr>
        <w:pStyle w:val="TextBody"/>
        <w:bidi w:val="0"/>
        <w:spacing w:before="0" w:after="240"/>
        <w:jc w:val="left"/>
        <w:rPr>
          <w:rFonts w:ascii="Times New Roman" w:hAnsi="Times New Roman"/>
          <w:sz w:val="20"/>
        </w:rPr>
      </w:pPr>
      <w:r>
        <w:rPr>
          <w:rFonts w:ascii="Times New Roman" w:hAnsi="Times New Roman"/>
          <w:b/>
          <w:color w:val="000000"/>
          <w:sz w:val="20"/>
        </w:rPr>
        <w:t>Please use this opportunity to take part in our affairs by voting on the business to come before the Annual Meeting</w:t>
      </w:r>
      <w:r>
        <w:rPr>
          <w:rFonts w:ascii="Times New Roman" w:hAnsi="Times New Roman"/>
          <w:color w:val="000000"/>
          <w:sz w:val="20"/>
        </w:rPr>
        <w:t>. You will receive a Notice of Internet Availability of Proxy Materials, or the Notice, which we expect to mail on or about June 5, 2026, unless you have previously requested to receive our proxy materials in paper form. Only stockholders of record at the close of business on May 18, 2026 may vote at the Annual Meeting and any postponements or adjournments of the meeting. All stockholders are cordially invited to participate in the Annual Meeting and any postponements or adjournments of the meeting. However, to ensure your representation at the Annual Meeting, please vote as soon as possible by using the internet or telephone, as instructed in the Notice. Alternatively, you may follow the procedures outlined in the Notice to request a paper proxy card to submit your vote by mail. Returning the paper proxy card or voting electronically does NOT deprive you of your right to participate in the virtual meeting and to vote your shares for the matters acted upon at the meeting.</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Your vote is important. Whether or not you expect to attend and participate in the Annual Meeting, please submit your proxy electronically via the internet or by telephone by following the instructions in the Notice or if you asked to receive the proxy materials in paper form, please complete, sign and date the proxy card and return it in the postage paid envelope provided.</w:t>
      </w:r>
    </w:p>
    <w:tbl>
      <w:tblPr>
        <w:tblW w:w="3657" w:type="dxa"/>
        <w:jc w:val="left"/>
        <w:tblInd w:w="0" w:type="dxa"/>
        <w:tblLayout w:type="fixed"/>
        <w:tblCellMar>
          <w:top w:w="28" w:type="dxa"/>
          <w:left w:w="28" w:type="dxa"/>
          <w:bottom w:w="28" w:type="dxa"/>
          <w:right w:w="28" w:type="dxa"/>
        </w:tblCellMar>
      </w:tblPr>
      <w:tblGrid>
        <w:gridCol w:w="3466"/>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Sincerely,</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color w:val="000000"/>
                <w:u w:val="single"/>
              </w:rPr>
            </w:pPr>
            <w:r>
              <w:rPr>
                <w:color w:val="000000"/>
                <w:u w:val="single"/>
              </w:rPr>
              <w:t> </w:t>
            </w:r>
            <w:r>
              <w:rPr>
                <w:rFonts w:ascii="Times New Roman" w:hAnsi="Times New Roman"/>
                <w:color w:val="000000"/>
                <w:sz w:val="20"/>
                <w:u w:val="single"/>
              </w:rPr>
              <w:t>/s/ Jay M. Short,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xml:space="preserve">Co-founder, Chief Executive Officer and </w:t>
              <w:br/>
              <w:t>Chairman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top w:val="single" w:sz="4" w:space="1" w:color="000000"/>
          <w:left w:val="single" w:sz="4" w:space="1" w:color="000000"/>
          <w:bottom w:val="single" w:sz="4" w:space="1" w:color="000000"/>
          <w:right w:val="single" w:sz="4" w:space="1" w:color="000000"/>
        </w:pBdr>
        <w:bidi w:val="0"/>
        <w:jc w:val="left"/>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TO BE HELD ON </w:t>
      </w:r>
      <w:r>
        <w:rPr>
          <w:rFonts w:ascii="Times New Roman" w:hAnsi="Times New Roman"/>
          <w:b/>
          <w:caps/>
          <w:color w:val="000000"/>
          <w:sz w:val="20"/>
        </w:rPr>
        <w:t>July 16, 2026</w:t>
      </w:r>
      <w:r>
        <w:rPr>
          <w:rFonts w:ascii="Times New Roman" w:hAnsi="Times New Roman"/>
          <w:b/>
          <w:color w:val="000000"/>
          <w:sz w:val="20"/>
        </w:rPr>
        <w:t>: THE PROXY STATEMENT, PROXY CARD AND ANNUAL REPORT ON FORM 10-K ARE AVAILABLE FREE OF CHARGE AT https://web.viewproxy.com/BCAB/2026.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BIOATLA,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NOTICE OF ANNUAL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June 3, 2026</w:t>
      </w:r>
    </w:p>
    <w:tbl>
      <w:tblPr>
        <w:tblW w:w="10205" w:type="dxa"/>
        <w:jc w:val="left"/>
        <w:tblInd w:w="0" w:type="dxa"/>
        <w:tblLayout w:type="fixed"/>
        <w:tblCellMar>
          <w:top w:w="28" w:type="dxa"/>
          <w:left w:w="28" w:type="dxa"/>
          <w:bottom w:w="28" w:type="dxa"/>
          <w:right w:w="28" w:type="dxa"/>
        </w:tblCellMar>
      </w:tblPr>
      <w:tblGrid>
        <w:gridCol w:w="1445"/>
        <w:gridCol w:w="8760"/>
      </w:tblGrid>
      <w:tr>
        <w:trPr/>
        <w:tc>
          <w:tcPr>
            <w:tcW w:w="1445"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r>
      <w:tr>
        <w:trPr/>
        <w:tc>
          <w:tcPr>
            <w:tcW w:w="144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color w:val="000000"/>
                <w:sz w:val="20"/>
              </w:rPr>
              <w:t>Time and Date</w:t>
            </w:r>
            <w:r>
              <w:rPr>
                <w:rFonts w:ascii="Times New Roman" w:hAnsi="Times New Roman"/>
                <w:color w:val="000000"/>
                <w:sz w:val="20"/>
              </w:rPr>
              <w:t>:</w:t>
            </w:r>
          </w:p>
        </w:tc>
        <w:tc>
          <w:tcPr>
            <w:tcW w:w="876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Wednesday, July 16, 2026 at 8:00 a.m. Pacific Time.</w:t>
            </w:r>
          </w:p>
        </w:tc>
      </w:tr>
      <w:tr>
        <w:trPr/>
        <w:tc>
          <w:tcPr>
            <w:tcW w:w="144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color w:val="000000"/>
                <w:sz w:val="20"/>
              </w:rPr>
              <w:t>Place</w:t>
            </w:r>
            <w:r>
              <w:rPr>
                <w:rFonts w:ascii="Times New Roman" w:hAnsi="Times New Roman"/>
                <w:color w:val="000000"/>
                <w:sz w:val="20"/>
              </w:rPr>
              <w:t>:</w:t>
            </w:r>
          </w:p>
        </w:tc>
        <w:tc>
          <w:tcPr>
            <w:tcW w:w="876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Via live webcast on the internet at https://web.viewproxy.com/BCAB/2026.</w:t>
            </w:r>
          </w:p>
        </w:tc>
      </w:tr>
      <w:tr>
        <w:trPr/>
        <w:tc>
          <w:tcPr>
            <w:tcW w:w="1445"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sz w:val="20"/>
              </w:rPr>
            </w:pPr>
            <w:r>
              <w:rPr>
                <w:rFonts w:ascii="Times New Roman" w:hAnsi="Times New Roman"/>
                <w:b/>
                <w:color w:val="000000"/>
                <w:sz w:val="20"/>
              </w:rPr>
              <w:t>Items of Business</w:t>
            </w:r>
            <w:r>
              <w:rPr>
                <w:rFonts w:ascii="Times New Roman" w:hAnsi="Times New Roman"/>
                <w:color w:val="000000"/>
                <w:sz w:val="20"/>
              </w:rPr>
              <w:t>:</w:t>
            </w:r>
          </w:p>
        </w:tc>
        <w:tc>
          <w:tcPr>
            <w:tcW w:w="8760"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Elect the Class III directors listed in the accompanying Proxy Statement, to serve a three-year term expiring at the 2029 annual meeting of stockholders or until such director’s successor is duly elected and qualified or until such director’s earlier death, resignation, disqualification or removal.</w:t>
            </w:r>
          </w:p>
        </w:tc>
      </w:tr>
      <w:tr>
        <w:trPr/>
        <w:tc>
          <w:tcPr>
            <w:tcW w:w="1445"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c>
          <w:tcPr>
            <w:tcW w:w="8760"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Ratify the appointment of Ernst &amp; Young LLP as the independent registered public accounting firm of BioAtla, Inc. for the fiscal year ending December 31, 2026.</w:t>
            </w:r>
          </w:p>
        </w:tc>
      </w:tr>
      <w:tr>
        <w:trPr/>
        <w:tc>
          <w:tcPr>
            <w:tcW w:w="1445"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c>
          <w:tcPr>
            <w:tcW w:w="8760"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Approve, by a non-binding advisory vote, the executive compensation of our named executive officers.</w:t>
            </w:r>
          </w:p>
        </w:tc>
      </w:tr>
      <w:tr>
        <w:trPr/>
        <w:tc>
          <w:tcPr>
            <w:tcW w:w="1445"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c>
          <w:tcPr>
            <w:tcW w:w="876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4.</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Transact any other business as may properly come before the Annual Meeting or any adjournment or postponement of the Annual Meeting.</w:t>
            </w:r>
          </w:p>
        </w:tc>
      </w:tr>
      <w:tr>
        <w:trPr/>
        <w:tc>
          <w:tcPr>
            <w:tcW w:w="144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color w:val="000000"/>
                <w:sz w:val="20"/>
              </w:rPr>
              <w:t>Record Date</w:t>
            </w:r>
            <w:r>
              <w:rPr>
                <w:rFonts w:ascii="Times New Roman" w:hAnsi="Times New Roman"/>
                <w:color w:val="000000"/>
                <w:sz w:val="20"/>
              </w:rPr>
              <w:t>:</w:t>
            </w:r>
          </w:p>
        </w:tc>
        <w:tc>
          <w:tcPr>
            <w:tcW w:w="876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Only holders of record of common stock at the close of business on May 18, 2026 are entitled to notice of, and to vote at, the Annual Meeting and any adjournments thereof.</w:t>
            </w:r>
          </w:p>
        </w:tc>
      </w:tr>
      <w:tr>
        <w:trPr/>
        <w:tc>
          <w:tcPr>
            <w:tcW w:w="1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Proxy Voting</w:t>
            </w:r>
            <w:r>
              <w:rPr>
                <w:rFonts w:ascii="Times New Roman" w:hAnsi="Times New Roman"/>
                <w:color w:val="000000"/>
                <w:sz w:val="20"/>
              </w:rPr>
              <w:t>:</w:t>
            </w:r>
          </w:p>
        </w:tc>
        <w:tc>
          <w:tcPr>
            <w:tcW w:w="8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 respect to all matters that will come before the meeting, each holder of shares of common stock is entitled to one vote for each share of common stock held as of the close of business on May 18, 2026, the record date.</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questions regarding your stock ownership, you may contact us through our Investors/Resources/Contact IR section of our website www.bioatla.com or, if you are a registered holder, contact our transfer agent, Pacific Stock Transfer Company, by telephone at (702) 361-3033 or by email at info@pacificstocktransfer.com.</w:t>
      </w:r>
    </w:p>
    <w:tbl>
      <w:tblPr>
        <w:tblW w:w="3657" w:type="dxa"/>
        <w:jc w:val="left"/>
        <w:tblInd w:w="0" w:type="dxa"/>
        <w:tblLayout w:type="fixed"/>
        <w:tblCellMar>
          <w:top w:w="28" w:type="dxa"/>
          <w:left w:w="28" w:type="dxa"/>
          <w:bottom w:w="28" w:type="dxa"/>
          <w:right w:w="28" w:type="dxa"/>
        </w:tblCellMar>
      </w:tblPr>
      <w:tblGrid>
        <w:gridCol w:w="3466"/>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Jay M. Short, Ph.D.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xml:space="preserve">Co-founder, Chief Executive Officer and </w:t>
              <w:br/>
              <w:t>Chairman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00"/>
        <w:jc w:val="righ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information_about_solicitation_and_vot">
              <w:r>
                <w:rPr>
                  <w:rStyle w:val="InternetLink"/>
                  <w:rFonts w:ascii="Times New Roman" w:hAnsi="Times New Roman"/>
                  <w:color w:val="0000FF"/>
                  <w:sz w:val="20"/>
                  <w:u w:val="single"/>
                </w:rPr>
                <w:t>INFORMATION ABOUT SOLICITATION AND VOTING</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internet_availability_of_proxy_materials">
              <w:r>
                <w:rPr>
                  <w:rStyle w:val="InternetLink"/>
                  <w:rFonts w:ascii="Times New Roman" w:hAnsi="Times New Roman"/>
                  <w:color w:val="0000FF"/>
                  <w:sz w:val="20"/>
                  <w:u w:val="single"/>
                </w:rPr>
                <w:t>INTERNET AVAILABILITY OF PROXY MATERIALS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questions_and_answers_about_the_meeting">
              <w:r>
                <w:rPr>
                  <w:rStyle w:val="InternetLink"/>
                  <w:rFonts w:ascii="Times New Roman" w:hAnsi="Times New Roman"/>
                  <w:color w:val="0000FF"/>
                  <w:sz w:val="20"/>
                  <w:u w:val="single"/>
                </w:rPr>
                <w:t>QUESTIONS AND ANSWERS ABOUT THE MEETING</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board_of_directors_and_corporate">
              <w:r>
                <w:rPr>
                  <w:rStyle w:val="InternetLink"/>
                  <w:rFonts w:ascii="Times New Roman" w:hAnsi="Times New Roman"/>
                  <w:color w:val="0000FF"/>
                  <w:sz w:val="20"/>
                  <w:u w:val="single"/>
                </w:rPr>
                <w:t>BOARD OF DIRECTORS AND CORPORATE GOVERNANCE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nominations_process_and_director">
              <w:r>
                <w:rPr>
                  <w:rStyle w:val="InternetLink"/>
                  <w:rFonts w:ascii="Times New Roman" w:hAnsi="Times New Roman"/>
                  <w:color w:val="0000FF"/>
                  <w:sz w:val="20"/>
                  <w:u w:val="single"/>
                </w:rPr>
                <w:t>NOMINATIONS PROCESS AND DIRECTOR QUALIFICATIONS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proposal_on_election">
              <w:r>
                <w:rPr>
                  <w:rStyle w:val="InternetLink"/>
                  <w:rFonts w:ascii="Times New Roman" w:hAnsi="Times New Roman"/>
                  <w:color w:val="0000FF"/>
                  <w:sz w:val="20"/>
                  <w:u w:val="single"/>
                </w:rPr>
                <w:t>PROPOSAL ONE: ELECTION OF DIRECTORS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proposal_two_ratification">
              <w:r>
                <w:rPr>
                  <w:rStyle w:val="InternetLink"/>
                  <w:rFonts w:ascii="Times New Roman" w:hAnsi="Times New Roman"/>
                  <w:color w:val="0000FF"/>
                  <w:sz w:val="20"/>
                  <w:u w:val="single"/>
                </w:rPr>
                <w:t>PROPOSAL TWO: RATIFICATION OF APPOINTMENT OF INDEPENDENT REGISTERED PUBLIC ACCOUNTING FIRM</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proposal_three_non_binding">
              <w:r>
                <w:rPr>
                  <w:rStyle w:val="InternetLink"/>
                  <w:rFonts w:ascii="Times New Roman" w:hAnsi="Times New Roman"/>
                  <w:color w:val="0000FF"/>
                  <w:sz w:val="20"/>
                  <w:u w:val="single"/>
                </w:rPr>
                <w:t>PROPOSAL THREE: NON-BINDING ADVISORY VOTE ON THE EXECUTIVE COMPENSATION OF OUR NAMED EXECUTIVE OFFICERS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ownership_of_beneficial_owners">
              <w:r>
                <w:rPr>
                  <w:rStyle w:val="InternetLink"/>
                  <w:rFonts w:ascii="Times New Roman" w:hAnsi="Times New Roman"/>
                  <w:color w:val="0000FF"/>
                  <w:sz w:val="20"/>
                  <w:u w:val="single"/>
                </w:rPr>
                <w:t>SECURITY OWNERSHIP OF CERTAIN BENEFICIAL OWNERS AND MANAGEMENT</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Times New Roman" w:hAnsi="Times New Roman"/>
                  <w:color w:val="0000FF"/>
                  <w:sz w:val="20"/>
                  <w:u w:val="single"/>
                </w:rPr>
                <w:t>EXECUTIVE OFFICERS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equity_compensation_plan_information">
              <w:r>
                <w:rPr>
                  <w:rStyle w:val="InternetLink"/>
                  <w:rFonts w:ascii="Times New Roman" w:hAnsi="Times New Roman"/>
                  <w:color w:val="0000FF"/>
                  <w:sz w:val="20"/>
                  <w:u w:val="single"/>
                </w:rPr>
                <w:t>EQUITY COMPENSATION PLAN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
              <w:r>
                <w:rPr>
                  <w:rStyle w:val="InternetLink"/>
                  <w:rFonts w:ascii="Times New Roman" w:hAnsi="Times New Roman"/>
                  <w:color w:val="0000FF"/>
                  <w:sz w:val="20"/>
                  <w:u w:val="single"/>
                </w:rPr>
                <w:t>CERTAIN RELATIONSHIPS AND RELATED PARTY TRANSACTIONS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delinquent_section_16a_reports">
              <w:r>
                <w:rPr>
                  <w:rStyle w:val="InternetLink"/>
                  <w:rFonts w:ascii="Times New Roman" w:hAnsi="Times New Roman"/>
                  <w:color w:val="0000FF"/>
                  <w:sz w:val="20"/>
                  <w:u w:val="single"/>
                </w:rPr>
                <w:t>DELINQUENT SECTION 16(a) REPORTS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Times New Roman" w:hAnsi="Times New Roman"/>
                  <w:color w:val="0000FF"/>
                  <w:sz w:val="20"/>
                  <w:u w:val="single"/>
                </w:rPr>
                <w:t>REPORT OF THE AUDIT COMMITTEE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Times New Roman" w:hAnsi="Times New Roman"/>
                  <w:color w:val="0000FF"/>
                  <w:sz w:val="20"/>
                  <w:u w:val="single"/>
                </w:rPr>
                <w:t>ADDITIONAL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OTHER MATTERS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i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BIOATLA,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PROXY STATEMENT FOR THE 2026 ANNUAL MEETING OF STOCKHOLDERS</w:t>
        <w:br/>
        <w:t>TO BE HELD ON thursday, July 16, 2026</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June 3, 2026</w:t>
      </w:r>
    </w:p>
    <w:p>
      <w:pPr>
        <w:pStyle w:val="Heading1"/>
        <w:bidi w:val="0"/>
        <w:spacing w:before="0" w:after="240"/>
        <w:jc w:val="center"/>
        <w:rPr>
          <w:rFonts w:ascii="Times New Roman" w:hAnsi="Times New Roman"/>
          <w:caps/>
          <w:color w:val="000000"/>
          <w:sz w:val="20"/>
        </w:rPr>
      </w:pPr>
      <w:bookmarkStart w:id="2" w:name="information_about_solicitation_and_vot"/>
      <w:bookmarkEnd w:id="2"/>
      <w:r>
        <w:rPr>
          <w:rFonts w:ascii="Times New Roman" w:hAnsi="Times New Roman"/>
          <w:caps/>
          <w:color w:val="000000"/>
          <w:sz w:val="20"/>
        </w:rPr>
        <w:t>INFORMATION ABOUT SOLICITATION AND VOTING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accompanying proxy is solicited on behalf of our board of directors of BioAtla, Inc. (“BioAtla”) for use at BioAtla’s 2026 Annual Meeting of Stockholders (the “Annual Meeting” or “meeting”) to be held on Thursday, July 16, 2026 at 8:00 a.m. Pacific Time via live webcast on the internet at https://web.viewproxy.com/BCAB/2026. References in the proxy statement for the 2026 annual meeting of stockholders (the “Proxy Statement”) to “we,” “us,” “our,” the “Company” or “BioAtla” refer to BioAtla, Inc.</w:t>
      </w:r>
    </w:p>
    <w:p>
      <w:pPr>
        <w:pStyle w:val="Heading1"/>
        <w:bidi w:val="0"/>
        <w:spacing w:before="0" w:after="240"/>
        <w:jc w:val="center"/>
        <w:rPr>
          <w:rFonts w:ascii="Times New Roman" w:hAnsi="Times New Roman"/>
          <w:caps/>
          <w:color w:val="000000"/>
          <w:sz w:val="20"/>
        </w:rPr>
      </w:pPr>
      <w:bookmarkStart w:id="3" w:name="internet_availability_of_proxy_materials"/>
      <w:bookmarkEnd w:id="3"/>
      <w:r>
        <w:rPr>
          <w:rFonts w:ascii="Times New Roman" w:hAnsi="Times New Roman"/>
          <w:caps/>
          <w:color w:val="000000"/>
          <w:sz w:val="20"/>
        </w:rPr>
        <w:t>INTERNET AVAILABILITY OF PROXY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mail, on or about June 5, 2026, the Notice of Internet Availability of Proxy Materials, or the Notice, to our stockholders of record and beneficial owners at the close of business on May 18, 2026. On the date of mailing of the Notice, all stockholders and beneficial owners will have the ability to access all of the proxy materials on a website referred to in the Notice. These proxy materials will be available free of charge.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Notice will identify the website where the proxy materials will be made available; the date, the time and location of the Annual Meeting; the matters to be acted upon at the meeting and our board of directors’ recommendations with regard to each matter; a toll-free telephone number, an e-mail address, and a website where stockholders can request a paper or e-mail copy of the Proxy Statement; our Annual Report on Form 10-K for the fiscal year ended December 31, 2025 (as amended on Form 10-K/A, our “Annual Report on Form 10-K”), and a form of proxy relating to the Annual Meeting; information on how to access the form of proxy; and information on how to participate in the meeting and vote your shares for the matters acted upon at the meeting.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ADJUSTMENT FOR SHARE CONSOLIDATION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April 6, 2026, we effected a 50-for-1 share consolidation of our issued and outstanding common stock (the “Share Consolidation”). Accordingly, all share and per share amounts for all periods presented in this Proxy Statement have been retroactively adjusted to reflect the Share Consolidation. In addition, all equity awards and warrants outstanding immediately prior to the Share Consolidation were proportionally adjusted.</w:t>
      </w:r>
    </w:p>
    <w:p>
      <w:pPr>
        <w:pStyle w:val="TextBody"/>
        <w:bidi w:val="0"/>
        <w:spacing w:before="0" w:after="240"/>
        <w:jc w:val="center"/>
        <w:rPr>
          <w:rFonts w:ascii="Times New Roman" w:hAnsi="Times New Roman"/>
          <w:b/>
          <w:color w:val="000000"/>
          <w:sz w:val="20"/>
        </w:rPr>
      </w:pPr>
      <w:bookmarkStart w:id="4" w:name="questions_and_answers_about_the_meeting"/>
      <w:bookmarkEnd w:id="4"/>
      <w:r>
        <w:rPr>
          <w:rFonts w:ascii="Times New Roman" w:hAnsi="Times New Roman"/>
          <w:b/>
          <w:color w:val="000000"/>
          <w:sz w:val="20"/>
        </w:rPr>
        <w:t>QUESTIONS AND ANSWERS ABOUT THE MEETING</w:t>
      </w:r>
    </w:p>
    <w:p>
      <w:pPr>
        <w:pStyle w:val="Heading1"/>
        <w:bidi w:val="0"/>
        <w:jc w:val="center"/>
        <w:rPr/>
      </w:pPr>
      <w:r>
        <w:rPr/>
        <w:t> </w:t>
      </w:r>
    </w:p>
    <w:tbl>
      <w:tblPr>
        <w:tblW w:w="3482" w:type="dxa"/>
        <w:jc w:val="left"/>
        <w:tblInd w:w="0" w:type="dxa"/>
        <w:tblLayout w:type="fixed"/>
        <w:tblCellMar>
          <w:top w:w="28" w:type="dxa"/>
          <w:left w:w="28" w:type="dxa"/>
          <w:bottom w:w="28" w:type="dxa"/>
          <w:right w:w="28" w:type="dxa"/>
        </w:tblCellMar>
      </w:tblPr>
      <w:tblGrid>
        <w:gridCol w:w="331"/>
        <w:gridCol w:w="3151"/>
      </w:tblGrid>
      <w:tr>
        <w:trPr/>
        <w:tc>
          <w:tcPr>
            <w:tcW w:w="3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is the purpose of the meeting?</w:t>
            </w:r>
          </w:p>
        </w:tc>
      </w:tr>
    </w:tbl>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286" w:type="dxa"/>
            <w:tcBorders/>
            <w:vAlign w:val="center"/>
          </w:tcPr>
          <w:p>
            <w:pPr>
              <w:pStyle w:val="TableContents"/>
              <w:bidi w:val="0"/>
              <w:spacing w:before="0" w:after="283"/>
              <w:jc w:val="left"/>
              <w:rPr>
                <w:sz w:val="4"/>
                <w:szCs w:val="4"/>
              </w:rPr>
            </w:pPr>
            <w:r>
              <w:rPr>
                <w:sz w:val="4"/>
                <w:szCs w:val="4"/>
              </w:rPr>
            </w:r>
          </w:p>
        </w:tc>
        <w:tc>
          <w:tcPr>
            <w:tcW w:w="9919"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the meeting, stockholders will act upon the proposals described in this Proxy Statement. In addition, following the formal portion of the meeting, management will be available to respond to questions from stockholders.</w:t>
            </w:r>
          </w:p>
        </w:tc>
      </w:tr>
    </w:tbl>
    <w:p>
      <w:pPr>
        <w:pStyle w:val="Heading1"/>
        <w:bidi w:val="0"/>
        <w:jc w:val="left"/>
        <w:rPr/>
      </w:pPr>
      <w:r>
        <w:rPr/>
        <w:t> </w:t>
      </w:r>
    </w:p>
    <w:tbl>
      <w:tblPr>
        <w:tblW w:w="5567" w:type="dxa"/>
        <w:jc w:val="left"/>
        <w:tblInd w:w="0" w:type="dxa"/>
        <w:tblLayout w:type="fixed"/>
        <w:tblCellMar>
          <w:top w:w="28" w:type="dxa"/>
          <w:left w:w="28" w:type="dxa"/>
          <w:bottom w:w="28" w:type="dxa"/>
          <w:right w:w="28" w:type="dxa"/>
        </w:tblCellMar>
      </w:tblPr>
      <w:tblGrid>
        <w:gridCol w:w="331"/>
        <w:gridCol w:w="5236"/>
      </w:tblGrid>
      <w:tr>
        <w:trPr/>
        <w:tc>
          <w:tcPr>
            <w:tcW w:w="331"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proposals are scheduled to be voted on at the meeting?</w:t>
            </w:r>
          </w:p>
        </w:tc>
      </w:tr>
    </w:tbl>
    <w:p>
      <w:pPr>
        <w:pStyle w:val="Heading1"/>
        <w:bidi w:val="0"/>
        <w:jc w:val="left"/>
        <w:rPr/>
      </w:pPr>
      <w:r>
        <w:rPr/>
        <w:t> </w:t>
      </w:r>
    </w:p>
    <w:tbl>
      <w:tblPr>
        <w:tblW w:w="7187" w:type="dxa"/>
        <w:jc w:val="left"/>
        <w:tblInd w:w="0" w:type="dxa"/>
        <w:tblLayout w:type="fixed"/>
        <w:tblCellMar>
          <w:top w:w="28" w:type="dxa"/>
          <w:left w:w="28" w:type="dxa"/>
          <w:bottom w:w="28" w:type="dxa"/>
          <w:right w:w="28" w:type="dxa"/>
        </w:tblCellMar>
      </w:tblPr>
      <w:tblGrid>
        <w:gridCol w:w="316"/>
        <w:gridCol w:w="6871"/>
      </w:tblGrid>
      <w:tr>
        <w:trPr/>
        <w:tc>
          <w:tcPr>
            <w:tcW w:w="316"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will be asked to vote on the following three proposals at the meeting:</w:t>
            </w:r>
          </w:p>
        </w:tc>
      </w:tr>
    </w:tbl>
    <w:p>
      <w:pPr>
        <w:pStyle w:val="Heading1"/>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elect Jay M. Short, Ph.D. and Edward Williams as Class III directors to serve for a term of three years or until his successor is duly elected and qualified or until his earlier death, resignation, disqualification or removal;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ratify the appointment of Ernst &amp; Young LLP as our independent registered public accounting firm for the fiscal year ending December 31, 2026;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by a non-binding advisory vote, the executive compensation of our named executive officers.</w:t>
      </w:r>
    </w:p>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331"/>
        <w:gridCol w:w="7066"/>
      </w:tblGrid>
      <w:tr>
        <w:trPr/>
        <w:tc>
          <w:tcPr>
            <w:tcW w:w="331" w:type="dxa"/>
            <w:tcBorders/>
            <w:vAlign w:val="center"/>
          </w:tcPr>
          <w:p>
            <w:pPr>
              <w:pStyle w:val="TableContents"/>
              <w:bidi w:val="0"/>
              <w:spacing w:before="0" w:after="283"/>
              <w:jc w:val="left"/>
              <w:rPr>
                <w:sz w:val="4"/>
                <w:szCs w:val="4"/>
              </w:rPr>
            </w:pPr>
            <w:r>
              <w:rPr>
                <w:sz w:val="4"/>
                <w:szCs w:val="4"/>
              </w:rPr>
            </w:r>
          </w:p>
        </w:tc>
        <w:tc>
          <w:tcPr>
            <w:tcW w:w="70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Could matters other than Proposals One, Two or Three be decided at the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
        <w:gridCol w:w="9930"/>
      </w:tblGrid>
      <w:tr>
        <w:trPr/>
        <w:tc>
          <w:tcPr>
            <w:tcW w:w="275"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left"/>
              <w:rPr>
                <w:sz w:val="4"/>
                <w:szCs w:val="4"/>
              </w:rPr>
            </w:pPr>
            <w:r>
              <w:rPr>
                <w:sz w:val="4"/>
                <w:szCs w:val="4"/>
              </w:rPr>
            </w:r>
          </w:p>
        </w:tc>
      </w:tr>
      <w:tr>
        <w:trPr/>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bylaws require that we receive advance notice of any proposal to be brought before the meeting by stockholders of BioAtla, and we have not received notice of any such proposals. If any other matter were to come before the meeting, the proxy holders appointed by our board of directors will have the discretion to vote on those matters for you.</w:t>
            </w:r>
          </w:p>
        </w:tc>
      </w:tr>
    </w:tbl>
    <w:p>
      <w:pPr>
        <w:pStyle w:val="TextBody"/>
        <w:bidi w:val="0"/>
        <w:jc w:val="left"/>
        <w:rPr/>
      </w:pPr>
      <w:r>
        <w:rPr/>
        <w:t> </w:t>
      </w:r>
    </w:p>
    <w:tbl>
      <w:tblPr>
        <w:tblW w:w="6437" w:type="dxa"/>
        <w:jc w:val="left"/>
        <w:tblInd w:w="0" w:type="dxa"/>
        <w:tblLayout w:type="fixed"/>
        <w:tblCellMar>
          <w:top w:w="28" w:type="dxa"/>
          <w:left w:w="28" w:type="dxa"/>
          <w:bottom w:w="28" w:type="dxa"/>
          <w:right w:w="28" w:type="dxa"/>
        </w:tblCellMar>
      </w:tblPr>
      <w:tblGrid>
        <w:gridCol w:w="331"/>
        <w:gridCol w:w="6106"/>
      </w:tblGrid>
      <w:tr>
        <w:trPr/>
        <w:tc>
          <w:tcPr>
            <w:tcW w:w="331"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does the board of directors recommend I vote on these proposals?</w:t>
            </w:r>
          </w:p>
        </w:tc>
      </w:tr>
    </w:tbl>
    <w:p>
      <w:pPr>
        <w:pStyle w:val="TextBody"/>
        <w:bidi w:val="0"/>
        <w:jc w:val="left"/>
        <w:rPr/>
      </w:pPr>
      <w:r>
        <w:rPr/>
        <w:t> </w:t>
      </w:r>
    </w:p>
    <w:tbl>
      <w:tblPr>
        <w:tblW w:w="6887" w:type="dxa"/>
        <w:jc w:val="left"/>
        <w:tblInd w:w="0" w:type="dxa"/>
        <w:tblLayout w:type="fixed"/>
        <w:tblCellMar>
          <w:top w:w="28" w:type="dxa"/>
          <w:left w:w="28" w:type="dxa"/>
          <w:bottom w:w="28" w:type="dxa"/>
          <w:right w:w="28" w:type="dxa"/>
        </w:tblCellMar>
      </w:tblPr>
      <w:tblGrid>
        <w:gridCol w:w="1036"/>
        <w:gridCol w:w="5851"/>
      </w:tblGrid>
      <w:tr>
        <w:trPr/>
        <w:tc>
          <w:tcPr>
            <w:tcW w:w="1036"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A:</w:t>
            </w:r>
          </w:p>
        </w:tc>
        <w:tc>
          <w:tcPr>
            <w:tcW w:w="585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Our board of directors recommends that you vote your shares:</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Times New Roman" w:hAnsi="Times New Roman"/>
          <w:color w:val="000000"/>
          <w:sz w:val="20"/>
        </w:rPr>
        <w:t>FOR” each of the nominees to the board of directors (Proposal One);</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FOR” the ratification of the appointment of Ernst &amp; Young LLP as our independent registered public accounting firm for the fiscal year ending December 31, 2026 (Proposal Two);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FOR” the executive compensation of our named executive officers as disclosed in this Proxy Statement (Proposal Three).</w:t>
      </w:r>
    </w:p>
    <w:p>
      <w:pPr>
        <w:pStyle w:val="TextBody"/>
        <w:bidi w:val="0"/>
        <w:jc w:val="left"/>
        <w:rPr/>
      </w:pPr>
      <w:r>
        <w:rPr/>
        <w:t> </w:t>
      </w:r>
    </w:p>
    <w:tbl>
      <w:tblPr>
        <w:tblW w:w="3722" w:type="dxa"/>
        <w:jc w:val="left"/>
        <w:tblInd w:w="0" w:type="dxa"/>
        <w:tblLayout w:type="fixed"/>
        <w:tblCellMar>
          <w:top w:w="28" w:type="dxa"/>
          <w:left w:w="28" w:type="dxa"/>
          <w:bottom w:w="28" w:type="dxa"/>
          <w:right w:w="28" w:type="dxa"/>
        </w:tblCellMar>
      </w:tblPr>
      <w:tblGrid>
        <w:gridCol w:w="331"/>
        <w:gridCol w:w="3391"/>
      </w:tblGrid>
      <w:tr>
        <w:trPr/>
        <w:tc>
          <w:tcPr>
            <w:tcW w:w="33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Who may vote at the Annual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
        <w:gridCol w:w="9929"/>
      </w:tblGrid>
      <w:tr>
        <w:trPr/>
        <w:tc>
          <w:tcPr>
            <w:tcW w:w="276"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left"/>
              <w:rPr>
                <w:sz w:val="4"/>
                <w:szCs w:val="4"/>
              </w:rPr>
            </w:pPr>
            <w:r>
              <w:rPr>
                <w:sz w:val="4"/>
                <w:szCs w:val="4"/>
              </w:rPr>
            </w:r>
          </w:p>
        </w:tc>
      </w:tr>
      <w:tr>
        <w:trPr/>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Holders of record of our common stock as of the close of business on May 18, 2026, or the Record Date, are entitled to receive notice of, to attend and participate, and to vote at the Annual Meeting. At the close of business on the Record Date, there were 1,659,554 shares of our common stock outstanding and entitled to vote.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Stockholder of Record: Shares Registered in Your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your shares are registered directly in your name with our transfer agent, Pacific Stock Transfer Company, you are considered the stockholder of record with respect to those shares, and the Notice or these proxy materials were sent directly to you by BioAtla.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Beneficial Owner of Shares Held in Street Name: Shares Registered in the Name of a Broker or Nominee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your shares are held in an account at a brokerage firm, bank, broker-dealer, or other similar organization, then you are the “beneficial owner” of shares held in “street name,” and the Notice or these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In most instances, you can do this over the internet, or if you have received or requested a hard copy of the Proxy Statement and accompanying voting instruction form, you may mark, sign, date and mail your voting instruction form using the envelope your broker, bank or other nominee provides. The materials that were sent to you have specific instructions for how to submit your vote and the deadline for doing so. If you would like to revoke your proxy, you must follow the broker, bank or other nominee’s instructions on how to do so.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Because you are not the stockholder of record, you are required to obtain a valid proxy from the organization that holds your shares giving you the right to vote the shares at the Annual Meeting.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757" w:type="dxa"/>
        <w:jc w:val="left"/>
        <w:tblInd w:w="0" w:type="dxa"/>
        <w:tblLayout w:type="fixed"/>
        <w:tblCellMar>
          <w:top w:w="28" w:type="dxa"/>
          <w:left w:w="28" w:type="dxa"/>
          <w:bottom w:w="28" w:type="dxa"/>
          <w:right w:w="28" w:type="dxa"/>
        </w:tblCellMar>
      </w:tblPr>
      <w:tblGrid>
        <w:gridCol w:w="331"/>
        <w:gridCol w:w="1426"/>
      </w:tblGrid>
      <w:tr>
        <w:trPr/>
        <w:tc>
          <w:tcPr>
            <w:tcW w:w="33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do I vote?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may vote by mail or follow any alternative voting procedure (such as telephone or internet voting) described on your proxy card. To use an alternative voting procedure, follow the instructions on each Notice and/or proxy card that you receive. The procedures for voting are as follows:</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Stockholder of Record: Shares Registered in Your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you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vote by telephone or through the internet—in order to do so, please follow the instructions shown on your Notice or proxy card;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vote by mail—if you request or receive a paper proxy card and voting instructions by mail, simply complete, sign and date the enclosed proxy card and return it before the meeting in the pre-paid envelope provided; 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vote virtually at the annual meeting—you may virtually attend and participate in the Annual Meeting online at </w:t>
      </w:r>
      <w:r>
        <w:rPr>
          <w:rFonts w:ascii="Times New Roman" w:hAnsi="Times New Roman"/>
          <w:sz w:val="20"/>
        </w:rPr>
        <w:t>https://web.viewproxy.com/BCAB/2026</w:t>
      </w:r>
      <w:r>
        <w:rPr>
          <w:color w:val="000000"/>
        </w:rPr>
        <w:t xml:space="preserve"> </w:t>
      </w:r>
      <w:r>
        <w:rPr>
          <w:rFonts w:ascii="Times New Roman" w:hAnsi="Times New Roman"/>
          <w:color w:val="000000"/>
          <w:sz w:val="20"/>
        </w:rPr>
        <w:t>and vote your shares electronically before the polls close during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Votes submitted by telephone or through the internet must be received prior to the start of the meeting. Submitting your proxy, whether by telephone, through the internet or by mail if you requested or received a paper proxy card, will not affect your right to vote at the meeting should you decide to attend and participate in the meeting virtually.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Beneficial Owner: Shares Registered in the Name of a Broker or Other Nominee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not the stockholder of record, please refer to the voting instructions provided by your nominee to direct it how to vote your shares. Your vote is important. To ensure that your vote is counted, complete and mail the voting instruction card provided by your brokerage firm, bank, or other nominee as directed by your nominee. To electronically vote in person at the meeting online, you may be required to obtain a legal proxy from your nominee. Follow the instructions from your nominee included with our proxy materials or contact your nominee to request a proxy form. You must also register in advance to attend and participate in the meeting at https://web.viewproxy.com/BCAB/2026.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important. Whether or not you plan to participate in the Annual Meeting, we urge you to vote by proxy to ensure that your vote is counted.</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331"/>
        <w:gridCol w:w="3481"/>
      </w:tblGrid>
      <w:tr>
        <w:trPr/>
        <w:tc>
          <w:tcPr>
            <w:tcW w:w="33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do I vote by internet or telephone?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you wish to vote by internet or telephone, you may do so by following the voting instructions included on your Notice or proxy card. Please have each Notice or proxy card you received in hand when you vote over the internet or by telephone as you will need information specified therein to submit your vote. The giving of such a telephonic or internet proxy will not affect your right to vote at the meeting (as detailed above) should you decide to attend the meeting.</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telephone and internet voting procedures are designed to authenticate stockholders’ identities, to allow stockholders to give their voting instructions and to confirm that stockholders’ instructions have been recorded properly.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tbl>
      <w:tblPr>
        <w:tblW w:w="2507" w:type="dxa"/>
        <w:jc w:val="left"/>
        <w:tblInd w:w="0" w:type="dxa"/>
        <w:tblLayout w:type="fixed"/>
        <w:tblCellMar>
          <w:top w:w="28" w:type="dxa"/>
          <w:left w:w="28" w:type="dxa"/>
          <w:bottom w:w="28" w:type="dxa"/>
          <w:right w:w="28" w:type="dxa"/>
        </w:tblCellMar>
      </w:tblPr>
      <w:tblGrid>
        <w:gridCol w:w="331"/>
        <w:gridCol w:w="2176"/>
      </w:tblGrid>
      <w:tr>
        <w:trPr/>
        <w:tc>
          <w:tcPr>
            <w:tcW w:w="33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shares can I vote?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
        <w:gridCol w:w="9933"/>
      </w:tblGrid>
      <w:tr>
        <w:trPr/>
        <w:tc>
          <w:tcPr>
            <w:tcW w:w="272"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left"/>
              <w:rPr>
                <w:sz w:val="4"/>
                <w:szCs w:val="4"/>
              </w:rPr>
            </w:pPr>
            <w:r>
              <w:rPr>
                <w:sz w:val="4"/>
                <w:szCs w:val="4"/>
              </w:rPr>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share of BioAtla common stock issued and outstanding as of the close of business on May 18, 2026 is entitled to vote on all items being voted on at the meeting. You may vote all shares owned by you as of May 18, 2026, including (1) shares held directly in your name as the stockholder of record, and (2) shares held for you as the beneficial owner in street name through a broker, bank, trustee, or other nominee.</w:t>
            </w:r>
          </w:p>
        </w:tc>
      </w:tr>
    </w:tbl>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331"/>
        <w:gridCol w:w="3811"/>
      </w:tblGrid>
      <w:tr>
        <w:trPr/>
        <w:tc>
          <w:tcPr>
            <w:tcW w:w="331"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many votes am I entitled to per share?</w:t>
            </w:r>
          </w:p>
        </w:tc>
      </w:tr>
    </w:tbl>
    <w:p>
      <w:pPr>
        <w:pStyle w:val="TextBody"/>
        <w:bidi w:val="0"/>
        <w:jc w:val="left"/>
        <w:rPr/>
      </w:pPr>
      <w:r>
        <w:rPr/>
        <w:t> </w:t>
      </w:r>
    </w:p>
    <w:tbl>
      <w:tblPr>
        <w:tblW w:w="10097" w:type="dxa"/>
        <w:jc w:val="left"/>
        <w:tblInd w:w="0" w:type="dxa"/>
        <w:tblLayout w:type="fixed"/>
        <w:tblCellMar>
          <w:top w:w="28" w:type="dxa"/>
          <w:left w:w="28" w:type="dxa"/>
          <w:bottom w:w="28" w:type="dxa"/>
          <w:right w:w="28" w:type="dxa"/>
        </w:tblCellMar>
      </w:tblPr>
      <w:tblGrid>
        <w:gridCol w:w="316"/>
        <w:gridCol w:w="9781"/>
      </w:tblGrid>
      <w:tr>
        <w:trPr/>
        <w:tc>
          <w:tcPr>
            <w:tcW w:w="316"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holder of shares of common stock is entitled to one vote for each share of common stock held as of May 18, 2026.</w:t>
            </w:r>
          </w:p>
        </w:tc>
      </w:tr>
    </w:tbl>
    <w:p>
      <w:pPr>
        <w:pStyle w:val="TextBody"/>
        <w:bidi w:val="0"/>
        <w:jc w:val="left"/>
        <w:rPr/>
      </w:pPr>
      <w:r>
        <w:rPr/>
        <w:t> </w:t>
      </w:r>
    </w:p>
    <w:tbl>
      <w:tblPr>
        <w:tblW w:w="4667" w:type="dxa"/>
        <w:jc w:val="left"/>
        <w:tblInd w:w="0" w:type="dxa"/>
        <w:tblLayout w:type="fixed"/>
        <w:tblCellMar>
          <w:top w:w="28" w:type="dxa"/>
          <w:left w:w="28" w:type="dxa"/>
          <w:bottom w:w="28" w:type="dxa"/>
          <w:right w:w="28" w:type="dxa"/>
        </w:tblCellMar>
      </w:tblPr>
      <w:tblGrid>
        <w:gridCol w:w="331"/>
        <w:gridCol w:w="4336"/>
      </w:tblGrid>
      <w:tr>
        <w:trPr/>
        <w:tc>
          <w:tcPr>
            <w:tcW w:w="331"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is the quorum requirement for the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
        <w:gridCol w:w="9935"/>
      </w:tblGrid>
      <w:tr>
        <w:trPr/>
        <w:tc>
          <w:tcPr>
            <w:tcW w:w="270"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holders of a majority of the voting power of the shares of our common stock entitled to vote at the Annual Meeting as of the Record Date must be present virtually or represented by proxy at the Annual Meeting in order to hold the Annual Meeting and conduct business. This presence is called a quorum. Your shares are counted as present at the Annual Meeting if you are present and vote in person at the Annual Meeting or if you have properly submitted a proxy.</w:t>
            </w:r>
          </w:p>
        </w:tc>
      </w:tr>
    </w:tbl>
    <w:p>
      <w:pPr>
        <w:pStyle w:val="TextBody"/>
        <w:bidi w:val="0"/>
        <w:jc w:val="left"/>
        <w:rPr/>
      </w:pPr>
      <w:r>
        <w:rPr/>
        <w:t> </w:t>
      </w:r>
    </w:p>
    <w:tbl>
      <w:tblPr>
        <w:tblW w:w="4787" w:type="dxa"/>
        <w:jc w:val="left"/>
        <w:tblInd w:w="0" w:type="dxa"/>
        <w:tblLayout w:type="fixed"/>
        <w:tblCellMar>
          <w:top w:w="28" w:type="dxa"/>
          <w:left w:w="28" w:type="dxa"/>
          <w:bottom w:w="28" w:type="dxa"/>
          <w:right w:w="28" w:type="dxa"/>
        </w:tblCellMar>
      </w:tblPr>
      <w:tblGrid>
        <w:gridCol w:w="331"/>
        <w:gridCol w:w="4456"/>
      </w:tblGrid>
      <w:tr>
        <w:trPr/>
        <w:tc>
          <w:tcPr>
            <w:tcW w:w="331"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are abstentions and broker non-votes treated?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
        <w:gridCol w:w="9931"/>
      </w:tblGrid>
      <w:tr>
        <w:trPr/>
        <w:tc>
          <w:tcPr>
            <w:tcW w:w="274" w:type="dxa"/>
            <w:tcBorders/>
            <w:vAlign w:val="center"/>
          </w:tcPr>
          <w:p>
            <w:pPr>
              <w:pStyle w:val="TableContents"/>
              <w:bidi w:val="0"/>
              <w:spacing w:before="0" w:after="283"/>
              <w:jc w:val="left"/>
              <w:rPr>
                <w:sz w:val="4"/>
                <w:szCs w:val="4"/>
              </w:rPr>
            </w:pPr>
            <w:r>
              <w:rPr>
                <w:sz w:val="4"/>
                <w:szCs w:val="4"/>
              </w:rPr>
            </w:r>
          </w:p>
        </w:tc>
        <w:tc>
          <w:tcPr>
            <w:tcW w:w="9931" w:type="dxa"/>
            <w:tcBorders/>
            <w:vAlign w:val="center"/>
          </w:tcPr>
          <w:p>
            <w:pPr>
              <w:pStyle w:val="TableContents"/>
              <w:bidi w:val="0"/>
              <w:spacing w:before="0" w:after="283"/>
              <w:jc w:val="left"/>
              <w:rPr>
                <w:sz w:val="4"/>
                <w:szCs w:val="4"/>
              </w:rPr>
            </w:pPr>
            <w:r>
              <w:rPr>
                <w:sz w:val="4"/>
                <w:szCs w:val="4"/>
              </w:rPr>
            </w:r>
          </w:p>
        </w:tc>
      </w:tr>
      <w:tr>
        <w:trPr/>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(i.e. shares present at the Annual Meeting and marked “abstain”) are deemed to be shares presented or represented by proxy and entitled to vote, and are counted for purposes of determining whether a quorum is present. However, abstentions are not counted as a vote either for or against a proposal, and have no effect on the outcome of the matters voted upon.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broker non-vote occurs when the beneficial owner of shares fails to provide the broker, bank or other nominee that holds the shares with specific instructions on how to vote on any “non-routine” matters brought to a vote at the stockholders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Ernst &amp; Young LLP as our independent registered public accounting firm for the fiscal year ending December 31, 2026 (Proposal Two). A broker or other nominee will not be entitled to vote your shares on any “non-routine” matters, absent instructions from you. “Non-routine” matters include all proposals other than Proposal Two, including Proposals One and Three. Accordingly, we encourage you to provide voting instructions to your broker or other nominee whether or not you plan to attend the meeting.</w:t>
      </w:r>
    </w:p>
    <w:p>
      <w:pPr>
        <w:pStyle w:val="TextBody"/>
        <w:bidi w:val="0"/>
        <w:jc w:val="left"/>
        <w:rPr/>
      </w:pPr>
      <w:r>
        <w:rPr/>
        <w:t> </w:t>
      </w:r>
    </w:p>
    <w:tbl>
      <w:tblPr>
        <w:tblW w:w="3422" w:type="dxa"/>
        <w:jc w:val="left"/>
        <w:tblInd w:w="0" w:type="dxa"/>
        <w:tblLayout w:type="fixed"/>
        <w:tblCellMar>
          <w:top w:w="28" w:type="dxa"/>
          <w:left w:w="28" w:type="dxa"/>
          <w:bottom w:w="28" w:type="dxa"/>
          <w:right w:w="28" w:type="dxa"/>
        </w:tblCellMar>
      </w:tblPr>
      <w:tblGrid>
        <w:gridCol w:w="331"/>
        <w:gridCol w:w="3091"/>
      </w:tblGrid>
      <w:tr>
        <w:trPr/>
        <w:tc>
          <w:tcPr>
            <w:tcW w:w="33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09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How are “withhold” votes treated?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
        <w:gridCol w:w="9937"/>
      </w:tblGrid>
      <w:tr>
        <w:trPr/>
        <w:tc>
          <w:tcPr>
            <w:tcW w:w="268"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left"/>
              <w:rPr>
                <w:sz w:val="4"/>
                <w:szCs w:val="4"/>
              </w:rPr>
            </w:pPr>
            <w:r>
              <w:rPr>
                <w:sz w:val="4"/>
                <w:szCs w:val="4"/>
              </w:rPr>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election of directors (Proposal One), votes may be cast “FOR” or “WITHHOLD” for each nominee. Votes that are withheld will be excluded entirely from the vote and will have no effect. Directors shall be elected by a plurality of the votes of the shares present virtually or represented by proxy at the Annual Meeting and entitled to vote on the election of directors with the stockholders voting together as a single class. As a result, if you withhold your authority to vote for any nominee, your vote will not count for or against the nominee.</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4247" w:type="dxa"/>
        <w:jc w:val="left"/>
        <w:tblInd w:w="0" w:type="dxa"/>
        <w:tblLayout w:type="fixed"/>
        <w:tblCellMar>
          <w:top w:w="28" w:type="dxa"/>
          <w:left w:w="28" w:type="dxa"/>
          <w:bottom w:w="28" w:type="dxa"/>
          <w:right w:w="28" w:type="dxa"/>
        </w:tblCellMar>
      </w:tblPr>
      <w:tblGrid>
        <w:gridCol w:w="331"/>
        <w:gridCol w:w="3916"/>
      </w:tblGrid>
      <w:tr>
        <w:trPr/>
        <w:tc>
          <w:tcPr>
            <w:tcW w:w="33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is the vote required for each proposal?</w:t>
            </w:r>
          </w:p>
        </w:tc>
      </w:tr>
    </w:tbl>
    <w:p>
      <w:pPr>
        <w:pStyle w:val="TextBody"/>
        <w:bidi w:val="0"/>
        <w:jc w:val="left"/>
        <w:rPr/>
      </w:pPr>
      <w:r>
        <w:rPr/>
        <w:t> </w:t>
      </w:r>
    </w:p>
    <w:tbl>
      <w:tblPr>
        <w:tblW w:w="5267" w:type="dxa"/>
        <w:jc w:val="left"/>
        <w:tblInd w:w="0" w:type="dxa"/>
        <w:tblLayout w:type="fixed"/>
        <w:tblCellMar>
          <w:top w:w="28" w:type="dxa"/>
          <w:left w:w="28" w:type="dxa"/>
          <w:bottom w:w="28" w:type="dxa"/>
          <w:right w:w="28" w:type="dxa"/>
        </w:tblCellMar>
      </w:tblPr>
      <w:tblGrid>
        <w:gridCol w:w="316"/>
        <w:gridCol w:w="4951"/>
      </w:tblGrid>
      <w:tr>
        <w:trPr/>
        <w:tc>
          <w:tcPr>
            <w:tcW w:w="31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votes required to approve each proposal are as follows:</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Proposal One: Each director shall be elected by a plurality of the votes properly cast on the election of directors, meaning that the individuals nominated for election to our board of directors at the Annual Meeting receiving the highest number of “FOR” votes will be elected.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Two: Approval will be obtained if the number of votes cast “FOR” the proposal at the Annual Meeting exceeds the number of votes “AGAINST” the proposal.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Three: Approval will be obtained if the number of votes cast “FOR” the proposal at the Annual Meeting exceeds the number of votes “AGAINST” the proposal. Because the vote is advisory, it will not be binding upon our board of directors. However, the compensation committee of our board of directors will take into account the outcome of the vote when considering the future executive compensation of our Named Executive Officers as disclosed in the Proxy Statement.</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331"/>
        <w:gridCol w:w="3541"/>
      </w:tblGrid>
      <w:tr>
        <w:trPr/>
        <w:tc>
          <w:tcPr>
            <w:tcW w:w="33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If I submit a proxy, how will it be voted?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
        <w:gridCol w:w="9941"/>
      </w:tblGrid>
      <w:tr>
        <w:trPr/>
        <w:tc>
          <w:tcPr>
            <w:tcW w:w="264"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left"/>
              <w:rPr>
                <w:sz w:val="4"/>
                <w:szCs w:val="4"/>
              </w:rPr>
            </w:pPr>
            <w:r>
              <w:rPr>
                <w:sz w:val="4"/>
                <w:szCs w:val="4"/>
              </w:rPr>
            </w:r>
          </w:p>
        </w:tc>
      </w:tr>
      <w:tr>
        <w:trPr/>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When proxies are properly dated, executed and returned, the shares represented by such proxies will be voted at the Annual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postponed or adjourned, the proxy holders can vote your shares on the new meeting date as well, unless you have revoked your proxy instructions, as described below under “Can I change my vote or revoke my proxy?”</w:t>
            </w:r>
          </w:p>
        </w:tc>
      </w:tr>
    </w:tbl>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331"/>
        <w:gridCol w:w="6316"/>
      </w:tblGrid>
      <w:tr>
        <w:trPr/>
        <w:tc>
          <w:tcPr>
            <w:tcW w:w="331" w:type="dxa"/>
            <w:tcBorders/>
            <w:vAlign w:val="center"/>
          </w:tcPr>
          <w:p>
            <w:pPr>
              <w:pStyle w:val="TableContents"/>
              <w:bidi w:val="0"/>
              <w:spacing w:before="0" w:after="283"/>
              <w:jc w:val="left"/>
              <w:rPr>
                <w:sz w:val="4"/>
                <w:szCs w:val="4"/>
              </w:rPr>
            </w:pPr>
            <w:r>
              <w:rPr>
                <w:sz w:val="4"/>
                <w:szCs w:val="4"/>
              </w:rPr>
            </w:r>
          </w:p>
        </w:tc>
        <w:tc>
          <w:tcPr>
            <w:tcW w:w="63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should I do if I get more than one proxy or voting instruction card?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
        <w:gridCol w:w="9940"/>
      </w:tblGrid>
      <w:tr>
        <w:trPr/>
        <w:tc>
          <w:tcPr>
            <w:tcW w:w="265"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left"/>
              <w:rPr>
                <w:sz w:val="4"/>
                <w:szCs w:val="4"/>
              </w:rPr>
            </w:pPr>
            <w:r>
              <w:rPr>
                <w:sz w:val="4"/>
                <w:szCs w:val="4"/>
              </w:rPr>
            </w:r>
          </w:p>
        </w:tc>
      </w:tr>
      <w:tr>
        <w:trPr/>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may receive more than one set of voting materials, including multiple copies of the proxy materials and multiple Notices, proxy cards or voting instruction cards. For example, stockholders who hold shares in more than one brokerage account may receive separate sets of proxy materials or one Notice for each brokerage account in which shares are held. Stockholders of record whose shares are registered in more than one name will receive more than one set of proxy materials. You should vote in accordance with all of the proxy cards and voting instruction cards you receive relating to our Annual Meeting to ensure that all of your shares are voted and counted.</w:t>
            </w:r>
          </w:p>
        </w:tc>
      </w:tr>
    </w:tbl>
    <w:p>
      <w:pPr>
        <w:pStyle w:val="TextBody"/>
        <w:bidi w:val="0"/>
        <w:jc w:val="left"/>
        <w:rPr/>
      </w:pPr>
      <w:r>
        <w:rPr/>
        <w:t> </w:t>
      </w:r>
    </w:p>
    <w:tbl>
      <w:tblPr>
        <w:tblW w:w="4157" w:type="dxa"/>
        <w:jc w:val="left"/>
        <w:tblInd w:w="0" w:type="dxa"/>
        <w:tblLayout w:type="fixed"/>
        <w:tblCellMar>
          <w:top w:w="28" w:type="dxa"/>
          <w:left w:w="28" w:type="dxa"/>
          <w:bottom w:w="28" w:type="dxa"/>
          <w:right w:w="28" w:type="dxa"/>
        </w:tblCellMar>
      </w:tblPr>
      <w:tblGrid>
        <w:gridCol w:w="331"/>
        <w:gridCol w:w="3826"/>
      </w:tblGrid>
      <w:tr>
        <w:trPr/>
        <w:tc>
          <w:tcPr>
            <w:tcW w:w="33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 I change my vote or revoke my proxy?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
        <w:gridCol w:w="9896"/>
      </w:tblGrid>
      <w:tr>
        <w:trPr/>
        <w:tc>
          <w:tcPr>
            <w:tcW w:w="309" w:type="dxa"/>
            <w:tcBorders/>
            <w:vAlign w:val="center"/>
          </w:tcPr>
          <w:p>
            <w:pPr>
              <w:pStyle w:val="TableContents"/>
              <w:bidi w:val="0"/>
              <w:spacing w:before="0" w:after="283"/>
              <w:jc w:val="left"/>
              <w:rPr>
                <w:sz w:val="4"/>
                <w:szCs w:val="4"/>
              </w:rPr>
            </w:pPr>
            <w:r>
              <w:rPr>
                <w:sz w:val="4"/>
                <w:szCs w:val="4"/>
              </w:rPr>
            </w:r>
          </w:p>
        </w:tc>
        <w:tc>
          <w:tcPr>
            <w:tcW w:w="9896" w:type="dxa"/>
            <w:tcBorders/>
            <w:vAlign w:val="center"/>
          </w:tcPr>
          <w:p>
            <w:pPr>
              <w:pStyle w:val="TableContents"/>
              <w:bidi w:val="0"/>
              <w:spacing w:before="0" w:after="283"/>
              <w:jc w:val="left"/>
              <w:rPr>
                <w:sz w:val="4"/>
                <w:szCs w:val="4"/>
              </w:rPr>
            </w:pPr>
            <w:r>
              <w:rPr>
                <w:sz w:val="4"/>
                <w:szCs w:val="4"/>
              </w:rPr>
            </w:r>
          </w:p>
        </w:tc>
      </w:tr>
      <w:tr>
        <w:trPr/>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may change your vote or revoke your proxy at any time prior to the taking of the vote or the polls closing at the Annual Meeting.</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you are the stockholder of record, you may change your vote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granting a new proxy bearing a later date (which automatically revokes the earlier proxy) using any of the methods described above (and until the applicable deadline for each method);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a written notice of revocation to BioAtla’s Corporate Secretary at BioAtla, Inc., 11085 Torreyana Road, San Diego, California 92121, prior to your shares being voted, 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participating in the Annual Meeting and voting electronically online at </w:t>
      </w:r>
      <w:r>
        <w:rPr>
          <w:rFonts w:ascii="Times New Roman" w:hAnsi="Times New Roman"/>
          <w:sz w:val="20"/>
        </w:rPr>
        <w:t>https://web.viewproxy.com/BCAB/2026</w:t>
      </w:r>
      <w:r>
        <w:rPr>
          <w:rFonts w:ascii="Times New Roman" w:hAnsi="Times New Roman"/>
          <w:color w:val="000000"/>
          <w:sz w:val="20"/>
        </w:rPr>
        <w:t xml:space="preserve">. Participation alone at the Annual Meeting will not cause your previously granted proxy to be revoked unless you specifically vote during the meeting online at </w:t>
      </w:r>
      <w:r>
        <w:rPr>
          <w:rFonts w:ascii="Times New Roman" w:hAnsi="Times New Roman"/>
          <w:sz w:val="20"/>
        </w:rPr>
        <w:t>https://web.viewproxy.com/BCAB/2026</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note, however, that if your shares are held of record by a broker, bank or other nominee and you wish to revoke a proxy, you must contact that firm to revoke any prior voting instructions.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tbl>
      <w:tblPr>
        <w:tblW w:w="4532" w:type="dxa"/>
        <w:jc w:val="left"/>
        <w:tblInd w:w="0" w:type="dxa"/>
        <w:tblLayout w:type="fixed"/>
        <w:tblCellMar>
          <w:top w:w="28" w:type="dxa"/>
          <w:left w:w="28" w:type="dxa"/>
          <w:bottom w:w="28" w:type="dxa"/>
          <w:right w:w="28" w:type="dxa"/>
        </w:tblCellMar>
      </w:tblPr>
      <w:tblGrid>
        <w:gridCol w:w="331"/>
        <w:gridCol w:w="4201"/>
      </w:tblGrid>
      <w:tr>
        <w:trPr/>
        <w:tc>
          <w:tcPr>
            <w:tcW w:w="331"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can I attend the Annual Meeting in person?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
        <w:gridCol w:w="9935"/>
      </w:tblGrid>
      <w:tr>
        <w:trPr/>
        <w:tc>
          <w:tcPr>
            <w:tcW w:w="270"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 is no physical location for the Annual Meeting. You are invited to attend the Annual Meeting by participating online if you are a stockholder of record or a street name stockholder as of May 18, 2026, the Record Date. See, “How can I participate in the Annual Meeting?” below for more details. Please be aware that participating in the Annual Meeting will not, by itself, revoke a proxy. See, “Can I change my vote or revoke my proxy?” above for more details.</w:t>
            </w:r>
          </w:p>
        </w:tc>
      </w:tr>
    </w:tbl>
    <w:p>
      <w:pPr>
        <w:pStyle w:val="TextBody"/>
        <w:bidi w:val="0"/>
        <w:jc w:val="left"/>
        <w:rPr/>
      </w:pPr>
      <w:r>
        <w:rPr/>
        <w:t> </w:t>
      </w:r>
    </w:p>
    <w:tbl>
      <w:tblPr>
        <w:tblW w:w="4322" w:type="dxa"/>
        <w:jc w:val="left"/>
        <w:tblInd w:w="0" w:type="dxa"/>
        <w:tblLayout w:type="fixed"/>
        <w:tblCellMar>
          <w:top w:w="28" w:type="dxa"/>
          <w:left w:w="28" w:type="dxa"/>
          <w:bottom w:w="28" w:type="dxa"/>
          <w:right w:w="28" w:type="dxa"/>
        </w:tblCellMar>
      </w:tblPr>
      <w:tblGrid>
        <w:gridCol w:w="331"/>
        <w:gridCol w:w="3991"/>
      </w:tblGrid>
      <w:tr>
        <w:trPr/>
        <w:tc>
          <w:tcPr>
            <w:tcW w:w="331"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can I participate in the Annual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
        <w:gridCol w:w="9936"/>
      </w:tblGrid>
      <w:tr>
        <w:trPr/>
        <w:tc>
          <w:tcPr>
            <w:tcW w:w="269"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left"/>
              <w:rPr>
                <w:sz w:val="4"/>
                <w:szCs w:val="4"/>
              </w:rPr>
            </w:pPr>
            <w:r>
              <w:rPr>
                <w:sz w:val="4"/>
                <w:szCs w:val="4"/>
              </w:rPr>
            </w:r>
          </w:p>
        </w:tc>
      </w:tr>
      <w:tr>
        <w:trPr/>
        <w:tc>
          <w:tcPr>
            <w:tcW w:w="2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Annual Meeting will be a completely virtual meeting of stockholders, which will be conducted via live webcast. You will be able to attend and participate in the Annual Meeting online and submit your questions during the Annual Meeting by visiting https://web.viewproxy.com/BCAB/2026 and registering in advance. You will also be able to vote your shares electronically at the Annual Meeting by following the instructions you receive via email.</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meeting webcast will begin promptly at 8:00 a.m. Pacific Time. We encourage you to access the meeting prior to the start time. Online check-in will begin at 7:45 a.m., Pacific Time, and you should allow ample time to check your audio/video connections and settings. We plan to have a webcast replay which will be posted to the Investors – Events &amp; Presentations section of our website, which is located at www.bioatla.com.</w:t>
      </w:r>
    </w:p>
    <w:p>
      <w:pPr>
        <w:pStyle w:val="TextBody"/>
        <w:bidi w:val="0"/>
        <w:jc w:val="left"/>
        <w:rPr/>
      </w:pPr>
      <w:r>
        <w:rPr/>
        <w:t> </w:t>
      </w:r>
    </w:p>
    <w:tbl>
      <w:tblPr>
        <w:tblW w:w="4217" w:type="dxa"/>
        <w:jc w:val="left"/>
        <w:tblInd w:w="0" w:type="dxa"/>
        <w:tblLayout w:type="fixed"/>
        <w:tblCellMar>
          <w:top w:w="28" w:type="dxa"/>
          <w:left w:w="28" w:type="dxa"/>
          <w:bottom w:w="28" w:type="dxa"/>
          <w:right w:w="28" w:type="dxa"/>
        </w:tblCellMar>
      </w:tblPr>
      <w:tblGrid>
        <w:gridCol w:w="331"/>
        <w:gridCol w:w="3886"/>
      </w:tblGrid>
      <w:tr>
        <w:trPr/>
        <w:tc>
          <w:tcPr>
            <w:tcW w:w="33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 I submit questions prior to the meeting?</w:t>
            </w:r>
          </w:p>
        </w:tc>
      </w:tr>
    </w:tbl>
    <w:p>
      <w:pPr>
        <w:pStyle w:val="TextBody"/>
        <w:bidi w:val="0"/>
        <w:jc w:val="left"/>
        <w:rPr/>
      </w:pPr>
      <w:r>
        <w:rPr/>
        <w:t> </w:t>
      </w:r>
    </w:p>
    <w:tbl>
      <w:tblPr>
        <w:tblW w:w="6362" w:type="dxa"/>
        <w:jc w:val="left"/>
        <w:tblInd w:w="0" w:type="dxa"/>
        <w:tblLayout w:type="fixed"/>
        <w:tblCellMar>
          <w:top w:w="28" w:type="dxa"/>
          <w:left w:w="28" w:type="dxa"/>
          <w:bottom w:w="28" w:type="dxa"/>
          <w:right w:w="28" w:type="dxa"/>
        </w:tblCellMar>
      </w:tblPr>
      <w:tblGrid>
        <w:gridCol w:w="1036"/>
        <w:gridCol w:w="5326"/>
      </w:tblGrid>
      <w:tr>
        <w:trPr/>
        <w:tc>
          <w:tcPr>
            <w:tcW w:w="1036"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A:</w:t>
            </w:r>
          </w:p>
        </w:tc>
        <w:tc>
          <w:tcPr>
            <w:tcW w:w="53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No, you can only submit questions during the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8"/>
        <w:gridCol w:w="9897"/>
      </w:tblGrid>
      <w:tr>
        <w:trPr/>
        <w:tc>
          <w:tcPr>
            <w:tcW w:w="308" w:type="dxa"/>
            <w:tcBorders/>
            <w:vAlign w:val="center"/>
          </w:tcPr>
          <w:p>
            <w:pPr>
              <w:pStyle w:val="TableContents"/>
              <w:bidi w:val="0"/>
              <w:spacing w:before="0" w:after="283"/>
              <w:jc w:val="left"/>
              <w:rPr>
                <w:sz w:val="4"/>
                <w:szCs w:val="4"/>
              </w:rPr>
            </w:pPr>
            <w:r>
              <w:rPr>
                <w:sz w:val="4"/>
                <w:szCs w:val="4"/>
              </w:rPr>
            </w:r>
          </w:p>
        </w:tc>
        <w:tc>
          <w:tcPr>
            <w:tcW w:w="9897" w:type="dxa"/>
            <w:tcBorders/>
            <w:vAlign w:val="center"/>
          </w:tcPr>
          <w:p>
            <w:pPr>
              <w:pStyle w:val="TableContents"/>
              <w:bidi w:val="0"/>
              <w:spacing w:before="0" w:after="283"/>
              <w:jc w:val="left"/>
              <w:rPr>
                <w:sz w:val="4"/>
                <w:szCs w:val="4"/>
              </w:rPr>
            </w:pPr>
            <w:r>
              <w:rPr>
                <w:sz w:val="4"/>
                <w:szCs w:val="4"/>
              </w:rPr>
            </w:r>
          </w:p>
        </w:tc>
      </w:tr>
      <w:tr>
        <w:trPr/>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98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if during the check-in time or during the meeting I have technical difficulties or trouble accessing the virtual meeting website?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
        <w:gridCol w:w="9917"/>
      </w:tblGrid>
      <w:tr>
        <w:trPr/>
        <w:tc>
          <w:tcPr>
            <w:tcW w:w="288" w:type="dxa"/>
            <w:tcBorders/>
            <w:vAlign w:val="center"/>
          </w:tcPr>
          <w:p>
            <w:pPr>
              <w:pStyle w:val="TableContents"/>
              <w:bidi w:val="0"/>
              <w:spacing w:before="0" w:after="283"/>
              <w:jc w:val="left"/>
              <w:rPr>
                <w:sz w:val="4"/>
                <w:szCs w:val="4"/>
              </w:rPr>
            </w:pPr>
            <w:r>
              <w:rPr>
                <w:sz w:val="4"/>
                <w:szCs w:val="4"/>
              </w:rPr>
            </w:r>
          </w:p>
        </w:tc>
        <w:tc>
          <w:tcPr>
            <w:tcW w:w="9917" w:type="dxa"/>
            <w:tcBorders/>
            <w:vAlign w:val="center"/>
          </w:tcPr>
          <w:p>
            <w:pPr>
              <w:pStyle w:val="TableContents"/>
              <w:bidi w:val="0"/>
              <w:spacing w:before="0" w:after="283"/>
              <w:jc w:val="left"/>
              <w:rPr>
                <w:sz w:val="4"/>
                <w:szCs w:val="4"/>
              </w:rPr>
            </w:pPr>
            <w:r>
              <w:rPr>
                <w:sz w:val="4"/>
                <w:szCs w:val="4"/>
              </w:rPr>
            </w:r>
          </w:p>
        </w:tc>
      </w:tr>
      <w:tr>
        <w:trPr/>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you encounter any technical difficulties accessing the virtual meeting during the check-in or meeting time, please call the toll-free technical support line you receive in your email prior to the start of the meeting.</w:t>
            </w:r>
          </w:p>
        </w:tc>
      </w:tr>
    </w:tbl>
    <w:p>
      <w:pPr>
        <w:pStyle w:val="TextBody"/>
        <w:bidi w:val="0"/>
        <w:jc w:val="left"/>
        <w:rPr/>
      </w:pPr>
      <w:r>
        <w:rPr/>
        <w:t> </w:t>
      </w:r>
    </w:p>
    <w:tbl>
      <w:tblPr>
        <w:tblW w:w="5087" w:type="dxa"/>
        <w:jc w:val="left"/>
        <w:tblInd w:w="0" w:type="dxa"/>
        <w:tblLayout w:type="fixed"/>
        <w:tblCellMar>
          <w:top w:w="28" w:type="dxa"/>
          <w:left w:w="28" w:type="dxa"/>
          <w:bottom w:w="28" w:type="dxa"/>
          <w:right w:w="28" w:type="dxa"/>
        </w:tblCellMar>
      </w:tblPr>
      <w:tblGrid>
        <w:gridCol w:w="301"/>
        <w:gridCol w:w="4786"/>
      </w:tblGrid>
      <w:tr>
        <w:trPr/>
        <w:tc>
          <w:tcPr>
            <w:tcW w:w="301" w:type="dxa"/>
            <w:tcBorders/>
            <w:vAlign w:val="center"/>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How can I get electronic access to the proxy materials?</w:t>
            </w:r>
          </w:p>
        </w:tc>
      </w:tr>
    </w:tbl>
    <w:p>
      <w:pPr>
        <w:pStyle w:val="TextBody"/>
        <w:bidi w:val="0"/>
        <w:jc w:val="left"/>
        <w:rPr/>
      </w:pPr>
      <w:r>
        <w:rPr/>
        <w:t> </w:t>
      </w:r>
    </w:p>
    <w:tbl>
      <w:tblPr>
        <w:tblW w:w="7097" w:type="dxa"/>
        <w:jc w:val="left"/>
        <w:tblInd w:w="0" w:type="dxa"/>
        <w:tblLayout w:type="fixed"/>
        <w:tblCellMar>
          <w:top w:w="28" w:type="dxa"/>
          <w:left w:w="28" w:type="dxa"/>
          <w:bottom w:w="28" w:type="dxa"/>
          <w:right w:w="28" w:type="dxa"/>
        </w:tblCellMar>
      </w:tblPr>
      <w:tblGrid>
        <w:gridCol w:w="1036"/>
        <w:gridCol w:w="6061"/>
      </w:tblGrid>
      <w:tr>
        <w:trPr/>
        <w:tc>
          <w:tcPr>
            <w:tcW w:w="1036" w:type="dxa"/>
            <w:tcBorders/>
            <w:vAlign w:val="center"/>
          </w:tcPr>
          <w:p>
            <w:pPr>
              <w:pStyle w:val="TableContents"/>
              <w:bidi w:val="0"/>
              <w:spacing w:before="0" w:after="283"/>
              <w:jc w:val="left"/>
              <w:rPr>
                <w:sz w:val="4"/>
                <w:szCs w:val="4"/>
              </w:rPr>
            </w:pPr>
            <w:r>
              <w:rPr>
                <w:sz w:val="4"/>
                <w:szCs w:val="4"/>
              </w:rPr>
            </w:r>
          </w:p>
        </w:tc>
        <w:tc>
          <w:tcPr>
            <w:tcW w:w="606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A:</w:t>
            </w:r>
          </w:p>
        </w:tc>
        <w:tc>
          <w:tcPr>
            <w:tcW w:w="606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The Notice will provide you with instructions regarding how to:</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view our proxy materials for the meeting through the internet;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instruct us to send our future proxy materials to you electronically by email.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331"/>
        <w:gridCol w:w="5851"/>
      </w:tblGrid>
      <w:tr>
        <w:trPr/>
        <w:tc>
          <w:tcPr>
            <w:tcW w:w="331"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 there a list of stockholders entitled to vote at the Annual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
        <w:gridCol w:w="9936"/>
      </w:tblGrid>
      <w:tr>
        <w:trPr/>
        <w:tc>
          <w:tcPr>
            <w:tcW w:w="269"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left"/>
              <w:rPr>
                <w:sz w:val="4"/>
                <w:szCs w:val="4"/>
              </w:rPr>
            </w:pPr>
            <w:r>
              <w:rPr>
                <w:sz w:val="4"/>
                <w:szCs w:val="4"/>
              </w:rPr>
            </w:r>
          </w:p>
        </w:tc>
      </w:tr>
      <w:tr>
        <w:trPr/>
        <w:tc>
          <w:tcPr>
            <w:tcW w:w="2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names of stockholders of record entitled to vote will be available for inspection by stockholders of record for a period of ten (10) days ending on the day before the date of the Annual Meeting. If you are a stockholder of record and want to inspect the stockholder list, please send a written request to our Corporate Secretary at investors@bioatla.com to arrange for inspection of the list at our corporate headquarters, 11085 Torreyana Road, San Diego, California 92121.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2867" w:type="dxa"/>
        <w:jc w:val="left"/>
        <w:tblInd w:w="0" w:type="dxa"/>
        <w:tblLayout w:type="fixed"/>
        <w:tblCellMar>
          <w:top w:w="28" w:type="dxa"/>
          <w:left w:w="28" w:type="dxa"/>
          <w:bottom w:w="28" w:type="dxa"/>
          <w:right w:w="28" w:type="dxa"/>
        </w:tblCellMar>
      </w:tblPr>
      <w:tblGrid>
        <w:gridCol w:w="331"/>
        <w:gridCol w:w="2536"/>
      </w:tblGrid>
      <w:tr>
        <w:trPr/>
        <w:tc>
          <w:tcPr>
            <w:tcW w:w="33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Who will tabulate the votes?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
        <w:gridCol w:w="9899"/>
      </w:tblGrid>
      <w:tr>
        <w:trPr/>
        <w:tc>
          <w:tcPr>
            <w:tcW w:w="306" w:type="dxa"/>
            <w:tcBorders/>
            <w:vAlign w:val="center"/>
          </w:tcPr>
          <w:p>
            <w:pPr>
              <w:pStyle w:val="TableContents"/>
              <w:bidi w:val="0"/>
              <w:spacing w:before="0" w:after="283"/>
              <w:jc w:val="left"/>
              <w:rPr>
                <w:sz w:val="4"/>
                <w:szCs w:val="4"/>
              </w:rPr>
            </w:pPr>
            <w:r>
              <w:rPr>
                <w:sz w:val="4"/>
                <w:szCs w:val="4"/>
              </w:rPr>
            </w:r>
          </w:p>
        </w:tc>
        <w:tc>
          <w:tcPr>
            <w:tcW w:w="9899" w:type="dxa"/>
            <w:tcBorders/>
            <w:vAlign w:val="center"/>
          </w:tcPr>
          <w:p>
            <w:pPr>
              <w:pStyle w:val="TableContents"/>
              <w:bidi w:val="0"/>
              <w:spacing w:before="0" w:after="283"/>
              <w:jc w:val="left"/>
              <w:rPr>
                <w:sz w:val="4"/>
                <w:szCs w:val="4"/>
              </w:rPr>
            </w:pPr>
            <w:r>
              <w:rPr>
                <w:sz w:val="4"/>
                <w:szCs w:val="4"/>
              </w:rPr>
            </w:r>
          </w:p>
        </w:tc>
      </w:tr>
      <w:tr>
        <w:trPr/>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representative of Mediant Communications, Inc. will serve as the Inspector of Elections and will tabulate the votes at the Annual Meeting.</w:t>
            </w:r>
          </w:p>
        </w:tc>
      </w:tr>
    </w:tbl>
    <w:p>
      <w:pPr>
        <w:pStyle w:val="TextBody"/>
        <w:bidi w:val="0"/>
        <w:jc w:val="left"/>
        <w:rPr/>
      </w:pPr>
      <w:r>
        <w:rPr/>
        <w:t> </w:t>
      </w:r>
    </w:p>
    <w:tbl>
      <w:tblPr>
        <w:tblW w:w="5372" w:type="dxa"/>
        <w:jc w:val="left"/>
        <w:tblInd w:w="0" w:type="dxa"/>
        <w:tblLayout w:type="fixed"/>
        <w:tblCellMar>
          <w:top w:w="28" w:type="dxa"/>
          <w:left w:w="28" w:type="dxa"/>
          <w:bottom w:w="28" w:type="dxa"/>
          <w:right w:w="28" w:type="dxa"/>
        </w:tblCellMar>
      </w:tblPr>
      <w:tblGrid>
        <w:gridCol w:w="316"/>
        <w:gridCol w:w="5056"/>
      </w:tblGrid>
      <w:tr>
        <w:trPr/>
        <w:tc>
          <w:tcPr>
            <w:tcW w:w="31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Where can I find the voting results of the Annual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will announce preliminary voting results at the Annual Meeting. We will also disclose voting results on a Current Report on Form 8-K that we will file with the SEC within four business days after the Annual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
        <w:gridCol w:w="9909"/>
      </w:tblGrid>
      <w:tr>
        <w:trPr/>
        <w:tc>
          <w:tcPr>
            <w:tcW w:w="296" w:type="dxa"/>
            <w:tcBorders/>
            <w:vAlign w:val="center"/>
          </w:tcPr>
          <w:p>
            <w:pPr>
              <w:pStyle w:val="TableContents"/>
              <w:bidi w:val="0"/>
              <w:spacing w:before="0" w:after="283"/>
              <w:jc w:val="left"/>
              <w:rPr>
                <w:sz w:val="4"/>
                <w:szCs w:val="4"/>
              </w:rPr>
            </w:pPr>
            <w:r>
              <w:rPr>
                <w:sz w:val="4"/>
                <w:szCs w:val="4"/>
              </w:rPr>
            </w:r>
          </w:p>
        </w:tc>
        <w:tc>
          <w:tcPr>
            <w:tcW w:w="9909"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99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 share an address with another stockholder, and we received only one paper copy of the proxy materials. How may I obtain an additional copy of the proxy materials?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
        <w:gridCol w:w="9931"/>
      </w:tblGrid>
      <w:tr>
        <w:trPr/>
        <w:tc>
          <w:tcPr>
            <w:tcW w:w="274" w:type="dxa"/>
            <w:tcBorders/>
            <w:vAlign w:val="center"/>
          </w:tcPr>
          <w:p>
            <w:pPr>
              <w:pStyle w:val="TableContents"/>
              <w:bidi w:val="0"/>
              <w:spacing w:before="0" w:after="283"/>
              <w:jc w:val="left"/>
              <w:rPr>
                <w:sz w:val="4"/>
                <w:szCs w:val="4"/>
              </w:rPr>
            </w:pPr>
            <w:r>
              <w:rPr>
                <w:sz w:val="4"/>
                <w:szCs w:val="4"/>
              </w:rPr>
            </w:r>
          </w:p>
        </w:tc>
        <w:tc>
          <w:tcPr>
            <w:tcW w:w="9931" w:type="dxa"/>
            <w:tcBorders/>
            <w:vAlign w:val="center"/>
          </w:tcPr>
          <w:p>
            <w:pPr>
              <w:pStyle w:val="TableContents"/>
              <w:bidi w:val="0"/>
              <w:spacing w:before="0" w:after="283"/>
              <w:jc w:val="left"/>
              <w:rPr>
                <w:sz w:val="4"/>
                <w:szCs w:val="4"/>
              </w:rPr>
            </w:pPr>
            <w:r>
              <w:rPr>
                <w:sz w:val="4"/>
                <w:szCs w:val="4"/>
              </w:rPr>
            </w:r>
          </w:p>
        </w:tc>
      </w:tr>
      <w:tr>
        <w:trPr/>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is commonly referred to as “householding.”</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Brokers with account holders who are BioAtla stockholders may be householding our proxy materials. A single set of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BioAtla that you no longer wish to participate in householding.</w:t>
      </w:r>
    </w:p>
    <w:p>
      <w:pPr>
        <w:pStyle w:val="TextBody"/>
        <w:bidi w:val="0"/>
        <w:spacing w:before="240" w:after="283"/>
        <w:jc w:val="left"/>
        <w:rPr>
          <w:rFonts w:ascii="Times New Roman" w:hAnsi="Times New Roman"/>
          <w:color w:val="000000"/>
          <w:sz w:val="20"/>
        </w:rPr>
      </w:pPr>
      <w:bookmarkStart w:id="5" w:name="ole_link3"/>
      <w:bookmarkEnd w:id="5"/>
      <w:r>
        <w:rPr>
          <w:rFonts w:ascii="Times New Roman" w:hAnsi="Times New Roman"/>
          <w:color w:val="000000"/>
          <w:sz w:val="20"/>
        </w:rPr>
        <w:t>If, at any time, you no longer wish to participate in householding and would prefer to receive a separate proxy statement and annual report, you may (1) notify your broker, (2) direct your written request to: Investor Relations, BioAtla, Inc., 11085 Torreyana Road, San Diego, California 92121 or (3) contact our Investor Relations department by email at investors@bioatla.com or by telephone at (858) 558-0708. Stockholders who currently receive multiple copies of the proxy statement or annual report at their address and would like to request householding of their communications should contact their broker. In addition, we will promptly deliver, upon written or oral request to the address or telephone number above, a separate copy of the annual report and proxy statement to a stockholder at a shared address to which a single copy of the documents was delivered.</w:t>
      </w:r>
    </w:p>
    <w:p>
      <w:pPr>
        <w:pStyle w:val="TextBody"/>
        <w:bidi w:val="0"/>
        <w:jc w:val="left"/>
        <w:rPr/>
      </w:pPr>
      <w:r>
        <w:rPr/>
        <w:t> </w:t>
      </w:r>
    </w:p>
    <w:tbl>
      <w:tblPr>
        <w:tblW w:w="7967" w:type="dxa"/>
        <w:jc w:val="left"/>
        <w:tblInd w:w="0" w:type="dxa"/>
        <w:tblLayout w:type="fixed"/>
        <w:tblCellMar>
          <w:top w:w="28" w:type="dxa"/>
          <w:left w:w="28" w:type="dxa"/>
          <w:bottom w:w="28" w:type="dxa"/>
          <w:right w:w="28" w:type="dxa"/>
        </w:tblCellMar>
      </w:tblPr>
      <w:tblGrid>
        <w:gridCol w:w="316"/>
        <w:gridCol w:w="7651"/>
      </w:tblGrid>
      <w:tr>
        <w:trPr/>
        <w:tc>
          <w:tcPr>
            <w:tcW w:w="316"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if I have questions about my BioAtla shares or need to change my mailing address?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
        <w:gridCol w:w="9930"/>
      </w:tblGrid>
      <w:tr>
        <w:trPr/>
        <w:tc>
          <w:tcPr>
            <w:tcW w:w="275"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left"/>
              <w:rPr>
                <w:sz w:val="4"/>
                <w:szCs w:val="4"/>
              </w:rPr>
            </w:pPr>
            <w:r>
              <w:rPr>
                <w:sz w:val="4"/>
                <w:szCs w:val="4"/>
              </w:rPr>
            </w:r>
          </w:p>
        </w:tc>
      </w:tr>
      <w:tr>
        <w:trPr/>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may contact our transfer agent, Pacific Stock Transfer Company, by telephone at (702) 361-3033, by email at info@pacificstocktransfer.com or by U.S. mail at 6725 Via Austi Pkwy, Ste. 300, Las Vegas, Nevada, 89119, if you have questions about your BioAtla shares or need to change your mailing address.</w:t>
            </w:r>
          </w:p>
        </w:tc>
      </w:tr>
    </w:tbl>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316"/>
        <w:gridCol w:w="6031"/>
      </w:tblGrid>
      <w:tr>
        <w:trPr/>
        <w:tc>
          <w:tcPr>
            <w:tcW w:w="31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Who is soliciting my proxy and paying for the expense of solicitation?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
        <w:gridCol w:w="9942"/>
      </w:tblGrid>
      <w:tr>
        <w:trPr/>
        <w:tc>
          <w:tcPr>
            <w:tcW w:w="26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left"/>
              <w:rPr>
                <w:sz w:val="4"/>
                <w:szCs w:val="4"/>
              </w:rPr>
            </w:pPr>
            <w:r>
              <w:rPr>
                <w:sz w:val="4"/>
                <w:szCs w:val="4"/>
              </w:rPr>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proxy for the Annual Meeting is being solicited on behalf of our board of directors. We will pay the cost of preparing, assembling, printing, mailing and distributing these proxy materials and soliciting votes. We may, on request, reimburse brokerage firms and other nominees for their expenses in forwarding proxy materials to beneficial owners. In addition to soliciting proxies by mail, we expect that our directors, officers and employees may solicit proxies in person or by telephone or facsimile. None of these individuals will receive any additional or special compensation for doing this, although we may reimburse these individuals for their reasonable out-of-pocket expenses. We do not expect to, but have the option to, retain a proxy solicitor. If you choose to access the proxy materials or vote via the internet or by phone, you are responsible for any internet access or phone charges you may incur.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
        <w:gridCol w:w="9923"/>
      </w:tblGrid>
      <w:tr>
        <w:trPr/>
        <w:tc>
          <w:tcPr>
            <w:tcW w:w="282" w:type="dxa"/>
            <w:tcBorders/>
            <w:vAlign w:val="center"/>
          </w:tcPr>
          <w:p>
            <w:pPr>
              <w:pStyle w:val="TableContents"/>
              <w:bidi w:val="0"/>
              <w:spacing w:before="0" w:after="283"/>
              <w:jc w:val="left"/>
              <w:rPr>
                <w:sz w:val="4"/>
                <w:szCs w:val="4"/>
              </w:rPr>
            </w:pPr>
            <w:r>
              <w:rPr>
                <w:sz w:val="4"/>
                <w:szCs w:val="4"/>
              </w:rPr>
            </w:r>
          </w:p>
        </w:tc>
        <w:tc>
          <w:tcPr>
            <w:tcW w:w="9923" w:type="dxa"/>
            <w:tcBorders/>
            <w:vAlign w:val="center"/>
          </w:tcPr>
          <w:p>
            <w:pPr>
              <w:pStyle w:val="TableContents"/>
              <w:bidi w:val="0"/>
              <w:spacing w:before="0" w:after="283"/>
              <w:jc w:val="left"/>
              <w:rPr>
                <w:sz w:val="4"/>
                <w:szCs w:val="4"/>
              </w:rPr>
            </w:pPr>
            <w:r>
              <w:rPr>
                <w:sz w:val="4"/>
                <w:szCs w:val="4"/>
              </w:rPr>
            </w:r>
          </w:p>
        </w:tc>
      </w:tr>
      <w:tr>
        <w:trPr/>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w:t>
            </w:r>
          </w:p>
        </w:tc>
        <w:tc>
          <w:tcPr>
            <w:tcW w:w="9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are the requirements to propose actions, including director nominations, to be included in our proxy materials for next year’s annual meeting of stockholders, or our 2027 Annual Meeting, or for consideration at our 2027 Annual Meeting?</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
        <w:gridCol w:w="9892"/>
      </w:tblGrid>
      <w:tr>
        <w:trPr/>
        <w:tc>
          <w:tcPr>
            <w:tcW w:w="31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left"/>
              <w:rPr>
                <w:sz w:val="4"/>
                <w:szCs w:val="4"/>
              </w:rPr>
            </w:pPr>
            <w:r>
              <w:rPr>
                <w:sz w:val="4"/>
                <w:szCs w:val="4"/>
              </w:rPr>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Requirements for Stockholder Proposals to be considered for inclusion in our proxy materials for our 2027 Annual Meeting</w:t>
            </w: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amended and restated bylaws provide that stockholders may present proposals, including director nominations, for inclusion in our proxy statement by submitting their proposals in writing to the attention of our Corporate Secretary at our principal executive office via the delivery methods specified in our amended and restated bylaws. To be timely and considered for inclusion in our proxy materials, such proposals must comply in all respects with our amended and restated bylaws. Our current principal executive office is located at 11085 Torreyana Road, San Diego, California 92121. The facsimile number and the e-mail address of our Corporate Secretary are (858) 558-0709 and cvasquez@bioatla.com. In addition, stockholder proposals must comply with the requirements of Rule 14a-8 under the Securities Exchange Act of 1934, as amended, or the Exchange Act, and related SEC regulations under Rule 14a-8 regarding the inclusion of stockholder proposals in company-sponsored proxy materials. In order to be included in the proxy statement for our 2027 Annual Meeting, stockholder proposals must be received by our Corporate Secretary no later than February 3, 2027, 120 calendar days before the release date of the proxy statement to shareholders for the preceding year’s annual meeting, and must otherwise comply with the requirements of Rule 14a-8 of the Exchange Act.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Requirements for Stockholder Proposals to be presented at our 2027 Annual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amended and restated bylaws provide that stockholders may present proposals to be considered at an annual meeting by providing timely notice to our Corporate Secretary at our principal executive office. To be timely for our 2027 Annual Meeting, our Corporate Secretary must receive the written notice at our principal executive office: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earlier than the close of business on March 18, 2027,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later than the close of business on April 17,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hold our 2027 annual meeting of stockholders more than 30 days before or more than 60 days after July 16, 2027 (the one-year anniversary date of the Annual Meeting), then notice of a stockholder proposal that is not intended to be included in our proxy statement must be received by our Corporate Secretary at our principal executive office not later than the close of business on the later of (i) the 90th day prior to such annual meeting, or (ii) the tenth day following the day on which public announcement of the date of such annual meeting is first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stockholder’s notice to the Corporate Secretary must set forth as to each matter the stockholder proposes to bring before the annual meeting the information required by our amended and restated bylaws. If a stockholder who has notified BioAtla of such stockholder’s intention to present a proposal at an annual meeting does not appear to present such stockholder’s proposal at such meeting, BioAtla does not need to present the proposal for vote at such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stockholders who intend to solicit proxies in support of director nominees other than those nominees nominated by the Company must also comply with the additional requirements of Rule 14a-19(b) under the Exchange Act.</w:t>
      </w:r>
    </w:p>
    <w:p>
      <w:pPr>
        <w:pStyle w:val="Heading1"/>
        <w:bidi w:val="0"/>
        <w:spacing w:before="240" w:after="283"/>
        <w:jc w:val="center"/>
        <w:rPr>
          <w:rFonts w:ascii="Times New Roman" w:hAnsi="Times New Roman"/>
          <w:caps/>
          <w:color w:val="000000"/>
          <w:sz w:val="20"/>
        </w:rPr>
      </w:pPr>
      <w:bookmarkStart w:id="6" w:name="board_of_directors_and_corporate"/>
      <w:bookmarkEnd w:id="6"/>
      <w:r>
        <w:rPr>
          <w:rFonts w:ascii="Times New Roman" w:hAnsi="Times New Roman"/>
          <w:caps/>
          <w:color w:val="000000"/>
          <w:sz w:val="20"/>
        </w:rPr>
        <w:t>BOARD OF DIRECTORS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strong commitment to good corporate governance practices. These practices provide an important framework within which our board of directors, its committees and our management can pursue our strategic objectives in order to promote the interests of our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Corporate Governance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our website, www.bioatla.com, in the website’s “Investors/Governance” section. Our Corporate Governance Guidelines are subject to modification from time to time by our board of directors pursuant to the recommendations of our nominating and corporate governance committee.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Leadership Structure and Risk Oversight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of directors is currently chaired by Jay M. Short, Ph.D., who also serves as our Chief Executive Officer. Our board of directors does not have a policy regarding the separation of the roles of Chief Executive Officer and Chairman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Chairman is in the best interest of our stockholders at this time because of the efficiencies achieved in having the role of Chief Executive Officer and Chairman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t>
      </w:r>
      <w:r>
        <w:rPr>
          <w:rFonts w:ascii="Times New Roman" w:hAnsi="Times New Roman"/>
          <w:color w:val="0C0C0E"/>
          <w:sz w:val="20"/>
        </w:rPr>
        <w:t>Our Corporate Governance Guidelines provide that if the Chairman of our board of directors is not an independent director, our independent directors will designate one of the independent directors to serve as Lead Independent Director. Because Dr. Jay M. Short is our Chairman and Chief Executive Officer, our board of directors, including the independent directors, has appointed Dr. Lawrence Steinman to serve as our Lead Independent Director. As Lead Independent Director, Dr. Steinman presides over regularly scheduled executive sessions of our independent directors, coordinates activities of the independent directors, and performs such additional duties as our board of directors otherwise determines and delegates.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board of directors does not have a standing risk management committee, it administers this oversight function directly through the board of directors as a whole as well as through its standing committees that address risks inherent in their respective areas of oversight. Our board of directors oversees the management of risks inherent in the operation of our business and the implementation of our business strategies. In connection with its reviews of our operations and corporate functions, our board of directors addresses the primary risks associated with those operations and corporate functions. Areas of focus include economic, operational, financial (accounting, credit, investment, liquidity and tax), competitive, legal, regulatory, cybersecurity, privacy, compliance and reputational, and environmental, social, and governance (“ESG”) risks. In addition, our board of directors reviews the risks associated with our business strategies periodically throughout the year as part of its consideration of undertaking any such business strategies.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our management’s risk mitigation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board committees also oversees the management of our risks that fall within the committee’s areas of responsibility. In performing this function, each committee has full access to management, as well as the ability to engage advisors. Our Chief Executive Officer and Chief Financial Officer report to the audit committee and are responsible for identifying, evaluating and implementing risk management controls and methodologies to address any identified risks. 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of directors in fulfilling its oversight responsibilities with respect to risk management, including risks related to cybersecurity matters. Our nominating and corporate governance committee assesses risks related to our corporate governance practices, ESG matters, the independence of our board of directors and monitors the effectiveness of our governance guidelines. Our compensation committee assesses and monitors whether any of our compensation policies and programs has the potential to encourage excessive risk-taking.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this division of responsibilities is an effective approach for addressing the risks we face and that our board leadership structure supports this approach.</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Composition and Diversity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board is most effective when it embodies a diverse range of views, backgrounds and experience. Diversity is considered in the broadest sense, including, among other attributes, reflecting geography, age, gender, leadership, perspectives, educational background, other board experience and commitments, business and professional achievements, skills and experience in the context of the needs of the board of directors. While the nominating and corporate governance committee does not have a formal policy on diversity with regard to consideration of director nominees, the nominating and corporate governance committee considers diversity in its selection of nominees and endeavors to include women and minority candidates in the qualified pool from which candidates for the board of directors are chosen.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believes that transparency into its composition supports effective governance and informed shareholder engagement. The table below summarizes the self-identified gender and racial/ethnic demographics of our directors. These attributes, alongside each director’s experience and expertise, contribute to the Board’s ability to provide diverse perspectives and independent oversight.</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Board Diversity Matrix (As of May 18,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Number of Directors: 7</w:t>
      </w:r>
    </w:p>
    <w:p>
      <w:pPr>
        <w:pStyle w:val="TextBody"/>
        <w:bidi w:val="0"/>
        <w:jc w:val="left"/>
        <w:rPr/>
      </w:pPr>
      <w:r>
        <w:rPr/>
        <w:t> </w:t>
      </w:r>
    </w:p>
    <w:tbl>
      <w:tblPr>
        <w:tblW w:w="8044" w:type="dxa"/>
        <w:jc w:val="left"/>
        <w:tblInd w:w="0" w:type="dxa"/>
        <w:tblLayout w:type="fixed"/>
        <w:tblCellMar>
          <w:top w:w="28" w:type="dxa"/>
          <w:left w:w="28" w:type="dxa"/>
          <w:bottom w:w="28" w:type="dxa"/>
          <w:right w:w="28" w:type="dxa"/>
        </w:tblCellMar>
      </w:tblPr>
      <w:tblGrid>
        <w:gridCol w:w="4066"/>
        <w:gridCol w:w="146"/>
        <w:gridCol w:w="631"/>
        <w:gridCol w:w="146"/>
        <w:gridCol w:w="466"/>
        <w:gridCol w:w="146"/>
        <w:gridCol w:w="961"/>
        <w:gridCol w:w="146"/>
        <w:gridCol w:w="133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Non-Binary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Did Not Disclose</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Directors who Identify in Any of the</w:t>
              <w:br/>
              <w:t>   Categories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Heading2"/>
        <w:bidi w:val="0"/>
        <w:spacing w:before="360" w:after="283"/>
        <w:jc w:val="left"/>
        <w:rPr>
          <w:rFonts w:ascii="Times New Roman" w:hAnsi="Times New Roman"/>
          <w:color w:val="000000"/>
          <w:sz w:val="20"/>
        </w:rPr>
      </w:pPr>
      <w:r>
        <w:rPr>
          <w:rFonts w:ascii="Times New Roman" w:hAnsi="Times New Roman"/>
          <w:color w:val="000000"/>
          <w:sz w:val="20"/>
        </w:rPr>
        <w:t>Independence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Nasdaq listing rules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conducts an annual review of the independence of our directors. Our board of directors has determined that none of the nominees and members of our board of directors other than Dr. Short has a relationship that would interfere with the exercise of independent judgment in carrying out the responsibilities of a director and that each of our nominees and the current members of our board of directors other than Dr. Short is “independent” as that term is defined under the rules of Nasdaq. Our board of directors has also determined that all members of our audit committee, compensation committee and nominating and corporate governance committee are independent and satisfy the relevant SEC and Nasdaq independence requirements for such committees.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Committees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established an audit committee, a compensation committee and a nominating and corporate governance committee. The composition and responsibilities of each committee are described below. Each of these committees has a written charter approved by our board of directors. Copies of the charters for each committee are available on the Investors/Governance section of our website, which is located at www.bioatla.com. Members serve on these committees until (i) they resign from their respective committee, (ii) they no longer serve as a director or (iii) as otherwise determined by our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is currently composed of Mary Ann Gray, Ph.D., who is the chair of our audit committee, Sylvia McBrinn, and Edward Williams. The composition of our audit committee meets the requirements for independence under current Nasdaq listing standards and SEC rules and regulations. Each member of our audit committee is financially literate. In addition, our board of directors has determined that Dr. Gray qualifies as an audit committee financial expert within the meaning of Item 407(d) of Regulation S-K of the Securities Act of 1933, as amended, or the Securities Act. This designation does not impose any duties, obligations or liabilities that are greater than those generally imposed on members of our audit committee and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more fully described in its charter, our audit committee has responsibility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performance, independence and qualifications of our independent auditors and determining whether to retain our existing independent auditors or engage new independent auditors;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engagement of our independent auditors to perform audit services and any permissible non-audit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annual and quarterly financial statements and reports, including the disclosures contained therein and discussing the statements and reports with our independent auditors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with our independent auditors and management significant issues that arise regarding accounting principles and financial statement presentation and matters concerning the scope, adequacy and effectiveness of our financial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us regarding financial controls, accounting or auditing matters and other matters;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providing oversight of any related-person transactions in accordance with our related-person transaction policy and reviewing and monitoring compliance with legal and regulatory responsibilities, including our code of business conduct and ethics.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compensation committee is currently composed of Sylvia McBrinn, who is the chair of our compensation committee, Susan Moran, M.D., M.S.C.E. and Lawrence Steinman, M.D.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more fully described in its charter, our compensation committee has responsibility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modifying and approving (or if it deems appropriate, making recommendations to the full board of directors regarding) our overall compensation strategy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if it deems appropriate, making recommendations to the full board of directors regarding) the compensation and other terms of employment of our executive officers;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if it deems appropriate, making recommendations to the full board of directors regarding) performance goals and objectives relevant to the compensation of our executive officers and assessing their performance against these goals and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risks associated with our compensation policies and practices and assessing whether risks arising from our compensation policies and practices for our employees are reasonably likely to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the full board of directors regarding the type and amount of compensation to be paid or awarded to our non-employee board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our equity incentive plans and establishing policies with respect to equity compensation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competitiveness of our executive compensation programs and evaluating the effectiveness of our compensation policy and strategy in achieving expected benefits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agenda for each meeting is usually developed by the Chair of the compensation committee, in consultation with the Company's Senior Vice President: Human Resources and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is authorized to select, engage, compensate and terminate compensation consultants, legal counsel and such other advisors, as it sees fit, to assist in carrying out their responsibilities and functions, including the oversight of our overall compensation philosophy, compensation plans and benefits programs and our executive compensation programs and related policies. In 2025, the compensation committee continued to retain the services of Aon's Talent Solutions practice, a division of Aon plc (“Aon”), which is part of the Rewards Solutions practice at Aon plc, to provide advice and recommendations on competitive market practices and to evaluate our executive and non-employee director compensation programs and practices and to provide advice and ongoing assistance on our equity programs. Aon provided no other services to the Company in 2025. The compensation committee has determined that none of the work performed by Aon during the fiscal year ended December 31, 2025 raised any conflict of interest.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2021, the board of directors created a board committee consisting solely of Dr. Short, the Company’s Chairman of the board of directors and CEO (the “Stock Plan Committee”), subject to annual terms and limitations adopted by the compensation committee. For 2025 and 2026, the compensation committee authorized the Stock Plan Committee to grant and determine the terms of stock options to newly hired employees or consultants under the 2020 Equity Incentive Plan and any successor plan, subject to certain limitations, including an aggregate maximum share limit. The Stock Plan Committee does not have authority to award options to directors, officers, holders of more than 10% of the Company’s securities or the CEO’s direct reports.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compensation committee may establish and delegate authority to one or more subcommittees consisting of one or more of its members, when the compensation committee deems it appropriate to do so in order to carry out its responsibilities.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nominating and corporate governance committee is composed of Lawrence Steinman, M.D., who is the chair of our nominating and corporate governance committee, Susan Moran, M.D., M.S.C.E. and Mary Ann Gray,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Ph.D. The composition of our nominating and corporate governance committee meets the requirements for independence under current Nasdaq listing standards and SEC rules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more fully described in its charter, our nominating and corporate governance committee has responsibility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reviewing and evaluating candidates to serve on our board of directors consistent with criteria approved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minimum qualifications for service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director performance on the board and applicable committees of the board and determining whether continued service on our board is appropriate;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nominating and recommending individuals for membership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nominations by stockholders of candidates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and assessing the independence of members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set of corporate governance policies and principles, including a code of business conduct and ethics, periodically reviewing and assessing these policies and principles and their application and recommending to our board of directors any changes to such policies and principles;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questions of possible conflicts of interest of directors as such questions arise.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compensation committee during 2025 included Ms. McBrinn, Dr. Moran and Dr. Steinman. None of the members of our compensation committee in 2025 was at any time during 2025 or at any other time one of our officers or employees, and none had or have any relationships with us that are required to be disclosed under Item 404 of Regulation S-K. During 2025, none of our executive officers served as a member of the board of directors, or as a member of the compensation or similar committee, of any entity that has one or more executive officers who served on our board of directors or compensation committee.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and Committee Meetings and Attendance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and its committees meet regularly throughout the year, and also hold special meetings and act by written consent from time to time. During 2025, our board of directors met six times and our audit committee, compensation committee and nominating and corporate governance committee met nine, six and three times,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2025, each member of our board of directors attended at least 75% of the aggregate of all meetings of our board of directors and of all meetings of committees of our board of directors on which such member served that were held during the period in which such director served, other than Mr. Smith who attended 67% of such meetings.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Attendance at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policy is to invite and encourage each member of our board of directors to be present at our annual meetings of stockholders. Six of the directors who were members of our board at the time of our 2025 annual meeting of stockholders virtually attended the annual meeting of stockholders in 2025.</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Communication with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and interested parties who wish to communicate with our board of directors, non-management members of our board of directors as a group, a committee of our board of directors or a specific member of our board of directors (including our Chairman, Lead Independent Director, and other independent directors) may do so by letters addressed to the attention of our Corporate Secretary.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communications are reviewed by the Corporate Secretary and provided to the members of our board of directors as appropriate. Unsolicited items, sales materials, abusive, threatening or otherwise inappropriate materials and other routine items and items unrelated to the duties and responsibilities of our board of directors will not be provided to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for these communications is:</w:t>
      </w:r>
    </w:p>
    <w:p>
      <w:pPr>
        <w:pStyle w:val="TextBody"/>
        <w:bidi w:val="0"/>
        <w:spacing w:before="240" w:after="283"/>
        <w:jc w:val="center"/>
        <w:rPr>
          <w:rFonts w:ascii="Times New Roman" w:hAnsi="Times New Roman"/>
          <w:sz w:val="20"/>
        </w:rPr>
      </w:pPr>
      <w:r>
        <w:rPr>
          <w:rFonts w:ascii="Times New Roman" w:hAnsi="Times New Roman"/>
          <w:b/>
          <w:color w:val="000000"/>
          <w:sz w:val="20"/>
        </w:rPr>
        <w:t>BioAtla, Inc.</w:t>
        <w:br/>
      </w:r>
      <w:r>
        <w:rPr>
          <w:rFonts w:ascii="Times New Roman" w:hAnsi="Times New Roman"/>
          <w:color w:val="000000"/>
          <w:sz w:val="20"/>
        </w:rPr>
        <w:t>11085 Torreyana Road</w:t>
        <w:br/>
        <w:t>San Diego, California 92121</w:t>
        <w:br/>
        <w:t>Attn: Corporate Secretary</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Code of Conduct and Whistleblower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Company Code of Conduct and Whistleblower Policy that applies to all of the members of our board of directors, officers and employees. Our Company Code of Conduct and Whistleblower Policy is posted on the Investors/Governance/Overview section of our website, which is located at www.bioatla.com. We intend to satisfy the disclosure requirement under Item 5.05 of Form 8-K regarding amendment to, or waiver from, a provision of our Code of Business Conduct and Ethics by posting such information on our website at the location specified above.</w:t>
      </w:r>
    </w:p>
    <w:p>
      <w:pPr>
        <w:pStyle w:val="Heading1"/>
        <w:bidi w:val="0"/>
        <w:spacing w:before="240" w:after="283"/>
        <w:jc w:val="center"/>
        <w:rPr>
          <w:rFonts w:ascii="Times New Roman" w:hAnsi="Times New Roman"/>
          <w:caps/>
          <w:color w:val="000000"/>
          <w:sz w:val="20"/>
        </w:rPr>
      </w:pPr>
      <w:bookmarkStart w:id="7" w:name="nominations_process_and_director"/>
      <w:bookmarkEnd w:id="7"/>
      <w:r>
        <w:rPr>
          <w:rFonts w:ascii="Times New Roman" w:hAnsi="Times New Roman"/>
          <w:caps/>
          <w:color w:val="000000"/>
          <w:sz w:val="20"/>
        </w:rPr>
        <w:t>NOMINATIONS PROCESS AND DIRECTOR QUALIFICATIONS</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Nomination to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for nomination to our board of directors are selected by our board of directors based on the recommendation of our nominating and corporate governance committee in accordance with its charter, our amended and restated certificate of incorporation and amended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information regarding the process for properly submitting stockholder nominations for candidates for nomination to our board of directors is set forth below under “Requirements for Stockholder Proposals to be considered for inclusion in our proxy materials for our 2027 Annual Meeting” and “Requirements for Stockholder Proposals to be presented at our 2027 Annual Meeting.”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Director Qualifications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goal of developing a diverse, experienced and highly qualified board of directors, our nominating and corporate governance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of directors. Our nominating and corporate governance committee considers possible candidates from any source, including stockholders, for nominees for directors. All stockholder nominees for director will be considered by the nominating and corporate governance committee in the same manner as any other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nominee. When considering nominees, our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Our board of directors does not have a formal policy with respect to diversity and inclusion; however, it affirms the value placed on diversity within our Company. Through the nomination process, our nominating and corporate governance committee seeks to promote board membership that reflects a diversity of business experience, expertise, viewpoints, personal backgrounds and other characteristics that are expected to contribute to our board of directors’ overall effectiveness. Further, our board of directors is committed to actively seeking highly qualified women and individuals from minority groups to include in the pool from which new candidates are selected. The brief biographical description of each director set forth in “Proposal One: Election of Directors” below includes the primary individual experience, qualifications, attributes and skills of each of our directors that led to the conclusion that each director should serve as a member of our board of directors at this time.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spacing w:before="240" w:after="283"/>
        <w:jc w:val="center"/>
        <w:rPr>
          <w:rFonts w:ascii="Times New Roman" w:hAnsi="Times New Roman"/>
          <w:caps/>
          <w:color w:val="000000"/>
          <w:sz w:val="20"/>
        </w:rPr>
      </w:pPr>
      <w:bookmarkStart w:id="8" w:name="proposal_on_election"/>
      <w:bookmarkEnd w:id="8"/>
      <w:r>
        <w:rPr>
          <w:rFonts w:ascii="Times New Roman" w:hAnsi="Times New Roman"/>
          <w:caps/>
          <w:color w:val="000000"/>
          <w:sz w:val="20"/>
        </w:rPr>
        <w:t>PROPOSAL ONE: 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currently consists of seven directors and is divided into three classes, with staggered three-year terms, pursuant to our amended and restated certificate of incorporation and our amended and restated bylaws. Two directors in Class III will stand for election at the Annual Meeting. Scott Smith’s term as a Class III director will expire at the Annual Meeting. Following the Annual Meeting, Mr. Smith will cease to serve as a director, and our board of directors will consist of six members. The terms of office of directors in Class I and Class II expire at our Annual Meetings of Stockholders to be held in 2027 and 2028, respectively. At the recommendation of our nominating and corporate governance committee, our board of directors proposes that the Class III nominees named below be elected as Class III directors for three-year terms expiring at our 2029 Annual Meeting of Stockholders or until such director’s successor is duly elected and qualified or until such director’s earlier death, resignation, disqualification or removal.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represented by proxies will be voted “FOR” the election of the nominee named below, unless the proxy is marked to withhold authority to so vote. If the nominee for any reason is unable to serve or for good cause will not serve, the proxies may be voted for such substitute nominee as the proxy holder might determine. The nominee has consented to being named in this Proxy Statement and to serve if elected. Proxies may not be voted for more than one director. Stockholders may not cumulate votes for the election of directors.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Nominees to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nominees and their ages, occupations and lengths of service on our board of directors as of May 18, 2026 are provided in the table below and in the additional biographical descriptions set forth in the text below the table.</w:t>
      </w:r>
    </w:p>
    <w:p>
      <w:pPr>
        <w:pStyle w:val="TextBody"/>
        <w:bidi w:val="0"/>
        <w:jc w:val="left"/>
        <w:rPr/>
      </w:pPr>
      <w:r>
        <w:rPr/>
        <w:t> </w:t>
      </w:r>
    </w:p>
    <w:tbl>
      <w:tblPr>
        <w:tblW w:w="8444" w:type="dxa"/>
        <w:jc w:val="left"/>
        <w:tblInd w:w="0" w:type="dxa"/>
        <w:tblLayout w:type="fixed"/>
        <w:tblCellMar>
          <w:top w:w="28" w:type="dxa"/>
          <w:left w:w="28" w:type="dxa"/>
          <w:bottom w:w="28" w:type="dxa"/>
          <w:right w:w="28" w:type="dxa"/>
        </w:tblCellMar>
      </w:tblPr>
      <w:tblGrid>
        <w:gridCol w:w="1741"/>
        <w:gridCol w:w="146"/>
        <w:gridCol w:w="146"/>
        <w:gridCol w:w="316"/>
        <w:gridCol w:w="146"/>
        <w:gridCol w:w="146"/>
        <w:gridCol w:w="4231"/>
        <w:gridCol w:w="146"/>
        <w:gridCol w:w="142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Co-founder, Chief Executive Officer and Chairman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2020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Williams(1)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2021</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Member of our audit committee</w:t>
      </w:r>
    </w:p>
    <w:p>
      <w:pPr>
        <w:pStyle w:val="TextBody"/>
        <w:bidi w:val="0"/>
        <w:spacing w:before="240" w:after="283"/>
        <w:jc w:val="left"/>
        <w:rPr>
          <w:rFonts w:ascii="Times New Roman" w:hAnsi="Times New Roman"/>
          <w:sz w:val="20"/>
        </w:rPr>
      </w:pPr>
      <w:r>
        <w:rPr>
          <w:rFonts w:ascii="Times New Roman" w:hAnsi="Times New Roman"/>
          <w:b/>
          <w:color w:val="000000"/>
          <w:sz w:val="20"/>
        </w:rPr>
        <w:t>Jay M. Short, Ph.D.</w:t>
      </w:r>
      <w:r>
        <w:rPr>
          <w:rFonts w:ascii="Times New Roman" w:hAnsi="Times New Roman"/>
          <w:color w:val="000000"/>
          <w:sz w:val="20"/>
        </w:rPr>
        <w:t xml:space="preserve"> cofounded BioAtla in March 2007 and has served as Chairman and Chief Executive Officer since that time. He founded the E.O. Wilson Biodiversity Foundation, a public charity, and served as its President and Chairman from its inception in October 2005 through July 2008. In 1994, Dr. Short co-founded Diversa Corporation (now BASF Corporation), a biotechnology company focusing on enzyme and antibody development. He served as Director and Chief Technology Officer throughout his eleven-year tenure. In 1998, he was named President, then Chief Executive Officer in February 1999 and led its initial public offering in 2000. From 1994 to 2008, Dr. Short also served as a director of Invitrogen (now Thermo Fisher Scientific). From its founding until 1994, Dr. Short served as President of Stratacyte Corporation, an antibody engineering company and subsidiary of Stratagene Cloning Systems, Inc. (now Agilent Technologies, Inc.), a biotechnology company. From 1985 through 1994, he also served in various roles including as Vice President of Research &amp; Development and Operations. In 2006, Dr. Short was shortlisted by the editors of Nature Biotechnology as a personality making the most significant contribution to biotech in the past decade. In 2001, Dr. Short received San Diego’s 2001 E&amp;Y Entrepreneur of the Year Award and was the recipient of the two first place awards granted by UCSD, Connect Innovative Product Program, for pioneering cloning of human antibodies in bacteria and transgenic genotoxicity assay systems. In 2023, Dr. Short was awarded the Lowell Thomas Award for Science Innovation. He has authored more than 100 peer reviewed publications and is named inventor of over 500 issued patents. Dr. Short received his Ph.D. in Biochemistry from Case Western Reserve University in Cleveland, Ohio and his B.A. with honors in Chemistry from Taylor University in Upland, Indiana. Dr. Short has also attended and received Director Certification from the UCLA Anderson School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believes Dr. Short’s perspective and experience as our co-founder and Chief Executive Officer and his broad experience in the biotechnology and biopharmaceutical industry, as well as his proven management experience in our industry, provide him with the qualifications and skills to serve on our board of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Edward Williams</w:t>
      </w:r>
      <w:r>
        <w:rPr>
          <w:rFonts w:ascii="Times New Roman" w:hAnsi="Times New Roman"/>
          <w:color w:val="000000"/>
          <w:sz w:val="20"/>
        </w:rPr>
        <w:t xml:space="preserve"> has served on our board as a director since December 2021. He has served on the board of Boone Memorial Health since October 2023 and that of Innovative Hematology, Inc. since January 2024. Mr. Williams previously served on the board of BiomX, Inc. from October 2023 to February 2026 and the board of Catalyst Biosciences, Inc. from January 2018 to December 2022. Mr. Williams further served on the board of directors of the Biotechnology Innovation Organization (BIO). From March 2020 to September 2022, Mr. Williams served as Special Advisor to the CEO at Ascendis Pharma, a clinical stage and commercial biopharmaceutical company. Additionally, he served as interim US Chief Commercial Officer at Ascendis Pharma from August 2020 to May 2021, successfully preparing for Ascendis Pharma’s first commercial launch. From 2006 to his 2017 retirement, Mr. Williams served as Senior Vice President of Biopharmaceuticals at Novo Nordisk Inc., a global healthcare company, where he was responsible for the general management of Novo Nordisk’s biotechnology business and increased that sector’s revenue impressively in all three of its therapeutic areas including orphan biotech drugs and devices. He was recognized as Global General Manager of the Year, and he served on the global boards of strategy, commercial, marketing, management and business development. From 2003 to 2006, Mr. Williams was Vice President of Sales of the Respiratory and Dermatology business unit at Novartis Pharmaceuticals Corp. Mr. Williams began his career in biopharmaceuticals in 1980 with The Upjohn Company (Pharmacia, now Pfizer) in marketing and sales roles, rising to Regional Vice President of Sales for the Northeast Region in 2001–2003 and National Vice president of the acquired Searle Sales Force. Mr. Williams received his B.S. in biology and chemistry from Marshall University, and executive leadership certifications from Harvard Business School and the Wharton School of the University of Pennsylvania.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believes Mr. Williams’ valuable experience and insight in the pharmaceutical business provide him with the qualifications and skills to serve on our board of directors.</w:t>
      </w:r>
    </w:p>
    <w:p>
      <w:pPr>
        <w:pStyle w:val="TextBody"/>
        <w:bidi w:val="0"/>
        <w:spacing w:before="240" w:after="283"/>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OUR BOARD OF DIRECTORS RECOMMENDS A VOTE “FOR” THE ELECTION OF EACH OF THE NOMINEES FOR THE CLASS III DIRECTORS SET FORTH IN THIS PROPOSAL ONE.</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Continuing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directors who are serving for terms that end following the Annual Meeting and their ages, occupations and lengths of service on our board of directors as of May 18, 2026 are provided in the table below and in the additional biographical descriptions set forth in the text below the table.</w:t>
      </w:r>
    </w:p>
    <w:p>
      <w:pPr>
        <w:pStyle w:val="TextBody"/>
        <w:bidi w:val="0"/>
        <w:jc w:val="left"/>
        <w:rPr/>
      </w:pPr>
      <w:r>
        <w:rPr/>
        <w:t> </w:t>
      </w:r>
    </w:p>
    <w:tbl>
      <w:tblPr>
        <w:tblW w:w="7477" w:type="dxa"/>
        <w:jc w:val="left"/>
        <w:tblInd w:w="0" w:type="dxa"/>
        <w:tblLayout w:type="fixed"/>
        <w:tblCellMar>
          <w:top w:w="28" w:type="dxa"/>
          <w:left w:w="28" w:type="dxa"/>
          <w:bottom w:w="28" w:type="dxa"/>
          <w:right w:w="28" w:type="dxa"/>
        </w:tblCellMar>
      </w:tblPr>
      <w:tblGrid>
        <w:gridCol w:w="2941"/>
        <w:gridCol w:w="146"/>
        <w:gridCol w:w="391"/>
        <w:gridCol w:w="146"/>
        <w:gridCol w:w="2281"/>
        <w:gridCol w:w="146"/>
        <w:gridCol w:w="14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Class I Director</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Sylvia McBrinn(1)(2)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2021</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Class II Directors</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Ann Gray, Ph.D.(1)(3)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Moran, M.D., M.S.C.E.(2)(3)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Lawrence Steinman, M.D.(2)(3)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2020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our audit committee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Member of our compensation committee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Member of our nominating and corporate governance committee</w:t>
      </w:r>
    </w:p>
    <w:p>
      <w:pPr>
        <w:pStyle w:val="TextBody"/>
        <w:bidi w:val="0"/>
        <w:spacing w:before="240" w:after="283"/>
        <w:jc w:val="left"/>
        <w:rPr>
          <w:rFonts w:ascii="Times New Roman" w:hAnsi="Times New Roman"/>
          <w:sz w:val="20"/>
        </w:rPr>
      </w:pPr>
      <w:r>
        <w:rPr>
          <w:rFonts w:ascii="Times New Roman" w:hAnsi="Times New Roman"/>
          <w:b/>
          <w:color w:val="000000"/>
          <w:sz w:val="20"/>
        </w:rPr>
        <w:t>Sylvia McBrinn</w:t>
      </w:r>
      <w:r>
        <w:rPr>
          <w:rFonts w:ascii="Times New Roman" w:hAnsi="Times New Roman"/>
          <w:color w:val="000000"/>
          <w:sz w:val="20"/>
        </w:rPr>
        <w:t xml:space="preserve"> has more than 30 years of executive, operational and commercial leadership experience in the biopharmaceutical industry. Ms. McBrinn currently serves in various advisory roles, including as Entrepreneur in Residence at Yale University since March 2021, Strategic Advisor to Propel Bio Partners, a venture capital fund, since March 2022, and Member of the Life Science Council of Springboard Enterprises, a nonprofit organization whose mission is to accelerate the growth of entrepreneurial companies led by women, since 2014. Ms. McBrinn cofounded and was Chief Executive Officer of Axerion Therapeutics, Inc. (now known as ReNetX Bio, Inc.), a biotech company, from 2009 to 2012. Prior to that, from 2005 to 2008, she served as Head, U.S. Organization of Vernalis Pharmaceuticals, Inc., a biotechnology company, where she built and led its U.S. commercial organization, and from 2003 to 2004, she served as Executive Vice President and General Manager, Brand Pharmaceuticals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Andrx Laboratories, Inc., where she was responsible for leading its branded product division. Ms. McBrinn also held various positions at Pharmacia Corporation, a pharmaceutical company, from 1986 until it was acquired by Pfizer Inc. in 2003, including Vice President, Global and US Marketing, Bextra (Cox-2) from 2000 to 2003, Vice President, Global and US Marketing, Neurology from 1998 to 2000 and Vice President, Marketing, U.S. Marketing Company from 1997 to 1998. Ms. McBrinn received her B.S. in Biology from DeSales University and MBA from Widener University.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believes Ms. McBrinn’s extensive experience in the biopharmaceutical industry, including her experience in the commercialization and marketing of biopharma products across many therapeutic areas, as well as her expertise in commercial planning, marketing development, product launch and building commercial organizations, provide her with the qualifications and skills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Mary Ann Gray, Ph.D. </w:t>
      </w:r>
      <w:r>
        <w:rPr>
          <w:rFonts w:ascii="Times New Roman" w:hAnsi="Times New Roman"/>
          <w:color w:val="000000"/>
          <w:sz w:val="20"/>
        </w:rPr>
        <w:t>has been a board member of public biotechnology companies for over 15 years and has held positions of audit committee chair, compensation committee chair and lead independent director. She has served on the boards of Keros Therapeutics, Inc. since December 2020 and Compass Therapeutics, Inc. since April 2022. She also served on the boards of RAPT Therapeutics, Inc. from December 2019 to March 2026 and Palisade Bio, Inc. (formerly Seneca Biopharmaceuticals, Inc.) from April 2021 to March 2024. During her career as a board member, she has also served on several other boards including Dyax Corp. from November 2004 until January 2016, Juniper Pharmaceuticals from April 2016 to August 2018, Sarepta Therapeutics Inc. from December 2018 to June 2022, Senomyx from 2010 to December 2018, Galena Biopharma from April 2016 to December 2017, TetraLogic from November 2014 to November 2016 and Acadia Pharmaceuticals from 2005 to June 2016. Dr. Gray has been President of Gray Strategic Advisors, LLC since April 2004, a biotechnology strategic planning and advisory firm. Following an early career as a research scientist, she spent time in scientific positions at biotech and pharmaceutical companies. This was followed by over 7 years as a sell-side research analyst and over 4 years as a portfolio manager at the Federated Kaufmann Fund. Dr. Gray holds a B.S. in biology from University of South Carolina, a Ph.D. in pharmacology from the University of Vermont, and completed her post-doctoral work at Northwestern University Medical School and at the Yale University School of Medicine.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believes Dr. Gray’s expertise and experience in the life sciences industry, her experience as a director of other companies in our industry and her educational background provide her with the qualifications and skills to serve on our board of directors.</w:t>
      </w:r>
    </w:p>
    <w:p>
      <w:pPr>
        <w:pStyle w:val="TextBody"/>
        <w:bidi w:val="0"/>
        <w:spacing w:before="240" w:after="283"/>
        <w:jc w:val="left"/>
        <w:rPr>
          <w:rFonts w:ascii="Times New Roman" w:hAnsi="Times New Roman"/>
          <w:sz w:val="20"/>
        </w:rPr>
      </w:pPr>
      <w:r>
        <w:rPr>
          <w:rFonts w:ascii="Times New Roman" w:hAnsi="Times New Roman"/>
          <w:b/>
          <w:color w:val="000000"/>
          <w:sz w:val="20"/>
        </w:rPr>
        <w:t>Susan Moran, M.D., M.S.C.E.</w:t>
      </w:r>
      <w:r>
        <w:rPr>
          <w:rFonts w:ascii="Times New Roman" w:hAnsi="Times New Roman"/>
          <w:color w:val="000000"/>
          <w:sz w:val="20"/>
        </w:rPr>
        <w:t xml:space="preserve"> has over 20 years of industry and academic experience, successfully leading programs through IND clearance to full regulatory approval. Dr. Moran has served on the board of directors of Tyra Biosciences, Inc. (Nasdaq: TYRA) since May 2024 and Crescent Biopharma since November 2024. From July 2021 to May 2024, Dr. Moran served as Chief Medical Officer of RayzeBio, Inc., a radiopharmaceutical therapeutics company previously listed on Nasdaq that was acquired by Bristol-Myers Squibb in February 2024. Prior to joining RayzeBio, Dr. Moran served as Chief Medical Officer at QED Therapeutics, Inc., a biotechnology company and subsidiary of BridgeBio Pharma, Inc. (Nasdaq: BBIO) from March 2018 to June 2021, where she oversaw clinical development of infigratinib, leading to approval of Truseltiq</w:t>
      </w:r>
      <w:r>
        <w:rPr>
          <w:rFonts w:ascii="Times New Roman" w:hAnsi="Times New Roman"/>
          <w:color w:val="000000"/>
          <w:sz w:val="13"/>
        </w:rPr>
        <w:t>TM</w:t>
      </w:r>
      <w:r>
        <w:rPr>
          <w:rFonts w:ascii="Times New Roman" w:hAnsi="Times New Roman"/>
          <w:color w:val="000000"/>
          <w:sz w:val="20"/>
        </w:rPr>
        <w:t>. Prior to QED, Dr. Moran was at Puma Biotechnology, Inc. from 2014 to February 2018, contributing to the approval of Nerylnx®. She was Senior Medical Director until December 2016 when her role expanded to Vice President and Head of Clinical Development. Dr. Moran has played roles in the development, registration, and post-marketing support of products for breast, prostate, thyroid, bile duct, urothelial, lung, and neuroendocrine cancer, as well as multiple sclerosis, achondroplasia, and other disorders. She is a board-certified internist and has served on the faculty of the University of Pennsylvania School of Medicine and Harvard Medical School. Dr. Moran received her B.A. from the University of Virginia, M.D. from Duke University, and M.S. in Clinical Epidemiology from the University of Pennsylvania School of Medicine.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board of directors believes Dr. Moran’s expertise and experience in the life sciences industry and her educational background provide her with the qualifications and skills to serve on our board of directors.</w:t>
      </w:r>
    </w:p>
    <w:p>
      <w:pPr>
        <w:pStyle w:val="TextBody"/>
        <w:bidi w:val="0"/>
        <w:spacing w:before="0" w:after="240"/>
        <w:jc w:val="left"/>
        <w:rPr>
          <w:rFonts w:ascii="Times New Roman" w:hAnsi="Times New Roman"/>
          <w:sz w:val="20"/>
        </w:rPr>
      </w:pPr>
      <w:r>
        <w:rPr>
          <w:rFonts w:ascii="Times New Roman" w:hAnsi="Times New Roman"/>
          <w:b/>
          <w:color w:val="000000"/>
          <w:sz w:val="20"/>
        </w:rPr>
        <w:t>Lawrence Steinman, M.D.</w:t>
      </w:r>
      <w:r>
        <w:rPr>
          <w:rFonts w:ascii="Times New Roman" w:hAnsi="Times New Roman"/>
          <w:color w:val="000000"/>
          <w:sz w:val="20"/>
        </w:rPr>
        <w:t xml:space="preserve"> is a professor of neurology and neurological sciences, pediatrics and genetics at Stanford University, where he has been a professor since 1980. Dr. Steinman’s research focuses on the causes of relapses and remissions in multiple sclerosis, or MS, the molecules that serve as a constraint on brain inflammation and the search for vaccines for autoimmune diseases. To date, Dr. Steinman has developed two antigen-specific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therapies, using DNA vaccines, for MS and type 1 diabetes. Specifically, research in Dr. Steinman’s laboratory led to the development of the drug Tysabri (natalizumab), which is used to treat patients with Crohn’s Disease. He has received a host of awards for his research and has been elected to the National Academy of Sciences and the National Academy of Medicine. Since August 2020, Dr. Steinman has served as the non-employee Executive Chairman of the board of Pasithea Therapeutics Corp., a biotech company he co-founded in 2020. From November 2020 until May 2024, Dr. Steinman has served as the non-employee Executive Chairman of the board of 180 Life Sciences Corp., a biotech company he co-founded in 2013. Prior to starting his position as the non-employee Executive Chairman of 180 Life Sciences Corp., Dr. Steinman served as Co-Chairman. Dr. Steinman also served as a member of the board of directors of 180 Life Sciences Corp. from 2019 to August 2025. Dr. Steinman served as a member of the advisory board of BioAtla, LLC from April 2016 to July 2020 and served as a scientific advisor to BioAtla, LLC from April 2014 to May 2016. Dr. Steinman also served on the board of directors of Atreca, Inc., a biotechnology company focusing on developing novel therapeutics for applications in cancer treatment from January 2012 to August 2019. Dr. Steinman received his B.A. from Dartmouth College and his M.D. from Harvard University.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believes Dr. Steinman’s extensive scientific research and experience as a director of various biotechnology companies, combined with his world-renowned expertise in biological molecules and immunology, provide him with the qualifications and skills to serve on our board of directors.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Family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family relationships among our directors and executive officers.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Director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Director Compensation Table</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The following table provides information concerning compensation awarded to, earned by and paid to each person who served as a non-employee member of our Board of Directors during the fiscal year ended December 31, 2025. </w:t>
      </w:r>
    </w:p>
    <w:p>
      <w:pPr>
        <w:pStyle w:val="TextBody"/>
        <w:bidi w:val="0"/>
        <w:jc w:val="left"/>
        <w:rPr/>
      </w:pPr>
      <w:r>
        <w:rPr/>
        <w:t> </w:t>
      </w:r>
    </w:p>
    <w:tbl>
      <w:tblPr>
        <w:tblW w:w="8559" w:type="dxa"/>
        <w:jc w:val="left"/>
        <w:tblInd w:w="0" w:type="dxa"/>
        <w:tblLayout w:type="fixed"/>
        <w:tblCellMar>
          <w:top w:w="28" w:type="dxa"/>
          <w:left w:w="28" w:type="dxa"/>
          <w:bottom w:w="28" w:type="dxa"/>
          <w:right w:w="28" w:type="dxa"/>
        </w:tblCellMar>
      </w:tblPr>
      <w:tblGrid>
        <w:gridCol w:w="2306"/>
        <w:gridCol w:w="146"/>
        <w:gridCol w:w="466"/>
        <w:gridCol w:w="2159"/>
        <w:gridCol w:w="146"/>
        <w:gridCol w:w="146"/>
        <w:gridCol w:w="363"/>
        <w:gridCol w:w="1422"/>
        <w:gridCol w:w="146"/>
        <w:gridCol w:w="146"/>
        <w:gridCol w:w="146"/>
        <w:gridCol w:w="676"/>
        <w:gridCol w:w="29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Lawrence Steinman,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Susan Moran,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Mary Ann Gray,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Sylvia McBrinn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Scott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Edward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Dr. Short is not included in this table because he was employed as our Chief Executive Officer and received no compensation for his service as a director in fiscal year 2025.</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 xml:space="preserve">Our non-employee directors received an annual retainer fee plus any additional annual fees due for service on our committees in the amounts described under “Non-Employee Director Compensation Arrangements.” </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On June 18, 2025, Messrs. Smith, Steinman and Williams and Mses. Moran, Gray, and McBrinn were each granted 23,500 restricted stock units (“RSUs”), pursuant to the Company’s 2020 Equity Incentive Plan, which vest on the earlier of the one-year anniversary of the grant date or the day before the next annual meeting of stockholders, subject to the director’s continued service through such vesting date.</w:t>
      </w:r>
    </w:p>
    <w:p>
      <w:pPr>
        <w:pStyle w:val="TextBody"/>
        <w:bidi w:val="0"/>
        <w:spacing w:before="0" w:after="168"/>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168"/>
        <w:jc w:val="left"/>
        <w:rPr>
          <w:rFonts w:ascii="Times New Roman" w:hAnsi="Times New Roman"/>
          <w:color w:val="000000"/>
          <w:sz w:val="16"/>
        </w:rPr>
      </w:pPr>
      <w:r>
        <w:rPr>
          <w:rFonts w:ascii="Times New Roman" w:hAnsi="Times New Roman"/>
          <w:color w:val="000000"/>
          <w:sz w:val="16"/>
        </w:rPr>
        <w:t>Our non-employee directors who served in 2025 held the following number of unexercised stock options and unvested RSUs as of December 31, 2025. Dr. Short is omitted from this table as his outstanding equity is reflected in “Executive Compensation—Outstanding Equity Awards Table”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7520" w:type="dxa"/>
        <w:jc w:val="left"/>
        <w:tblInd w:w="0" w:type="dxa"/>
        <w:tblLayout w:type="fixed"/>
        <w:tblCellMar>
          <w:top w:w="28" w:type="dxa"/>
          <w:left w:w="28" w:type="dxa"/>
          <w:bottom w:w="28" w:type="dxa"/>
          <w:right w:w="28" w:type="dxa"/>
        </w:tblCellMar>
      </w:tblPr>
      <w:tblGrid>
        <w:gridCol w:w="2306"/>
        <w:gridCol w:w="146"/>
        <w:gridCol w:w="403"/>
        <w:gridCol w:w="1667"/>
        <w:gridCol w:w="146"/>
        <w:gridCol w:w="146"/>
        <w:gridCol w:w="675"/>
        <w:gridCol w:w="1740"/>
        <w:gridCol w:w="29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Unvested Restricted Stock Units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Lawrence Steinman,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Susan Moran,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Mary Ann Gray,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Sylvia McBrinn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Scott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Edward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Non-Employee Director Compensation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non-employee director compensation program which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non-employee director compensation policy, as amended and restated in June 2024, provides that each non-employee director will receive the following compensation for service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cash retainer of $40,000;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cash retainer of $25,000 for a non-employee director’s service as lead independent director;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annual cash retainer of $7,500, $5,000 and $4,000 for service as a member of each of the Audit Committee, Compensation Committee and the Nominating and Corporate Governance Committee,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annual cash retainer of $15,000, $10,000 and $8,000 for service as chairman of the Audit Committee, Compensation Committee and the Nominating and Corporate Governance Committee,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non-employee directors are eligible to receive such equity awards under the Company’s 2020 Equity Incentive Plan, as amended, as may be approved from time to time by our Board of Directors subject to the recommendations of the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reimburse our directors for their reasonable out-of-pocket travel expenses in connection with attending meetings of our Board of Directors and committees.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Director 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instituted the following stock ownership guidelines for its non-employee directors to better align our directors’ interests with those of our stockholders. Director guidelines are determined as a multiple of the annual cash retainer for board membership. The director guidelines are established as three times the director’s annual cash retainer. The guideline ownership must be obtained within five years. Director ownership is evaluated annually as of December 31 using the highest closing price of the Company’s common stock in the fiscal year of evaluation. Shares that count toward meeting the stock ownership guidelines include shares owned directly, full value awards (e.g., RSUs), vested stock options (spread value) and shares owned directly by the director's spouse, dependent children and/or trust. For fiscal year 2025, all our non-employee directors have satisfied their ownership requirement.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jc w:val="center"/>
        <w:rPr>
          <w:rFonts w:ascii="Times New Roman" w:hAnsi="Times New Roman"/>
          <w:caps/>
          <w:color w:val="000000"/>
          <w:sz w:val="20"/>
        </w:rPr>
      </w:pPr>
      <w:bookmarkStart w:id="9" w:name="proposal_two_ratification"/>
      <w:bookmarkEnd w:id="9"/>
      <w:r>
        <w:rPr>
          <w:rFonts w:ascii="Times New Roman" w:hAnsi="Times New Roman"/>
          <w:caps/>
          <w:color w:val="000000"/>
          <w:sz w:val="20"/>
        </w:rPr>
        <w:t>PROPOSAL TWO: RATIFICATION OF APPOINTMENT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has selected Ernst &amp; Young LLP as our independent registered public accounting firm to perform the audit of our financial statements for the fiscal year ending December 31, 2026 and recommends that our stockholders vote for the ratification of such selection. The ratification of the selection of Ernst &amp; Young LLP as our independent registered public accounting firm for the fiscal year ending December 31, 2026 requires the affirmative vote of a majority of the number of votes cast “FOR” and “AGAINST” the proposal. In the event that Ernst &amp; Young LLP is not ratified by our stockholders, the audit committee will review its future selection of Ernst &amp; Young LLP as our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Ernst &amp; Young LLP audited our financial statements for the fiscal year ended December 31, 2025. Representatives of Ernst &amp; Young LLP are expected to be present at the Annual Meeting and they will be given an opportunity to make a statement at the Annual Meeting if they desire to do so, and will be available to respond to appropriate questions.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Independent Registered Public Accounting Firm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review the services and fees from our independent registered public accounting firm. These services and fees are also reviewed with our audit committee annually. The following table provides information regarding the fees billed for professional services rendered by Ernst &amp; Young LLP, our independent registered public accounting firm, for the fiscal years ended December 31, 2025 and 2024:</w:t>
      </w:r>
    </w:p>
    <w:p>
      <w:pPr>
        <w:pStyle w:val="TextBody"/>
        <w:bidi w:val="0"/>
        <w:jc w:val="left"/>
        <w:rPr/>
      </w:pPr>
      <w:r>
        <w:rPr/>
        <w:t> </w:t>
      </w:r>
    </w:p>
    <w:tbl>
      <w:tblPr>
        <w:tblW w:w="4691" w:type="dxa"/>
        <w:jc w:val="left"/>
        <w:tblInd w:w="0" w:type="dxa"/>
        <w:tblLayout w:type="fixed"/>
        <w:tblCellMar>
          <w:top w:w="28" w:type="dxa"/>
          <w:left w:w="28" w:type="dxa"/>
          <w:bottom w:w="28" w:type="dxa"/>
          <w:right w:w="28" w:type="dxa"/>
        </w:tblCellMar>
      </w:tblPr>
      <w:tblGrid>
        <w:gridCol w:w="1786"/>
        <w:gridCol w:w="146"/>
        <w:gridCol w:w="211"/>
        <w:gridCol w:w="146"/>
        <w:gridCol w:w="781"/>
        <w:gridCol w:w="146"/>
        <w:gridCol w:w="146"/>
        <w:gridCol w:w="211"/>
        <w:gridCol w:w="146"/>
        <w:gridCol w:w="78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Consists of fees rendered in connection with the audit of our financial statements, including audited financial statements presented in our Annual Report on Form 10-K and review of the interim financial statements and services normally provided in connection with regulatory filings. Audit fees in 2025 and 2024 include fees related to the audit of our financial statements and professional services performed in connection with our registration statements.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Consists of fees for assurance and related services that are reasonably related to the performance of audits or reviews of our financial statements and were not reported above under "Audit fees." No such fees were incurred in fiscal year 2025 and fiscal year 2024.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Consists of fees billed for professional services for tax compliance, tax advice and tax planning. These services include assistance regarding federal, state and international tax compliance, as well as technical tax advice related to federal and state income tax matters, assistance with sales tax and assistance with tax audits.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 xml:space="preserve">Consists of fees for all other professional services other than those reported above. No such fees were incurred in fiscal year 2025 and fiscal year 2024.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Policy on Audit Committee Pre-Approval of Audit and Permissible Non-Audit Services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services relating to the fees described in the table above for 2025 were approved by our audit committee.</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OUR BOARD OF DIRECTORS RECOMMENDS A VOTE “FOR” APPROVAL OF PROPOSAL TWO.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spacing w:before="160" w:after="283"/>
        <w:jc w:val="center"/>
        <w:rPr>
          <w:rFonts w:ascii="Times New Roman" w:hAnsi="Times New Roman"/>
          <w:caps/>
          <w:color w:val="000000"/>
          <w:sz w:val="20"/>
        </w:rPr>
      </w:pPr>
      <w:bookmarkStart w:id="10" w:name="proposal_three_non_binding"/>
      <w:bookmarkEnd w:id="10"/>
      <w:r>
        <w:rPr>
          <w:rFonts w:ascii="Times New Roman" w:hAnsi="Times New Roman"/>
          <w:caps/>
          <w:color w:val="000000"/>
          <w:sz w:val="20"/>
        </w:rPr>
        <w:t>PROPOSAL THREE: NON-BINDING ADVISORY VOTE ON THE EXECUTIVE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compensation programs are designed to provide long-term and currently-paid compensation and cash and non-cash compensation for our executive officers in order to align the compensation of our executive officers with our performance on a short-term and long-term basis. This proposal provides stockholders with the opportunity to cast a non-binding, advisory vote on the Company’s executive compensation practices and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our stockholders recommended that the non-binding, advisory vote on executive compensation be held every year. Accordingly, we have included this proposal for consideration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should consider the compensation programs and their implementation, including the section entitled “Executive Compensation,” the compensation tables and any other executive compensation disclosure below, and cast a non-binding, advisory vote either to endorse or not endorse our executive compensation programs through the following resolution:</w:t>
      </w:r>
    </w:p>
    <w:p>
      <w:pPr>
        <w:pStyle w:val="TextBody"/>
        <w:bidi w:val="0"/>
        <w:spacing w:before="240" w:after="283"/>
        <w:jc w:val="left"/>
        <w:rPr>
          <w:color w:val="000000"/>
        </w:rPr>
      </w:pPr>
      <w:r>
        <w:rPr>
          <w:color w:val="000000"/>
        </w:rPr>
        <w:t>“</w:t>
      </w:r>
      <w:r>
        <w:rPr>
          <w:rFonts w:ascii="Times New Roman" w:hAnsi="Times New Roman"/>
          <w:color w:val="000000"/>
          <w:sz w:val="20"/>
        </w:rPr>
        <w:t>RESOLVED: That the compensation paid to the Company’s named executive officers in 2025, as disclosed pursuant to Item 402 of Regulation S-K, including the Compensation Overview, compensation tables, and narrative discussion is hereby approved by the stockholders of the Company, on a non-binding, advisory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vote is being provided pursuant to Section 14A of the Exchange Act. While the vote does not bind our board of directors to any particular action, the board of directors and the compensation committee thereof expects to take into account the outcome of this vote in considering future compensation programs. The next advisory vote on our executive compensation will be at the 2027 Annual Meeting.</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OUR BOARD OF DIRECTORS RECOMMENDS A VOTE "FOR" APPROVAL OF proposal three.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center"/>
        <w:rPr>
          <w:rFonts w:ascii="Times New Roman" w:hAnsi="Times New Roman"/>
          <w:b/>
          <w:caps/>
          <w:color w:val="000000"/>
          <w:sz w:val="20"/>
        </w:rPr>
      </w:pPr>
      <w:bookmarkStart w:id="11" w:name="ownership_of_beneficial_owners"/>
      <w:bookmarkEnd w:id="11"/>
      <w:r>
        <w:rPr>
          <w:rFonts w:ascii="Times New Roman" w:hAnsi="Times New Roman"/>
          <w:b/>
          <w:caps/>
          <w:color w:val="000000"/>
          <w:sz w:val="20"/>
        </w:rPr>
        <w:t>SECURITY OWNERSHIP OF CERTAIN BENEFICIAL OWNERS AND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common stock as of May 18, 2026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stockholder known by us to be the beneficial owner of more than 5%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 and 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May 18, 2026 and shares issuable upon the settlement of RSUs that will vest within 60 days of May 18, 2026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Percentage ownership of our common stock is based on 1,659,554 shares of our common stock outstanding and 0 shares of Class B common stock outstanding on May 18, 2026. Unless otherwise indicated, the address of each of the individuals and entities named below is c/o BioAtla, Inc., 11085 Torreyana Road, San Diego, California 92121.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7"/>
        <w:gridCol w:w="146"/>
        <w:gridCol w:w="2623"/>
        <w:gridCol w:w="146"/>
        <w:gridCol w:w="2903"/>
      </w:tblGrid>
      <w:tr>
        <w:trPr/>
        <w:tc>
          <w:tcPr>
            <w:tcW w:w="4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4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 Owned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Shares Beneficially Owned (%)</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Highbridge Capital Management, LLC(1)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Anson Funds Management LP(2)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Acorn Bioventures, L.P.(3)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Ann Gray, Ph.D.(4)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Sylvia McBrinn(5)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Moran, M.D.(6)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Sievers, M.D.(7)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Smith(9)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Lawrence Steinman, M.D.(10)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A. Waldron(11)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Williams(12)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All executive officers and directors as a group (10 persons)(13)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r>
    </w:tbl>
    <w:p>
      <w:pPr>
        <w:pStyle w:val="TextBody"/>
        <w:bidi w:val="0"/>
        <w:jc w:val="left"/>
        <w:rPr/>
      </w:pPr>
      <w:r>
        <w:rPr/>
        <w:t> </w:t>
      </w:r>
    </w:p>
    <w:p>
      <w:pPr>
        <w:pStyle w:val="TextBody"/>
        <w:bidi w:val="0"/>
        <w:spacing w:before="0" w:after="240"/>
        <w:jc w:val="left"/>
        <w:rPr>
          <w:rFonts w:ascii="Times New Roman" w:hAnsi="Times New Roman"/>
          <w:color w:val="000000"/>
          <w:sz w:val="16"/>
        </w:rPr>
      </w:pPr>
      <w:r>
        <w:rPr>
          <w:rFonts w:ascii="Times New Roman" w:hAnsi="Times New Roman"/>
          <w:color w:val="000000"/>
          <w:sz w:val="16"/>
        </w:rPr>
        <w:t>* Represents beneficial ownership of less than one percent of the outstanding shares of our common stock.</w:t>
      </w:r>
    </w:p>
    <w:p>
      <w:pPr>
        <w:pStyle w:val="TextBody"/>
        <w:bidi w:val="0"/>
        <w:spacing w:before="0" w:after="24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Based on information contained in a Schedule 13G filed with the SEC on April 25, 2025. The amount of common stock beneficially owned consists of 96,970 shares of common stock issuable upon the exercise of warrants exercisable within 60 days of May 18,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277 Park Avenue, 23rd Floor, New York, New York 10172.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information provided by Anson Funds Management L.P. The amount of common stock beneficially owned consists of 96,971 shares of common stock issuable upon the exercise of warrants exercisable within 60 days of May 18,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Maples Corporate Services Limited, PO Box 309, Ugland House, Grand Cayman, KY1-1104, Cayman Islands.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information contained in a Schedule 13G/A filed with the SEC on May 20, 2025, consisting of (i) 43,244 shares of common stock held by Acorn Bioventures, L.P. ("Acorn") and (ii) 53,458 shares of common stock held by Acorn Bioventures 2, L.P. ("Acorn 2"). Acorn Capital Advisors GP, LLC ("Acorn GP") is the sole general partner of Acorn and may be deemed to beneficially own the shares of common stock beneficially owned by Acorn. Acorn Capital Advisors GP 2, LLC ("Acorn GP 2") is the sole general partner of Acorn 2 and may be deemed to beneficially own the shares of common stock beneficially owned by Acorn 2. Anders Hove is the manager of Acorn GP and Acorn GP 2 and may be deemed to beneficially own the shares of common stock beneficially owned by Acorn and Acorn 2. The address of these entities and Mr. Hove is 420 Lexington Avenue, Suite 2626, New York, New York 10170.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1,646 shares of common stock that are subject to options vested as of May 18, 2026 and (ii) 470 shares of common stock that are issuable upon vesting of restricted stock units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1,891 shares of common stock that are subject to options vested as of May 18, 2026 and (ii) 470 shares of common stock that are issuable upon vesting of restricted stock units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1,646 shares of common stock that are subject to options vested as of May 18, 2026 and (ii) 470 shares of common stock that are issuable upon vesting of restricted stock units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7,789 shares of common stock that are subject to options vested as of May 18, 2026, (ii) 372 shares of common stock that are issuable upon vesting of restricted stock units within 60 days of May 18, 2026 and (iii) 200 shares of common stock that are issuable upon exercise of outstanding options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56,547 shares held by Dr. Short, which includes (a) 20,819 shares of common stock that are subject to options vested as of May 18, 2026, (b) 1,060 shares of common stock that are issuable upon vesting of restricted stock units within 60 days of May 18, 2026 and (c) 708 shares of common stock that are issuable upon exercise of outstanding options within 60 days of May 18, 2026; (ii) 5,174 shares held by Jay M. Short 2020 Irrevocable Gift Trust, which Dr. Short is the trustee of and holds sole voting and dispositive power with respect to the shares; (iii) 15,870 shares held by Dr. Short’s spouse, as to which Dr. Short disclaims beneficial ownership, except to the extent of his pecuniary interest therein, if any; (iv) 5,174 shares held by Carolyn Short 2020 Irrevocable Gift Trust, as to which Dr. Short disclaims beneficial ownership, except to the extent of his pecuniary interest therein, if any; (v) 6,046 shares held by Capia IP, LLC, which Dr. Short’s spouse is the managing member of and as to which Dr. Short disclaims beneficial ownership, except to the extent of his pecuniary interest therein; and (vi) 1 share held by Himalaya Parent LLC, which Dr. Short and Dr. Short’s spouse are the managers of and as to which Dr. Short disclaims beneficial ownership of except to the extent of his pecuniary interest therein.</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13,762 shares of common stock that are subject to options vested as of May 18, 2026, (ii) 470 shares of common stock that are issuable upon vesting of restricted stock units within 60 days of May 18, 2026 and (iii) 292 shares of common stock that are issuable upon exercise of outstanding options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1,646 shares of common stock that are that are subject to options vested as of May 18, 2026 and (ii) 470 shares of common stock that are issuable upon vesting of restricted stock units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6,075 shares of common stock that are subject to options vested as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1,900 shares of common stock that are subject to options vested as of May 18, 2026 and (ii) 470 shares of common stock that are issuable upon vesting of restricted stock units within 60 days of May 18,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(i) 60,379 shares of common stock that are that are subject to options vested as of May 18, 2026, (ii) 4,447 shares of common stock that are issuable upon vesting of restricted stock units within 60 days of May 18, 2026 and (iii) 1,312 shares of common stock that are issuable upon exercise of outstanding options within 60 days of May 18, 2026 held by all our executive officers and directors as a group.</w:t>
      </w:r>
    </w:p>
    <w:p>
      <w:pPr>
        <w:pStyle w:val="Heading1"/>
        <w:bidi w:val="0"/>
        <w:spacing w:before="240" w:after="283"/>
        <w:jc w:val="center"/>
        <w:rPr>
          <w:rFonts w:ascii="Times New Roman" w:hAnsi="Times New Roman"/>
          <w:caps/>
          <w:color w:val="000000"/>
          <w:sz w:val="20"/>
        </w:rPr>
      </w:pPr>
      <w:bookmarkStart w:id="12" w:name="executive_officers"/>
      <w:bookmarkEnd w:id="12"/>
      <w:r>
        <w:rPr>
          <w:rFonts w:ascii="Times New Roman" w:hAnsi="Times New Roman"/>
          <w:caps/>
          <w:color w:val="000000"/>
          <w:sz w:val="20"/>
        </w:rPr>
        <w:t>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and their ages as of May 18, 2026 and positions with BioAtla are provided in the table below and in the additional biographical descriptions set forth in the text below the table.</w:t>
      </w:r>
    </w:p>
    <w:p>
      <w:pPr>
        <w:pStyle w:val="TextBody"/>
        <w:bidi w:val="0"/>
        <w:jc w:val="left"/>
        <w:rPr/>
      </w:pPr>
      <w:r>
        <w:rPr/>
        <w:t> </w:t>
      </w:r>
    </w:p>
    <w:tbl>
      <w:tblPr>
        <w:tblW w:w="6685" w:type="dxa"/>
        <w:jc w:val="left"/>
        <w:tblInd w:w="0" w:type="dxa"/>
        <w:tblLayout w:type="fixed"/>
        <w:tblCellMar>
          <w:top w:w="28" w:type="dxa"/>
          <w:left w:w="28" w:type="dxa"/>
          <w:bottom w:w="28" w:type="dxa"/>
          <w:right w:w="28" w:type="dxa"/>
        </w:tblCellMar>
      </w:tblPr>
      <w:tblGrid>
        <w:gridCol w:w="1666"/>
        <w:gridCol w:w="146"/>
        <w:gridCol w:w="391"/>
        <w:gridCol w:w="146"/>
        <w:gridCol w:w="433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Co-founder, Chief Executive Officer and Chairman</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Vasquez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Medical Officer</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chooses our executive officers, who then serve at the discretion of our board of directors.</w:t>
      </w:r>
    </w:p>
    <w:p>
      <w:pPr>
        <w:pStyle w:val="TextBody"/>
        <w:bidi w:val="0"/>
        <w:spacing w:before="200" w:after="283"/>
        <w:jc w:val="left"/>
        <w:rPr>
          <w:rFonts w:ascii="Times New Roman" w:hAnsi="Times New Roman"/>
          <w:sz w:val="20"/>
        </w:rPr>
      </w:pPr>
      <w:r>
        <w:rPr>
          <w:rFonts w:ascii="Times New Roman" w:hAnsi="Times New Roman"/>
          <w:b/>
          <w:color w:val="000000"/>
          <w:sz w:val="20"/>
        </w:rPr>
        <w:t>Jay M. Short, Ph.D.</w:t>
      </w:r>
      <w:r>
        <w:rPr>
          <w:rFonts w:ascii="Times New Roman" w:hAnsi="Times New Roman"/>
          <w:color w:val="000000"/>
          <w:sz w:val="20"/>
        </w:rPr>
        <w:t xml:space="preserve"> </w:t>
      </w:r>
      <w:r>
        <w:rPr>
          <w:rFonts w:ascii="Times New Roman" w:hAnsi="Times New Roman"/>
          <w:i/>
          <w:color w:val="000000"/>
          <w:sz w:val="20"/>
        </w:rPr>
        <w:t>For a brief biography of Dr. Short, please see “Proposal One: Election of Directors— Nominees to Our Board of Directors.”</w:t>
      </w:r>
    </w:p>
    <w:p>
      <w:pPr>
        <w:pStyle w:val="TextBody"/>
        <w:bidi w:val="0"/>
        <w:spacing w:before="200" w:after="283"/>
        <w:jc w:val="left"/>
        <w:rPr>
          <w:rFonts w:ascii="Times New Roman" w:hAnsi="Times New Roman"/>
          <w:sz w:val="20"/>
        </w:rPr>
      </w:pPr>
      <w:r>
        <w:rPr>
          <w:rFonts w:ascii="Times New Roman" w:hAnsi="Times New Roman"/>
          <w:b/>
          <w:color w:val="000000"/>
          <w:sz w:val="20"/>
        </w:rPr>
        <w:t>Christian Vasquez</w:t>
      </w:r>
      <w:r>
        <w:rPr>
          <w:rFonts w:ascii="Times New Roman" w:hAnsi="Times New Roman"/>
          <w:color w:val="000000"/>
          <w:sz w:val="20"/>
        </w:rPr>
        <w:t xml:space="preserve"> has served as the Chief Financial Officer of BioAtla since 2026, as Chief Accounting Officer, Controller and Corporate Secretary of BioAtla since 2024, as Corporate Controller of BioAtla from 2015 to 2024, as Vice President of Finance and Secretary of BioAtla from 2020 to 2024 and as Senior Vice President of Finance of BioAtla from 2023 to 2024. Mr. Vasquez has over 20 years of finance and business experience working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with both public and private companies. Prior to joining BioAtla, he spent seven years at Cricket Communications, from October 2008 to October 2015, through its acquisition by AT&amp;T, where his leadership role expanded to Associate Director of Accounting. He began his career with KPMG in their San Diego office’s audit practice. Mr. Vasquez received his BS degree in Accountancy from San Diego State University and is a Certified Public Accountant in the state of California. </w:t>
      </w:r>
    </w:p>
    <w:p>
      <w:pPr>
        <w:pStyle w:val="TextBody"/>
        <w:bidi w:val="0"/>
        <w:spacing w:before="200" w:after="283"/>
        <w:jc w:val="left"/>
        <w:rPr>
          <w:rFonts w:ascii="Times New Roman" w:hAnsi="Times New Roman"/>
          <w:sz w:val="20"/>
        </w:rPr>
      </w:pPr>
      <w:r>
        <w:rPr>
          <w:rFonts w:ascii="Times New Roman" w:hAnsi="Times New Roman"/>
          <w:b/>
          <w:color w:val="000000"/>
          <w:sz w:val="20"/>
        </w:rPr>
        <w:t>Eric Sievers, M.D.</w:t>
      </w:r>
      <w:r>
        <w:rPr>
          <w:rFonts w:ascii="Times New Roman" w:hAnsi="Times New Roman"/>
          <w:color w:val="000000"/>
          <w:sz w:val="20"/>
        </w:rPr>
        <w:t xml:space="preserve"> has served as Chief Medical Officer of BioAtla since June 2019 and has over 25 years of clinical and translational biomedical research experience in multiple settings, including the biotechnology industry, hospital- and clinic-based clinical practice and academia. Dr. Sievers’ most recent position prior to joining us was Chief Medical Officer at Symvivo Corporation, a biotechnology company, from April 2018 to June 2019 where he continues as an advisor. He was Chief Medical Officer at Trillium Therapeutics, an immune-oncology company, from March 2015 to January 2018, where he developed clinical trial strategies and oversaw all clinical development employing a decoy receptor to block the CD47 “do not eat” signal overexpressed by cancer cells. He spent nine years at Seattle Genetics, a biotechnology company, from May 2006 to March 2015, where his leadership role expanded from Senior Medical Director to Senior Vice President of Clinical Development. At Seattle Genetics, Dr. Sievers was closely involved with the development and regulatory approval of ADCETRIS (brentuximab vedotin), an ADC, and led the clinical team and worked closely with Takeda (Millennium) as development partner to design, initiate and enroll four randomized Phase 3 registration trials for ADCETRIS, each of which ultimately resulted in new indications approved by the FDA. Prior to his career at Seattle Genetics, Dr. Sievers was Medical Director at ZymoGenetics, a biopharmaceutical company, from 2003 to May 2006 where he designed and supervised clinical trials of recombinant human interleukin 21 and TACI-Fc5 for patients with cancer and evaluated new oncology opportunities. Before ZymoGenetics, Dr. Sievers was with the Fred Hutchinson Cancer Research Center and the University of Washington for 12 years, from June 1992 to June 2003, where he attained the positions of Assistant Member and Assistant Professor of Pediatrics, respectively, from July 1999 to June 2003. During this time, he served as the lead investigator of Phase 1 and pivotal trials that resulted in the approval of an antibody drug conjugate MYLOTARG</w:t>
      </w:r>
      <w:r>
        <w:rPr>
          <w:rFonts w:ascii="Times New Roman" w:hAnsi="Times New Roman"/>
          <w:color w:val="000000"/>
          <w:sz w:val="13"/>
        </w:rPr>
        <w:t xml:space="preserve">® </w:t>
      </w:r>
      <w:r>
        <w:rPr>
          <w:rFonts w:ascii="Times New Roman" w:hAnsi="Times New Roman"/>
          <w:color w:val="000000"/>
          <w:sz w:val="20"/>
        </w:rPr>
        <w:t>indicated for patients with acute myeloid leukemia. Dr. Sievers performed his pediatrics training at the University of Washington from June 1988 to July 1991. Dr. Sievers received both his medical degree and his B.A. degree from Brown University.</w:t>
      </w:r>
    </w:p>
    <w:p>
      <w:pPr>
        <w:pStyle w:val="TextBody"/>
        <w:bidi w:val="0"/>
        <w:spacing w:before="20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jc w:val="center"/>
        <w:rPr>
          <w:rFonts w:ascii="Times New Roman" w:hAnsi="Times New Roman"/>
          <w:caps/>
          <w:color w:val="000000"/>
          <w:sz w:val="20"/>
        </w:rPr>
      </w:pPr>
      <w:bookmarkStart w:id="13" w:name="executive_compensation"/>
      <w:bookmarkEnd w:id="13"/>
      <w:r>
        <w:rPr>
          <w:rFonts w:ascii="Times New Roman" w:hAnsi="Times New Roman"/>
          <w:caps/>
          <w:color w:val="000000"/>
          <w:sz w:val="20"/>
        </w:rPr>
        <w:t>EXECUTIVE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Compensation 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compensation overview explains the strategy, design, and decision-making related to our compensation programs and practices for our named executive officers, referred to as our “NEOs.” This overview is intended to provide perspective on the information contained in the tables that follow this discussion.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fiscal year 2025, our NEOs were:</w:t>
      </w:r>
    </w:p>
    <w:p>
      <w:pPr>
        <w:pStyle w:val="TextBody"/>
        <w:bidi w:val="0"/>
        <w:jc w:val="left"/>
        <w:rPr/>
      </w:pPr>
      <w:r>
        <w:rPr/>
        <w:t> </w:t>
      </w:r>
    </w:p>
    <w:tbl>
      <w:tblPr>
        <w:tblW w:w="9043" w:type="dxa"/>
        <w:jc w:val="left"/>
        <w:tblInd w:w="0" w:type="dxa"/>
        <w:tblLayout w:type="fixed"/>
        <w:tblCellMar>
          <w:top w:w="28" w:type="dxa"/>
          <w:left w:w="28" w:type="dxa"/>
          <w:bottom w:w="28" w:type="dxa"/>
          <w:right w:w="28" w:type="dxa"/>
        </w:tblCellMar>
      </w:tblPr>
      <w:tblGrid>
        <w:gridCol w:w="1846"/>
        <w:gridCol w:w="146"/>
        <w:gridCol w:w="70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(“CEO”), Co-founder and Chairman of the Board of Directors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Fiscal Year 2025 Business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Build the Vision for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mission is to develop and commercialize innovative antibody-based therapeutics for the treatment of solid tumors that are designed to bind depending on the physical and chemical properties of tumors and their microenvironment. We believe that our proprietary technology and approach have the potential to transform cancer therapy by decreasing systemic toxicities and improving efficacy.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Say-On-Pay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2025 Annual Meeting of Stockholders, the Company’s stockholders voted to approve, on an advisory basis, the compensation of the Company’s NEOs, as described in the Company’s 2025 proxy statement. The Compensation Committee considered the voting results and feedback from stockholders and whether the program was effective in fiscal year 2025 and reflects stockholder interests. The Compensation Committee has not made any changes to the overall executive compensation program because it believes the current compensation framework, which focuses on pay for performance and long-term growth, is operating as intended. The Compensation Committee believes that the program is effectively aligning pay with individual and Company performance and properly incentivizing and retaining our NEOs in a highly competitive market. The Compensation Committee will continue to consider feedback from stockholders and to monitor trends and developments to ensure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the Company’s executive compensation programs remain competitively positioned for executive talent and aligned with the interests of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Compensation Philosophy and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highly competitive and rapidly evolving market. Our ability to compete and succeed in our market is directly correlated to our ability to recruit, incentivize, and retain talented individuals in the areas of product development, and general and administrative functions. The market for skilled personnel in the biotechnology and biopharmaceutical industries is very competitive. Our Compensation Committee believes that the most effective compensation program is designed to attract and reward talented individuals who possess the skills necessary to support our business objectives and create long-term value for our stockholders, expand our business, and assist in the achievement of our strategic goals.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Compensation Committee believes executive compensation packages provided to our executives, including the NEOs, should include both cash and stock-based compensation that achieve the following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 motivate and retain highly qualified executive officers who possess the skills and leadership necessary to grow our long-term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Reward our executives for achieving or exceeding short-term individual and company goals that drive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long-term retention and incentives to our executives that align their interests with the long-term interests of our Company and our stockholders, thereby incentivizing management to increase stockholder value;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compensation packages that are competitive, reasonable and fair relative to peers and the overall market.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Compensation Committee periodically reviews our compensation program design to ensure that it is aligned with the interests of our stockholders and our business goals, and that the total compensation paid to our employees and directors is fair, reasonable and competitive. Our Compensation Committee assesses market best practices in executive compensation to continually refine our programs, which have the following key features: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and retain key talent;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 a total compensation program that flexibly adapts to changing economic, regulatory and organizational conditions, and takes into consideration the compensation practices of peer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for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 significant portion of compensation that is at-risk and tied to our financial performance, strategic objectives or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executive interests with our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total compensation is either earned based on clinical development milestones, research and development goals, and strategic objectives, or varies based on our stock price, which contributes to value creation for our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Governance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18"/>
        <w:gridCol w:w="4687"/>
      </w:tblGrid>
      <w:tr>
        <w:trPr/>
        <w:tc>
          <w:tcPr>
            <w:tcW w:w="5518" w:type="dxa"/>
            <w:tcBorders/>
            <w:shd w:fill="FFFFFF" w:val="clear"/>
            <w:vAlign w:val="center"/>
          </w:tcPr>
          <w:p>
            <w:pPr>
              <w:pStyle w:val="TableContents"/>
              <w:bidi w:val="0"/>
              <w:spacing w:before="0" w:after="283"/>
              <w:jc w:val="left"/>
              <w:rPr>
                <w:sz w:val="4"/>
                <w:szCs w:val="4"/>
              </w:rPr>
            </w:pPr>
            <w:r>
              <w:rPr>
                <w:sz w:val="4"/>
                <w:szCs w:val="4"/>
              </w:rPr>
            </w:r>
          </w:p>
        </w:tc>
        <w:tc>
          <w:tcPr>
            <w:tcW w:w="4687" w:type="dxa"/>
            <w:tcBorders/>
            <w:shd w:fill="FFFFFF" w:val="clear"/>
            <w:vAlign w:val="center"/>
          </w:tcPr>
          <w:p>
            <w:pPr>
              <w:pStyle w:val="TableContents"/>
              <w:bidi w:val="0"/>
              <w:spacing w:before="0" w:after="283"/>
              <w:jc w:val="left"/>
              <w:rPr>
                <w:sz w:val="4"/>
                <w:szCs w:val="4"/>
              </w:rPr>
            </w:pPr>
            <w:r>
              <w:rPr>
                <w:sz w:val="4"/>
                <w:szCs w:val="4"/>
              </w:rPr>
            </w:r>
          </w:p>
        </w:tc>
      </w:tr>
      <w:tr>
        <w:trPr/>
        <w:tc>
          <w:tcPr>
            <w:tcW w:w="5518" w:type="dxa"/>
            <w:tcBorders/>
            <w:tcMar>
              <w:top w:w="0" w:type="dxa"/>
              <w:left w:w="0" w:type="dxa"/>
              <w:bottom w:w="0" w:type="dxa"/>
              <w:right w:w="0" w:type="dxa"/>
            </w:tcMar>
            <w:vAlign w:val="center"/>
          </w:tcPr>
          <w:p>
            <w:pPr>
              <w:pStyle w:val="TableContents"/>
              <w:pBdr>
                <w:bottom w:val="single" w:sz="4" w:space="1" w:color="000000"/>
              </w:pBdr>
              <w:bidi w:val="0"/>
              <w:spacing w:before="0" w:after="240"/>
              <w:jc w:val="center"/>
              <w:rPr>
                <w:rFonts w:ascii="Times New Roman" w:hAnsi="Times New Roman"/>
                <w:b/>
                <w:color w:val="000000"/>
                <w:sz w:val="20"/>
              </w:rPr>
            </w:pPr>
            <w:r>
              <w:rPr>
                <w:rFonts w:ascii="Times New Roman" w:hAnsi="Times New Roman"/>
                <w:b/>
                <w:color w:val="000000"/>
                <w:sz w:val="20"/>
              </w:rPr>
              <w:t>WHAT WE DO</w:t>
            </w:r>
          </w:p>
        </w:tc>
        <w:tc>
          <w:tcPr>
            <w:tcW w:w="4687"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430"/>
              <w:jc w:val="center"/>
              <w:rPr>
                <w:rFonts w:ascii="Times New Roman" w:hAnsi="Times New Roman"/>
                <w:b/>
                <w:color w:val="000000"/>
                <w:sz w:val="20"/>
              </w:rPr>
            </w:pPr>
            <w:r>
              <w:rPr>
                <w:rFonts w:ascii="Times New Roman" w:hAnsi="Times New Roman"/>
                <w:b/>
                <w:color w:val="000000"/>
                <w:sz w:val="20"/>
              </w:rPr>
              <w:t>WHAT WE DO NOT DO</w:t>
            </w:r>
          </w:p>
        </w:tc>
      </w:tr>
      <w:tr>
        <w:trPr/>
        <w:tc>
          <w:tcPr>
            <w:tcW w:w="5518" w:type="dxa"/>
            <w:tcBorders/>
            <w:tcMar>
              <w:top w:w="0" w:type="dxa"/>
              <w:left w:w="0" w:type="dxa"/>
              <w:bottom w:w="0" w:type="dxa"/>
              <w:right w:w="0" w:type="dxa"/>
            </w:tcMar>
            <w:vAlign w:val="center"/>
          </w:tcPr>
          <w:p>
            <w:pPr>
              <w:pStyle w:val="TableContents"/>
              <w:bidi w:val="0"/>
              <w:spacing w:before="0" w:after="283"/>
              <w:ind w:left="0" w:right="0" w:firstLine="430"/>
              <w:jc w:val="left"/>
              <w:rPr/>
            </w:pPr>
            <w:r>
              <w:rPr>
                <w:color w:val="000000"/>
              </w:rPr>
              <w:t xml:space="preserve">☑ </w:t>
            </w:r>
            <w:r>
              <w:rPr>
                <w:rFonts w:ascii="Times New Roman" w:hAnsi="Times New Roman"/>
                <w:i/>
                <w:color w:val="000000"/>
                <w:sz w:val="20"/>
              </w:rPr>
              <w:t>Link Pay for Performance</w:t>
            </w:r>
            <w:r>
              <w:rPr>
                <w:rFonts w:ascii="Times New Roman" w:hAnsi="Times New Roman"/>
                <w:color w:val="000000"/>
                <w:sz w:val="20"/>
              </w:rPr>
              <w:t xml:space="preserve">: We link pay for performance and stockholder interests by weighting compensation toward short-term cash </w:t>
            </w:r>
          </w:p>
        </w:tc>
        <w:tc>
          <w:tcPr>
            <w:tcW w:w="468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Single Trigger Acceleration</w:t>
            </w:r>
            <w:r>
              <w:rPr>
                <w:rFonts w:ascii="Times New Roman" w:hAnsi="Times New Roman"/>
                <w:color w:val="000000"/>
                <w:sz w:val="20"/>
              </w:rPr>
              <w:t>: We do not provide for “single trigger” acceleration upon a change of control.</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shd w:fill="FFFFFF" w:val="clear"/>
            <w:vAlign w:val="center"/>
          </w:tcPr>
          <w:p>
            <w:pPr>
              <w:pStyle w:val="TableContents"/>
              <w:bidi w:val="0"/>
              <w:spacing w:before="0" w:after="283"/>
              <w:jc w:val="left"/>
              <w:rPr>
                <w:sz w:val="4"/>
                <w:szCs w:val="4"/>
              </w:rPr>
            </w:pPr>
            <w:r>
              <w:rPr>
                <w:sz w:val="4"/>
                <w:szCs w:val="4"/>
              </w:rPr>
            </w:r>
          </w:p>
        </w:tc>
        <w:tc>
          <w:tcPr>
            <w:tcW w:w="4088" w:type="dxa"/>
            <w:tcBorders/>
            <w:shd w:fill="FFFFFF" w:val="clear"/>
            <w:vAlign w:val="center"/>
          </w:tcPr>
          <w:p>
            <w:pPr>
              <w:pStyle w:val="TableContents"/>
              <w:bidi w:val="0"/>
              <w:spacing w:before="0" w:after="283"/>
              <w:jc w:val="left"/>
              <w:rPr>
                <w:sz w:val="4"/>
                <w:szCs w:val="4"/>
              </w:rPr>
            </w:pPr>
            <w:r>
              <w:rPr>
                <w:sz w:val="4"/>
                <w:szCs w:val="4"/>
              </w:rPr>
            </w:r>
          </w:p>
        </w:tc>
      </w:tr>
      <w:tr>
        <w:trPr/>
        <w:tc>
          <w:tcPr>
            <w:tcW w:w="6117" w:type="dxa"/>
            <w:tcBorders/>
            <w:tcMar>
              <w:top w:w="0" w:type="dxa"/>
              <w:left w:w="0" w:type="dxa"/>
              <w:bottom w:w="0" w:type="dxa"/>
              <w:right w:w="0" w:type="dxa"/>
            </w:tcMar>
            <w:vAlign w:val="center"/>
          </w:tcPr>
          <w:p>
            <w:pPr>
              <w:pStyle w:val="TableContents"/>
              <w:pBdr>
                <w:bottom w:val="single" w:sz="4" w:space="1" w:color="000000"/>
              </w:pBdr>
              <w:bidi w:val="0"/>
              <w:spacing w:before="0" w:after="240"/>
              <w:jc w:val="center"/>
              <w:rPr>
                <w:rFonts w:ascii="Times New Roman" w:hAnsi="Times New Roman"/>
                <w:b/>
                <w:color w:val="000000"/>
                <w:sz w:val="20"/>
              </w:rPr>
            </w:pPr>
            <w:r>
              <w:rPr>
                <w:rFonts w:ascii="Times New Roman" w:hAnsi="Times New Roman"/>
                <w:b/>
                <w:color w:val="000000"/>
                <w:sz w:val="20"/>
              </w:rPr>
              <w:t>WHAT WE DO</w:t>
            </w:r>
          </w:p>
        </w:tc>
        <w:tc>
          <w:tcPr>
            <w:tcW w:w="4088"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430"/>
              <w:jc w:val="center"/>
              <w:rPr>
                <w:rFonts w:ascii="Times New Roman" w:hAnsi="Times New Roman"/>
                <w:b/>
                <w:color w:val="000000"/>
                <w:sz w:val="20"/>
              </w:rPr>
            </w:pPr>
            <w:r>
              <w:rPr>
                <w:rFonts w:ascii="Times New Roman" w:hAnsi="Times New Roman"/>
                <w:b/>
                <w:color w:val="000000"/>
                <w:sz w:val="20"/>
              </w:rPr>
              <w:t>WHAT WE DO NOT DO</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rFonts w:ascii="Times New Roman" w:hAnsi="Times New Roman"/>
                <w:color w:val="000000"/>
                <w:sz w:val="20"/>
              </w:rPr>
            </w:pPr>
            <w:r>
              <w:rPr>
                <w:rFonts w:ascii="Times New Roman" w:hAnsi="Times New Roman"/>
                <w:color w:val="000000"/>
                <w:sz w:val="20"/>
              </w:rPr>
              <w:t>incentive awards and long-term equity awards which are tied to the value of our share price.</w:t>
            </w:r>
          </w:p>
        </w:tc>
        <w:tc>
          <w:tcPr>
            <w:tcW w:w="4088" w:type="dxa"/>
            <w:tcBorders/>
            <w:tcMar>
              <w:top w:w="0" w:type="dxa"/>
              <w:left w:w="0" w:type="dxa"/>
              <w:bottom w:w="0" w:type="dxa"/>
              <w:right w:w="0" w:type="dxa"/>
            </w:tcMar>
            <w:vAlign w:val="center"/>
          </w:tcPr>
          <w:p>
            <w:pPr>
              <w:pStyle w:val="TableContents"/>
              <w:bidi w:val="0"/>
              <w:spacing w:before="0" w:after="283"/>
              <w:ind w:left="0" w:right="0" w:firstLine="430"/>
              <w:jc w:val="left"/>
              <w:rPr/>
            </w:pPr>
            <w:r>
              <w:rPr/>
              <w:t> </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Incentivize a Strong Ownership Mentality</w:t>
            </w:r>
            <w:r>
              <w:rPr>
                <w:rFonts w:ascii="Times New Roman" w:hAnsi="Times New Roman"/>
                <w:color w:val="000000"/>
                <w:sz w:val="20"/>
              </w:rPr>
              <w:t>: In February 2025, we granted equity awards to our executive officers, which we use to motivate long-term performance and strongly align the interests of our executives with those of our stockholders.</w:t>
            </w:r>
          </w:p>
        </w:tc>
        <w:tc>
          <w:tcPr>
            <w:tcW w:w="4088"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Executive Perquisites</w:t>
            </w:r>
            <w:r>
              <w:rPr>
                <w:rFonts w:ascii="Times New Roman" w:hAnsi="Times New Roman"/>
                <w:color w:val="000000"/>
                <w:sz w:val="20"/>
              </w:rPr>
              <w:t xml:space="preserve">: We do not maintain any executive-specific benefit or perquisite programs. </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Corporate Strategy Alignment</w:t>
            </w:r>
            <w:r>
              <w:rPr>
                <w:rFonts w:ascii="Times New Roman" w:hAnsi="Times New Roman"/>
                <w:color w:val="000000"/>
                <w:sz w:val="20"/>
              </w:rPr>
              <w:t>: Our Compensation Committee establishes incentive compensation programs based on metrics that are aligned with our corporate strategy and designed to grow stockholder value.</w:t>
            </w:r>
          </w:p>
        </w:tc>
        <w:tc>
          <w:tcPr>
            <w:tcW w:w="4088"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Tax Gross-Ups</w:t>
            </w:r>
            <w:r>
              <w:rPr>
                <w:rFonts w:ascii="Times New Roman" w:hAnsi="Times New Roman"/>
                <w:color w:val="000000"/>
                <w:sz w:val="20"/>
              </w:rPr>
              <w:t>: We do not provide tax gross-ups for “excess parachute payments” or any other executive benefits.</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Use an Independent Compensation Consultant</w:t>
            </w:r>
            <w:r>
              <w:rPr>
                <w:rFonts w:ascii="Times New Roman" w:hAnsi="Times New Roman"/>
                <w:color w:val="000000"/>
                <w:sz w:val="20"/>
              </w:rPr>
              <w:t>: Our Compensation Committee retains an independent compensation consultant.</w:t>
            </w:r>
          </w:p>
        </w:tc>
        <w:tc>
          <w:tcPr>
            <w:tcW w:w="4088"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Excessive Executive Retirement Benefits</w:t>
            </w:r>
            <w:r>
              <w:rPr>
                <w:rFonts w:ascii="Times New Roman" w:hAnsi="Times New Roman"/>
                <w:color w:val="000000"/>
                <w:sz w:val="20"/>
              </w:rPr>
              <w:t>: We do not maintain an executive pension plan or supplemental retirement plan.</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Prohibit the Hedging or Pledging of Our Common Stock</w:t>
            </w:r>
            <w:r>
              <w:rPr>
                <w:rFonts w:ascii="Times New Roman" w:hAnsi="Times New Roman"/>
                <w:color w:val="000000"/>
                <w:sz w:val="20"/>
              </w:rPr>
              <w:t>: Our Insider Trading Policy strictly prohibits hedging and pledging activities by executive officers, employees, and directors.</w:t>
            </w:r>
          </w:p>
        </w:tc>
        <w:tc>
          <w:tcPr>
            <w:tcW w:w="4088"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Excessive Cash Severance</w:t>
            </w:r>
            <w:r>
              <w:rPr>
                <w:rFonts w:ascii="Times New Roman" w:hAnsi="Times New Roman"/>
                <w:color w:val="000000"/>
                <w:sz w:val="20"/>
              </w:rPr>
              <w:t>: Our offer letters containing severance provisions do not provide for excessive cash severance in the event of termination.</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Stock Ownership Guidelines</w:t>
            </w:r>
            <w:r>
              <w:rPr>
                <w:rFonts w:ascii="Times New Roman" w:hAnsi="Times New Roman"/>
                <w:color w:val="000000"/>
                <w:sz w:val="20"/>
              </w:rPr>
              <w:t xml:space="preserve">: We have implemented robust stock ownership guidelines for our executives. </w:t>
            </w:r>
          </w:p>
        </w:tc>
        <w:tc>
          <w:tcPr>
            <w:tcW w:w="4088"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Repricing</w:t>
            </w:r>
            <w:r>
              <w:rPr>
                <w:rFonts w:ascii="Times New Roman" w:hAnsi="Times New Roman"/>
                <w:color w:val="000000"/>
                <w:sz w:val="20"/>
              </w:rPr>
              <w:t>: We prohibit repricing of underwater stock options without prior stockholder approval.</w:t>
            </w:r>
          </w:p>
        </w:tc>
      </w:tr>
      <w:tr>
        <w:trPr/>
        <w:tc>
          <w:tcPr>
            <w:tcW w:w="6117" w:type="dxa"/>
            <w:tcBorders/>
            <w:tcMar>
              <w:top w:w="0" w:type="dxa"/>
              <w:left w:w="0" w:type="dxa"/>
              <w:bottom w:w="0" w:type="dxa"/>
              <w:right w:w="0" w:type="dxa"/>
            </w:tcMar>
            <w:vAlign w:val="center"/>
          </w:tcPr>
          <w:p>
            <w:pPr>
              <w:pStyle w:val="TableContents"/>
              <w:bidi w:val="0"/>
              <w:spacing w:before="0" w:after="240"/>
              <w:ind w:left="0" w:right="0" w:firstLine="430"/>
              <w:jc w:val="left"/>
              <w:rPr/>
            </w:pPr>
            <w:r>
              <w:rPr>
                <w:color w:val="000000"/>
              </w:rPr>
              <w:t xml:space="preserve">☑ </w:t>
            </w:r>
            <w:r>
              <w:rPr>
                <w:rFonts w:ascii="Times New Roman" w:hAnsi="Times New Roman"/>
                <w:i/>
                <w:color w:val="000000"/>
                <w:sz w:val="20"/>
              </w:rPr>
              <w:t>Compensation Clawback Policy</w:t>
            </w:r>
            <w:r>
              <w:rPr>
                <w:rFonts w:ascii="Times New Roman" w:hAnsi="Times New Roman"/>
                <w:color w:val="000000"/>
                <w:sz w:val="20"/>
              </w:rPr>
              <w:t xml:space="preserve">: All incentive-based cash and equity awards are subject to recoupment in accordance with our compensation clawback policy, which requires the recovery of incentive-based compensation in the event of a restatement, and also allows for recovery in the event of non-restatement related miscalculations or legal and compliance violations. </w:t>
            </w:r>
          </w:p>
        </w:tc>
        <w:tc>
          <w:tcPr>
            <w:tcW w:w="4088" w:type="dxa"/>
            <w:tcBorders/>
            <w:tcMar>
              <w:top w:w="0" w:type="dxa"/>
              <w:left w:w="0" w:type="dxa"/>
              <w:bottom w:w="0" w:type="dxa"/>
              <w:right w:w="0" w:type="dxa"/>
            </w:tcMar>
            <w:vAlign w:val="center"/>
          </w:tcPr>
          <w:p>
            <w:pPr>
              <w:pStyle w:val="TableContents"/>
              <w:bidi w:val="0"/>
              <w:spacing w:before="0" w:after="283"/>
              <w:ind w:left="0" w:right="0" w:firstLine="430"/>
              <w:jc w:val="left"/>
              <w:rPr/>
            </w:pPr>
            <w:r>
              <w:rPr>
                <w:color w:val="000000"/>
              </w:rPr>
              <w:t xml:space="preserve">☒ </w:t>
            </w:r>
            <w:r>
              <w:rPr>
                <w:rFonts w:ascii="Times New Roman" w:hAnsi="Times New Roman"/>
                <w:i/>
                <w:color w:val="000000"/>
                <w:sz w:val="20"/>
              </w:rPr>
              <w:t>Fixed Employment Terms or Guaranteed Salary Increases</w:t>
            </w:r>
            <w:r>
              <w:rPr>
                <w:rFonts w:ascii="Times New Roman" w:hAnsi="Times New Roman"/>
                <w:color w:val="000000"/>
                <w:sz w:val="20"/>
              </w:rPr>
              <w:t>: We do not enter into employment agreements that provide for fixed terms, automatic compensation increases or equity grants.</w:t>
            </w:r>
          </w:p>
        </w:tc>
      </w:tr>
    </w:tbl>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Elements of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executive compensation program consists of three primary elements: base salaries, annual cash incentives, and long-term equity awards, as described below. The relative mix of these components is generally weighted more towards incentive rather than fixed compensation and towards long-term incentive compensation compared to short-term incentive compensation. We believe this relative weighting ensures that the interests of our executives are aligned with those of our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Salary</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2025 BASE SALARY</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79"/>
        <w:gridCol w:w="2644"/>
        <w:gridCol w:w="5482"/>
      </w:tblGrid>
      <w:tr>
        <w:trPr/>
        <w:tc>
          <w:tcPr>
            <w:tcW w:w="2079" w:type="dxa"/>
            <w:tcBorders/>
            <w:shd w:fill="FFFFFF" w:val="clear"/>
            <w:vAlign w:val="center"/>
          </w:tcPr>
          <w:p>
            <w:pPr>
              <w:pStyle w:val="TableContents"/>
              <w:bidi w:val="0"/>
              <w:spacing w:before="0" w:after="283"/>
              <w:jc w:val="left"/>
              <w:rPr>
                <w:sz w:val="4"/>
                <w:szCs w:val="4"/>
              </w:rPr>
            </w:pPr>
            <w:r>
              <w:rPr>
                <w:sz w:val="4"/>
                <w:szCs w:val="4"/>
              </w:rPr>
            </w:r>
          </w:p>
        </w:tc>
        <w:tc>
          <w:tcPr>
            <w:tcW w:w="2644" w:type="dxa"/>
            <w:tcBorders/>
            <w:shd w:fill="FFFFFF" w:val="clear"/>
            <w:vAlign w:val="center"/>
          </w:tcPr>
          <w:p>
            <w:pPr>
              <w:pStyle w:val="TableContents"/>
              <w:bidi w:val="0"/>
              <w:spacing w:before="0" w:after="283"/>
              <w:jc w:val="left"/>
              <w:rPr>
                <w:sz w:val="4"/>
                <w:szCs w:val="4"/>
              </w:rPr>
            </w:pPr>
            <w:r>
              <w:rPr>
                <w:sz w:val="4"/>
                <w:szCs w:val="4"/>
              </w:rPr>
            </w:r>
          </w:p>
        </w:tc>
        <w:tc>
          <w:tcPr>
            <w:tcW w:w="5482" w:type="dxa"/>
            <w:tcBorders/>
            <w:shd w:fill="FFFFFF" w:val="clear"/>
            <w:vAlign w:val="center"/>
          </w:tcPr>
          <w:p>
            <w:pPr>
              <w:pStyle w:val="TableContents"/>
              <w:bidi w:val="0"/>
              <w:spacing w:before="0" w:after="283"/>
              <w:jc w:val="left"/>
              <w:rPr>
                <w:sz w:val="4"/>
                <w:szCs w:val="4"/>
              </w:rPr>
            </w:pPr>
            <w:r>
              <w:rPr>
                <w:sz w:val="4"/>
                <w:szCs w:val="4"/>
              </w:rPr>
            </w:r>
          </w:p>
        </w:tc>
      </w:tr>
      <w:tr>
        <w:trPr/>
        <w:tc>
          <w:tcPr>
            <w:tcW w:w="207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Philosophy</w:t>
            </w:r>
          </w:p>
        </w:tc>
        <w:tc>
          <w:tcPr>
            <w:tcW w:w="264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Structure</w:t>
            </w:r>
          </w:p>
        </w:tc>
        <w:tc>
          <w:tcPr>
            <w:tcW w:w="548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Highlights</w:t>
            </w:r>
          </w:p>
        </w:tc>
      </w:tr>
      <w:tr>
        <w:trPr/>
        <w:tc>
          <w:tcPr>
            <w:tcW w:w="207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i/>
                <w:color w:val="000000"/>
                <w:sz w:val="20"/>
              </w:rPr>
              <w:t>Attract and retain</w:t>
            </w:r>
            <w:r>
              <w:rPr>
                <w:rFonts w:ascii="Times New Roman" w:hAnsi="Times New Roman"/>
                <w:color w:val="000000"/>
                <w:sz w:val="20"/>
              </w:rPr>
              <w:t>. Provide fixed compensation to attract, retain and motivate highly talented executives.</w:t>
            </w:r>
          </w:p>
        </w:tc>
        <w:tc>
          <w:tcPr>
            <w:tcW w:w="264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Base salaries are set to be competitive within our industry and are important in attracting and retaining talented executives.</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Base salaries are fixed pay set with consideration for responsibilities, market data and individual contribution.</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Reviewed annually and adjusted when appropriate, based on scope of responsibility, performance, experience, and competitive market for executive talent.</w:t>
            </w:r>
          </w:p>
        </w:tc>
        <w:tc>
          <w:tcPr>
            <w:tcW w:w="548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Historically, we have not applied specific formulas to determine changes in base salary. Instead, when setting base salaries, the Compensation Committee employs a holistic review of numerous factors using its professional judgment and experience, emphasizing the following: individual contribution; roles and responsibilities; expected future contributions; peer and market salary data of similarly situated executives; and other business priorities of our Company.</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2025 salaries for each NEO were increased from fiscal year 2024 to strengthen alignment with peer group market practices, to recognize performance and contribution to our overall business success, and to better align salaries with overall leadership responsibilities.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the Compensation Committee, after considering the market practice survey data of our peer group provided by Aon, increased the base salaries for Mr. Waldron and Dr. Sievers based on individual merit and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annual base salary rates of our NEOs at fiscal year-end 2025 compared to 2024.</w:t>
      </w:r>
    </w:p>
    <w:p>
      <w:pPr>
        <w:pStyle w:val="TextBody"/>
        <w:bidi w:val="0"/>
        <w:jc w:val="left"/>
        <w:rPr/>
      </w:pPr>
      <w:r>
        <w:rPr/>
        <w:t> </w:t>
      </w:r>
    </w:p>
    <w:tbl>
      <w:tblPr>
        <w:tblW w:w="7087" w:type="dxa"/>
        <w:jc w:val="left"/>
        <w:tblInd w:w="0" w:type="dxa"/>
        <w:tblLayout w:type="fixed"/>
        <w:tblCellMar>
          <w:top w:w="28" w:type="dxa"/>
          <w:left w:w="28" w:type="dxa"/>
          <w:bottom w:w="28" w:type="dxa"/>
          <w:right w:w="28" w:type="dxa"/>
        </w:tblCellMar>
      </w:tblPr>
      <w:tblGrid>
        <w:gridCol w:w="1741"/>
        <w:gridCol w:w="146"/>
        <w:gridCol w:w="1366"/>
        <w:gridCol w:w="146"/>
        <w:gridCol w:w="1366"/>
        <w:gridCol w:w="146"/>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 Increase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spacing w:before="12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Annual Cash Incentive Bonuses – 2025 Corporate Goals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2025 Bonus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Board of Directors approved certain corporate performance goals applicable for 2025, and in June 2025, the Compensation Committee approved the Corporate Bonus Plan (“Bonus Plan”). The corporate performance goals were established by the Compensation Committee, based on its assessment of the Company’s business environment, competitive position, and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Bonus Plan provided our executives with the opportunity to earn an annual cash bonus that would be paid based on the achievement of pre-determined performance goals. Under the Bonus Plan, bonus targets were expressed as a percentage of base salary, with executives potentially earning a bonus based on actual achievement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versus the corporate performance goals. For our NEOs, their bonus would be based solely on the achievement of corporate goals. Factors used to determine target amounts included: role, scope of responsibilities, internal equity and competitive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sets forth the 2025 targets under the Bonus Plan for each member of our management team. These bonus targets are reviewed annually by the Compensation Committee and adjusted if deemed appropriate by the Compensation Committee.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4111"/>
        <w:gridCol w:w="146"/>
        <w:gridCol w:w="105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Function –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Target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C-Level (Richard A. Waldron, Eric Sievers,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2025 corporate performance goals consisted of certain business goals (10% weight), clinical development milestones (25% weight), and strategic and financial objectives (65% weight). The amount of annual bonus, if earned, would depend on whether the Company achieved the performance level for the applicable corporate performance goal. Each of the performance goals was measured independently of the other. Payment of cash bonuses was subject to attaining 50% threshold performance of the weighted combination of the corporate performance goals overall. Actual payouts could range from 50% to 125% of target, based on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Company did not meet the 50% threshold corporate goal achievement, no annual bonuses were paid to our NEOs under the Bonus Plan for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Equity Incentives</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2025 EQUITY GRANTS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47"/>
        <w:gridCol w:w="3740"/>
        <w:gridCol w:w="2418"/>
      </w:tblGrid>
      <w:tr>
        <w:trPr/>
        <w:tc>
          <w:tcPr>
            <w:tcW w:w="4047" w:type="dxa"/>
            <w:tcBorders/>
            <w:shd w:fill="FFFFFF" w:val="clear"/>
            <w:vAlign w:val="center"/>
          </w:tcPr>
          <w:p>
            <w:pPr>
              <w:pStyle w:val="TableContents"/>
              <w:bidi w:val="0"/>
              <w:spacing w:before="0" w:after="283"/>
              <w:jc w:val="left"/>
              <w:rPr>
                <w:sz w:val="4"/>
                <w:szCs w:val="4"/>
              </w:rPr>
            </w:pPr>
            <w:r>
              <w:rPr>
                <w:sz w:val="4"/>
                <w:szCs w:val="4"/>
              </w:rPr>
            </w:r>
          </w:p>
        </w:tc>
        <w:tc>
          <w:tcPr>
            <w:tcW w:w="3740" w:type="dxa"/>
            <w:tcBorders/>
            <w:shd w:fill="FFFFFF" w:val="clear"/>
            <w:vAlign w:val="center"/>
          </w:tcPr>
          <w:p>
            <w:pPr>
              <w:pStyle w:val="TableContents"/>
              <w:bidi w:val="0"/>
              <w:spacing w:before="0" w:after="283"/>
              <w:jc w:val="left"/>
              <w:rPr>
                <w:sz w:val="4"/>
                <w:szCs w:val="4"/>
              </w:rPr>
            </w:pPr>
            <w:r>
              <w:rPr>
                <w:sz w:val="4"/>
                <w:szCs w:val="4"/>
              </w:rPr>
            </w:r>
          </w:p>
        </w:tc>
        <w:tc>
          <w:tcPr>
            <w:tcW w:w="2418" w:type="dxa"/>
            <w:tcBorders/>
            <w:shd w:fill="FFFFFF" w:val="clear"/>
            <w:vAlign w:val="center"/>
          </w:tcPr>
          <w:p>
            <w:pPr>
              <w:pStyle w:val="TableContents"/>
              <w:bidi w:val="0"/>
              <w:spacing w:before="0" w:after="283"/>
              <w:jc w:val="left"/>
              <w:rPr>
                <w:sz w:val="4"/>
                <w:szCs w:val="4"/>
              </w:rPr>
            </w:pPr>
            <w:r>
              <w:rPr>
                <w:sz w:val="4"/>
                <w:szCs w:val="4"/>
              </w:rPr>
            </w:r>
          </w:p>
        </w:tc>
      </w:tr>
      <w:tr>
        <w:trPr/>
        <w:tc>
          <w:tcPr>
            <w:tcW w:w="4047"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Philosophy</w:t>
            </w:r>
          </w:p>
        </w:tc>
        <w:tc>
          <w:tcPr>
            <w:tcW w:w="3740"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Considerations for Grant</w:t>
            </w:r>
          </w:p>
        </w:tc>
        <w:tc>
          <w:tcPr>
            <w:tcW w:w="2418"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Vesting Provisions</w:t>
            </w:r>
          </w:p>
        </w:tc>
      </w:tr>
      <w:tr>
        <w:trPr/>
        <w:tc>
          <w:tcPr>
            <w:tcW w:w="404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i/>
                <w:color w:val="000000"/>
                <w:sz w:val="20"/>
              </w:rPr>
              <w:t>Attract and Retain Executives</w:t>
            </w:r>
            <w:r>
              <w:rPr>
                <w:rFonts w:ascii="Times New Roman" w:hAnsi="Times New Roman"/>
                <w:color w:val="000000"/>
                <w:sz w:val="20"/>
              </w:rPr>
              <w:t>:</w:t>
              <w:br/>
              <w:t>Designed to retain our executive officers and other employees and align their long-term interests with the creation of long-term value for our stockholders. By having a percentage of our executive officers’ target total direct compensation payable in the form of equity that vests over a number of years and, thus, subject to higher risk and longer vesting than cash compensation, our executive officers are motivated to remain employed with us and take actions that will benefit the Company and its stockholders over the long term.</w:t>
            </w:r>
          </w:p>
          <w:p>
            <w:pPr>
              <w:pStyle w:val="TableContents"/>
              <w:bidi w:val="0"/>
              <w:spacing w:before="0" w:after="240"/>
              <w:jc w:val="left"/>
              <w:rPr>
                <w:rFonts w:ascii="Times New Roman" w:hAnsi="Times New Roman"/>
                <w:sz w:val="20"/>
              </w:rPr>
            </w:pPr>
            <w:r>
              <w:rPr>
                <w:rFonts w:ascii="Times New Roman" w:hAnsi="Times New Roman"/>
                <w:i/>
                <w:color w:val="000000"/>
                <w:sz w:val="20"/>
              </w:rPr>
              <w:t>Align Interests with Stockholders</w:t>
            </w:r>
            <w:r>
              <w:rPr>
                <w:rFonts w:ascii="Times New Roman" w:hAnsi="Times New Roman"/>
                <w:color w:val="000000"/>
                <w:sz w:val="20"/>
              </w:rPr>
              <w:t>:</w:t>
              <w:br/>
              <w:t xml:space="preserve">Align the interests of executives with those of stockholders by issuing equity awards for which the value is correlated to our stock price. </w:t>
            </w:r>
          </w:p>
        </w:tc>
        <w:tc>
          <w:tcPr>
            <w:tcW w:w="374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Factors used to determine the size of grants include: (i) the responsibilities, past performance, and anticipated future contributions of the NEO; (ii) the competitiveness of the NEO’s overall compensation package with reference to competitive market data; (iii) the NEO’s existing equity holdings; (iv) the extent to which these holdings are vested; and (v) the recommendations of our CEO (other than with respect to his own grant).</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Balancing retention while maintaining alignment to stock price and stockholder interests.</w:t>
            </w:r>
          </w:p>
        </w:tc>
        <w:tc>
          <w:tcPr>
            <w:tcW w:w="241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Our Compensation Committee approved granting of restricted stock unit (RSU) awards to our NEOs in 2025 to ensure that a significant portion of our executive compensation consists of unvested long-term incentives.</w:t>
            </w:r>
          </w:p>
          <w:p>
            <w:pPr>
              <w:pStyle w:val="TableContents"/>
              <w:bidi w:val="0"/>
              <w:jc w:val="left"/>
              <w:rPr/>
            </w:pPr>
            <w:r>
              <w:rPr/>
              <w:t> </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RSUs granted to our current NEOs vest over four years (with a one-year cliff), subject to the executive's continued service on each applicable vesting date.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Equity compensation is a key component of our executive compensation program. Historically, our executives have generally been awarded an initial new hire equity grant upon commencement of employment. Additional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equity grants may occur periodically in order to specifically incentivize executives with respect to achieving certain corporate goals and/or to reward executives for exceptional performance. By having a significant percentage of our executive officers’ target total direct compensation payable in the form of equity that vests over a number of years and, thus, subject to higher risk and long-term vesting than cash compensation, our executive officers are motivated to remain employed with BioAtla and take actions that will benefit BioAtla and its stockholders over the long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after carefully considering the performance of the Company and the executive team, our Compensation Committee granted RSUs to each of our NEOs. Dr. Short, Mr. Waldron, and Dr. Sievers were granted 8,620 RSUs, 2,000 RSUs, and 3,500 RSUs, respectively. 25% of the total number of shares subject to each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Employment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offer letter agreements or employment agreements with each of our current NEOs, pursuant to which their employment is “at-will” and may be terminated by the Company at any time and for any reason. For a description of the severance agreement that we have entered into with each NEO, please see the section titled “Potential Payments upon Termination or Change in Control”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Compensation Policies and Practices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No Insider Trading, Hedging or Pledging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NEOs, employees, and directors are subject to our insider trading policy, which we believe is reasonably designed to promote compliance with insider trading laws, rules and regulations, as well as applicable listing standards. Under the terms of our insider trading policy, no employees, contractors, consultants and members of our Board of Directors (and their respective family members and any affiliated entities, such as venture capital funds) may engage in short sales or other hedging or monetization transactions involving our securities, such as exchange funds, prepaid variable forwards, equity swaps, puts, calls, collars, forwards and other derivative instruments. In addition, such persons may not hold our securities in a margin account or pledge our securities as collateral for a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our Insider Trading Policy can be found as Exhibit 19.1 to our Annual Report on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adopted stock ownership guidelines for our executives to better align the executives’ interests with those of our stockholders. Guidelines are determined as a multiple of the executive’s base salary. The CEO guidelines are established as three times the CEO’s base salary and guidelines for other executive officers are established as one times such executive’s base salary. The guideline ownership must be obtained within five years. Executive officer ownership is evaluated annually as of December 31 using the highest closing price of the Company’s common stock in the fiscal year of evaluation. Shares that count toward meeting the stock ownership guidelines include shares owned directly, full value awards (e.g., time-vested restricted stock and RSUs), vested stock options (spread value) and shares owned directly by the executive's spouse, dependent children and/or trust. For fiscal year 2025, each NEO held the requisite number of shares and was accordingly in compliance with our stock ownership guidelines.</w:t>
      </w:r>
    </w:p>
    <w:p>
      <w:pPr>
        <w:pStyle w:val="TextBody"/>
        <w:bidi w:val="0"/>
        <w:spacing w:before="200" w:after="283"/>
        <w:jc w:val="left"/>
        <w:rPr>
          <w:rFonts w:ascii="Times New Roman" w:hAnsi="Times New Roman"/>
          <w:sz w:val="20"/>
        </w:rPr>
      </w:pPr>
      <w:r>
        <w:rPr>
          <w:rFonts w:ascii="Times New Roman" w:hAnsi="Times New Roman"/>
          <w:b/>
          <w:i/>
          <w:color w:val="000000"/>
          <w:sz w:val="20"/>
        </w:rPr>
        <w:t>Compensation 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adopted the BioAtla, Inc. Compensation Recovery Policy, effective October 2, 2023, which is intended to comply with SEC and Nasdaq requirements providing for the recovery of erroneously awarded incentive-based compensation received by current or former executive officers. Under the Compensation Recovery Policy, which applies to all executive officers, recovery of compensation is required in the event of a restatement, and our Compensation Committee also has discretion to recover compensation in the event of non-restatement related miscalculations or legal and compliance violations committed by covered persons.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Award Timing Policies and Practices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take material nonpublic information into account when determining the grant timing and terms of equity awards, and we do not time the release of material nonpublic information based on equity award grant dates or for the purpose of affecting the value of executive compensation. Although we do not have a formal policy with respect to the timing of our equity award grants, the Compensation Committee has historically granted such awards in the first quarter of each fiscal year. This timing was selected because it aligns with our evaluation of our performance against the goals we set for our executives for the prior year and the setting of such goals for the current year. We also grant equity awards on other dates to newly hired employees and periodically in connection with promotions or to improve competitiveness and to position employees appropriately to benchmarks. In fiscal year 2025, we did not grant new awards of stock options, stock appreciation rights, or similar option-like instruments to our NEOs.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Severance and Change in Control Benefits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current NEOs are employed at-will and may be terminated at any time, with or without formal cause. We have entered into arrangements with each of our NEOs which provide for certain severance benefits upon a termination of employment, subject to the executive’s execution of a release agreement acceptable to us. These severance benefits have been provided to our NEOs in order to assist us in recruiting and retaining talented individuals and to align the executives’ interests with the best interests of our stockholders. We believe these severance benefits are an essential element of our overall executive compensation package due to the competitive market for executive talent in our industry.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Dr. Short is entitled to certain cash benefits and equity acceleration upon any termination of his employment, following the occurrence of a change of control which occurred in 2020.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entered into a “double-trigger” severance agreement with Mr. Waldron, pursuant to which he would be entitled to certain cash benefits and accelerated vesting of equity awards in the event of a termination without cause or a resignation for good reason following a change in control, subject to the execution of a release agreement acceptable to us. Finally, pursuant to the BioAtla, Inc. Management Change of Control Severance Plan, Dr. Sievers is entitled to certain cash benefits and accelerated vesting of equity awards in the event of a termination without cause or a resignation for good reason following a change in control, subject to the execution of a release agreement acceptable to us. These arrangements are considered “double-trigger”, as they require both a change in control as well as a qualifying termination of employment. Our Compensation Committee believes that “double- trigger” provisions preserve morale and productivity, and encourage executive retention in the event of a change in control. These provisions are considered a typical component of a competitive executive compensation program for executives among our 2025 peer group.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description of the severance benefits provided under our executive officer arrangements is provided below under the heading “Potential Payments Upon Termination or Change in Control.”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Executive Benefits and Perquisites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provide benefits to our NEOs on the same basis as provided to all of our employees, including health, dental and vision insurance; life insurance; accidental death and dismemberment insurance; disability insurance; and a tax-qualified Section 401(k) 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maintain any executive-specific benefit or perquisite programs.</w:t>
      </w:r>
    </w:p>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How We Determine Executive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Role of the Compensation Committee and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makes recommendations to our Board of Directors for approval regarding the compensation arrangements of our CEO and approves all compensation arrangements for our NEOs. Our Compensation Committee has numerous resources upon which it relies, including input from our Board of Directors, CEO and independent consultants. However, the ultimate decision-making authority rests with the Compensation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Committee, subject to Board approval with respect to our CEO’s compensation. These decisions are based on a careful review of performance as well as the competitive market environment.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Members of management and advisors and consultants may be invited to participate in meetings, but the Compensation Committee meets regularly in executive session. Our CEO is often present and participates in discussions regarding compensation of our other executive officers. Executives, including our CEO, are not present during deliberations regarding their own performance or compensation.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Role of Compensation Consultant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2020, the Compensation Committee has retained the services of Aon as its independent, external compensation consultant. Aon assists the Compensation Committee in its review of executive and director compensation practices, including the market competitiveness of compensation, executive compensation design, benchmarking with industry peers and other technical considerations including tax and accounting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2025 compensation matters, Aon advised and assisted with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executive and director pay relative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suggesting changes to the compensation peer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“Compensation Overview” for use in our annual proxy statement, if required, and other proxy statement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regularly evaluates the services Aon provides and has final authority to engage and terminate their services. Our Compensation Committee has assessed Aon’s independence consistent with Nasdaq listing standards and has concluded that the engagement of Aon does not raise any conflict of interest.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Pay Positioning and Compensation Peers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setting compensation, the Compensation Committee compares base salaries, annual incentive opportunities and long-term compensation for the NEOs to a peer group of similarly sized companies. A key objective of our executive compensation program is to ensure that the overall compensation packages we offer our executives are competitive with the packages offered by companies with which we compete for executive talent. The Compensation Committee consults with its independent compensation consultant to develop a peer group of companies to serve as the basis for comparing our executive compensation program to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setting fiscal year 2025 compensation, our Compensation Committee considered competitive market practices when setting total pay levels. However, competitive market data is only one of several resources made available to the Compensation Committee to assist it in setting executive compensation levels. While referencing peer group compensation levels is helpful in determining market-competitive compensation for our NEOs, our Compensation Committee does not directly tie any pay elements to particular benchmarks within the peer group. Rather, peer data is one consideration, along with employee skills and experience, individual performance, scope of responsibilities, and other factors. The Compensation Committee does not use a formula to determine compensation or as a fixed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developing our peer group, which was approved in September 2024, the Compensation Committee considered the following key qualitative and quantitative criteria: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Sector &amp; Stage</w:t>
      </w:r>
      <w:r>
        <w:rPr>
          <w:color w:val="000000"/>
        </w:rPr>
        <w:t>—</w:t>
      </w:r>
      <w:r>
        <w:rPr>
          <w:rFonts w:ascii="Times New Roman" w:hAnsi="Times New Roman"/>
          <w:color w:val="000000"/>
          <w:sz w:val="20"/>
        </w:rPr>
        <w:t>US-based, public pre-commercial biopharmaceutical companies;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Stage of business</w:t>
      </w:r>
      <w:r>
        <w:rPr>
          <w:color w:val="000000"/>
        </w:rPr>
        <w:t>—</w:t>
      </w:r>
      <w:r>
        <w:rPr>
          <w:rFonts w:ascii="Times New Roman" w:hAnsi="Times New Roman"/>
          <w:color w:val="000000"/>
          <w:sz w:val="20"/>
        </w:rPr>
        <w:t>focus on companies in Phases 1 to 3 of clinical trials, preferably with a focus in oncology;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Market Capitalization</w:t>
      </w:r>
      <w:r>
        <w:rPr>
          <w:color w:val="000000"/>
        </w:rPr>
        <w:t>—</w:t>
      </w:r>
      <w:r>
        <w:rPr>
          <w:rFonts w:ascii="Times New Roman" w:hAnsi="Times New Roman"/>
          <w:color w:val="000000"/>
          <w:sz w:val="20"/>
        </w:rPr>
        <w:t>between approximately $50 million and $500 million (as of the date the peer group was determined) while maintaining some of the existing peers for year over year consistency;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Headcount</w:t>
      </w:r>
      <w:r>
        <w:rPr>
          <w:color w:val="000000"/>
        </w:rPr>
        <w:t>—</w:t>
      </w:r>
      <w:r>
        <w:rPr>
          <w:rFonts w:ascii="Times New Roman" w:hAnsi="Times New Roman"/>
          <w:color w:val="000000"/>
          <w:sz w:val="20"/>
        </w:rPr>
        <w:t>generally under 200 employees.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this analysis, the Compensation Committee identified the following 24 companies as our peer group to be used as a reference for its executive compensation decisions in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7968" w:type="dxa"/>
        <w:jc w:val="left"/>
        <w:tblInd w:w="0" w:type="dxa"/>
        <w:tblLayout w:type="fixed"/>
        <w:tblCellMar>
          <w:top w:w="28" w:type="dxa"/>
          <w:left w:w="28" w:type="dxa"/>
          <w:bottom w:w="28" w:type="dxa"/>
          <w:right w:w="28" w:type="dxa"/>
        </w:tblCellMar>
      </w:tblPr>
      <w:tblGrid>
        <w:gridCol w:w="2881"/>
        <w:gridCol w:w="2281"/>
        <w:gridCol w:w="2806"/>
      </w:tblGrid>
      <w:tr>
        <w:trPr/>
        <w:tc>
          <w:tcPr>
            <w:tcW w:w="28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 Oncology Holdings,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Gritstone bio, Inc.</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PDS Biotechnology Corporation</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Aura Biosciences,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IGM Biosciences, Inc.</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PMV Pharmaceuticals, Inc.</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 Diamond Therapeutics,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Ikena Oncology, Inc.</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Precision BioSciences, Inc.</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Boundless Bio,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Immuneering Corporation</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Pyxis Oncology, Inc.</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C4 Therapeutics,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Kezar Life Sciences, Inc.</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Sutro Biopharma, Inc.</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Compass Therapeutics,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Kronos Bio, Inc.</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Verastem, Inc.</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Corvus Pharmaceuticals,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Leap Therapeutics, Inc.</w:t>
            </w:r>
          </w:p>
        </w:tc>
        <w:tc>
          <w:tcPr>
            <w:tcW w:w="28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X4 Pharmaceuticals, Inc.</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CytomX Therapeutics, Inc.</w:t>
            </w:r>
          </w:p>
        </w:tc>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Mersana Therapeutics, Inc.</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Zentalis Pharmaceuticals, Inc.</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COMPENSATION COMMITTEE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of the Board of Directors of BioAtla, Inc., consisting solely of independent directors, has reviewed and discussed with management this Compensation Discussion and Analysis contained in this Proxy Statement and, based on this review and discussion, the Compensation Committee recommended to the Board of Directors that the Compensation Discussion and Analysis be included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Committee: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Sylvia McBrinn, Chair</w:t>
      </w:r>
    </w:p>
    <w:p>
      <w:pPr>
        <w:pStyle w:val="TextBody"/>
        <w:bidi w:val="0"/>
        <w:jc w:val="left"/>
        <w:rPr>
          <w:rFonts w:ascii="Times New Roman" w:hAnsi="Times New Roman"/>
          <w:color w:val="000000"/>
          <w:sz w:val="20"/>
        </w:rPr>
      </w:pPr>
      <w:r>
        <w:rPr>
          <w:rFonts w:ascii="Times New Roman" w:hAnsi="Times New Roman"/>
          <w:color w:val="000000"/>
          <w:sz w:val="20"/>
        </w:rPr>
        <w:t>Dr. Susan Moran</w:t>
      </w:r>
    </w:p>
    <w:p>
      <w:pPr>
        <w:pStyle w:val="TextBody"/>
        <w:bidi w:val="0"/>
        <w:jc w:val="left"/>
        <w:rPr>
          <w:rFonts w:ascii="Times New Roman" w:hAnsi="Times New Roman"/>
          <w:color w:val="000000"/>
          <w:sz w:val="20"/>
        </w:rPr>
      </w:pPr>
      <w:r>
        <w:rPr>
          <w:rFonts w:ascii="Times New Roman" w:hAnsi="Times New Roman"/>
          <w:color w:val="000000"/>
          <w:sz w:val="20"/>
        </w:rPr>
        <w:t>Dr. Lawrence Steinman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Executive Compensation Tables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with respect to the compensation earned or awarded by the Company to its NEOs for each of the last two fiscal years in which they were an NEO.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2"/>
        <w:gridCol w:w="146"/>
        <w:gridCol w:w="466"/>
        <w:gridCol w:w="146"/>
        <w:gridCol w:w="741"/>
        <w:gridCol w:w="146"/>
        <w:gridCol w:w="986"/>
        <w:gridCol w:w="146"/>
        <w:gridCol w:w="1001"/>
        <w:gridCol w:w="146"/>
        <w:gridCol w:w="1882"/>
        <w:gridCol w:w="146"/>
        <w:gridCol w:w="1471"/>
        <w:gridCol w:w="146"/>
        <w:gridCol w:w="974"/>
      </w:tblGrid>
      <w:tr>
        <w:trPr/>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1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Total ($)</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879,248</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1,952,798</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Co-founder,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Chairman of the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516,180</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881,700</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584,408</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961,075</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Amounts in this column reflect the aggregate grant date fair value of RSUs and stock options computed in accordance with FASB ASC Topic 718. The grant date fair value of the RSUs was determined by multiplying the number of RSUs by the closing price of a share of our common stock on the date of grant. The grant date fair value of the options was determined using the Black-Scholes option pricing model based on the fair market value on the date of grant. These amounts reflect our accounting expense for these stock awards and do not represent the actual economic value that may be realized by each NEO. There can be no assurance that these amounts will ever be realized. For information on the assumptions used in valuing these awards, see Note 8 to the financial statements included in the Company’s Annual Report on Form 10-K.</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Outstanding Equity Awards at Fiscal Year-End Table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information regarding each unexercised stock option or unvested stock award held by our NEOs as of December 31, 2025.</w:t>
      </w:r>
    </w:p>
    <w:tbl>
      <w:tblPr>
        <w:tblW w:w="9792" w:type="dxa"/>
        <w:jc w:val="left"/>
        <w:tblInd w:w="0" w:type="dxa"/>
        <w:tblLayout w:type="fixed"/>
        <w:tblCellMar>
          <w:top w:w="28" w:type="dxa"/>
          <w:left w:w="28" w:type="dxa"/>
          <w:bottom w:w="28" w:type="dxa"/>
          <w:right w:w="28" w:type="dxa"/>
        </w:tblCellMar>
      </w:tblPr>
      <w:tblGrid>
        <w:gridCol w:w="1616"/>
        <w:gridCol w:w="146"/>
        <w:gridCol w:w="1126"/>
        <w:gridCol w:w="146"/>
        <w:gridCol w:w="826"/>
        <w:gridCol w:w="146"/>
        <w:gridCol w:w="946"/>
        <w:gridCol w:w="146"/>
        <w:gridCol w:w="826"/>
        <w:gridCol w:w="146"/>
        <w:gridCol w:w="691"/>
        <w:gridCol w:w="146"/>
        <w:gridCol w:w="916"/>
        <w:gridCol w:w="146"/>
        <w:gridCol w:w="751"/>
        <w:gridCol w:w="146"/>
        <w:gridCol w:w="926"/>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r>
      <w:tr>
        <w:trPr/>
        <w:tc>
          <w:tcPr>
            <w:tcW w:w="1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br/>
              <w:t>Incentive</w:t>
              <w:br/>
              <w:t>Plan</w:t>
              <w:br/>
              <w:t>Awards:</w:t>
              <w:br/>
              <w:t>Number of</w:t>
              <w:br/>
              <w:t>Securities</w:t>
              <w:br/>
              <w:t>Underlying</w:t>
              <w:br/>
              <w:t>Unexercised</w:t>
              <w:br/>
              <w:t>Unearned</w:t>
              <w:br/>
              <w:t>Options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Shares or</w:t>
              <w:br/>
              <w:t>Units of</w:t>
              <w:br/>
              <w:t>Stock That</w:t>
              <w:br/>
              <w:t>Have Not</w:t>
              <w:br/>
              <w:t>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4"/>
              </w:rPr>
            </w:pPr>
            <w:r>
              <w:rPr>
                <w:rFonts w:ascii="Times New Roman" w:hAnsi="Times New Roman"/>
                <w:b/>
                <w:color w:val="000000"/>
                <w:sz w:val="14"/>
              </w:rPr>
              <w:t>Market</w:t>
              <w:br/>
              <w:t>Value of</w:t>
              <w:br/>
              <w:t>Shares or</w:t>
              <w:br/>
              <w:t>Units of</w:t>
              <w:br/>
              <w:t>Stock That</w:t>
              <w:br/>
              <w:t>Have Not</w:t>
              <w:br/>
              <w:t>Vested(1)</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Jay M. Short,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2/22/2022(3)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2/10/2023(3)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2/16/2024(4)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$133,154</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3/12/2025(4)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$244,679</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Richard A. Waldron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2/15/2024(4)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$33,835</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$56,770</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Eric Sievers,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12/15/2020(2)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2/15/2024(4)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$38,944</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$99,348</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market values of the RSUs that have not vested are calculated by multiplying the number of shares underlying the RSUs shown in the table by $28.3850, the closing market price of a share of our common stock on December 31, 2025, the last trading day of 2025.</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option was fully vested as of December 15, 2024.</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option vests over a period of four years, with 25% of the shares underlying the option vested on the one-year anniversary of the grant date, and the remainder vesting in 36 substantially equal monthly installments thereafter, subject to continued service through each applicable vesting date.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25% of the total number of shares subject to the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Potential Payments upon Termination or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current NEOs are employed at-will and may be terminated at any time, with or without formal cause. We have entered into arrangements with each of our current NEOs which provide for certain severance benefits upon a termination or change in control, subject to the executive’s execution of a release agreement acceptable to us, as described below.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Individual Severance Arrangements</w:t>
      </w:r>
    </w:p>
    <w:p>
      <w:pPr>
        <w:pStyle w:val="TextBody"/>
        <w:bidi w:val="0"/>
        <w:spacing w:before="120" w:after="283"/>
        <w:jc w:val="left"/>
        <w:rPr>
          <w:rFonts w:ascii="Times New Roman" w:hAnsi="Times New Roman"/>
          <w:sz w:val="20"/>
        </w:rPr>
      </w:pPr>
      <w:r>
        <w:rPr>
          <w:rFonts w:ascii="Times New Roman" w:hAnsi="Times New Roman"/>
          <w:i/>
          <w:color w:val="000000"/>
          <w:sz w:val="20"/>
        </w:rPr>
        <w:t>Dr. Short.</w:t>
      </w:r>
      <w:r>
        <w:rPr>
          <w:rFonts w:ascii="Times New Roman" w:hAnsi="Times New Roman"/>
          <w:color w:val="000000"/>
          <w:sz w:val="20"/>
        </w:rPr>
        <w:t xml:space="preserve"> In July 2018, we entered into a change in control severance agreement with Dr. Short which provides that, in the event his employment terminates for any reason at any time following a Change in Control (as defined in the severance agreement) then, subject to his execution of a release of claims in our favor, he will receive (i) a severance payment equal to 24 months of his then-current base salary; (ii) a pro-rated bonus payment equal to his target bonus for the year in which the termination occurred; (iii) if Dr. Short’s termination occurs prior to the date bonuses are paid for the immediately preceding year, an amount equal to his full target bonus; and (iv) accelerated vesting of any unvested time-based equity awards then held by him. The severance and bonus payments to Dr. Short are payable as a lump sum within 20 days of the effective date of his release or such later date as required under Section 409A of the Code. In 2020, an event constituting a Change in Control (as defined in the severance agreement) occurred and, accordingly, Dr. Short will be entitled to the severance benefits described above upon his termination of employment with the Company.</w:t>
      </w:r>
    </w:p>
    <w:p>
      <w:pPr>
        <w:pStyle w:val="TextBody"/>
        <w:bidi w:val="0"/>
        <w:spacing w:before="240" w:after="283"/>
        <w:jc w:val="left"/>
        <w:rPr>
          <w:rFonts w:ascii="Times New Roman" w:hAnsi="Times New Roman"/>
          <w:sz w:val="20"/>
        </w:rPr>
      </w:pPr>
      <w:r>
        <w:rPr>
          <w:rFonts w:ascii="Times New Roman" w:hAnsi="Times New Roman"/>
          <w:i/>
          <w:color w:val="000000"/>
          <w:sz w:val="20"/>
        </w:rPr>
        <w:t>Mr. Waldron.</w:t>
      </w:r>
      <w:r>
        <w:rPr>
          <w:rFonts w:ascii="Times New Roman" w:hAnsi="Times New Roman"/>
          <w:color w:val="000000"/>
          <w:sz w:val="20"/>
        </w:rPr>
        <w:t xml:space="preserve"> In July 2018, we entered into a change in control severance agreement with Mr. Waldron which provides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will receive (i) a severance payment equal to 12 months of his then-current base salary; (ii)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Waldron. The severance and bonus payments to Mr. Waldron are payable as a lump sum within 20 days of the effective date of his release.</w:t>
      </w:r>
    </w:p>
    <w:p>
      <w:pPr>
        <w:pStyle w:val="TextBody"/>
        <w:bidi w:val="0"/>
        <w:spacing w:before="240" w:after="283"/>
        <w:jc w:val="left"/>
        <w:rPr>
          <w:rFonts w:ascii="Times New Roman" w:hAnsi="Times New Roman"/>
          <w:sz w:val="20"/>
        </w:rPr>
      </w:pPr>
      <w:r>
        <w:rPr>
          <w:rFonts w:ascii="Times New Roman" w:hAnsi="Times New Roman"/>
          <w:i/>
          <w:color w:val="000000"/>
          <w:sz w:val="20"/>
        </w:rPr>
        <w:t>Dr. Sievers.</w:t>
      </w:r>
      <w:r>
        <w:rPr>
          <w:rFonts w:ascii="Times New Roman" w:hAnsi="Times New Roman"/>
          <w:color w:val="000000"/>
          <w:sz w:val="20"/>
        </w:rPr>
        <w:t xml:space="preserve"> In July 2019, we entered into an offer letter agreement with Dr. Sievers which provides that, in the event his employment is terminated by the Company without Cause (as defined in the offer letter), then subject to his execution of a release of claims in our favor, the Company will provide him with severance in a total amount equal to six months of his then-current base salary, payable in the form of salary continuation, and continued health insurance under the Consolidated Omnibus Budget Reconciliation Act (COBRA) for him and his eligible dependents during such period.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Change of Control Severance Plan</w:t>
      </w:r>
    </w:p>
    <w:p>
      <w:pPr>
        <w:pStyle w:val="TextBody"/>
        <w:bidi w:val="0"/>
        <w:spacing w:before="240" w:after="283"/>
        <w:jc w:val="left"/>
        <w:rPr>
          <w:rFonts w:ascii="Times New Roman" w:hAnsi="Times New Roman"/>
          <w:sz w:val="20"/>
        </w:rPr>
      </w:pPr>
      <w:r>
        <w:rPr>
          <w:rFonts w:ascii="Times New Roman" w:hAnsi="Times New Roman"/>
          <w:i/>
          <w:color w:val="000000"/>
          <w:sz w:val="20"/>
        </w:rPr>
        <w:t>Dr. Sievers</w:t>
      </w:r>
      <w:r>
        <w:rPr>
          <w:rFonts w:ascii="Times New Roman" w:hAnsi="Times New Roman"/>
          <w:color w:val="000000"/>
          <w:sz w:val="20"/>
        </w:rPr>
        <w:t>. On September 15, 2022, the Compensation Committee adopted the BioAtla, Inc. Management Change of Control Severance Plan (the “Severance Plan”). Dr. Sievers is eligible to participate in the Severance Plan. Dr. Sievers is eligible to receive the following payments and benefits in the event of a termination by the Company without Cause or a Resignation by the executive with Good Reason, in each case, during the 12-month period following a Change of Control (as such terms are defined in the Severance Plan): (i) a lump sum payment equal to 1.0 times his base salary; (ii) a prorated portion of his target bonus amount for the year of termination; and (iii) full vesting of his outstanding equity awards (assuming target achievement of any applicable performance-based vesting criteria to the extent the performance period has not yet been completed). Receipt of benefits under the Severance Plan is conditioned upon his execution of a general release of claims and compliance with certain restrictive covenants running in favor of the Company. The severance provisions of the Severance Plan will apply only with respect to a qualifying termination during the 12 months following a Change of Control, while the severance provisions of Dr. Sievers’ offer letter (described above) will apply only with respect to a qualifying termination outside of such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This section provides disclosure about the relationship between executive compensation actually paid to our principal executive officer (PEO) and non-PEO NEOs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tbl>
      <w:tblPr>
        <w:tblW w:w="10205" w:type="dxa"/>
        <w:jc w:val="left"/>
        <w:tblInd w:w="0" w:type="dxa"/>
        <w:tblLayout w:type="fixed"/>
        <w:tblCellMar>
          <w:top w:w="28" w:type="dxa"/>
          <w:left w:w="28" w:type="dxa"/>
          <w:bottom w:w="28" w:type="dxa"/>
          <w:right w:w="28" w:type="dxa"/>
        </w:tblCellMar>
      </w:tblPr>
      <w:tblGrid>
        <w:gridCol w:w="554"/>
        <w:gridCol w:w="293"/>
        <w:gridCol w:w="1239"/>
        <w:gridCol w:w="146"/>
        <w:gridCol w:w="283"/>
        <w:gridCol w:w="1195"/>
        <w:gridCol w:w="146"/>
        <w:gridCol w:w="331"/>
        <w:gridCol w:w="1399"/>
        <w:gridCol w:w="146"/>
        <w:gridCol w:w="370"/>
        <w:gridCol w:w="1305"/>
        <w:gridCol w:w="166"/>
        <w:gridCol w:w="442"/>
        <w:gridCol w:w="984"/>
        <w:gridCol w:w="146"/>
        <w:gridCol w:w="238"/>
        <w:gridCol w:w="624"/>
        <w:gridCol w:w="198"/>
      </w:tblGrid>
      <w:tr>
        <w:trPr/>
        <w:tc>
          <w:tcPr>
            <w:tcW w:w="5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Value of Initial Fixed $100 Investment Based On:</w:t>
            </w:r>
            <w:r>
              <w:rPr>
                <w:rFonts w:ascii="Times New Roman" w:hAnsi="Times New Roman"/>
                <w:b/>
                <w:color w:val="000000"/>
                <w:sz w:val="12"/>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Year</w:t>
            </w:r>
            <w:r>
              <w:rPr>
                <w:rFonts w:ascii="Times New Roman" w:hAnsi="Times New Roman"/>
                <w:b/>
                <w:color w:val="000000"/>
                <w:sz w:val="12"/>
              </w:rPr>
              <w:t>(1)</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Compensation Table Total for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Compensation Actually Paid to PEO</w:t>
            </w:r>
            <w:r>
              <w:rPr>
                <w:rFonts w:ascii="Times New Roman" w:hAnsi="Times New Roman"/>
                <w:b/>
                <w:color w:val="000000"/>
                <w:sz w:val="12"/>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Summary Compensation Table Total for 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Average Compensation Actually Paid to Non-PEO NEOs</w:t>
            </w:r>
            <w:r>
              <w:rPr>
                <w:rFonts w:ascii="Times New Roman" w:hAnsi="Times New Roman"/>
                <w:b/>
                <w:color w:val="000000"/>
                <w:sz w:val="12"/>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Shareholder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Loss (millions)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The following table lists the PEO and non-PEO NEOs for each of fiscal years 2025, 2024 and 2023.</w:t>
      </w:r>
    </w:p>
    <w:tbl>
      <w:tblPr>
        <w:tblW w:w="6048" w:type="dxa"/>
        <w:jc w:val="left"/>
        <w:tblInd w:w="0" w:type="dxa"/>
        <w:tblLayout w:type="fixed"/>
        <w:tblCellMar>
          <w:top w:w="28" w:type="dxa"/>
          <w:left w:w="28" w:type="dxa"/>
          <w:bottom w:w="28" w:type="dxa"/>
          <w:right w:w="28" w:type="dxa"/>
        </w:tblCellMar>
      </w:tblPr>
      <w:tblGrid>
        <w:gridCol w:w="481"/>
        <w:gridCol w:w="1471"/>
        <w:gridCol w:w="4096"/>
      </w:tblGrid>
      <w:tr>
        <w:trPr/>
        <w:tc>
          <w:tcPr>
            <w:tcW w:w="48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PEO</w:t>
            </w:r>
          </w:p>
        </w:tc>
        <w:tc>
          <w:tcPr>
            <w:tcW w:w="409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Non-PEO NEOs</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Jay M. Short, Ph.D.</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A. Waldron and Eric Sievers, M.D.</w:t>
            </w:r>
          </w:p>
        </w:tc>
      </w:tr>
      <w:tr>
        <w:trPr/>
        <w:tc>
          <w:tcPr>
            <w:tcW w:w="481" w:type="dxa"/>
            <w:tcBorders>
              <w:top w:val="single" w:sz="4" w:space="0" w:color="939598"/>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71" w:type="dxa"/>
            <w:tcBorders>
              <w:top w:val="single" w:sz="4" w:space="0" w:color="939598"/>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Jay M. Short, Ph.D.</w:t>
            </w:r>
          </w:p>
        </w:tc>
        <w:tc>
          <w:tcPr>
            <w:tcW w:w="4096" w:type="dxa"/>
            <w:tcBorders>
              <w:top w:val="single" w:sz="4" w:space="0" w:color="939598"/>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A. Waldron and Eric Sievers, M.D.</w:t>
            </w:r>
          </w:p>
        </w:tc>
      </w:tr>
      <w:tr>
        <w:trPr/>
        <w:tc>
          <w:tcPr>
            <w:tcW w:w="481" w:type="dxa"/>
            <w:tcBorders>
              <w:top w:val="single" w:sz="4" w:space="0" w:color="939598"/>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71" w:type="dxa"/>
            <w:tcBorders>
              <w:top w:val="single" w:sz="4" w:space="0" w:color="939598"/>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Jay M. Short, Ph.D.</w:t>
            </w:r>
          </w:p>
        </w:tc>
        <w:tc>
          <w:tcPr>
            <w:tcW w:w="4096" w:type="dxa"/>
            <w:tcBorders>
              <w:top w:val="single" w:sz="4" w:space="0" w:color="939598"/>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A. Waldron, Eric Sievers, M.D., and Scott Smith</w:t>
            </w:r>
          </w:p>
        </w:tc>
      </w:tr>
    </w:tbl>
    <w:p>
      <w:pPr>
        <w:pStyle w:val="TextBody"/>
        <w:bidi w:val="0"/>
        <w:spacing w:before="60" w:after="12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6"/>
        </w:rPr>
        <w:t>The dollar amounts reported represent the amount of “compensation actually paid,” as calculated in accordance with the Pay Versus Performance Rules. These dollar amounts do not reflect the actual amounts of compensation earned by or paid to our NEOs during the applicable year. For purposes of calculating “compensation actually paid,” the fair value of equity awards is calculated in accordance with ASC Topic 718 using the same assumption methodologies used to calculate the grant date fair value of awards for purposes of the Summary Compensation Table (refer to “Executive Compensation– Summary Compensation Table” for additional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16"/>
        </w:rPr>
        <w:t>The following table shows the amounts deducted from and added to the Summary Compensation Table total to calculate “compensation actually paid” to Dr. Short in accordance with the Pay Versus Performance Rules:</w:t>
      </w:r>
    </w:p>
    <w:tbl>
      <w:tblPr>
        <w:tblW w:w="10205" w:type="dxa"/>
        <w:jc w:val="left"/>
        <w:tblInd w:w="0" w:type="dxa"/>
        <w:tblLayout w:type="fixed"/>
        <w:tblCellMar>
          <w:top w:w="28" w:type="dxa"/>
          <w:left w:w="28" w:type="dxa"/>
          <w:bottom w:w="28" w:type="dxa"/>
          <w:right w:w="28" w:type="dxa"/>
        </w:tblCellMar>
      </w:tblPr>
      <w:tblGrid>
        <w:gridCol w:w="481"/>
        <w:gridCol w:w="1207"/>
        <w:gridCol w:w="1001"/>
        <w:gridCol w:w="944"/>
        <w:gridCol w:w="1205"/>
        <w:gridCol w:w="988"/>
        <w:gridCol w:w="1003"/>
        <w:gridCol w:w="1092"/>
        <w:gridCol w:w="1048"/>
        <w:gridCol w:w="1236"/>
      </w:tblGrid>
      <w:tr>
        <w:trPr/>
        <w:tc>
          <w:tcPr>
            <w:tcW w:w="48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 Adjustments</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 Total for PEO</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Reported</w:t>
              <w:br/>
              <w:t>Value of Equity Awards</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 Fair Value of Equity Awards Granted in the Year and Unvested at Year End</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Outstanding and Unvested Equity Awards Granted in Prior Years</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Vesting Date of Equity Awards Granted and Vested in the Year</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of Equity Awards Granted in Prior Years that Vested in the Year</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the End of the Prior Year of Equity Awards that Failed to Meet Vesting Conditions in the Year</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Dividends or other Earnings Paid on Stock or Option Awards not Otherwise Reflected in Fair Value</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$879,248</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$(144,428)</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$244,679</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$(5,512)</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$(94,526)</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$(13,331)</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$866,130</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$1,952,798</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$(942,420)</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$246,530</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$(21,401)</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$1,235,507</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$3,301,346</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$(2,168,435)</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$(327,783)</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$(650,585)</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$154,543</w:t>
            </w:r>
          </w:p>
        </w:tc>
      </w:tr>
    </w:tbl>
    <w:p>
      <w:pPr>
        <w:pStyle w:val="TextBody"/>
        <w:bidi w:val="0"/>
        <w:spacing w:before="0" w:after="12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20"/>
        <w:jc w:val="left"/>
        <w:rPr>
          <w:rFonts w:ascii="Times New Roman" w:hAnsi="Times New Roman"/>
          <w:sz w:val="20"/>
        </w:rPr>
      </w:pPr>
      <w:r>
        <w:rPr>
          <w:rFonts w:ascii="Times New Roman" w:hAnsi="Times New Roman"/>
          <w:color w:val="202124"/>
          <w:sz w:val="13"/>
        </w:rPr>
        <w:t xml:space="preserve">(4) </w:t>
      </w:r>
      <w:r>
        <w:rPr>
          <w:rFonts w:ascii="Times New Roman" w:hAnsi="Times New Roman"/>
          <w:color w:val="000000"/>
          <w:sz w:val="16"/>
        </w:rPr>
        <w:t>The following table shows the amounts deducted from and added to the average Summary Compensation Table total compensation to calculate the average “compensation actually paid” to our non-PEO NEOs in accordance with the Pay Versus Performance Rules.</w:t>
      </w:r>
    </w:p>
    <w:tbl>
      <w:tblPr>
        <w:tblW w:w="10205" w:type="dxa"/>
        <w:jc w:val="left"/>
        <w:tblInd w:w="0" w:type="dxa"/>
        <w:tblLayout w:type="fixed"/>
        <w:tblCellMar>
          <w:top w:w="28" w:type="dxa"/>
          <w:left w:w="28" w:type="dxa"/>
          <w:bottom w:w="28" w:type="dxa"/>
          <w:right w:w="28" w:type="dxa"/>
        </w:tblCellMar>
      </w:tblPr>
      <w:tblGrid>
        <w:gridCol w:w="481"/>
        <w:gridCol w:w="146"/>
        <w:gridCol w:w="1145"/>
        <w:gridCol w:w="146"/>
        <w:gridCol w:w="842"/>
        <w:gridCol w:w="146"/>
        <w:gridCol w:w="773"/>
        <w:gridCol w:w="146"/>
        <w:gridCol w:w="1015"/>
        <w:gridCol w:w="146"/>
        <w:gridCol w:w="848"/>
        <w:gridCol w:w="146"/>
        <w:gridCol w:w="848"/>
        <w:gridCol w:w="146"/>
        <w:gridCol w:w="895"/>
        <w:gridCol w:w="146"/>
        <w:gridCol w:w="850"/>
        <w:gridCol w:w="146"/>
        <w:gridCol w:w="1194"/>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Summary Compensation Table Total for 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Reported</w:t>
              <w:br/>
              <w:t>Value of Equity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Year End Fair Value of Equity Awards Granted in the Year and Unvested at Year 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Year over Year Change in Fair Value of Outstanding and Unvested Equity Awards Granted in Prior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Fair Value as of Vesting Date of Equity Awards Granted and Vested in 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Change in Fair Value of Equity Awards Granted in Prior Years that Vested in 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Fair Value at the End of the Prior Year of Equity Awards that Failed to Meet Vesting Conditions in 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Value of Dividends or other Earnings Paid on Stock or Option Awards not Otherwise Reflected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$555,106</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$670,914</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$(33,822)</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202124"/>
          <w:sz w:val="13"/>
        </w:rPr>
        <w:t xml:space="preserve">(5) </w:t>
      </w:r>
      <w:r>
        <w:rPr>
          <w:rFonts w:ascii="Times New Roman" w:hAnsi="Times New Roman"/>
          <w:color w:val="000000"/>
          <w:sz w:val="16"/>
        </w:rPr>
        <w:t>Assumes $100 was invested for the period starting December 31, 2022, through the end of the listed year in a share of our common stock, and assumes reinvestment of dividends.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Relationship Between “Compensation Actually Paid” and Performance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the Pay Versus Performance Rules, the charts below illustrate how “compensation actually paid” to the NEOs aligns with the Company’s financial performance as measured by TSR and net loss. </w:t>
      </w:r>
    </w:p>
    <w:p>
      <w:pPr>
        <w:pStyle w:val="TextBody"/>
        <w:bidi w:val="0"/>
        <w:spacing w:before="240" w:after="240"/>
        <w:jc w:val="both"/>
        <w:rPr>
          <w:rFonts w:ascii="Times New Roman" w:hAnsi="Times New Roman"/>
          <w:i/>
          <w:color w:val="000000"/>
          <w:sz w:val="20"/>
          <w:u w:val="single"/>
        </w:rPr>
      </w:pPr>
      <w:r>
        <w:rPr>
          <w:rFonts w:ascii="Times New Roman" w:hAnsi="Times New Roman"/>
          <w:i/>
          <w:color w:val="000000"/>
          <w:sz w:val="20"/>
          <w:u w:val="single"/>
        </w:rPr>
        <w:t>Compensation Actually Paid and TSR</w:t>
      </w:r>
    </w:p>
    <w:p>
      <w:pPr>
        <w:pStyle w:val="TextBody"/>
        <w:bidi w:val="0"/>
        <w:jc w:val="center"/>
        <w:rPr/>
      </w:pPr>
      <w:r>
        <w:rPr/>
        <w:drawing>
          <wp:inline distT="0" distB="0" distL="0" distR="0">
            <wp:extent cx="4562475" cy="2952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62475" cy="29527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40"/>
        <w:jc w:val="both"/>
        <w:rPr/>
      </w:pPr>
      <w:r>
        <w:rPr/>
        <w:t> </w:t>
      </w:r>
    </w:p>
    <w:p>
      <w:pPr>
        <w:pStyle w:val="TextBody"/>
        <w:bidi w:val="0"/>
        <w:spacing w:before="0" w:after="240"/>
        <w:jc w:val="both"/>
        <w:rPr>
          <w:rFonts w:ascii="Times New Roman" w:hAnsi="Times New Roman"/>
          <w:i/>
          <w:color w:val="000000"/>
          <w:sz w:val="20"/>
          <w:u w:val="single"/>
        </w:rPr>
      </w:pPr>
      <w:r>
        <w:rPr>
          <w:rFonts w:ascii="Times New Roman" w:hAnsi="Times New Roman"/>
          <w:i/>
          <w:color w:val="000000"/>
          <w:sz w:val="20"/>
          <w:u w:val="single"/>
        </w:rPr>
        <w:t>Compensation Actually Paid and Net Loss</w:t>
      </w:r>
    </w:p>
    <w:p>
      <w:pPr>
        <w:pStyle w:val="TextBody"/>
        <w:bidi w:val="0"/>
        <w:jc w:val="center"/>
        <w:rPr/>
      </w:pPr>
      <w:r>
        <w:rPr/>
        <w:drawing>
          <wp:inline distT="0" distB="0" distL="0" distR="0">
            <wp:extent cx="4600575" cy="3057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00575" cy="30575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center"/>
        <w:rPr>
          <w:rFonts w:ascii="Times New Roman" w:hAnsi="Times New Roman"/>
          <w:b/>
          <w:caps/>
          <w:color w:val="000000"/>
          <w:sz w:val="20"/>
        </w:rPr>
      </w:pPr>
      <w:bookmarkStart w:id="14" w:name="equity_compensation_plan_information"/>
      <w:bookmarkEnd w:id="14"/>
      <w:r>
        <w:rPr>
          <w:rFonts w:ascii="Times New Roman" w:hAnsi="Times New Roman"/>
          <w:b/>
          <w:caps/>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maintain the following equity compensation plans that provide for the issuance of shares of our common stock to our officers and other employees, directors and consultants, each of which has been approved by our stockholders: our 2020 Equity Incentive Plan (“2020 Plan”) and our Employee Stock Purchase Plan (“ESPP”).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presents information as of December 31, 2025 with respect to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1940"/>
        <w:gridCol w:w="146"/>
        <w:gridCol w:w="358"/>
        <w:gridCol w:w="1707"/>
        <w:gridCol w:w="146"/>
        <w:gridCol w:w="146"/>
        <w:gridCol w:w="462"/>
        <w:gridCol w:w="1419"/>
        <w:gridCol w:w="146"/>
        <w:gridCol w:w="146"/>
        <w:gridCol w:w="662"/>
        <w:gridCol w:w="2732"/>
        <w:gridCol w:w="195"/>
      </w:tblGrid>
      <w:tr>
        <w:trPr/>
        <w:tc>
          <w:tcPr>
            <w:tcW w:w="1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of outstanding securities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column(a))</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166,257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384.00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69,799 (4)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69,799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Includes our 2020 Plan and our ESPP. For a description of these plans, refer to Note 8 to the historical financial statements included in our Annual Report on Form 10-K.</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117,581 stock options outstanding under the 2020 Plan and 48,676 RSUs outstanding under the 2020 Plan, each as of December 31, 2025.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weighted-average exercise price is calculated based solely on the exercise prices of the outstanding options and do not reflect the shares that will be issued upon the vesting of outstanding awards of RSUs, which have no exercise price.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26,013 shares available for issuance under the 2020 Plan and 43,786 shares available for issuance under the ESPP. In addition, the number of shares reserved for issuance under the 2020 Plan automatically increases on January 1 of each year through 2030 by a number of shares of common stock equal to 4% of the outstanding number of shares of our common stock on the immediately preceding December 31 or such lesser number of shares as determined by our board of directors. The number of shares reserved for issuance under the ESPP automatically increases on January 1 of each year through 2030 by the number of shares equal to the lesser of (i) 1.0% of the total number of common shares of our common stock outstanding on December 31 of the immediately preceding calendar year (calculated on a fully diluted basis), (ii) 18,593 shares of our common stock or (iii) such lesser number of shares as determined by our board of directors. Pursuant to these provisions, an additional 30,769 and 16,291 shares of common stock were added to the 2020 Plan and ESPP, respectively, effective January 1, 2026, which are not reflected in the table above.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jc w:val="center"/>
        <w:rPr>
          <w:rFonts w:ascii="Times New Roman" w:hAnsi="Times New Roman"/>
          <w:caps/>
          <w:color w:val="000000"/>
          <w:sz w:val="20"/>
        </w:rPr>
      </w:pPr>
      <w:bookmarkStart w:id="15" w:name="certain_relationships_and_related"/>
      <w:bookmarkEnd w:id="15"/>
      <w:r>
        <w:rPr>
          <w:rFonts w:ascii="Times New Roman" w:hAnsi="Times New Roman"/>
          <w:caps/>
          <w:color w:val="000000"/>
          <w:sz w:val="20"/>
        </w:rPr>
        <w:t>CERTAIN RELATIONSHIPS AND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executive officer and director compensation arrangements discussed above under “Executive Compensation” and “Proposal One: Election of Directors—Director Compensation,” respectively, since January 1, 2023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 other than equity and other compensation, termination, change of control and other arrangements, which are described under “Executive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Himalaya Therapeutics SEZC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Himalaya Therapeutics SEZC (“Himalaya”) is a related party as Dr. Short, our Chief Executive Officer and Chairman of the Board of Directors, and his spouse, Carolyn Anderson Short, serve as directors for Himalaya, and Carolyn Anderson Short also serves as an officer of such entity.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Clinical Trial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entered into an amended Clinical Trial Services Agreement with Himalaya, which amends the Clinical Trial Agreement with Himalaya, dated April 8, 2022, pursuant to which Himalaya agreed to provide services related to the initiation of clinical trials for BA3011 in the People’s Republic of China. Under the amended agreement, BioAtla will pay Himalaya for the full-time use of two of its personnel and provide services related to the initiation of clinical trials for evalstotug in China for a period of twelve months.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Global Transaction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entered into a Global Transaction Agreement (the “Himalaya Agreement”) with Himalaya. BioAtla and Himalaya had previously entered into an Amended and Restated Exclusive Rights Agreement (the “Amended Rights Agreement”) in January 2020. Pursuant to the Amended Rights Agreement, Himalaya controls rights to develop, manufacture and commercialize certain assets in certain territories, including BA3362 which was licensed to Context Therapeutics Inc. in September 2024 (“Context”) (see Note 9 to the historical financial statements included in our Annual Report on Form 10-K). Pursuant to the Himalaya Agreement, Himalaya consented to BioAtla’s execution and performance of the Context License Agreement, and granted to BioAtla an exclusive, worldwide, sublicensable license for those impacted products and intellectual property. Further, as set forth in the Amended Rights Agreement and further clarified in the Himalaya Agreement, BioAtla agreed to pay Himalaya, subject to any applicable tax withholdings,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BioAtla is the principal in the Context License Agreement and in the Himalaya Agreement and will record revenues and expenses on a gross basis given that BioAtla had full discretion in setting consideration pricing in the Context License Agreement. BioAtla will be primarily responsible for providing the License, and Himalaya has no obligation to be a part of any of the fulfillment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twelve months ended December 31, 2025, we recognized $0.3 million in research and development expense related to the transactions with Himalaya. We did not have any amounts due from or due to Himalaya Therapeutics SEZC as of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Inversagen AI LLC</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Investment Agreement</w:t>
      </w:r>
    </w:p>
    <w:p>
      <w:pPr>
        <w:pStyle w:val="TextBody"/>
        <w:bidi w:val="0"/>
        <w:jc w:val="left"/>
        <w:rPr>
          <w:rFonts w:ascii="Times New Roman" w:hAnsi="Times New Roman"/>
          <w:color w:val="000000"/>
          <w:sz w:val="20"/>
        </w:rPr>
      </w:pPr>
      <w:r>
        <w:rPr>
          <w:rFonts w:ascii="Times New Roman" w:hAnsi="Times New Roman"/>
          <w:color w:val="000000"/>
          <w:sz w:val="20"/>
        </w:rPr>
        <w:t>On December 30, 2025, we entered into an Investment Agreement (the “Investment Agreement”) with Inversagen AI LLC, a Delaware limited liability company (“Inversagen AI”), and Alliance International Resources Corp., a Nevada corporation (“AIRC”). Inversagen AI is a related party of the Company, as the Company’s Chairman and Chief Executive Officer, Dr. Jay Short, and his spouse serve as managers of Inversagen AI.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 elimination therapy.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planned to use the gross proceeds received from the sale of the SPV common units to Inversagen AI for general operating expenses and clinical trial expenses to advance Oz-V in the Phase 3 Study. However, in connection with recent events, including the previously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Inversagen, LLC, a Delaware Limited Liability Company (“Inversagen LLC”) holds an exclusive license to CAB senescence and longevity technologies from the Company. Inversagen LLC subsequently contributed these rights to Inversagen AI. Inversagen, LLC is a related party of the Company, as Dr. Short and his spouse serve as managers of Inversagen LLC.</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Policies and Procedures for Transactions with Related Persons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Transactions involving compensation for services provided to us as an employee, consultant or director are not considered related-person transactions under this policy. A related person is any executive officer, director or a holder of more than 5% of our common stock, including any of their immediate family members and any entity owned or controlled by such persons.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the material facts, the direct and indirect interests of the related persons, the benefits of the transaction to us and whether any alternative transactions are available.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costs and benefits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a director’s independence in the event the related person is a director, immediate family member of a director or an entity with which a director is affiliated;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other sources for comparable services or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available to or from, as the case may be, unrelated third parties or to or from our employees generally.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a director has an interest in the proposed transaction, the director must recuse himself or herself from the deliberations and approval.</w:t>
      </w:r>
    </w:p>
    <w:p>
      <w:pPr>
        <w:pStyle w:val="Heading1"/>
        <w:bidi w:val="0"/>
        <w:spacing w:before="360" w:after="240"/>
        <w:jc w:val="center"/>
        <w:rPr>
          <w:rFonts w:ascii="Times New Roman" w:hAnsi="Times New Roman"/>
          <w:color w:val="000000"/>
          <w:sz w:val="20"/>
        </w:rPr>
      </w:pPr>
      <w:bookmarkStart w:id="16" w:name="delinquent_section_16a_reports"/>
      <w:bookmarkEnd w:id="16"/>
      <w:r>
        <w:rPr>
          <w:rFonts w:ascii="Times New Roman" w:hAnsi="Times New Roman"/>
          <w:color w:val="000000"/>
          <w:sz w:val="20"/>
        </w:rPr>
        <w:t>DELINQUENT SECTION 16(a) REPORTS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16(a) of the Exchange Act requires our directors, executive officers and persons who own more than 10% of our outstanding shares of common stock to file reports of their ownership and changes in their ownership of our common stock. We believe that applicable Section 16(a) filing requirements were met during 2025, with the exception of the following due to administrative error: Forms 4 were filed late on February 24, 2025 on behalf of each of Drs. Short and Sievers and Messrs. Vasquez and Waldron relating to shares that were withheld by the Company to satisfy income tax and withholding and remittance obligations in connection with the vesting and net settlement of previously reported restricted stock units.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spacing w:before="240" w:after="283"/>
        <w:jc w:val="center"/>
        <w:rPr>
          <w:rFonts w:ascii="Times New Roman" w:hAnsi="Times New Roman"/>
          <w:caps/>
          <w:color w:val="000000"/>
          <w:sz w:val="20"/>
        </w:rPr>
      </w:pPr>
      <w:bookmarkStart w:id="17" w:name="report_of_the_audit_committee"/>
      <w:bookmarkEnd w:id="17"/>
      <w:r>
        <w:rPr>
          <w:rFonts w:ascii="Times New Roman" w:hAnsi="Times New Roman"/>
          <w:caps/>
          <w:color w:val="000000"/>
          <w:sz w:val="20"/>
        </w:rPr>
        <w:t>REPORT OF THE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audit committee has reviewed and discussed with our management and Ernst &amp; Young LLP our audited financial statements for the fiscal year ended December 31, 2025. Our audit committee has also discussed with Ernst &amp; Young LLP the matters required to be discussed by the applicable requirements of the Public Company Accounting Oversight Board (PCAOB) and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audit committee has received and reviewed the written disclosures and the letter from Ernst &amp; Young LLP required by applicable requirements of the PCAOB regarding the independent accountant’s communications with our audit committee concerning independence, and has discussed with Ernst &amp; Young LLP its independence from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review and discussions referred to above, our audit committee recommended to our board of directors that the audited financial statements be included in our Annual Report on Form 10-K for filing with the SEC.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Submitted by the Audit Committee</w:t>
      </w:r>
    </w:p>
    <w:p>
      <w:pPr>
        <w:pStyle w:val="TextBody"/>
        <w:bidi w:val="0"/>
        <w:jc w:val="center"/>
        <w:rPr>
          <w:rFonts w:ascii="Times New Roman" w:hAnsi="Times New Roman"/>
          <w:color w:val="000000"/>
          <w:sz w:val="20"/>
        </w:rPr>
      </w:pPr>
      <w:r>
        <w:rPr>
          <w:rFonts w:ascii="Times New Roman" w:hAnsi="Times New Roman"/>
          <w:color w:val="000000"/>
          <w:sz w:val="20"/>
        </w:rPr>
        <w:t>Mary Ann Gray, Ph.D., Chair</w:t>
      </w:r>
    </w:p>
    <w:p>
      <w:pPr>
        <w:pStyle w:val="TextBody"/>
        <w:bidi w:val="0"/>
        <w:jc w:val="center"/>
        <w:rPr>
          <w:rFonts w:ascii="Times New Roman" w:hAnsi="Times New Roman"/>
          <w:color w:val="000000"/>
          <w:sz w:val="20"/>
        </w:rPr>
      </w:pPr>
      <w:r>
        <w:rPr>
          <w:rFonts w:ascii="Times New Roman" w:hAnsi="Times New Roman"/>
          <w:color w:val="000000"/>
          <w:sz w:val="20"/>
        </w:rPr>
        <w:t>Sylvia McBrinn</w:t>
      </w:r>
    </w:p>
    <w:p>
      <w:pPr>
        <w:pStyle w:val="TextBody"/>
        <w:bidi w:val="0"/>
        <w:jc w:val="center"/>
        <w:rPr>
          <w:rFonts w:ascii="Times New Roman" w:hAnsi="Times New Roman"/>
          <w:color w:val="000000"/>
          <w:sz w:val="20"/>
        </w:rPr>
      </w:pPr>
      <w:r>
        <w:rPr>
          <w:rFonts w:ascii="Times New Roman" w:hAnsi="Times New Roman"/>
          <w:color w:val="000000"/>
          <w:sz w:val="20"/>
        </w:rPr>
        <w:t>Edward Williams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spacing w:before="240" w:after="283"/>
        <w:jc w:val="center"/>
        <w:rPr>
          <w:rFonts w:ascii="Times New Roman" w:hAnsi="Times New Roman"/>
          <w:caps/>
          <w:color w:val="000000"/>
          <w:sz w:val="20"/>
        </w:rPr>
      </w:pPr>
      <w:bookmarkStart w:id="18" w:name="additional_information"/>
      <w:bookmarkEnd w:id="18"/>
      <w:r>
        <w:rPr>
          <w:rFonts w:ascii="Times New Roman" w:hAnsi="Times New Roman"/>
          <w:caps/>
          <w:color w:val="000000"/>
          <w:sz w:val="20"/>
        </w:rPr>
        <w:t>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mail, without charge, upon written request, a copy of our Annual Report on Form 10-K, including the financial statements and list of exhibits, and any exhibit specifically requested. Requests should be sent to: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color w:val="000000"/>
          <w:sz w:val="20"/>
        </w:rPr>
      </w:pPr>
      <w:r>
        <w:rPr>
          <w:rFonts w:ascii="Times New Roman" w:hAnsi="Times New Roman"/>
          <w:color w:val="000000"/>
          <w:sz w:val="20"/>
        </w:rPr>
        <w:t>11085 Torreyana Road</w:t>
      </w:r>
    </w:p>
    <w:p>
      <w:pPr>
        <w:pStyle w:val="TextBody"/>
        <w:bidi w:val="0"/>
        <w:jc w:val="center"/>
        <w:rPr>
          <w:rFonts w:ascii="Times New Roman" w:hAnsi="Times New Roman"/>
          <w:color w:val="000000"/>
          <w:sz w:val="20"/>
        </w:rPr>
      </w:pPr>
      <w:r>
        <w:rPr>
          <w:rFonts w:ascii="Times New Roman" w:hAnsi="Times New Roman"/>
          <w:color w:val="000000"/>
          <w:sz w:val="20"/>
        </w:rPr>
        <w:t>San Diego, California 92121</w:t>
      </w:r>
    </w:p>
    <w:p>
      <w:pPr>
        <w:pStyle w:val="TextBody"/>
        <w:bidi w:val="0"/>
        <w:jc w:val="center"/>
        <w:rPr>
          <w:rFonts w:ascii="Times New Roman" w:hAnsi="Times New Roman"/>
          <w:color w:val="000000"/>
          <w:sz w:val="20"/>
        </w:rPr>
      </w:pPr>
      <w:r>
        <w:rPr>
          <w:rFonts w:ascii="Times New Roman" w:hAnsi="Times New Roman"/>
          <w:color w:val="000000"/>
          <w:sz w:val="20"/>
        </w:rPr>
        <w:t>Attn: Investor Relations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Annual Report on Form 10-K is also available at www.bioatla.com under “Financials/SEC Filings” in the “Investors” section of our website.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Heading1"/>
        <w:bidi w:val="0"/>
        <w:spacing w:before="240" w:after="283"/>
        <w:jc w:val="center"/>
        <w:rPr>
          <w:rFonts w:ascii="Times New Roman" w:hAnsi="Times New Roman"/>
          <w:caps/>
          <w:color w:val="000000"/>
          <w:sz w:val="20"/>
        </w:rPr>
      </w:pPr>
      <w:bookmarkStart w:id="19" w:name="other_matters"/>
      <w:bookmarkEnd w:id="19"/>
      <w:r>
        <w:rPr>
          <w:rFonts w:ascii="Times New Roman" w:hAnsi="Times New Roman"/>
          <w:caps/>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pStyle w:val="TextBody"/>
        <w:bidi w:val="0"/>
        <w:jc w:val="left"/>
        <w:rPr/>
      </w:pPr>
      <w:r>
        <w:rPr/>
        <w:t> </w:t>
      </w:r>
    </w:p>
    <w:tbl>
      <w:tblPr>
        <w:tblW w:w="3657" w:type="dxa"/>
        <w:jc w:val="left"/>
        <w:tblInd w:w="0" w:type="dxa"/>
        <w:tblLayout w:type="fixed"/>
        <w:tblCellMar>
          <w:top w:w="28" w:type="dxa"/>
          <w:left w:w="28" w:type="dxa"/>
          <w:bottom w:w="28" w:type="dxa"/>
          <w:right w:w="28" w:type="dxa"/>
        </w:tblCellMar>
      </w:tblPr>
      <w:tblGrid>
        <w:gridCol w:w="3466"/>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color w:val="000000"/>
              </w:rPr>
            </w:pPr>
            <w:r>
              <w:rPr>
                <w:color w:val="000000"/>
              </w:rPr>
              <w:t> </w:t>
            </w:r>
            <w:r>
              <w:rPr>
                <w:rFonts w:ascii="Times New Roman" w:hAnsi="Times New Roman"/>
                <w:color w:val="000000"/>
                <w:sz w:val="20"/>
              </w:rPr>
              <w:t>/s/ Jay M. Short,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xml:space="preserve">Co-founder, Chief Executive Officer and </w:t>
              <w:br/>
              <w:t>Chairman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Diego, California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drawing>
          <wp:inline distT="0" distB="0" distL="0" distR="0">
            <wp:extent cx="5943600" cy="768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drawing>
          <wp:inline distT="0" distB="0" distL="0" distR="0">
            <wp:extent cx="5943600" cy="768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24412</Words>
  <Characters>132327</Characters>
  <CharactersWithSpaces>156432</CharactersWithSpaces>
  <Paragraphs>2389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