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80"/>
        <w:jc w:val="left"/>
        <w:rPr/>
      </w:pPr>
      <w:hyperlink w:anchor="toc">
        <w:bookmarkStart w:id="0" w:name="bcab-20241231.htm"/>
        <w:bookmarkStart w:id="1" w:name="ksbcab20241231"/>
        <w:bookmarkEnd w:id="0"/>
        <w:bookmarkEnd w:id="1"/>
        <w:r>
          <w:rPr>
            <w:rStyle w:val="InternetLink"/>
            <w:rFonts w:ascii="Times New Roman" w:hAnsi="Times New Roman"/>
            <w:b/>
            <w:color w:val="000000"/>
            <w:sz w:val="18"/>
            <w:u w:val="single"/>
          </w:rPr>
          <w:t>Table of Contents</w:t>
        </w:r>
      </w:hyperlink>
    </w:p>
    <w:p>
      <w:pPr>
        <w:pStyle w:val="TextBody"/>
        <w:pBdr>
          <w:bottom w:val="double" w:sz="6" w:space="1" w:color="000000"/>
        </w:pBdr>
        <w:bidi w:val="0"/>
        <w:jc w:val="left"/>
        <w:rPr/>
      </w:pPr>
      <w:r>
        <w:rPr/>
        <w:t> </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18"/>
        </w:rPr>
      </w:pPr>
      <w:r>
        <w:rPr>
          <w:rFonts w:ascii="Times New Roman" w:hAnsi="Times New Roman"/>
          <w:b/>
          <w:color w:val="000000"/>
          <w:sz w:val="18"/>
        </w:rPr>
        <w:t>Washington, D.C. 20549</w:t>
      </w:r>
    </w:p>
    <w:p>
      <w:pPr>
        <w:pStyle w:val="TextBody"/>
        <w:bidi w:val="0"/>
        <w:spacing w:before="40" w:after="283"/>
        <w:jc w:val="center"/>
        <w:rPr>
          <w:rFonts w:ascii="Times New Roman" w:hAnsi="Times New Roman"/>
          <w:b/>
          <w:color w:val="000000"/>
          <w:sz w:val="32"/>
        </w:rPr>
      </w:pPr>
      <w:r>
        <w:rPr>
          <w:rFonts w:ascii="Times New Roman" w:hAnsi="Times New Roman"/>
          <w:b/>
          <w:color w:val="000000"/>
          <w:sz w:val="32"/>
        </w:rPr>
        <w:t>Form 10-K</w:t>
      </w:r>
    </w:p>
    <w:p>
      <w:pPr>
        <w:pStyle w:val="TextBody"/>
        <w:bidi w:val="0"/>
        <w:spacing w:before="54" w:after="283"/>
        <w:jc w:val="left"/>
        <w:rPr>
          <w:rFonts w:ascii="Times New Roman" w:hAnsi="Times New Roman"/>
          <w:b/>
          <w:color w:val="000000"/>
          <w:sz w:val="18"/>
        </w:rPr>
      </w:pPr>
      <w:r>
        <w:rPr>
          <w:rFonts w:ascii="Times New Roman" w:hAnsi="Times New Roman"/>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1"/>
              </w:rPr>
            </w:pPr>
            <w:r>
              <w:rPr>
                <w:rFonts w:ascii="Times New Roman" w:hAnsi="Times New Roman"/>
                <w:b/>
                <w:color w:val="000000"/>
                <w:sz w:val="21"/>
              </w:rPr>
              <w:t>ANNUAL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fiscal year ended December 31, 2024</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For the transition period from to .</w:t>
      </w:r>
    </w:p>
    <w:p>
      <w:pPr>
        <w:pStyle w:val="TextBody"/>
        <w:bidi w:val="0"/>
        <w:spacing w:before="40" w:after="283"/>
        <w:jc w:val="center"/>
        <w:rPr>
          <w:rFonts w:ascii="Times New Roman" w:hAnsi="Times New Roman"/>
          <w:b/>
          <w:color w:val="000000"/>
          <w:sz w:val="18"/>
        </w:rPr>
      </w:pPr>
      <w:r>
        <w:rPr>
          <w:rFonts w:ascii="Times New Roman" w:hAnsi="Times New Roman"/>
          <w:b/>
          <w:color w:val="000000"/>
          <w:sz w:val="18"/>
        </w:rPr>
        <w:t>Commission file number 001-39787</w:t>
      </w:r>
    </w:p>
    <w:p>
      <w:pPr>
        <w:pStyle w:val="TextBody"/>
        <w:bidi w:val="0"/>
        <w:spacing w:before="40" w:after="283"/>
        <w:jc w:val="center"/>
        <w:rPr>
          <w:rFonts w:ascii="Times New Roman" w:hAnsi="Times New Roman"/>
          <w:b/>
          <w:color w:val="000000"/>
          <w:sz w:val="44"/>
        </w:rPr>
      </w:pPr>
      <w:r>
        <w:rPr>
          <w:rFonts w:ascii="Times New Roman" w:hAnsi="Times New Roman"/>
          <w:b/>
          <w:color w:val="000000"/>
          <w:sz w:val="44"/>
        </w:rPr>
        <w:t>BIOATLA,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tbl>
      <w:tblPr>
        <w:tblW w:w="4888" w:type="dxa"/>
        <w:jc w:val="left"/>
        <w:tblInd w:w="0" w:type="dxa"/>
        <w:tblLayout w:type="fixed"/>
        <w:tblCellMar>
          <w:top w:w="28" w:type="dxa"/>
          <w:left w:w="28" w:type="dxa"/>
          <w:bottom w:w="28" w:type="dxa"/>
          <w:right w:w="28" w:type="dxa"/>
        </w:tblCellMar>
      </w:tblPr>
      <w:tblGrid>
        <w:gridCol w:w="3496"/>
        <w:gridCol w:w="146"/>
        <w:gridCol w:w="124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85-1922320</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(State or other jurisdiction of</w:t>
              <w:b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3496" w:type="dxa"/>
            <w:tcBorders/>
            <w:tcMar>
              <w:top w:w="0" w:type="dxa"/>
              <w:left w:w="0" w:type="dxa"/>
              <w:bottom w:w="0" w:type="dxa"/>
              <w:right w:w="0" w:type="dxa"/>
            </w:tcMar>
            <w:vAlign w:val="center"/>
          </w:tcPr>
          <w:p>
            <w:pPr>
              <w:pStyle w:val="TableContents"/>
              <w:bidi w:val="0"/>
              <w:spacing w:before="0" w:after="283"/>
              <w:jc w:val="left"/>
              <w:rPr/>
            </w:pPr>
            <w:r>
              <w:rPr/>
              <w:t> </w:t>
            </w:r>
          </w:p>
        </w:tc>
        <w:tc>
          <w:tcPr>
            <w:tcW w:w="139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11085 Torreyana Road, San Diego, California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92121</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jc w:val="center"/>
        <w:rPr>
          <w:rFonts w:ascii="Times New Roman" w:hAnsi="Times New Roman"/>
          <w:b/>
          <w:color w:val="000000"/>
          <w:sz w:val="16"/>
        </w:rPr>
      </w:pPr>
      <w:r>
        <w:rPr>
          <w:rFonts w:ascii="Times New Roman" w:hAnsi="Times New Roman"/>
          <w:b/>
          <w:color w:val="000000"/>
          <w:sz w:val="16"/>
        </w:rPr>
        <w:t>(858) 558-0708</w:t>
      </w:r>
    </w:p>
    <w:p>
      <w:pPr>
        <w:pStyle w:val="TextBody"/>
        <w:bidi w:val="0"/>
        <w:spacing w:before="54" w:after="283"/>
        <w:jc w:val="center"/>
        <w:rPr>
          <w:rFonts w:ascii="Times New Roman" w:hAnsi="Times New Roman"/>
          <w:b/>
          <w:color w:val="000000"/>
          <w:sz w:val="16"/>
        </w:rPr>
      </w:pPr>
      <w:r>
        <w:rPr>
          <w:rFonts w:ascii="Times New Roman" w:hAnsi="Times New Roman"/>
          <w:b/>
          <w:color w:val="000000"/>
          <w:sz w:val="16"/>
        </w:rPr>
        <w:t>Securities registered pursuant to Section 12(b) of the Act:</w:t>
      </w:r>
    </w:p>
    <w:tbl>
      <w:tblPr>
        <w:tblW w:w="6490" w:type="dxa"/>
        <w:jc w:val="left"/>
        <w:tblInd w:w="0" w:type="dxa"/>
        <w:tblLayout w:type="fixed"/>
        <w:tblCellMar>
          <w:top w:w="28" w:type="dxa"/>
          <w:left w:w="28" w:type="dxa"/>
          <w:bottom w:w="28" w:type="dxa"/>
          <w:right w:w="28" w:type="dxa"/>
        </w:tblCellMar>
      </w:tblPr>
      <w:tblGrid>
        <w:gridCol w:w="3361"/>
        <w:gridCol w:w="146"/>
        <w:gridCol w:w="706"/>
        <w:gridCol w:w="146"/>
        <w:gridCol w:w="213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13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w:t>
              <w:br/>
              <w:t>Symbol(s)</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3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each exchange</w:t>
              <w:br/>
              <w:t>on which registered</w:t>
            </w:r>
          </w:p>
        </w:tc>
      </w:tr>
      <w:tr>
        <w:trPr/>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 $0.0001 par value per share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BCAB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Nasdaq Global Market</w:t>
            </w:r>
          </w:p>
        </w:tc>
      </w:tr>
    </w:tbl>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Securities registered pursuant to Section 12(g) of the Act: None</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a well-known seasoned issuer, as defined in Rule 405 of the Securities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if the registrant is not required to file reports pursuant to Section 13 or Section 15(d) of the Act. Yes ☐ or No</w:t>
      </w:r>
      <w:r>
        <w:rPr>
          <w:rFonts w:ascii="Times New Roman" w:hAnsi="Times New Roman"/>
          <w:color w:val="000000"/>
          <w:sz w:val="20"/>
        </w:rPr>
        <w:t xml:space="preserve">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6"/>
        </w:rPr>
        <w:t>or No ☐</w:t>
      </w:r>
    </w:p>
    <w:p>
      <w:pPr>
        <w:pStyle w:val="TextBody"/>
        <w:bidi w:val="0"/>
        <w:spacing w:before="40" w:after="283"/>
        <w:jc w:val="left"/>
        <w:rPr>
          <w:rFonts w:ascii="Times New Roman" w:hAnsi="Times New Roman"/>
          <w:sz w:val="20"/>
        </w:rPr>
      </w:pPr>
      <w:r>
        <w:rPr>
          <w:rFonts w:ascii="Times New Roman" w:hAnsi="Times New Roman"/>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40" w:after="283"/>
        <w:jc w:val="left"/>
        <w:rPr/>
      </w:pPr>
      <w:r>
        <w:rPr/>
        <w:t> </w:t>
      </w:r>
    </w:p>
    <w:tbl>
      <w:tblPr>
        <w:tblW w:w="5056" w:type="dxa"/>
        <w:jc w:val="left"/>
        <w:tblInd w:w="0" w:type="dxa"/>
        <w:tblLayout w:type="fixed"/>
        <w:tblCellMar>
          <w:top w:w="28" w:type="dxa"/>
          <w:left w:w="28" w:type="dxa"/>
          <w:bottom w:w="28" w:type="dxa"/>
          <w:right w:w="28" w:type="dxa"/>
        </w:tblCellMar>
      </w:tblPr>
      <w:tblGrid>
        <w:gridCol w:w="2041"/>
        <w:gridCol w:w="109"/>
        <w:gridCol w:w="316"/>
        <w:gridCol w:w="109"/>
        <w:gridCol w:w="2011"/>
        <w:gridCol w:w="109"/>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4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Act). Yes ☐ No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6"/>
        </w:rPr>
        <w:t>As of June 30, 2024, the last business day of the registrant’s most recently completed second fiscal quarter, the aggregate market value of the registrant’s common stock held by non-affiliates of the registrant was approximately $59.9</w:t>
      </w:r>
      <w:r>
        <w:rPr>
          <w:rFonts w:ascii="Times New Roman" w:hAnsi="Times New Roman"/>
          <w:color w:val="000000"/>
          <w:sz w:val="20"/>
        </w:rPr>
        <w:t xml:space="preserve"> </w:t>
      </w:r>
      <w:r>
        <w:rPr>
          <w:rFonts w:ascii="Times New Roman" w:hAnsi="Times New Roman"/>
          <w:color w:val="000000"/>
          <w:sz w:val="16"/>
        </w:rPr>
        <w:t>million based on the closing sales price of $1.37 per share as reported on the Nasdaq Global Market.</w:t>
      </w:r>
    </w:p>
    <w:p>
      <w:pPr>
        <w:pStyle w:val="TextBody"/>
        <w:bidi w:val="0"/>
        <w:spacing w:before="40" w:after="283"/>
        <w:jc w:val="left"/>
        <w:rPr>
          <w:rFonts w:ascii="Times New Roman" w:hAnsi="Times New Roman"/>
          <w:sz w:val="20"/>
        </w:rPr>
      </w:pPr>
      <w:r>
        <w:rPr>
          <w:rFonts w:ascii="Times New Roman" w:hAnsi="Times New Roman"/>
          <w:color w:val="000000"/>
          <w:sz w:val="16"/>
        </w:rPr>
        <w:t>As of March 26, 2025, the number of shares of the registrant’s common stock outstanding was 58,401,147</w:t>
      </w:r>
      <w:r>
        <w:rPr>
          <w:rFonts w:ascii="Times New Roman" w:hAnsi="Times New Roman"/>
          <w:color w:val="000000"/>
          <w:sz w:val="20"/>
        </w:rPr>
        <w:t xml:space="preserve"> </w:t>
      </w:r>
      <w:r>
        <w:rPr>
          <w:rFonts w:ascii="Times New Roman" w:hAnsi="Times New Roman"/>
          <w:color w:val="000000"/>
          <w:sz w:val="16"/>
        </w:rPr>
        <w:t>and the number of shares of the registrant’s Class B common stock outstanding was 0.</w:t>
      </w:r>
    </w:p>
    <w:p>
      <w:pPr>
        <w:pStyle w:val="TextBody"/>
        <w:bidi w:val="0"/>
        <w:spacing w:before="4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Part III incorporates by reference certain information from the registrant’s definitive proxy statement (the “Proxy Statement”) relating to its 2025 Annual Meeting of Stockholders. The Proxy Statement will be filed with the United States Securities and Exchange Commission within 120 days after the end of the fiscal year to which this report relates.</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color w:val="000000"/>
          <w:sz w:val="18"/>
        </w:rPr>
      </w:pPr>
      <w:r>
        <w:rPr>
          <w:rFonts w:ascii="Times New Roman" w:hAnsi="Times New Roman"/>
          <w:color w:val="000000"/>
          <w:sz w:val="18"/>
        </w:rPr>
        <w:t>Annual Report on Form 10-K</w:t>
      </w:r>
    </w:p>
    <w:p>
      <w:pPr>
        <w:pStyle w:val="TextBody"/>
        <w:bidi w:val="0"/>
        <w:jc w:val="center"/>
        <w:rPr>
          <w:rFonts w:ascii="Times New Roman" w:hAnsi="Times New Roman"/>
          <w:color w:val="000000"/>
          <w:sz w:val="18"/>
        </w:rPr>
      </w:pPr>
      <w:r>
        <w:rPr>
          <w:rFonts w:ascii="Times New Roman" w:hAnsi="Times New Roman"/>
          <w:color w:val="000000"/>
          <w:sz w:val="18"/>
        </w:rPr>
        <w:t>For the Fiscal Year Ended December 31, 2024</w:t>
      </w:r>
    </w:p>
    <w:p>
      <w:pPr>
        <w:pStyle w:val="TextBody"/>
        <w:bidi w:val="0"/>
        <w:spacing w:before="216" w:after="283"/>
        <w:jc w:val="center"/>
        <w:rPr>
          <w:rFonts w:ascii="Times New Roman" w:hAnsi="Times New Roman"/>
          <w:b/>
          <w:color w:val="000000"/>
          <w:sz w:val="18"/>
        </w:rPr>
      </w:pPr>
      <w:bookmarkStart w:id="2" w:name="toc"/>
      <w:bookmarkEnd w:id="2"/>
      <w:r>
        <w:rPr>
          <w:rFonts w:ascii="Times New Roman" w:hAnsi="Times New Roman"/>
          <w:b/>
          <w:color w:val="000000"/>
          <w:sz w:val="18"/>
        </w:rPr>
        <w:t>TABLE OF CONTENTS</w:t>
      </w:r>
    </w:p>
    <w:tbl>
      <w:tblPr>
        <w:tblW w:w="10127" w:type="dxa"/>
        <w:jc w:val="left"/>
        <w:tblInd w:w="0" w:type="dxa"/>
        <w:tblLayout w:type="fixed"/>
        <w:tblCellMar>
          <w:top w:w="28" w:type="dxa"/>
          <w:left w:w="28" w:type="dxa"/>
          <w:bottom w:w="28" w:type="dxa"/>
          <w:right w:w="28" w:type="dxa"/>
        </w:tblCellMar>
      </w:tblPr>
      <w:tblGrid>
        <w:gridCol w:w="751"/>
        <w:gridCol w:w="266"/>
        <w:gridCol w:w="8071"/>
        <w:gridCol w:w="146"/>
        <w:gridCol w:w="146"/>
        <w:gridCol w:w="376"/>
        <w:gridCol w:w="371"/>
      </w:tblGrid>
      <w:tr>
        <w:trPr/>
        <w:tc>
          <w:tcPr>
            <w:tcW w:w="7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756" w:type="dxa"/>
            <w:gridSpan w:val="6"/>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SPECIAL NOTE REGARDING FORWARD-LOOKING STATEMENTS</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127" w:type="dxa"/>
            <w:gridSpan w:val="7"/>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756" w:type="dxa"/>
            <w:gridSpan w:val="6"/>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18"/>
                  <w:u w:val="single"/>
                </w:rPr>
                <w:t>Business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1A.</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1B.</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18"/>
                  <w:u w:val="single"/>
                </w:rPr>
                <w:t>Unresolved Staff Comments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1C.</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18"/>
                  <w:u w:val="single"/>
                </w:rPr>
                <w:t>Cybersecurity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2.</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18"/>
                  <w:u w:val="single"/>
                </w:rPr>
                <w:t>Properties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Item 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18"/>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088" w:type="dxa"/>
            <w:gridSpan w:val="3"/>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5.</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item_5_market_for_registrant">
              <w:r>
                <w:rPr>
                  <w:rStyle w:val="InternetLink"/>
                  <w:rFonts w:ascii="Times New Roman" w:hAnsi="Times New Roman"/>
                  <w:color w:val="0000FF"/>
                  <w:sz w:val="18"/>
                  <w:u w:val="single"/>
                </w:rPr>
                <w:t>Market for Registrant’s Common Equity, Related Stockholder Matters and Issuer Purchases of Equity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6.</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6_selected_financial_data">
              <w:r>
                <w:rPr>
                  <w:rStyle w:val="InternetLink"/>
                  <w:rFonts w:ascii="Times New Roman" w:hAnsi="Times New Roman"/>
                  <w:color w:val="0000FF"/>
                  <w:sz w:val="18"/>
                  <w:u w:val="single"/>
                </w:rPr>
                <w:t>Selected Financial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7_management_discussion">
              <w:r>
                <w:rPr>
                  <w:rStyle w:val="InternetLink"/>
                  <w:rFonts w:ascii="Times New Roman" w:hAnsi="Times New Roman"/>
                  <w:color w:val="0000FF"/>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7A.</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7a_quantitative_and_qualitative">
              <w:r>
                <w:rPr>
                  <w:rStyle w:val="InternetLink"/>
                  <w:rFonts w:ascii="Times New Roman" w:hAnsi="Times New Roman"/>
                  <w:color w:val="0000FF"/>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8.</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
              <w:r>
                <w:rPr>
                  <w:rStyle w:val="InternetLink"/>
                  <w:rFonts w:ascii="Times New Roman" w:hAnsi="Times New Roman"/>
                  <w:color w:val="0000FF"/>
                  <w:sz w:val="18"/>
                  <w:u w:val="single"/>
                </w:rPr>
                <w:t>Financial Statements and Supplementary Data</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9_changes_in_and_disagreements">
              <w:r>
                <w:rPr>
                  <w:rStyle w:val="InternetLink"/>
                  <w:rFonts w:ascii="Times New Roman" w:hAnsi="Times New Roman"/>
                  <w:color w:val="0000FF"/>
                  <w:sz w:val="18"/>
                  <w:u w:val="single"/>
                </w:rPr>
                <w:t>Changes in and Disagreements with Accountants on Accounting and Financial Disclosure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9A.</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9B.</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9b_other_information">
              <w:r>
                <w:rPr>
                  <w:rStyle w:val="InternetLink"/>
                  <w:rFonts w:ascii="Times New Roman" w:hAnsi="Times New Roman"/>
                  <w:color w:val="0000FF"/>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088" w:type="dxa"/>
            <w:gridSpan w:val="3"/>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10.</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0">
              <w:r>
                <w:rPr>
                  <w:rStyle w:val="InternetLink"/>
                  <w:rFonts w:ascii="Times New Roman" w:hAnsi="Times New Roman"/>
                  <w:color w:val="0000FF"/>
                  <w:sz w:val="18"/>
                  <w:u w:val="single"/>
                </w:rPr>
                <w:t>Directors, Executive Officers and Corporate Governance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11.</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1">
              <w:r>
                <w:rPr>
                  <w:rStyle w:val="InternetLink"/>
                  <w:rFonts w:ascii="Times New Roman" w:hAnsi="Times New Roman"/>
                  <w:color w:val="0000FF"/>
                  <w:sz w:val="18"/>
                  <w:u w:val="single"/>
                </w:rPr>
                <w:t>Executive Compensation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12.</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item_12">
              <w:r>
                <w:rPr>
                  <w:rStyle w:val="InternetLink"/>
                  <w:rFonts w:ascii="Times New Roman" w:hAnsi="Times New Roman"/>
                  <w:color w:val="0000FF"/>
                  <w:sz w:val="18"/>
                  <w:u w:val="single"/>
                </w:rPr>
                <w:t>Security Ownership of Certain Beneficial Owners and Management and Related Stockholder Matters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13.</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3">
              <w:r>
                <w:rPr>
                  <w:rStyle w:val="InternetLink"/>
                  <w:rFonts w:ascii="Times New Roman" w:hAnsi="Times New Roman"/>
                  <w:color w:val="0000FF"/>
                  <w:sz w:val="18"/>
                  <w:u w:val="single"/>
                </w:rPr>
                <w:t>Certain Relationships and Related Transactions, and Director Independence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14.</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4">
              <w:r>
                <w:rPr>
                  <w:rStyle w:val="InternetLink"/>
                  <w:rFonts w:ascii="Times New Roman" w:hAnsi="Times New Roman"/>
                  <w:color w:val="0000FF"/>
                  <w:sz w:val="18"/>
                  <w:u w:val="single"/>
                </w:rPr>
                <w:t>Principal Accountant Fees and Services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8"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1039" w:type="dxa"/>
            <w:gridSpan w:val="4"/>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9088" w:type="dxa"/>
            <w:gridSpan w:val="3"/>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PART IV</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15.</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5_exhibits_and_financial">
              <w:r>
                <w:rPr>
                  <w:rStyle w:val="InternetLink"/>
                  <w:rFonts w:ascii="Times New Roman" w:hAnsi="Times New Roman"/>
                  <w:color w:val="0000FF"/>
                  <w:sz w:val="18"/>
                  <w:u w:val="single"/>
                </w:rPr>
                <w:t>Exhibits and Financial Statement Schedules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Item 16.</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1" w:type="dxa"/>
            <w:tcBorders/>
            <w:tcMar>
              <w:top w:w="0" w:type="dxa"/>
              <w:left w:w="0" w:type="dxa"/>
              <w:bottom w:w="0" w:type="dxa"/>
              <w:right w:w="0" w:type="dxa"/>
            </w:tcMar>
            <w:vAlign w:val="center"/>
          </w:tcPr>
          <w:p>
            <w:pPr>
              <w:pStyle w:val="TableContents"/>
              <w:bidi w:val="0"/>
              <w:spacing w:before="0" w:after="283"/>
              <w:jc w:val="left"/>
              <w:rPr/>
            </w:pPr>
            <w:hyperlink w:anchor="item_16_form_10_k_summary">
              <w:r>
                <w:rPr>
                  <w:rStyle w:val="InternetLink"/>
                  <w:rFonts w:ascii="Times New Roman" w:hAnsi="Times New Roman"/>
                  <w:color w:val="0000FF"/>
                  <w:sz w:val="18"/>
                  <w:u w:val="single"/>
                </w:rPr>
                <w:t>Form 10-K Summary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88" w:type="dxa"/>
            <w:gridSpan w:val="3"/>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18"/>
                  <w:u w:val="single"/>
                </w:rPr>
                <w:t>SIGNATURES</w:t>
              </w:r>
            </w:hyperlink>
            <w:hyperlink w:anchor="signatures">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bookmarkStart w:id="3" w:name="part_i"/>
      <w:bookmarkEnd w:id="3"/>
      <w:r>
        <w:rPr>
          <w:rFonts w:ascii="Times New Roman" w:hAnsi="Times New Roman"/>
          <w:b/>
          <w:color w:val="000000"/>
          <w:sz w:val="18"/>
        </w:rPr>
        <w:t>PART I</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FORWARD-LOOKING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This Annual Report on Form 10-K contains forward-looking statements. We may, in some cases, use words such as “anticipate,” “believe,” “could,” “estimate,” “expect,” “intend,” “may,”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known and unknown risks, uncertainties and assumptions, including risks described in the section titled “Risk Factors” set forth in Part I, Item 1A of this Annual Report on Form 10-K and in our other filings with the SEC.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may differ materially and adversely from those anticipated or implied in the forward-looking statements. Forward-looking statements contained in this Annual Report on Form 10-K include, but are not limited to, statements about:</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develop and advance our current product candidates and programs into, and successfully complete,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ability of our clinical trials to demonstrate safety and efficacy of our product candidates and other positive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size of the market opportunity for our product candidates, including our estimates of the number of patients who suffer from the diseases we are targeting;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manufacturing, commercialization and marketing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and strategies to develop and commercialize our CAB antibodies;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plans to further develop our technology platform and expand our pipeline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potential benefits and advantages of our current and future product candidates that we may develop from our patented technology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or likelihood of regulatory filings and approvals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developments in the United States and Europe and other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expectations and plans to obtain funding for our operations, including from our existing and potential future collaboration and licensing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continue as a going concern;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expectations regarding our ability to obtain and maintain intellectual property protection for our technology platform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potential benefits of our strategic relationships and our plans to pursue additional strategic relationships;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continued reliance on third parties to conduct additional clinical trials of our product candidates and for the manufacture of our product candidates for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our ability to achieve the expected benefits of our workforce reduction;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estimates regarding expenses, future revenue, capital requirements and needs for additional financing;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impact of health epidemics and outbreaks on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caution you that the foregoing list may not contain all of the forward-looking statements made in this Annual Report on Form 10-K.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Annual Report on Form 10-K or to conform these statements to actual results or revised expectations.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You should read this Annual Report on Form 10-K with the understanding that our actual future results, levels of activity, performance and events and circumstances may be materially different from what we expect.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This Annual Report on Form 10-K contains estimates, projections and other information concerning our industry, our business and the markets for our product candidates. We obtained the industry, market and similar data set forth in this report from our own internal estimates and research and from academic and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Further, while we believe our internal research is reliable, such research has not been verified by any third party. You are cautioned not to give undue weight to any such information, projections and estimates.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Unless the context requires otherwise, references in this Annual Report on Form 10-K to “BioAtla,” “we,” “us” and “our” refer to BioAtla, Inc.</w:t>
      </w:r>
    </w:p>
    <w:p>
      <w:pPr>
        <w:pStyle w:val="TextBody"/>
        <w:bidi w:val="0"/>
        <w:spacing w:before="324" w:after="283"/>
        <w:jc w:val="left"/>
        <w:rPr>
          <w:rFonts w:ascii="Times New Roman" w:hAnsi="Times New Roman"/>
          <w:b/>
          <w:color w:val="000000"/>
          <w:sz w:val="18"/>
        </w:rPr>
      </w:pPr>
      <w:bookmarkStart w:id="4" w:name="item_1_business"/>
      <w:bookmarkEnd w:id="4"/>
      <w:r>
        <w:rPr>
          <w:rFonts w:ascii="Times New Roman" w:hAnsi="Times New Roman"/>
          <w:b/>
          <w:color w:val="000000"/>
          <w:sz w:val="18"/>
        </w:rPr>
        <w:t>ITEM 1. Business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08" w:after="283"/>
        <w:jc w:val="left"/>
        <w:rPr>
          <w:rFonts w:ascii="Times New Roman" w:hAnsi="Times New Roman"/>
          <w:sz w:val="20"/>
        </w:rPr>
      </w:pPr>
      <w:r>
        <w:rPr>
          <w:rFonts w:ascii="Times New Roman" w:hAnsi="Times New Roman"/>
          <w:color w:val="000000"/>
          <w:sz w:val="18"/>
        </w:rPr>
        <w:t>We are a clinical-stage biopharmaceutical company developing our novel class of highly specific and selective antibody-based therapeutics for the treatment of solid tumor cancers. Our conditionally active biologics (“CAB” or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cancer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The enhanced selectivity of our CAB technology has the potential to greatly improve the benefit-risk ratio for the patient and allows us to deliver desired drug levels either as monotherapy or utilizing unique multi-targeted or combination therapies that are currently difficult or impossible to develop. Additionally, the combination of reversible binding with the selective, precision capability of our CAB technology enables both increased antibody potency and reduced toxicity. By exploiting our novel understanding of tumor biology, we believe that our proprietary CAB technology has the potential to transform antibody-based cancer therapy.</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Our goal is to develop well-tolerated, novel cancer therapies that provide cures or extended survival to ensure patients’ improved quality of life. Studies have shown that, as a drug class, antibodies have transformed oncology treatment and include some of the best-selling therapies on the biopharmaceutical market. The broad applicability of our CAB technology allows us to develop a wide array of product candidate modalities, such as monoclonal antibodies, antibody-drug conjugates, (“ADCs”), T cell-engaging bispecific antibodies and chimeric antigen receptor T cells, or CAR-T cells. In 2021, we published a paper in the Proceedings of the National Academy of Sciences describing a novel mechanism using physiological chemicals as Protein-activated Chemical Switches</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(“PaCS”) for generating CAB antibodies. Initially, we applied the reversible binding and precision capability of our CAB technology to advance next-generation ADC therapies. We have also developed antibodies for immuno-oncology and for bispecific, T cell engagement.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strategy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mission is to develop and commercialize innovative antibody-based therapeutics for the treatment of solid tumors that are designed to bind depending on the physical and chemical properties of tumors and their microenvironment. We believe that our proprietary CAB technology and approach have the potential to transform cancer therapy by decreasing systemic toxicities and improving efficacy. Our strategy to achieve this mission is as follows: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 xml:space="preserve">Advance our lead product candidates through regulatory approval and commercialization. </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BA3182 (CAB-EpCAM x CAB-CD3)</w:t>
      </w:r>
      <w:r>
        <w:rPr>
          <w:rFonts w:ascii="Times New Roman" w:hAnsi="Times New Roman"/>
          <w:color w:val="000000"/>
          <w:sz w:val="18"/>
        </w:rPr>
        <w:t>: Our first bispecific candidate demonstrated in its investigational new drug (“IND”)-enabling studies a more than 100-fold improvement in the therapeutic window, as compared to a non-CAB anti-EpCAM bispecific antibody. We are advancing a Phase 1 study in advanced adenocarcinoma. Carcinoma is the most common form of cancer and adenocarcinoma is the most common subtype. Adenocarcinoma is most prevalent in the lung, prostate, breast, pancreas, esophagus, colon/rectum and stomach. Almost all prostate and breast cancers are adenocarcinoma, and about 96% of colorectal cancers are adenocarcinoma (American Cancer Society 2022).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 xml:space="preserve">Mecbotamab vedotin (BA3011): </w:t>
      </w:r>
      <w:r>
        <w:rPr>
          <w:rFonts w:ascii="Times New Roman" w:hAnsi="Times New Roman"/>
          <w:color w:val="000000"/>
          <w:sz w:val="18"/>
        </w:rPr>
        <w:t>Clinical data from our Phase 1 and Phase 2 part 1 trials with mecbotamab vedotin are supportive of its development in metastatic sarcomas, a set of cancers with a high unmet clinical need, and in metastatic non-small cell lung cancer (“NSCLC”) with KRAS mutations. In addition, we have obtained Food and Drug Administration (“FDA”) clearance to initiate a potentially registration-enabling Phase 2/3 trial in NSCLC in 2</w:t>
      </w:r>
      <w:r>
        <w:rPr>
          <w:rFonts w:ascii="Times New Roman" w:hAnsi="Times New Roman"/>
          <w:color w:val="000000"/>
          <w:sz w:val="12"/>
        </w:rPr>
        <w:t xml:space="preserve">nd </w:t>
      </w:r>
      <w:r>
        <w:rPr>
          <w:rFonts w:ascii="Times New Roman" w:hAnsi="Times New Roman"/>
          <w:color w:val="000000"/>
          <w:sz w:val="18"/>
        </w:rPr>
        <w:t>Line + or 3</w:t>
      </w:r>
      <w:r>
        <w:rPr>
          <w:rFonts w:ascii="Times New Roman" w:hAnsi="Times New Roman"/>
          <w:color w:val="000000"/>
          <w:sz w:val="12"/>
        </w:rPr>
        <w:t>rd</w:t>
      </w:r>
      <w:r>
        <w:rPr>
          <w:color w:val="000000"/>
        </w:rPr>
        <w:t xml:space="preserve"> </w:t>
      </w:r>
      <w:r>
        <w:rPr>
          <w:rFonts w:ascii="Times New Roman" w:hAnsi="Times New Roman"/>
          <w:color w:val="000000"/>
          <w:sz w:val="18"/>
        </w:rPr>
        <w:t>Line + population.</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120" w:after="283"/>
        <w:jc w:val="left"/>
        <w:rPr/>
      </w:pPr>
      <w:r>
        <w:rPr>
          <w:rFonts w:ascii="Times New Roman" w:hAnsi="Times New Roman"/>
          <w:i/>
          <w:color w:val="000000"/>
          <w:sz w:val="18"/>
        </w:rPr>
        <w:t>Ozuriftamab vedotin (BA3021):</w:t>
      </w:r>
      <w:r>
        <w:rPr>
          <w:color w:val="000000"/>
        </w:rPr>
        <w:t xml:space="preserve"> </w:t>
      </w:r>
      <w:r>
        <w:rPr>
          <w:rFonts w:ascii="Times New Roman" w:hAnsi="Times New Roman"/>
          <w:color w:val="000000"/>
          <w:sz w:val="18"/>
        </w:rPr>
        <w:t>In our Phase 1 trial, we have observed antitumor activity in NSCLC, melanoma and squamous cell carcinoma of head and neck (“SCCHN”) in patients who had failed programmed cell death protein 1 (“PD-1”) therapy, and we have an ongoing Phase 2 trial of ozuriftamab vedotin in SCCHN with fast-track designation from the FDA.</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Leverage our CAB platform to develop and enhance pre-clinical assets, including several CAB bispecific and next generation CAB ADC candidates to further address areas of high unmet needs in treating solid tumors.</w:t>
      </w:r>
      <w:r>
        <w:rPr>
          <w:color w:val="000000"/>
        </w:rPr>
        <w:t xml:space="preserve"> </w:t>
      </w:r>
      <w:r>
        <w:rPr>
          <w:rFonts w:ascii="Times New Roman" w:hAnsi="Times New Roman"/>
          <w:color w:val="000000"/>
          <w:sz w:val="18"/>
        </w:rPr>
        <w:t>We have shown in preclinical experiments, including for our Phase 1 clinical asset, BA3182, that our CAB bispecific molecules meet or exceed the activity of conventional bispecifics and reduce systemic activation of potentially fatal immune responses. For example, BA3182 demonstrated in its IND-enabling studies a more than 100-fold improvement in the therapeutic window as compared to a non-CAB anti-EpCAM bispecific antibody.</w:t>
      </w:r>
    </w:p>
    <w:p>
      <w:pPr>
        <w:pStyle w:val="TextBody"/>
        <w:bidi w:val="0"/>
        <w:spacing w:before="120" w:after="283"/>
        <w:jc w:val="left"/>
        <w:rPr>
          <w:rFonts w:ascii="Times New Roman" w:hAnsi="Times New Roman"/>
          <w:sz w:val="20"/>
        </w:rPr>
      </w:pPr>
      <w:r>
        <w:rPr>
          <w:rFonts w:ascii="Times New Roman" w:hAnsi="Times New Roman"/>
          <w:color w:val="000000"/>
          <w:sz w:val="18"/>
        </w:rPr>
        <w:t>We believe that our next generation CAB-ADC platform further widens that therapeutic window by enhancing the linker-payload system. Combining our CAB technology with our next generation CAB-ADC platform replaces the traditional peptide linker with a novel sugar-based linker to deliver the MMAE payload. It is expected that this new CAB-ADC system will further reduce off-target, off-tumor toxicity and thereby expand the therapeutic window.</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Maintain and strengthen our intellectual property portfolio.</w:t>
      </w:r>
      <w:r>
        <w:rPr>
          <w:color w:val="000000"/>
        </w:rPr>
        <w:t xml:space="preserve"> </w:t>
      </w:r>
      <w:r>
        <w:rPr>
          <w:rFonts w:ascii="Times New Roman" w:hAnsi="Times New Roman"/>
          <w:color w:val="000000"/>
          <w:sz w:val="18"/>
        </w:rPr>
        <w:t>As of February 1, 2025, we had a total of 752 patents and patent applications with 479 issued patents, 13 allowed applications and 260 pending applications covering our CAB technology and product candidates. This broad patent coverage was designed such that protection of our product candidates is not dependent on any single patent but rather, each product candidate is covered by several layers of protection. We plan to continue to maintain, monitor, enforce and defend our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 xml:space="preserve">Enter into collaborations to maximize the value of our platform and pipeline. </w:t>
      </w:r>
      <w:r>
        <w:rPr>
          <w:rFonts w:ascii="Times New Roman" w:hAnsi="Times New Roman"/>
          <w:color w:val="000000"/>
          <w:sz w:val="18"/>
        </w:rPr>
        <w:t>Given the potential of our technology to generate novel product candidates addressing a wide variety of solid tumors, we may opportunistically enter into strategic collaborations around specific geographic regions, indications, combinations and companion diagnostics. We may also explore collaboration arrangements to commercialize any product candidates where we believe the resources and expertise of the third party could be beneficial. We are currently seeking partnering opportunities across our portfolio, including for our clinical-stage programs, Ozuriftamab Vedotin and Evalstotug. These collaborations could advance and accelerate our programs to maximize their market potential and expand the worldwide commercial potential of our CAB technology and assets.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Our pipeline</w:t>
      </w:r>
    </w:p>
    <w:p>
      <w:pPr>
        <w:pStyle w:val="TextBody"/>
        <w:bidi w:val="0"/>
        <w:spacing w:before="108" w:after="283"/>
        <w:jc w:val="left"/>
        <w:rPr>
          <w:rFonts w:ascii="Times New Roman" w:hAnsi="Times New Roman"/>
          <w:sz w:val="20"/>
        </w:rPr>
      </w:pPr>
      <w:r>
        <w:rPr>
          <w:rFonts w:ascii="Times New Roman" w:hAnsi="Times New Roman"/>
          <w:color w:val="000000"/>
          <w:sz w:val="18"/>
        </w:rPr>
        <w:t>We believe that there is significant potential to improve therapeutics for our patients with our proprietary CAB antibody technology across well-validated oncology targets in solid tumors. The following table summarizes our current product candidate pipeline.</w:t>
      </w:r>
      <w:r>
        <w:rPr>
          <w:rFonts w:ascii="Times New Roman" w:hAnsi="Times New Roman"/>
          <w:color w:val="000000"/>
          <w:sz w:val="20"/>
        </w:rPr>
        <w:t xml:space="preserve"> </w:t>
      </w:r>
    </w:p>
    <w:p>
      <w:pPr>
        <w:pStyle w:val="TextBody"/>
        <w:bidi w:val="0"/>
        <w:jc w:val="center"/>
        <w:rPr/>
      </w:pPr>
      <w:r>
        <w:rPr/>
        <w:drawing>
          <wp:inline distT="0" distB="0" distL="0" distR="0">
            <wp:extent cx="6505575" cy="2124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505575" cy="2124075"/>
                    </a:xfrm>
                    <a:prstGeom prst="rect">
                      <a:avLst/>
                    </a:prstGeom>
                  </pic:spPr>
                </pic:pic>
              </a:graphicData>
            </a:graphic>
          </wp:inline>
        </w:drawing>
      </w:r>
    </w:p>
    <w:p>
      <w:pPr>
        <w:pStyle w:val="TextBody"/>
        <w:bidi w:val="0"/>
        <w:spacing w:before="216" w:after="283"/>
        <w:jc w:val="left"/>
        <w:rPr>
          <w:rFonts w:ascii="Times New Roman" w:hAnsi="Times New Roman"/>
          <w:sz w:val="20"/>
        </w:rPr>
      </w:pPr>
      <w:r>
        <w:rPr>
          <w:rFonts w:ascii="Times New Roman" w:hAnsi="Times New Roman"/>
          <w:b/>
          <w:color w:val="000000"/>
          <w:sz w:val="18"/>
        </w:rPr>
        <w:t>Mecbotamab vedotin (BA3011):</w:t>
      </w:r>
      <w:r>
        <w:rPr>
          <w:rFonts w:ascii="Times New Roman" w:hAnsi="Times New Roman"/>
          <w:color w:val="000000"/>
          <w:sz w:val="20"/>
        </w:rPr>
        <w:t xml:space="preserve"> </w:t>
      </w:r>
      <w:r>
        <w:rPr>
          <w:rFonts w:ascii="Times New Roman" w:hAnsi="Times New Roman"/>
          <w:color w:val="000000"/>
          <w:sz w:val="18"/>
        </w:rPr>
        <w:t>Our clinical stage product candidate, mecbotamab vedotin, or BA3011, is a CAB ADC that targets AXL, a protein kinase receptor that is expressed on the surface of many tumors. AXL is considered to be a driver of many cellular processes that are critical for the development, growth and spread of tumors, including proliferation, invasiveness and migration, stemness, which is related to core stem cell properties such as self-renewal and differentiation, angiogenesis, or the growth of blood vessels, and immune modulation. AXL has been shown to be involved in the epithelial-mesenchymal transition, or EMT, a process by which epithelial cells lose their cell polarity and cell-cell adhesion, and gain migratory and invasive properties to become mesenchymal stem cells (“MSCs”). MSCs are home to developing aggressive tumors, where they exacerbate cancer cell proliferation, motility, invasion and metastasis, foster angiogenesis, promote tumor fibrosis and suppress antitumor immune responses. Several therapeutic agents that target AXL have been developed and investigated in clinical trials, and several small-molecule AXL kinase inhibitors have been developed by others; however, the majority of these inhibitors, including one that is approved, are not highly selective for AXL. Although other non-CAB anti-AXL antibodies and ADCs have shown encouraging clinical signs of antitumor activity, adverse events, such as high-grade constipation and peripheral neuropathy, were particularly pronounced and led to discontinuation of clinical development of some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Mecbotamab vedotin is an ADC consisting of a CAB humanized immunoglobulin G, (“IgG1”), anti-AXL monoclonal antibody. The core antibody is conjugated using a cleavable linker attached to the well-known and proven toxin monomethyl auristatin E, or MMAE. Mecbotamab vedotin is designed to specifically and reversibly bind to AXL in conditions found within the tumor microenvironment, thus conferring a selectivity binding advantage for tumors over normal cells. Upon binding of mecbotamab vedotin to AXL on the surface of tumor cells, it is internalized and the MMAE cytotoxin is released, thus killing the cancer cell.</w:t>
      </w:r>
    </w:p>
    <w:p>
      <w:pPr>
        <w:pStyle w:val="TextBody"/>
        <w:bidi w:val="0"/>
        <w:spacing w:before="216" w:after="283"/>
        <w:jc w:val="left"/>
        <w:rPr>
          <w:rFonts w:ascii="Times New Roman" w:hAnsi="Times New Roman"/>
          <w:sz w:val="20"/>
        </w:rPr>
      </w:pPr>
      <w:r>
        <w:rPr>
          <w:rFonts w:ascii="Times New Roman" w:hAnsi="Times New Roman"/>
          <w:color w:val="000000"/>
          <w:sz w:val="18"/>
        </w:rPr>
        <w:t>We have conducted a Phase 2 study (BA3011-002) in NSCLC patients who have previously progressed on PD-1 / programmed cell death ligand 1 (“PD-L1”), epidermal growth factor receptor (“EGFR”), or anaplastic lymphoma kinase (“ALK”) inhibitor therapy. We also conducted a Phase 2 study in sarcoma in patients who were ineligible for chemotherapy or have received at least one regimen containing anthracycline. In both Phase 2 indications, we have enrolled patients either as a monotherapy or in combination with a PD-1 inhibitor, nivolumab. Both the monotherapy and combination treatment are broadly well tolerated with most events being low grade and reversible with no clinically meaningful on-target toxicity observed during the course of treatment. Drug-related adverse events appear likely to have been related to free-circulating MMAE payload-associated toxicity including reversible neutropenia, elevated liver function test and hyperglycemia which were all manageable and with low incidence. Our Phase 2 study in NSCLC has shown promising long-term survival in heavily pre-treated mutated KRAS NSCLC patients with mecbotamab vedotin at Q2W both as monotherapy and in combination with nivolumab.</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We have conducted a Phase 2, single-arm trial with mecbotamab vedotin monotherapy in patients with undifferentiated pleomorphic sarcoma (“UPS”) who have experienced prior treatment failure. We continue to see encouraging efficacy in AXL positive UPS patients, however, there is a potential need for a companion diagnostic and a likely requirement of a randomized trial in UPS. As a result, we may prioritize the larger, recently identified mutated KRAS NSCLC opportunity which shows high correlation with AXL expression, thereby utilizing an approved readily available companion diagnostic for KRAS mutations. Both soft tissue and bone sarcoma, as well as other indications, remain promising for potential future development.</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b/>
          <w:color w:val="000000"/>
          <w:sz w:val="18"/>
        </w:rPr>
        <w:t>Ozuriftabmab vedotin (BA3021):</w:t>
      </w:r>
      <w:r>
        <w:rPr>
          <w:rFonts w:ascii="Times New Roman" w:hAnsi="Times New Roman"/>
          <w:color w:val="000000"/>
          <w:sz w:val="20"/>
        </w:rPr>
        <w:t xml:space="preserve"> </w:t>
      </w:r>
      <w:r>
        <w:rPr>
          <w:rFonts w:ascii="Times New Roman" w:hAnsi="Times New Roman"/>
          <w:color w:val="000000"/>
          <w:sz w:val="18"/>
        </w:rPr>
        <w:t>We are developing our clinical stage product candidate, ozuriftamab vedotin or BA3021, a CAB antibody drug conjugate directed against Receptor Tyrosine Kinase Like Orphan Receptor 2 (“ROR2”). ROR2 is overexpressed across many different solid tumors, including breast, lung, pancreatic, renal, ovarian, and colorectal cancers, SCCHN, and melanoma; its tumoral expression is further enhanced among those treated with PD-1 checkpoint inhibitors. Cancer cell expression of ROR2 has been associated with enhanced cancer cell migration, EMT, increased associated risk for relapse, metastasis and unfavorable prognosis. In breast cancer, for example, ROR2 was found to be expressed in the majority of patient samples, with those expressing ROR2 having decreased overall survival. A similar correlation between ROR2 expression level and overall survival was observed in NSCLC and metastatic melanoma. Genetic inactivation of ROR2 in metastatic</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melanoma cells was shown to prevent metastases of these tumor cells in mice. ROR2 also has essential roles in normal cells and in early development. Inactivation of ROR2 is lethal in mice with defects observed in the heart, nervous system and skeleton. Less severe mutations in ROR2 in humans is associated with skeletal diseases such as Robinow syndrome and brachydactyly type B.</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is a CAB anti-ROR2 ADC consisting of a CAB anti-ROR2 humanized IgG1 monoclonal antibody conjugated to MMAE using a cleavable linker. Ozuriftamab vedotin is designed to specifically and reversibly bind to ROR2 in conditions found within the tumor microenvironment, thus conferring a selectivity binding advantage for tumors over normal cells. Upon binding of ozuriftamab vedotin to ROR2 on the surface of tumor cells, it is internalized and the MMAE cytotoxin is released, thus killing the cancer cell.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prioritizing SCCHN for ozuriftamab vedotin as a therapeutic indication for development over other possible indications in solid tumors, including melanoma and triple negative breast cancer. We have conducted Phase 2 studies in melanoma, NSCLC, and SCCHN treated with ozuriftamab vedotin as a monotherapy or in combination with a PD-1 inhibitor, nivolumab. Both the monotherapy and combination treatment are broadly well tolerated with most events being low grade and reversible with no clinically meaningful on-target toxicity observed during the course of treatment. Ozuriftamab vedotin has shown promising overall response rates in SCCHN and the FDA has granted Fast-Track designation for ozuriftamab vedotin in SCCHN. We believe that 1.8 mg/kg of ozuriftamab vedotin delivered every other week satisfies dose optimization requirements, which will be confirmed prior to initiation of a Phase 3 study in SCCHN.</w:t>
      </w:r>
    </w:p>
    <w:p>
      <w:pPr>
        <w:pStyle w:val="TextBody"/>
        <w:bidi w:val="0"/>
        <w:spacing w:before="210" w:after="283"/>
        <w:jc w:val="left"/>
        <w:rPr>
          <w:rFonts w:ascii="Times New Roman" w:hAnsi="Times New Roman"/>
          <w:sz w:val="20"/>
        </w:rPr>
      </w:pPr>
      <w:r>
        <w:rPr>
          <w:rFonts w:ascii="Times New Roman" w:hAnsi="Times New Roman"/>
          <w:b/>
          <w:color w:val="000000"/>
          <w:sz w:val="18"/>
        </w:rPr>
        <w:t>Evalstotug (BA3071):</w:t>
      </w:r>
      <w:r>
        <w:rPr>
          <w:rFonts w:ascii="Times New Roman" w:hAnsi="Times New Roman"/>
          <w:color w:val="000000"/>
          <w:sz w:val="20"/>
        </w:rPr>
        <w:t xml:space="preserve"> </w:t>
      </w:r>
      <w:r>
        <w:rPr>
          <w:rFonts w:ascii="Times New Roman" w:hAnsi="Times New Roman"/>
          <w:color w:val="000000"/>
          <w:sz w:val="18"/>
        </w:rPr>
        <w:t>Our clinical stage product candidate, evalstotug, is a CAB anti-CTLA-4 antibody that is being developed as an immuno-oncology agent with the goal of delivering at least the efficacy of approved CTLA-4 antibodies, such as ipilimumab, but with lower toxicity rate as a result of the CAB’s unique tumor microenvironment-restricted binding. Cytotoxic T-lymphocyte-associated antigen 4 (“CTLA-4”), is an immune checkpoint involved in regulating T-cell activation. The primary role of immune checkpoints is to prevent autoimmune attacks against normal tissue in the body; however, cancer cells often take advantage of this pathway to prevent immune destruction of the tumor. Ipilimumab and tremelimumab currently are the only anti-CTLA-4 monoclonal antibodies approved by the FDA. Ipilimumab is approved as a single agent for the treatment of melanoma, and in combination with an anti-PD-1 antibody for the treatment of several solid tumors, including melanoma, renal cell carcinoma, colorectal cancer and NSCLC, and tremelimumab is approved in combination with an anti-PD-L-1 antibody for the treatment of unresectable hepatocellular carcinoma and NSCLC. Patients treated with these checkpoint inhibitors face the risk of adverse events associated with inappropriate activation of the immune system beyond the tumor site including severe and sometimes fatal enterocolitis, hepatitis, dermatitis, neuropathy and endocrinopathy. Consequently, usage and dosage of these checkpoint inhibitors is highly limited due to their safety profile.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developing evalstotug as a potential therapeutic for solid tumor indications. We have completed a dose-escalation trial of evalstotug as monotherapy and in combination with an anti-PD-1 antibody. We have reached the planned maximum dose of 1000 mg with maximum tolerated dose (“MTD”) not being reached. A Phase 2 study was initiated at a dose of either 350mg or 700mg in combination with the PD-1 inhibitor, pembrolizumab, for dose optimization. Evalstotug has shown promising efficacy in several indications. Most related adverse events in the Phase 1 and 2 were low grade with acceptable tolerability.</w:t>
      </w:r>
    </w:p>
    <w:p>
      <w:pPr>
        <w:pStyle w:val="TextBody"/>
        <w:bidi w:val="0"/>
        <w:spacing w:before="216" w:after="283"/>
        <w:jc w:val="left"/>
        <w:rPr>
          <w:rFonts w:ascii="Times New Roman" w:hAnsi="Times New Roman"/>
          <w:sz w:val="20"/>
        </w:rPr>
      </w:pPr>
      <w:r>
        <w:rPr>
          <w:rFonts w:ascii="Times New Roman" w:hAnsi="Times New Roman"/>
          <w:b/>
          <w:color w:val="000000"/>
          <w:sz w:val="18"/>
        </w:rPr>
        <w:t>BA3182 (CAB-EpCAM x CAB-CD3):</w:t>
      </w:r>
      <w:r>
        <w:rPr>
          <w:rFonts w:ascii="Times New Roman" w:hAnsi="Times New Roman"/>
          <w:color w:val="000000"/>
          <w:sz w:val="20"/>
        </w:rPr>
        <w:t xml:space="preserve"> </w:t>
      </w:r>
      <w:r>
        <w:rPr>
          <w:rFonts w:ascii="Times New Roman" w:hAnsi="Times New Roman"/>
          <w:color w:val="000000"/>
          <w:sz w:val="18"/>
        </w:rPr>
        <w:t>Our bispecific candidate, BA3182, is currently being investigated in a Phase 1 dose escalation study in advanced adenocarcinoma. We have leveraged our CAB technology to develop bispecific antibodies, which bind both a tumor-specific antigen and a T cell receptor using dual CAB antigen-binding domains. A bispecific antibody is a type of engineered antibody that can simultaneously bind two separate and unique antigens, unlike conventional monospecific antibodies that only bind to one type of target.</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 common design feature for a bispecific antibody is to include a T cell engager component (</w:t>
      </w:r>
      <w:r>
        <w:rPr>
          <w:rFonts w:ascii="Times New Roman" w:hAnsi="Times New Roman"/>
          <w:i/>
          <w:color w:val="000000"/>
          <w:sz w:val="18"/>
        </w:rPr>
        <w:t>e.g.</w:t>
      </w:r>
      <w:r>
        <w:rPr>
          <w:rFonts w:ascii="Times New Roman" w:hAnsi="Times New Roman"/>
          <w:color w:val="000000"/>
          <w:sz w:val="18"/>
        </w:rPr>
        <w:t>, CD3 receptor), such that one antigen-binding domain recognizes a surface-expressed tumor antigen and the other antigen-binding domain binds to and activates CD3+ T cells. With this design, bispecific antibodies can induce potent T cell responses against tumors expressing the tumor target antigen in a simplified manner relative to even off-the-shelf or allogeneic CAR-T therapies. The first FDA-approved bispecific antibody was a T cell engager, blinatumomab, which contained antigen-binding domains for CD19, an antigen found on B-cell leukemias, and CD3, a T cell activating receptor.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many structural variants of antibodies and other antigen-binding domains being used by others to construct bispecific product candidates, some of which are being tested clinically. However, similar to CAR-T cells and blinatumomab, many of these bispecific product candidates have increased risks of generating life-threatening cytokine release syndrome and other potential adverse events due to systemic immune activation.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applied our CAB antibody technology to develop bispecific CAB antibodies in which both antigen-binding domains are active only in the tumor microenvironment. An example of this approach is our BA3182 bispecific. Epithelial cell adhesion molecule (“EpCAM”) is a protein that is over-expressed in many cancers including carcinomas derived from colon, intestine, breast, lung and prostate. Expression of EpCAM has been extensively associated with cell growth and proliferation of both healthy and cancer cells.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EpCAM was one of the first cancer-associated antigens discovered; however, in the forty years since, its clinical impact as a target for therapeutic antibodies in cancer has been limited. One of the problems with targeting EpCAM is its broad expression in the basolateral membranes of normal epithelial cells. Conventional approaches of avoiding systemic toxicities, including deliberately selecting antibodies with low affinity for EpCAM with the intention of generating some degree of selectivity for tumors that express very high levels of EpCAM, have not been successful. Bispecific constructs targeting EpCAM have also not lived up to expectations. Solitomab, a third-party, non-CAB EpCAM x CD3 bispecific tested in the clinical by Amgen, led to over 95% of patients in a Phase 1 dose-escalation trial to experience at least one Grade 3 or above adverse event. Over 20% of patients experienced dose-limiting toxicities, and at tolerated doses only one unconfirmed partial response was observed among 65 patients.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In our Phase 1 dose escalation study, we have observed several patients with tumor reduction, including one colorectal patient with stable disease for more than one year and we continue to dose escalate.</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u w:val="single"/>
        </w:rPr>
      </w:pPr>
      <w:r>
        <w:rPr>
          <w:rFonts w:ascii="Times New Roman" w:hAnsi="Times New Roman"/>
          <w:b/>
          <w:color w:val="000000"/>
          <w:sz w:val="18"/>
          <w:u w:val="single"/>
        </w:rPr>
        <w:t>Preclinical candidates</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BA3361 (CAB-Nectin-4-ADC)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Nectin-4 is widely expressed and has adhesive roles in normal tissues. The CAB selectivity to target Nectin-4 in the tumor microenvironment is critical in providing the necessary safety to deliver the drug conjugate selectively to cancerous tissue. A clinical candidate was selected from a set of lead molecules that were characterized by multiple assays including functional assays. In addition to the assay performance, the lead candidate demonstrated high binding under tumor conditions and little to no binding under normal physiological conditions. We have received FDA clearance of our IND for BA3361.</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Bispecific preclinical candidates</w:t>
      </w:r>
    </w:p>
    <w:p>
      <w:pPr>
        <w:pStyle w:val="TextBody"/>
        <w:bidi w:val="0"/>
        <w:spacing w:before="108" w:after="283"/>
        <w:jc w:val="left"/>
        <w:rPr>
          <w:rFonts w:ascii="Times New Roman" w:hAnsi="Times New Roman"/>
          <w:sz w:val="20"/>
        </w:rPr>
      </w:pPr>
      <w:r>
        <w:rPr>
          <w:rFonts w:ascii="Times New Roman" w:hAnsi="Times New Roman"/>
          <w:color w:val="000000"/>
          <w:sz w:val="18"/>
        </w:rPr>
        <w:t>We believe that our CAB technology opens up the opportunity for the creation of a broad set of bispecific product candidates with antitumor potential. Through these CAB bispecific antibodies, we believe we can activate T cells directly in tumors using CAB domains targeting tumor-specific antigens. We believe our CAB bispecific antibodies may allow for increased efficacy through more potent T cell activation, higher doses or administration in combination with other immuno-oncology therapies, such as checkpoint inhibitors. We have shown in preclinical experiments that our CAB bispecific molecules meet or exceed the activity of conventional bispecifics and reduce systemic activation of potentially fatal immune responses.</w:t>
      </w:r>
      <w:r>
        <w:rPr>
          <w:rFonts w:ascii="Times New Roman" w:hAnsi="Times New Roman"/>
          <w:color w:val="000000"/>
          <w:sz w:val="20"/>
        </w:rPr>
        <w:t xml:space="preserve"> </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BA3142 (CAB-B7-H3 x CAB-CD3)</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Our second bispecific product candidate, BA3142, is a dual-CAB T-cell engager targeting B7-H3, a protein expressed on many solid tumors. The lead molecule was characterized by multiple assays including functional assays, and by preclinical efficacy studies in a xenograft model of human pharyngeal cancer using mice with a humanized immune system. The lead molecule showed antitumor activity comparable to a non-CAB antibody while demonstrating lower binding and functional activity under physiological conditions, as expected for a CAB bispecific antibody. Cell line development and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efficacy study are completed. We have manufactured sufficient supply of BA3142 to enable the Company to complete an IND and initiate a Phase 1 clinical trial in the near term with additional funding or through a partnership.</w:t>
      </w:r>
      <w:r>
        <w:rPr>
          <w:rFonts w:ascii="Times New Roman" w:hAnsi="Times New Roman"/>
          <w:color w:val="000000"/>
          <w:sz w:val="20"/>
        </w:rPr>
        <w:t xml:space="preserve"> </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CAB-Nectin 4 x CAB-CD3 (formerly BA3362)</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out-licensed a pre-clinical Nectin 4 T-cell engager to Context Therapeutics in 2024. See further discussion in the Licensing and Strategic Collaboration section below.</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These assets are in varying stages of development and have been positioned for partnering.</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CAB technology</w:t>
      </w:r>
    </w:p>
    <w:p>
      <w:pPr>
        <w:pStyle w:val="TextBody"/>
        <w:bidi w:val="0"/>
        <w:spacing w:before="108" w:after="283"/>
        <w:jc w:val="left"/>
        <w:rPr>
          <w:rFonts w:ascii="Times New Roman" w:hAnsi="Times New Roman"/>
          <w:sz w:val="20"/>
        </w:rPr>
      </w:pPr>
      <w:r>
        <w:rPr>
          <w:rFonts w:ascii="Times New Roman" w:hAnsi="Times New Roman"/>
          <w:color w:val="000000"/>
          <w:sz w:val="18"/>
        </w:rPr>
        <w:t>The fundamental specificity challenge with traditional monoclonal antibody-based therapy is that there are few known antigens that are specific to tumors and absent in non-cancerous tissues. Drug developers might develop an antibody that is exquisitely specific against its target, but due to the expression of the target on non-tumor cells, systemic administration can result in dose-limiting toxicities from on-target, off-tumor activity.</w:t>
      </w:r>
      <w:r>
        <w:rPr>
          <w:rFonts w:ascii="Times New Roman" w:hAnsi="Times New Roman"/>
          <w:color w:val="000000"/>
          <w:sz w:val="20"/>
        </w:rPr>
        <w:t xml:space="preserve"> </w:t>
      </w:r>
    </w:p>
    <w:p>
      <w:pPr>
        <w:pStyle w:val="TextBody"/>
        <w:bidi w:val="0"/>
        <w:spacing w:before="108" w:after="283"/>
        <w:jc w:val="left"/>
        <w:rPr>
          <w:rFonts w:ascii="Times New Roman" w:hAnsi="Times New Roman"/>
          <w:sz w:val="20"/>
        </w:rPr>
      </w:pPr>
      <w:r>
        <w:rPr>
          <w:rFonts w:ascii="Times New Roman" w:hAnsi="Times New Roman"/>
          <w:color w:val="000000"/>
          <w:sz w:val="18"/>
        </w:rPr>
        <w:t>The majority of anticancer antibody-based drug products are consequently limited to a small subset of potential tumor antigens. We believe that our novel approach to increase the selectivity of antibody-based therapeutics while maintaining their potency may have the potential to fundamentally transform the development of anticancer therapeutics and expand the universe of targets for novel antibody-based therapies.</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CABs are based on our patented protein discovery and engineering technology. We invented, developed, and refined this technology, which we believe selectively enables the binding of proteins and antibodies to targeted cells in the tumor microenvironment based on differences in local conditions such as pH, temperature, or chemical composition compared to normal healthy tissue. We have shown that activity of our CAB biologics is reversible; not only are they active due to the low pH levels of the tumor microenvironment, but also, unlike prodrugs, they are reversibly inactive when they leave the tumor microenvironment and are in a normal physiological environment.</w:t>
      </w:r>
    </w:p>
    <w:p>
      <w:pPr>
        <w:pStyle w:val="TextBody"/>
        <w:bidi w:val="0"/>
        <w:spacing w:before="216" w:after="283"/>
        <w:jc w:val="left"/>
        <w:rPr>
          <w:rFonts w:ascii="Times New Roman" w:hAnsi="Times New Roman"/>
          <w:sz w:val="20"/>
        </w:rPr>
      </w:pPr>
      <w:r>
        <w:rPr>
          <w:rFonts w:ascii="Times New Roman" w:hAnsi="Times New Roman"/>
          <w:color w:val="000000"/>
          <w:sz w:val="18"/>
        </w:rPr>
        <w:t>Our CAB technology capitalizes on the well-established Warburg Effect that through a glycolytic process leads to an acidic external tumor microenvironment. Extracellular pH levels in tumors have been measured to be as low as pH 5.8 compared to the tightly controlled, alkaline, pH 7.4 of blood, with even higher pH in healthy tissues. Glycolytic metabolism is also the basis of the established PET scanning technology for detection of cancerous tumors. CAB proteins have increased binding activity as the pH in the microenvironment becomes acidic, while being inactive in normal physiological environments. We discovered a novel chemical switch mechanism that underpins this binding activity that involves physiologically occurring chemicals, such as bicarbonate and hydrogen sulfide. These molecules are negatively charged at physiological conditions and interact with positive charged areas on the protein surface. Under acidic conditions found in the tumor microenvironment, these charged molecules are neutralized by the H+ ions and released from the protein surface, uniquely allowing CAB antibodies to bind to their target and attack the tumor cell. We refer to this novel physiological mechanism, used for generating CABs, as Protein-associated Chemical Switch(es)</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or PaCS mechanism. The ability to design conditionally active therapeutics with strong selectivity over narrower pH ranges using the PaCS mechanism, offers the opportunity to greatly enhance both the safety and potency of future therapies for solid tumors.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used and continue to leverage our patented CAB technology to screen antibody candidates for multiple characteristics. By doing so, we can evolve specific regions on the antibody that will only bind in response to environmental conditions, either enhancing or eliminating binding. Our CAB technology allows us to select antibodies that preferentially bind to the target under the conditions of interest, such as high local acidity (i.e. low pH). CAB antibodies have human or humanized antibody sequences, a characteristic that reduces the risk of immunogenicity compared to emerging technologies in the field, which is supported by both our preclinical and clinical data.</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Our CAB antibodies have been designed to be active in the acidic, lower pH of the tumor microenvironment and inactive under the alkaline pH of 7.4 and above found in normal physiological conditions. In a quantitative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binding assay, we compared a CAB antibody and a non-CAB antibody that both bind to the target AXL with matched strength of binding to the target, or affinities, when measured at pH 6.0. The binding of the CAB antibody was highly sensitive to pH with binding becoming much weaker as pH approached 7.0 and almost undetectable at a physiological pH of 7.4. In contrast, a non-CAB antibody to AXL showed indiscriminate and experimentally equivalent binding across the entire pH range tested, including at pH 7.4 of normal cells. Our CAB development process is capable of identifying CAB antibodies with a range of sensitivities to pH.</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Low pH-dependent CAB antibodies are far less likely to bind to targets outside of tumors, resulting in several potential advantages over traditional antibodies: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Wide therapeutic window.</w:t>
      </w:r>
      <w:r>
        <w:rPr>
          <w:color w:val="000000"/>
        </w:rPr>
        <w:t xml:space="preserve"> </w:t>
      </w:r>
      <w:r>
        <w:rPr>
          <w:rFonts w:ascii="Times New Roman" w:hAnsi="Times New Roman"/>
          <w:color w:val="000000"/>
          <w:sz w:val="18"/>
        </w:rPr>
        <w:t>Reduced binding to target antigens outside of the tumor has the potential to reduce toxicities that arise from systemic exposure. We believe this may enable higher doses or increased potency to be safely delivered to patients with the potential for increased efficacy.</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Opportunity to increase tumor-specific killing.</w:t>
      </w:r>
      <w:r>
        <w:rPr>
          <w:color w:val="000000"/>
        </w:rPr>
        <w:t xml:space="preserve"> </w:t>
      </w:r>
      <w:r>
        <w:rPr>
          <w:rFonts w:ascii="Times New Roman" w:hAnsi="Times New Roman"/>
          <w:color w:val="000000"/>
          <w:sz w:val="18"/>
        </w:rPr>
        <w:t>The wide therapeutic window imparted by tumor-specific targeting enables CAB antibodies to be modified with cytotoxic drugs to create ADCs. Similarly, bispecific antibodies can be developed using CAB antibody domains targeting pairs of targets that direct T cells to attack the tumor, thereby reducing the likelihood of unacceptable normal tissue injury if constructed using traditional antibody domains.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Increased drug exposure to tumors.</w:t>
      </w:r>
      <w:r>
        <w:rPr>
          <w:color w:val="000000"/>
        </w:rPr>
        <w:t xml:space="preserve"> </w:t>
      </w:r>
      <w:r>
        <w:rPr>
          <w:rFonts w:ascii="Times New Roman" w:hAnsi="Times New Roman"/>
          <w:color w:val="000000"/>
          <w:sz w:val="18"/>
        </w:rPr>
        <w:t>Limited binding to targets outside of tumors allows more of the administered CAB antibodies to be available to bind to target sites in the tumor, potentially increasing the concentrations and exposure of these antibodies in tumors.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Improved pharmacokinetics.</w:t>
      </w:r>
      <w:r>
        <w:rPr>
          <w:color w:val="000000"/>
        </w:rPr>
        <w:t xml:space="preserve"> </w:t>
      </w:r>
      <w:r>
        <w:rPr>
          <w:rFonts w:ascii="Times New Roman" w:hAnsi="Times New Roman"/>
          <w:color w:val="000000"/>
          <w:sz w:val="18"/>
        </w:rPr>
        <w:t>Limited binding to targets outside of tumors effectively increases their half-life in plasma. The phenomenon of target-mediated drug disposition (“TMDD”), is a well-known limitation facing the development of many biologics, which CAB antibodies can significantly reduce.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Broader universe of tumor-specific antigens that can be targeted.</w:t>
      </w:r>
      <w:r>
        <w:rPr>
          <w:color w:val="000000"/>
        </w:rPr>
        <w:t xml:space="preserve"> </w:t>
      </w:r>
      <w:r>
        <w:rPr>
          <w:rFonts w:ascii="Times New Roman" w:hAnsi="Times New Roman"/>
          <w:color w:val="000000"/>
          <w:sz w:val="18"/>
        </w:rPr>
        <w:t>There are few highly prevalent tumor-specific antigens expressed on solid tumors, which represent approximately 90% of tumor types, that are not expressed at some level in normal tissues. While some targets, such as EGFR, can be targeted by traditional antibodies with some acceptable level of toxicity in a subset of patients, many other potential targets cannot. CAB antibodies with pH-dependent binding have the potential to significantly reduce the potential risk of systemic toxicities caused by expression of targets on normal tissues.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Through the use of our proprietary technology, we have developed CAB antibodies which we believe have specificity for tumors, while avoiding binding to the same antigen target expressed on many normal tissues. This allows us to develop therapeutics against targets that are expressed at high levels on tumor cells but are also present on normal cells and tissues, without the toxicities associated with traditional antibodies. While our lead product candidates primarily exploit the differences in pH between the tumor microenvironment and healthy tissue, there is a potential for other yet to be identified PaCS molecules in disease related microenvironments, whether controlled through pH concentration, or other molecular characteristics (intra- or intermolecularly) for enhancing a drug’s therapeutic index. Potential new therapeutic candidates addressing these opportunities are not limited to antibodies, but may also include small molecules, encompassing lipids, sugars and nucleic acid-based agents or drugs. Further, it is expected that PaCS protein-chemical systems are important naturally occurring regulatory systems linked to a range of disease-related microenvironments, including cancer, inflammation and cellular senescence.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Competition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biotechnology and biopharmaceutical industries, including the oncology subsector, are characterized by rapid evolution of technologies, competition and strong defense of intellectual property. Any product candidates that we successfully develop and commercialize may have to compete with existing therapies and new therapies that may become available in the future. While we believe that our patented technology platform, intellectual property, know-how and scientific expertise in the field of biologics and immuno-oncology provide us with certain competitive advantages, including the ability of our product candidates to be active under conditions representative of the tumor microenvironment and not in normal cell conditions, we face potential competition from a wide variety of institutions, including large biopharmaceutical companies, specialty biotechnology companies, academic research departments and public and private research institutions. In immuno-oncology, we face substantial competition in the form of competing approaches to targeted antibody therapy in general, as well as competing treatments for the same types of cancer that we would plan to address with our pipeline of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There are several companies in various stages of clinical development of ADCs, one of the key features of our product candidates mecbotamab vedotin and ozuriftamab vedotin. Currently, there are several approved ADCs and many more in clinical development, the vast majority of which are being developed for the treatment of cancer. Certain other companies are also pursuing antibody therapies in immuno-oncology. Although we do not believe competing companies have selective CAB technology, there is a wide array of activity in immune-based cellular therapies for oncology.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if any of our product candidates are approved in oncology indications such as pancreatic, breast and other cancers, they may compete with existing biologics and small molecule therapies, or may be used in combination with existing therapies. There are also many other therapies under development that are intended to treat the same cancers that we are targeting or, although yet to be identified, may target with our CAB technology platform, including through approaches that could prove to be more effective, have fewer side effects, be cheaper to manufacture, be more convenient to administer or have other advantages over any products resulting from our technology.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Many of our competitors, either alone or with strategic partners, have substantially greater financial resources and expertise in research and development, manufacturing, preclinical testing, conducting clinical trials, obtaining regulatory approvals and marketing approved products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Manufacturing</w:t>
      </w:r>
    </w:p>
    <w:p>
      <w:pPr>
        <w:pStyle w:val="TextBody"/>
        <w:bidi w:val="0"/>
        <w:spacing w:before="108" w:after="283"/>
        <w:jc w:val="left"/>
        <w:rPr>
          <w:rFonts w:ascii="Times New Roman" w:hAnsi="Times New Roman"/>
          <w:sz w:val="20"/>
        </w:rPr>
      </w:pPr>
      <w:r>
        <w:rPr>
          <w:rFonts w:ascii="Times New Roman" w:hAnsi="Times New Roman"/>
          <w:color w:val="000000"/>
          <w:sz w:val="18"/>
        </w:rPr>
        <w:t>Our CAB antibodies are designed and produced using our patented Comprehensive Integrated Antibody Optimization</w:t>
      </w:r>
      <w:r>
        <w:rPr>
          <w:rFonts w:ascii="Times New Roman" w:hAnsi="Times New Roman"/>
          <w:color w:val="000000"/>
          <w:sz w:val="12"/>
        </w:rPr>
        <w:t>TM</w:t>
      </w:r>
      <w:r>
        <w:rPr>
          <w:rFonts w:ascii="Times New Roman" w:hAnsi="Times New Roman"/>
          <w:color w:val="000000"/>
          <w:sz w:val="20"/>
        </w:rPr>
        <w:t xml:space="preserve"> </w:t>
      </w:r>
      <w:r>
        <w:rPr>
          <w:rFonts w:ascii="Times New Roman" w:hAnsi="Times New Roman"/>
          <w:color w:val="000000"/>
          <w:sz w:val="18"/>
        </w:rPr>
        <w:t>(“CIAO!”) technology. The successful evolution, design, and development of a CAB antibody with specific characteristics and qualities require that the development and manufacturing processes result in the CAB antibody with the desired properties. We have developed our patented process of CIAO! that integrates into the design process the critical features for subsequent development steps and manufacturing. A key element of the CIAO! process is that all design and development of the antibody is conducted in a mammalian cell line such as Chinese hamster ovary. This host cell is essentially identical to that used for manufacturing the majority of antibodies. This integrated and efficient approach is designed to provide consistency of the folding, glycosylation and other critical features throughout the development and commercialization process for improved activity, selectivity and yields in manufacturing.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currently do not own or operate any manufacturing facilities. We rely, and expect to continue to rely for the foreseeable future, on third-party contract manufacturing organizations to produce our product candidates for preclinical and clinical testing, as well as for commercial manufacture if our product candidates receive marketing approval. We also expect to rely on third parties for the design, development and manufacture of companion diagnostic tests for our product candidates that require such tests. Furthermore, the raw materials for our product candidates may be sourced, in some cases, from a single-source supplier. As part of the manufacture and design process for our product candidates, we rely on internal, scientific and manufacturing know-how and trade secrets and the know-how and trade secrets of third-party manufacturers. We also contract with additional third parties for the filling, labeling, packaging, storage and distribution of investigational drug products.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 We maintain agreements with our manufacturers that include confidentiality and intellectual property provisions to protect our proprietary rights related to our product candidates. We have personnel with significant technical, manufacturing, analytical, quality, including current good manufacturing practices (“cGMPs”), and project management experience to oversee our third-party manufacturers and to manage manufacturing and quality data and information for regulatory compliance purposes.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Collaborations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intend to selectively enter into collaborations with preclinical and/or clinical assets, particularly where potential collaborators can both accelerate and maximize a therapeutic's market potential.</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License Agreements and Strategic Collaborations</w:t>
      </w:r>
    </w:p>
    <w:p>
      <w:pPr>
        <w:pStyle w:val="TextBody"/>
        <w:bidi w:val="0"/>
        <w:spacing w:before="172" w:after="283"/>
        <w:jc w:val="left"/>
        <w:rPr>
          <w:rFonts w:ascii="Times New Roman" w:hAnsi="Times New Roman"/>
          <w:b/>
          <w:i/>
          <w:color w:val="000000"/>
          <w:sz w:val="18"/>
        </w:rPr>
      </w:pPr>
      <w:r>
        <w:rPr>
          <w:rFonts w:ascii="Times New Roman" w:hAnsi="Times New Roman"/>
          <w:b/>
          <w:i/>
          <w:color w:val="000000"/>
          <w:sz w:val="18"/>
        </w:rPr>
        <w:t>Collaboration and Supply Agreement with Bristol-Myers Squibb</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On January 5, 2022, we and Bristol-Myers Squibb Company (“BMS”) entered into a clinical trial collaboration and supply agreement (the “BMS Agreement”). Under the terms of the BMS Agreement, BioAtla and BMS will collaborate on clinical trials of separate combination therapies using two of BioAtla’s CAB ADCs, mecbotamab vedotin (BA3011) and ozuriftamab vedotin (BA3021), each in combination with Opdivo® (nivolumab), BMS’ proprietary anti-PD-1 monoclonal antibody product. We serve as the study sponsor of the scheduled studies and are responsible for costs associated with the trial execution. BMS provides Opdivo® clinical drug supply at no cost for the combination study trials. After the completion of the combination therapy trials, we are obligated to provide BMS with a final report of the data resulting from the trial. The BMS agreement was amended in October 2022 to include additional territories for our combination study trials for mecbotamab vedotin and ozuriftamab vedotin.</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Global Co-Development and Collaboration Agreement with BeiGene, Ltd.</w:t>
      </w:r>
    </w:p>
    <w:p>
      <w:pPr>
        <w:pStyle w:val="TextBody"/>
        <w:bidi w:val="0"/>
        <w:spacing w:before="108" w:after="283"/>
        <w:jc w:val="left"/>
        <w:rPr>
          <w:rFonts w:ascii="Times New Roman" w:hAnsi="Times New Roman"/>
          <w:sz w:val="20"/>
        </w:rPr>
      </w:pPr>
      <w:r>
        <w:rPr>
          <w:rFonts w:ascii="Times New Roman" w:hAnsi="Times New Roman"/>
          <w:color w:val="000000"/>
          <w:sz w:val="18"/>
        </w:rPr>
        <w:t>In April 2019, we entered into a Global Co-Development and Collaboration Agreement with BeiGene, Ltd. which, as amended in December 2019 and October 2020, provided for the development, manufacturing and commercialization of BioAtla’s investigational CAB</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CTLA-4 antibody, evalstotug (BA3071). Under the terms of our BeiGene collaboration, BeiGene was generally responsible for developing evalstotug and for global regulatory filings and commercialization. We received a total of $25 million in payments from BeiGene.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November 19, 2021, we entered into Amendment No. 3 to the Global Co-Development and Collaboration Agreement (“Amendment No. 3”). Under Amendment No. 3, the collaboration agreement was terminated, subject to survival of certain provisions, and BeiGene handed back rights to certain know-how and materials received under the collaboration agreement and we assumed responsibility for the development and commercialization of evalstotug, in addition to other standard provisions. As consideration for Amendment No. 3, we agreed to pay BeiGene mid single digit royalties on sales worldwide and on a limited basis will share in any upfront and milestone payments received through a sublicense of evalstotug.</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Amended and Restated Exclusive Rights Agreement with Himalaya Therapeutics SEZC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January 2020, we entered into an Amended and Restated Exclusive Rights Agreement with Himalaya Therapeutics SEZC. Under the terms of the agreement, we granted Himalaya Therapeutics SEZC an exclusive, sublicensable license under certain patents and know-how controlled by us to develop, manufacture, conduct clinical trials, obtain regulatory approval of and commercialize 10 CAB-antibodies for the territory of the People's Republic of China, Macao, Hong Kong and Taiwan and a CAB-HER2-bispecific-antibody worldwide, in each case in the field of the treatment of cancer in humans. We also granted Himalaya Therapeutics SEZC an exclusive, sublicensable license under certain patents and know-how controlled by us to develop, manufacture, conduct clinical trials, obtain regulatory approval of and commercialize an IL-22 non-CAB-antibody worldwide, which option rights are subject to certain co-development plans in the agreement for the joint development and commercialization of the IL-22 non-CAB-antibody by Himalaya Therapeutics SEZC and us. The term of the agreement continues unless terminated by mutual written consent of the parties and also contains customary provisions for termination by either party. Payments to us may include upfront payments, milestone payments and royalties equal to the lower of (i) the low teens of annual net sales and (ii) the mid-twenties of the royalties and other comparable payments received by Himalaya Therapeutics SEZC from third parties, which represent a variable interest held by us, but no payments have been made to date. The royalty term, on a product-by-product and country-by-country basis, is the period of time commencing on the first commercial sale of such product in such country and expiring upon the latest of (i) the expiration of the last valid claim in a patent covering the composition of matter or method of use for such product licensed under the agreement in such country, (ii) the expiration of any other exclusivity protection of such licensed product in such country, and (iii) the 15th anniversary of the date of first commercial sale of such product in such country. We are eligible to receive up to $77.5 million in upfront payments and potential milestones.</w:t>
      </w:r>
    </w:p>
    <w:p>
      <w:pPr>
        <w:pStyle w:val="TextBody"/>
        <w:bidi w:val="0"/>
        <w:spacing w:before="216" w:after="283"/>
        <w:jc w:val="left"/>
        <w:rPr>
          <w:rFonts w:ascii="Times New Roman" w:hAnsi="Times New Roman"/>
          <w:sz w:val="20"/>
        </w:rPr>
      </w:pPr>
      <w:r>
        <w:rPr>
          <w:rFonts w:ascii="Times New Roman" w:hAnsi="Times New Roman"/>
          <w:b/>
          <w:i/>
          <w:color w:val="000000"/>
          <w:sz w:val="18"/>
        </w:rPr>
        <w:t>License Agreement with Context Therapeutics Inc.</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 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8).</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Intellectual property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Since inception, we have recognized the value of strong, defensible and relevant intellectual property protection. We seek to protect our technologies and products and the potential market for such technologies and products. To accomplish this goal, we apply for patents covering our processes and compositions. We also apply for patents covering developments and technologies for purpose of preventing third parties from developing competing products. Inventions related to various aspects of our core technologies have already been protected by issued and pending patent applications. As of February 1, 2025, we had 787 patents and patent applications with 523 issued patents, 7 allowed applications, and 257 pending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recognize that the ability to obtain patent protection and the degree of such protection depends on several factors, including the extent of the prior art, the novelty of the invention, the obviousness of the invention and the ability to satisfy the enablement and written description requirements of the patent laws. We file all relevant types of patent applications to protect our intellectual property, including patent applications with claims directed to our processes and products, and applications and uses thereof.</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file our applications with the U.S. Patent and Trademark Office (the “USPTO”) to establish a priority filing date. Generally, we initially file provisional applications. Provisional applications are designed to provide a lower-cost first patent application filing in the United States. Corresponding non-provisional patent applications must be filed not later than 12 months after the filing date of the first provisional application filed for an invention. In some cases, multiple provisional applications have been filed within a 12-month period to capture incremental developments within the 12-month priority period while obtaining an early filing date for each development. The corresponding non-provisional patent applications benefit from the provisional applications(s) since the priority date(s) of these non-provisional patent applications is/are the earlier provisional application filing date(s), and because the patent term of the finally issued patents are calculated from the later, non-provisional patent application filing dates. This system allows us to obtain an early priority date, add material to the patent application(s) during the priority year, obtain a later start to the patent term and delay prosecution costs, which may save costs in the event that we decide not to pursue examination in an application.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Subsequently, when appropriate, we pursue patent applications in foreign countries. The Patent Cooperation Treaty (“PCT”) system for filing international patent applications is used. This system allows a single application to be filed within 12 months of the original priority date of the patent application designating all 157 PCT member states (including countries in South, Central and North America, Africa, Europe, Asia and Australia) in which national/regional patent applications can later be pursued based on the international patent application filed under the PCT. At the end of a period of 2 1/2 years from the first priority date of the PCT patent application, separate patent applications can be pursued in any of the 157 PCT member states either by direct national filing or, in some cases, by filing through a regional patent organization such as the European Patent Organization. The PCT system delays expenses, allows a limited evaluation of the chances of success for national/regional patent applications and enables substantial cost savings where applications are abandoned within the first 2 1/2 years of filing.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continuously reassess the number and type of patent applications, as well as the pending and issued patent claims to ensure that maximum patent coverage and value are obtained for our processes, and compositions, given existing patent office rules and regulations. Further, pending patent claims may be modified during patent prosecution to meet our intellectual property and business needs.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also perform non-infringement searches and analyses for our existing technologies and will continue to do so for future commercial processes and products. For our new developments, we regularly perform expert searches and reviews, and monitor patents and patent applications by third-party competitors. Our policy of avoiding patent infringement is diligently executed. To the best of our knowledge as of the date of this Annual Report on Form 10-K, we have freedom to operate on all of our technologies and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patent positions of biotechnology and biopharmaceutical companies like ours are generally uncertain and involve complex legal, scientific and factual issues. In addition, the coverage claimed in a patent application can be significantly reduced before the patent is issued, and the scope of an issued patent can be reinterpreted or further altered even after patent issuance. Consequently, we may not obtain or maintain adequate patent protection for any of our product candidates or for our technology platform.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patents, please see “Risk factors—Risks related to our intellectual property.”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may be accorded a patent term adjustment (“PTA”), under certain circumstances to compensate for delays in granting the patent caused by the United States Patent and Trademark Office. In some instances, such a PTA may result in a U.S. patent term extending beyond 20 years from the earliest date of filing a non-provisional patent application related to the U.S. patent. In addition, in the United States, the term of a U.S. patent that covers an FDA-approved drug may be eligible for a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regulatory approval, we expect to apply for patent term extensions on patents covering those products. We plan to seek patent term extensions to any of our issued patents in any jurisdiction where these are available; however, there is no guarantee that the applicable authorities, including the FDA in the United States, will agree with our assessment of whether such extensions should be granted, and, if granted, the length of such extensions.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further own trade secrets relating to our technology platform and product candidates, and we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are to be kept confidential and not disclosed to third parties except in specific circumstances. Our agreements with employees and consultants also provide that all inventions conceived by the employee in the course of employment or work with us or from the employee’s or consultant’s use of our confidential information are our exclusive property. For a more comprehensive discussion of the risks related to our trade secrets, please see “Risk factors—Risks related to our intellectual property.”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Company-owned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Mecbotamab vedotin is covered by many filings, including a published PCT application filed in 2017 that entered the national phase in 2018. Applications have been granted in Australia, Israel, Japan, Korea, Mexico, Singapore, Taiwan, and the United States and are pending in 13 jurisdictions, including most major market countries. Composition of matter claims issuing from this application would not expire before 2037.</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Ozuriftamab vedotin is covered by many filings, including a published PCT application filed in 2017 that entered the national phase in 2018. Applications have been granted in Australia, Europe, Israel, India, Japan, Korea, Mexico, Taiwan and the United States and are pending in 134 jurisdictions, including most major market countries. Composition of matter claims issuing from this application would not expire before 2037.</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Evalstotug is covered by many filings, including a published PCT application filed in 2019 that entered the national phase in 2021. Applications have been granted in Australia, Canada, Israel, Japan, Korea, New Zealand, Russia and the United States and are pending in 16 jurisdictions, including most major market countries. Composition of matter claims issuing from this application would not expire before 2039.</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CAB-anti-EpCAM antibody and our preclinical stage CAB-anti-Nectin-4 antibody, are covered by many filings. As of January 1, 2024, CAB-anti-EpCAM antibodies are covered by 13 national phase filings, including in the United States, an additional PCT application and two non-PCT filings in Taiwan. As of January 1, 2024, CAB-anti-Nectin-4 antibodies are covered by 12 national phase filings and an application in Taiwan. Composition of matter claims issuing from these applications would not expire before either 2040 or 2044.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Core components of our product candidates are protected by company-owned platform applications directed to novel methods of protein evolution, methods of making conditionally active biologics, integrated selection and evolution of antibodies and proteins in expression production hosts, multi-specific antibodies and methods of making, modified antibody regions, conditionally active biological proteins, proteins targeting orthologs, discovery of and production of conditionally active biologic proteins in eukaryotic cell production hosts, conditionally active chimeric antigen receptors for modified T-cells, diagnostics using conditionally active antibodies, conditionally active polypeptides, antibodies targeted to senescent cells, conditionally active proteins for neurodegenerative diseases, and conditionally active proteins with pH selectivity. We also have 30 issued U.S. patents covering various aspects of the manufacturing methods used to generate CAB antibodies that have patent terms expiring from 2030 to 2038, excluding potential patent term extensions.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Out-licensed patents</w:t>
      </w:r>
    </w:p>
    <w:p>
      <w:pPr>
        <w:pStyle w:val="TextBody"/>
        <w:bidi w:val="0"/>
        <w:spacing w:before="108" w:after="283"/>
        <w:jc w:val="left"/>
        <w:rPr>
          <w:rFonts w:ascii="Times New Roman" w:hAnsi="Times New Roman"/>
          <w:sz w:val="20"/>
        </w:rPr>
      </w:pPr>
      <w:r>
        <w:rPr>
          <w:rFonts w:ascii="Times New Roman" w:hAnsi="Times New Roman"/>
          <w:color w:val="000000"/>
          <w:sz w:val="18"/>
        </w:rPr>
        <w:t>Himalaya Therapeutics SEZC has exclusive rights to patents/patent applications in China, Macao, Hong Kong and Taiwan relating to ROR2 (patent application 2017800294276 (China) and patent application 106115891 (Taiwan), both titled “Anti-ROR2 antibodies and their immunoconjugates and uses thereof”) and relating to AXL (patent applications 201780023876X (China) and patent application 106112687 (Taiwan), both titled “Anti-AXL antibodies and their immunoconjugates and uses thereof”). Additionally, Himalaya Therapeutics SEZC has exclusive worldwide rights to patents/patent applications relating to IL-22 (Patent applications 108119613 and PCT/US19/35395, both titled “Anti-IL-22 antibodies, antibody fragments and their immunoconjugates and uses thereof”) and relating to HER2 (patent application USP 62/964,747 titled “Conditionally active anti-HER2 antibodies”).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September 2024, the Company granted Context Therapeutics an exclusive worldwide license to develop, manufacture, and commercialize two licensed antibodies, including a CAB Nectin-4 x CD3 T-Cell engaging bispecific antibody, and non-exclusive rights to BioAtla's enabling technology to the extent necessary to exploit the licensed antibodies. See Note 7 to our financial statements for further details.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LLC has exclusive worldwide rights to all patents for the field of adoptive cell immunotherapy “ACT” (chimeric antigen receptor (CAR) T-cell (“CAR-T”)), excluding the targets licensed to EXUMA Biotech Corp (“EXUMA”).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LLC has exclusive worldwide rights to all patents solely in the field of diseases associated with aging (outside of cancer), diagnostics related thereto and an immuno-oncology antibody.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EXUMA has an exclusive worldwide license to all patents solely to develop, make, have made, use, sell, have sold, offer for sale and import CAR-T products to four named targets for the treatment of cancer. EXUMA’s rights under the agreement exclude the right to grant sublicenses to third parties to discover, develop or manufacture any CAB ACT or any component of our CAB ACT technology, except as used in or incorporated into EXUMA’s ACTs for cancer.</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Government Regulation and Product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Government authorities in the United States, at the federal, state and local level and in other countries and jurisdictions, including the European Union,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biological product candidates such as those we are developing. The process of obtaining regulatory approvals and the subsequent compliance with appropriate federal, state, local and foreign statutes and regulations require the expenditure of substantial time and financial resources and we may not be able to obtain the required regulatory approvals.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Licensure and Regulation of Biologics in the United States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United States, the FDA regulates biologic products under the Federal Food, Drug, and Cosmetic Act (the “FDCA”), the Public Health Service Act (“PHSA”), and regulations and guidance implementing these laws. The FDCA, PHSA and their corresponding regulations, and other federal and state statutes and regulations, govern, among other things, the research, development, testing, manufacturing, safety, purity, potency, labeling, packaging, storage, record keeping, approval, distribution, post-approval monitoring and reporting, sampling, import, export, advertising and other promotional practices involving biologic products. Biological products used for the prevention, treatment or cure of a disease or condition of a human being are subject to regulation under the FDCA, except the section of the FDCA that governs the approval of new drug applications (“NDAs”). Biological products are approved for marketing under provisions of the PHSA, via a BLA. However, the application process and requirements for approval of BLAs are very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U.S. biologic products development process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Biological product candidates must be approved by the FDA pursuant to a BLA before they may be legally marketed in the United States. The process generally involves the following:</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Completion of extensive preclinical laboratory tests and</w:t>
      </w:r>
      <w:r>
        <w:rPr>
          <w:color w:val="000000"/>
        </w:rPr>
        <w:t xml:space="preserve"> </w:t>
      </w:r>
      <w:r>
        <w:rPr>
          <w:rFonts w:ascii="Times New Roman" w:hAnsi="Times New Roman"/>
          <w:i/>
          <w:color w:val="000000"/>
          <w:sz w:val="18"/>
        </w:rPr>
        <w:t>in vivo</w:t>
      </w:r>
      <w:r>
        <w:rPr>
          <w:color w:val="000000"/>
        </w:rPr>
        <w:t xml:space="preserve"> </w:t>
      </w:r>
      <w:r>
        <w:rPr>
          <w:rFonts w:ascii="Times New Roman" w:hAnsi="Times New Roman"/>
          <w:color w:val="000000"/>
          <w:sz w:val="18"/>
        </w:rPr>
        <w:t>studies in accordance with the FDA’s current good laboratory practice (“GLP”) regulations and applicable requirements for the humane use of laboratory animals or other applicable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Submission to the FDA of an IND, which must become effective before clinical trials may begin;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Approval by an independent institutional review board (“IRB”), reviewing each clinical site before each clinical trial may be initiated;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Performance of adequate and well-controlled clinical trials in accordance with the FDA’s IND regulations, good clinical practice (“GCP”) requirements, and any additional requirements for the protection of human research subjects and their health information, to establish the safety and efficacy of the proposed biologic product candidate for its intended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Preparation and submission to the FDA of a BLA for marketing approval that includes substantial evidence of safety, purity and potency from results of nonclinical testing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determination by the FDA within 60 days of its receipt of a BLA to file the application;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Satisfactory completion of FDA pre-approval inspections of the manufacturing facility or facilities where the biologic product candidate is produced to assess compliance with cGMPs and to assure that the facilities, methods and controls are adequate to preserve the biologic product candidate’s identity, safety, strength, quality, potency and purity;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Satisfactory completion of any potential FDA audits of the nonclinical and clinical trial sites that generated the data in support of the BLA to assure compliance with GCPs and integrity of the 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Payment of user fees for FDA review of the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Review of the product by an FDA advisory committee, if applicable;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FDA review and approval of the BLA.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Preclinical studies</w:t>
      </w:r>
    </w:p>
    <w:p>
      <w:pPr>
        <w:pStyle w:val="TextBody"/>
        <w:bidi w:val="0"/>
        <w:spacing w:before="108" w:after="283"/>
        <w:jc w:val="left"/>
        <w:rPr>
          <w:rFonts w:ascii="Times New Roman" w:hAnsi="Times New Roman"/>
          <w:sz w:val="20"/>
        </w:rPr>
      </w:pPr>
      <w:r>
        <w:rPr>
          <w:rFonts w:ascii="Times New Roman" w:hAnsi="Times New Roman"/>
          <w:color w:val="000000"/>
          <w:sz w:val="18"/>
        </w:rPr>
        <w:t>Before testing any biologic product candidate in humans, the product candidate must undergo rigorous preclinical testing. Preclinical tests, also referred to as nonclinical studies, include laboratory evaluations of product chemistry, toxicity and formulation, as well as</w:t>
      </w:r>
      <w:r>
        <w:rPr>
          <w:rFonts w:ascii="Times New Roman" w:hAnsi="Times New Roman"/>
          <w:color w:val="000000"/>
          <w:sz w:val="20"/>
        </w:rPr>
        <w:t xml:space="preserve"> </w:t>
      </w:r>
      <w:r>
        <w:rPr>
          <w:rFonts w:ascii="Times New Roman" w:hAnsi="Times New Roman"/>
          <w:i/>
          <w:color w:val="000000"/>
          <w:sz w:val="18"/>
        </w:rPr>
        <w:t>in vivo</w:t>
      </w:r>
      <w:r>
        <w:rPr>
          <w:rFonts w:ascii="Times New Roman" w:hAnsi="Times New Roman"/>
          <w:color w:val="000000"/>
          <w:sz w:val="20"/>
        </w:rPr>
        <w:t xml:space="preserve"> </w:t>
      </w:r>
      <w:r>
        <w:rPr>
          <w:rFonts w:ascii="Times New Roman" w:hAnsi="Times New Roman"/>
          <w:color w:val="000000"/>
          <w:sz w:val="18"/>
        </w:rPr>
        <w:t>animal studies to assess the potential safety and activity of the product candidate and to establish a rationale for therapeutic use. The conduct of the preclinical tests must comply with federal regulations and requirements including GLPs.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clinical trial sponsor must submit the results of the preclinical tests, together with manufacturing information, analytical data, any available clinical data or literature and a proposed clinical protocol, among other things, to the FDA as part of an IND. An IND is a request for authorization from the FDA to administer an investigational product to humans and must become effective before human clinical trials may begin. Some preclinical testing may continue even after the IND is submitted. An IND automatically becomes effective 30 days after receipt by the FDA, unless before that time the FDA raises concerns or questions related to a proposed clinical trial and places the trial on clinical hold, including concerns that human research subjects will be exposed to unreasonable health risks. In such a case, the IND sponsor and the FDA must resolve any outstanding concerns before the clinical trial can begin. Accordingly, submission of an IND may or may not result in the FDA allowing clinical trials to commence.</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Clinical trials under an IND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Clinical trials involve the administration of the biologic product candidate to healthy volunteers or patients under the supervision of qualified investigators, who are generally physicians not employed by, or under, the control of the trial sponsor. Clinical trials must be conducted: (i) in compliance with federal regulations; (ii) in compliance with GCPs, an international standard meant to protect the rights and health of patients and to define the roles of clinical trial sponsors, administrators and monitors and (iii) under protocols detailing, among other things, the objectives of the trial, the parameters to be used in monitoring safety and the effectiveness criteria to be evaluated in the trial. Further, each clinical trial must be reviewed and approved by an IRB at or servicing each institution at which the clinical trial will be conducted. An IRB is charged with protecting the welfare and rights of trial participants and considers items such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reviews and approves the study protocol, and must monitor the clinical trial until completed.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Clinical trials typically are conducted in three sequential phases that may overlap or be combined: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1.</w:t>
      </w:r>
      <w:r>
        <w:rPr>
          <w:color w:val="000000"/>
        </w:rPr>
        <w:t xml:space="preserve"> </w:t>
      </w:r>
      <w:r>
        <w:rPr>
          <w:rFonts w:ascii="Times New Roman" w:hAnsi="Times New Roman"/>
          <w:color w:val="000000"/>
          <w:sz w:val="18"/>
        </w:rPr>
        <w:t>The biologic product candidate initially is introduced into a small number of healthy human subjects and tested for safety, dosage tolerance, absorption, metabolism, distribution or excretion. If possible, a Phase 1 clinical trial may also seek to gain an early understanding of the product candidate’s effectiveness. In the case of some product candidates for severe or life-threatening diseases, especially when the product candidate may be too inherently toxic to ethically administer to healthy volunteers, the initial human testing is often conducted in patients.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2.</w:t>
      </w:r>
      <w:r>
        <w:rPr>
          <w:color w:val="000000"/>
        </w:rPr>
        <w:t xml:space="preserve"> </w:t>
      </w:r>
      <w:r>
        <w:rPr>
          <w:rFonts w:ascii="Times New Roman" w:hAnsi="Times New Roman"/>
          <w:color w:val="000000"/>
          <w:sz w:val="18"/>
        </w:rPr>
        <w:t>The biologic product candidate is evaluated in a limited patient population to identify possible adverse effects and safety risks, to preliminarily evaluate the efficacy of the product candidate a particular indication and to determine dosage tolerance, optimal dosage and dosing schedule. Multiple Phase 2 clinical trials may be conducted to obtain information prior to beginning larger and more expensive Phase 3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18"/>
        </w:rPr>
        <w:t>Phase 3.</w:t>
      </w:r>
      <w:r>
        <w:rPr>
          <w:color w:val="000000"/>
        </w:rPr>
        <w:t xml:space="preserve"> </w:t>
      </w:r>
      <w:r>
        <w:rPr>
          <w:rFonts w:ascii="Times New Roman" w:hAnsi="Times New Roman"/>
          <w:color w:val="000000"/>
          <w:sz w:val="18"/>
        </w:rPr>
        <w:t xml:space="preserve">The biologic product candidate is administered to an expanded patient population at multiple sites to further evaluate dosage, to demonstrate efficacy and safety, generally at multiple geographically dispersed clinical trial sites. These clinical trials are intended to establish the overall risk/benefit ratio of the investigational product and to provide an adequate basis for product approval and labeling. In most cases, the FDA requires two adequate and well-controlled Phase 3 clinical trials to demonstrate the efficacy of a biologic.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phases may overlap or be combined. For example, a Phase 1/2 clinical trial may contain both a dose-escalation stage and a dose-expansion stage, the latter of which may confirm tolerability at the recommended dose for expansion in future clinical trials (as in traditional Phase 1 clinical trials) and provide insight into the antitumor effects of the investigational therapy in selected subpopulation(s).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Typically, during the development of oncology therapies, all subjects enrolled in Phase 1 clinical trials are disease-affected patients and, as a result, considerably more information on clinical activity may be collected during such trials than during Phase 1 clinical trials for non-oncology therapies. A single Phase 3 or Phase 2 trial may be sufficient in rare instances, including (i) where the trial is a large, multicenter trial demonstrating internal consistency and a statistically very persuasive finding of a clinically meaningful effect on mortality, irreversible morbidity or prevention of a disease with a potentially serious outcome and confirmation of the result in a second trial would be practically or ethically impossible or (ii) when in conjunction with other confirmatory evidence. Approval on the basis of a single trial may be subject to the requirement of additional post-approval studies.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Phase 1, Phase 2, Phase 3, and other types of clinical trials may not be completed successfully within any specified period, if at all. The FDA, the IRB, or the sponsor may suspend or terminate a clinical trial at any time on various grounds, including non-compliance with regulatory requirements or a finding that the patients are being exposed to an unacceptable health risk. Similarly, an IRB can suspend or terminate approval of a clinical trial at its institution if the clinical trial is not being conducted in accordance with the IRB’s requirements or if the drug or biologic has been associated with unexpected serious harm to patients.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Concurrent with clinical trials, companies usually must complete some long-term preclinical testing, such as animal tests of reproductive toxicity and carcinogenicity, and must also develop additional information about the chemistry and physical characteristics of the drug or biologic and finalize a process for manufacturing the product in commercial quantities in accordance with cGMP requirements. The manufacturing process must be capable of consistently producing quality batches of the product and, among other things, the manufacturer must develop methods for testing the identity, strength, quality, potency and purity of the final product. Additionally, appropriate packaging must be selected and tested and stability studies must be conducted to demonstrate that the product does not undergo unacceptable deterioration over its shelf life.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manufacturer of an investigational biologic in a Phase 2 or Phase 3 clinical trial for a serious or life-threatening disease is required to make available, such as by posting on its website, its policy on evaluating and responding to requests for expanded access to such investigational drug or biologic.</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U.S. review and approval processes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FDA approval of a BLA must be obtained before commercial marketing of the biologic product. The results of the preclinical tests and clinical trials, together with detailed information relating to the product’s pharmacology, chemistry, manufacturing controls (“CMC”), and proposed labeling, among other things, are submitted to the FDA as part of the BLA requesting approval to market the product for one or more indications.</w:t>
      </w:r>
    </w:p>
    <w:p>
      <w:pPr>
        <w:pStyle w:val="TextBody"/>
        <w:bidi w:val="0"/>
        <w:spacing w:before="216" w:after="283"/>
        <w:jc w:val="left"/>
        <w:rPr>
          <w:rFonts w:ascii="Times New Roman" w:hAnsi="Times New Roman"/>
          <w:sz w:val="20"/>
        </w:rPr>
      </w:pPr>
      <w:r>
        <w:rPr>
          <w:rFonts w:ascii="Times New Roman" w:hAnsi="Times New Roman"/>
          <w:color w:val="000000"/>
          <w:sz w:val="18"/>
        </w:rPr>
        <w:t>The cost of preparing and submitting a BLA is substantial. Under the Prescription Drug User Fee Act (“PDUFA”), each BLA must be accompanied by a significant user fee. The FDA adjusts the PDUFA user fees on an annual basis. Fee waivers or reductions are available in certain circumstances, including a waiver of the application fee for the first application filed by a small business. Additionally, no user fees are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assessed on BLAs for products designated as orphan drugs, unless the product also includes a non-orphan indication. The applicant under an approved BLA is also subject to an annual program fee.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reviews a BLA within 60 days of receipt to determine whether the application will be filed based on the FDA's determination that it is sufficiently complete to permit substantive review. The FDA may refuse to file any BLA that it deems incomplete or not properly reviewable at the time of submission and may request additional information. In that event, the BLA must be resubmitted with the additional information. The resubmitted application also is subject to review before the FDA files it. Once the submission is filed by the FDA, the FDA begins an in-depth, substantive review of the BLA.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reviews the BLA to determine, among other things, whether the proposed product candidate is safe and effective for its intended use, has an acceptable purity profile and whether the product candidate is being manufactured in accordance with cGMPs to assure and preserve the product candidate’s identity, safety, strength, quality, potency and purity. The FDA may refer applications for novel biologic products or biologic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on approval. During the product approval process, the FDA also will determine whether a risk evaluation and mitigation strategy (“REMS”), is necessary to assure the safe use of the product candidate. REMS involve additional risk minimization strategies to ensure that the benefits of the product outweigh the potential risks. A REMS can include medication guides, communication plans for healthcare professionals, and elements to assure safe use (“ETASU”). ETASU can include, but are not limited to, special training or certification for prescribing or dispensing the product, dispensing the product only under certain circumstances, special monitoring, and the use of patient-specific registries. If the FDA concludes a REMS is needed, the sponsor of the BLA must submit a proposed REMS; the FDA will not approve the BLA without a REMS, if required.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Before approving a BLA, the FDA will inspect the facilities at which the product candidate is manufactured. The FDA will not approve the product unless it determines that the manufacturing processes and facilities are in compliance with cGMP requirements and adequate to assure consistent production of the product candidate within required specifications. Additionally, before approving a BLA, the FDA typically will inspect one or more clinical sites to assure that the clinical trials were conducted in compliance with IND trial requirements and GCP requirements.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On the basis of the BLA and accompanying information, including the results of the inspection of the manufacturing facilities, the FDA may issue an approval letter or a complete response letter. An approval letter authorizes commercial marketing of the biologic product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 order for the FDA to reconsider the application. If a complete response letter is issued, the applicant may either resubmit the BLA, addressing all of the deficiencies identified in the letter, or withdraw the application or request an opportunity for a hearing. The FDA has committed to reviewing such resubmissions in two or six months, depending on the type of information included. Even if such data and information are submitted, the FDA may decide that the BLA does not satisfy the criteria for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 has agreed to specified performance goals in the review of BLAs under the PDUFA. One such goal is to review standard BLAs within 10 months after the FDA files the BLA, and priority BLAs within six months, whereupon a review decision is to be made. The review process and the PDUFA goal date for both standard and priority review BLAs may be extended by three months if the FDA requests or the BLA sponsor otherwise provides additional information or clarification regarding information already provided in the submission within the last three months before the PDUFA goal date.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product candidate receives regulatory approval, the FDA may require post-marketing clinical trials, sometimes referred to as Phase 4 clinical trials, designed to further assess a biologic product’s safety and effectiveness, and testing and surveillance programs to monitor the safety of approved products that have been commercialized.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Compliance with cGMP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Manufacturers of biologics must comply with applicable cGMP regulations, including quality control and quality assurance and maintenance of records and documentation. Manufacturers and others involved in the manufacture and distribution of such products also must register their establishments with the FDA and certain state agencies. Both domestic and foreign manufacturing establishments must register and provide additional information to the FDA upon their initial participation in the manufacturing process. Establishments may be subject to periodic, unannounced inspections by government authorities to ensure compliance with cGMP requirements and other laws. Discovery of problems may result in a government entity placing restrictions on a product, manufacturer or holder of an approved BLA, and may extend to requested product recalls or requiring withdrawal of the product from the market. The FDA will not approve a BLA unless it determines that the manufacturing processes and facilities are in compliance with cGMP requirements and adequate to assure consistent production of the product within required specification.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Expedited development and review programs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FDA is authorized to designate certain products for expedited review if they are intended to address an unmet medical need in the treatment of a serious or life-threatening disease or condition.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Fast track designation may be granted for products that are intended to treat a serious or life-threatening disease or condition and preclinical or clinical data demonstrate the potential to address unmet medical needs for the condition. Fast track designation applies to both the product and the specific indication for which it is being studied. The sponsor of a new biologic candidate can request the FDA to designate the candidate for a specific indication for fast track status concurrent with, or after, the submission of the IND for the candidate. The FDA must determine if the biologic candidate qualifies for fast track designation within 60 days of receipt of the sponsor’s request. For fast track products, sponsors may have greater interactions with the FDA and the FDA may initiate review of sections of a fast track product’s BLA before the application is complete. This “rolling review” is available if the FDA determines, after preliminary evaluation of clinical data submitted by the sponsor, that a fast track product may be effective. The sponsor must also provide, and the FDA must approve, a schedule for the submission of the remaining information and the sponsor must pay applicable user fees. Any product submitted to the FDA for marketing, including under a fast track program, may be eligible for other types of FDA programs intended to expedite development and review, such as priority review and accelerated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Breakthrough therapy designation may be granted for products that are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Under the breakthrough therapy program, the sponsor of a new biologic candidate may request that the FDA designate the candidate for a specific indication as a breakthrough therapy concurrent with, or after, the submission of the IND for the biologic candidate. The FDA must determine if the biological product qualifies for breakthrough therapy designation within 60 days of receipt of the sponsor’s request.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and taking other steps to design the clinical trials in an efficient manner.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Priority review may be granted for products that are intended to treat a serious or life-threatening condition and, if approved, would provide a significant improvement in safety and effectiveness compared to available therapies. The FDA will attempt to direct additional resources to the evaluation of an application designated for priority review in an effort to facilitate the review.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Accelerated approval may be granted for products that are intended to treat a serious or life-threatening condition and that generally provide a meaningful therapeutic advantage to patients over existing treatments. A product eligible for accelerated approval may be approved on the basis of either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In clinical trials, a surrogate endpoint is a marker, such as a laboratory measurement, radiographic image, physical sign, or other measure that is thought to predict clinical benefit, but is not itself a measure of clinical benefit. The accelerated approval pathway is most often used in settings in which the course of a disease is long and an extended period of time is required to measure the intended clinical benefit of a product, even if the effect on the surrogate or intermediate clinical endpoint occurs rapidly. Thus, accelerated approval has been used extensively in the development and approval of products for treatment of a variety of cancers in which the goal of therapy is generally to improve survival or decrease morbidity and the duration of the typical disease course requires lengthy and sometimes large studies to demonstrate a clinical or survival benefit. The accelerated approval pathway is contingent on the verification and description of the product’s clinical benefit, which is generally in the form of at least one post-approval confirmatory trial. These confirmatory trials must be completed with due diligence and, in some cases, the FDA may require that the trial be designed, initiated and/or fully enrolled prior to submission of the application or approval.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Food and Drug Omnibus Reform Act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which may include milestones such as a target date of study completion and requires sponsors to submit progress reports for required post-approval studies and any conditions required by the FDA not later than 180 days following approval and not less frequently than every 180 days thereafter until completion or termination of the study. FDORA enables the FDA to initiate enforcement action for the failure to conduct with due diligence a required post-approval study, including a failure to meet any required conditions specified by the FDA or to submit timely reports.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Even if a product qualifies for one or more of these programs, the FDA may later decide that the product no longer meets the conditions for qualification or the time period for FDA review or approval may not be shortened. Furthermore, fast track designation, breakthrough therapy designation, priority review and accelerated approval do not change the standards for approval but may expedite the development or approval process.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Post-approval requirements</w:t>
      </w:r>
    </w:p>
    <w:p>
      <w:pPr>
        <w:pStyle w:val="TextBody"/>
        <w:bidi w:val="0"/>
        <w:spacing w:before="108" w:after="283"/>
        <w:jc w:val="left"/>
        <w:rPr>
          <w:rFonts w:ascii="Times New Roman" w:hAnsi="Times New Roman"/>
          <w:sz w:val="20"/>
        </w:rPr>
      </w:pPr>
      <w:r>
        <w:rPr>
          <w:rFonts w:ascii="Times New Roman" w:hAnsi="Times New Roman"/>
          <w:color w:val="000000"/>
          <w:sz w:val="18"/>
        </w:rPr>
        <w:t>Rigorous and extensive FDA regulation of biologic products continues after approval, particularly with respect to cGMP requirements. Manufacturers are required to comply with applicable requirements in the cGMP regulations, including quality control and quality assurance and maintenance of records and documentation, and are subject to periodic inspections by the FDA.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 Other post-approval requirements applicable to biologic products include reporting of cGMP deviations that may affect the identity, potency, purity and overall safety of a distributed product, record-keeping requirements, reporting of adverse effects, reporting updated safety and efficacy information and complying with electronic record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and signature requirements. A sponsor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Failure to comply with the applicable U.S. requirements at any time during the product development process, approval process or after approval, may subject an applicant or manufacturer to administrative or judicial civil or criminal sanctions and adverse publicity. These actions could include refusal to approve pending applications or supplemental applications, withdrawal of an approval, clinical hold, suspension or termination of clinical trials by an IRB, warning or untitled letters, product recalls, product seizures, total or partial suspension of production or distribution, injunctions, fines or other monetary penalties, refusals of government contracts, mandated corrective advertising or communications with healthcare providers, debarment, restitution, disgorgement of profits or other civil or criminal penalties.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Orphan drug designation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Orphan drug designation in the United States is designed to encourage sponsors to develop products intended for treatment of rare diseases or conditions. In the United States, pursuant to the Orphan Drug Act, the FDA may grant orphan designation to a biological product intended to treat a rare disease or condition, which is statutorily defined as a condition that affects fewer than 200,000 individuals in the United States or that affects more than 200,000 individuals in the United States and for which there is no reasonable expectation that the cost of developing and making available the biologic for the disease or condition will be recovered from sales of the product in the United States.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 application for designation as an orphan product can be made any time prior to the filing of an application for approval to market the product. The Office of Orphan Products Development at the FDA grants orphan drug designations based on acceptable confidential requests made under the regulatory provisions. The product must then go through the review and approval process like any other product. Orphan drug designation entitles a company to financial incentives, such as tax credits and user fee waivers, but does not convey any advantage in or shorten the duration of the regulatory review and approval process.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sponsor may request orphan drug designation of a previously unapproved product or new orphan indication for an already marketed product. In addition, a sponsor of a product that is otherwise the same drug, which includes biologics, as an already approved orphan drug may seek and obtain orphan drug designation for the subsequent product for the same rare disease or condition if it can present a plausible hypothesis that its product may be clinically superior to the first drug. More than one sponsor may receive orphan drug designation for the same product for the same rare disease or condition, but each sponsor seeking orphan drug designation must file a complete request for designation.</w:t>
      </w:r>
    </w:p>
    <w:p>
      <w:pPr>
        <w:pStyle w:val="TextBody"/>
        <w:bidi w:val="0"/>
        <w:spacing w:before="216" w:after="283"/>
        <w:jc w:val="left"/>
        <w:rPr>
          <w:rFonts w:ascii="Times New Roman" w:hAnsi="Times New Roman"/>
          <w:sz w:val="20"/>
        </w:rPr>
      </w:pPr>
      <w:r>
        <w:rPr>
          <w:rFonts w:ascii="Times New Roman" w:hAnsi="Times New Roman"/>
          <w:color w:val="000000"/>
          <w:sz w:val="18"/>
        </w:rPr>
        <w:t>If a product with orphan designation receives the first FDA approval of the drug to treat the disease or condition for which it has such designation or for a select indication or use within the rare disease or condition for which it was designated, the product generally will receive orphan drug exclusivity. Orphan drug exclusivity means that the FDA may not approve another sponsor’s marketing application for the same drug for the same indication for seven years, except in certain limited circumstances, such as a showing of clinical superiority to the product with orphan exclusivity by means of greater effectiveness, greater safety, or providing a major contribution to patient care, or in instances of product supply issues. If a product designated as an orphan drug ultimately receives marketing approval for an indication broader than what was designated in its orphan drug application, it may not be entitled to orphan drug exclusivity. Competitors may receive approval of either a different drug for the same indication or the same drug for a different indication.</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period of exclusivity begins on the date that the marketing application is approved by the FDA and applies only to the indication for which the product has been designated and approved. The FDA may approve a second application for the same drug for a different use or a second application for a clinically superior version of the drug for the same use. Because healthcare professionals are free to prescribe products for off-label uses, the competitor’s product could be used for the orphan indication despite another product’s orphan exclusivity. The FDA cannot, however, approve the same drug made by another manufacturer for the same indication during the market exclusivity period unless it has the consent of the sponsor, the new drug product has been demonstrated to be clinically superior, or the sponsor is unable to provide sufficient quantities.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FDA’s determination of whether two ADCs are the same drug for purposes of orphan drug exclusivity is based on a determination of sameness of the monoclonal antibody element and the functional element of the conjugated molecule. Two ADCs are deemed to be the same product if the complementarity determining region sequences of the antibody and the functional element of the conjugated molecule are the same. A difference in either of those two elements can result in a determination that the molecules are different.</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FDA approval and regulation of companion diagnostics</w:t>
      </w:r>
    </w:p>
    <w:p>
      <w:pPr>
        <w:pStyle w:val="TextBody"/>
        <w:bidi w:val="0"/>
        <w:spacing w:before="108" w:after="283"/>
        <w:jc w:val="left"/>
        <w:rPr>
          <w:rFonts w:ascii="Times New Roman" w:hAnsi="Times New Roman"/>
          <w:sz w:val="20"/>
        </w:rPr>
      </w:pPr>
      <w:r>
        <w:rPr>
          <w:rFonts w:ascii="Times New Roman" w:hAnsi="Times New Roman"/>
          <w:color w:val="000000"/>
          <w:sz w:val="18"/>
        </w:rPr>
        <w:t xml:space="preserve">If use of an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diagnostic is essential to the safe and effective use of a drug or biologic product, then the FDA generally will require approval or clearance of that diagnostic, known as a companion diagnostic, before or at the same time that the FDA approves the therapeutic product. In August 2014, the FDA issued final guidance clarifying the requirements that will apply to approval of therapeutic products and</w:t>
      </w:r>
      <w:r>
        <w:rPr>
          <w:rFonts w:ascii="Times New Roman" w:hAnsi="Times New Roman"/>
          <w:color w:val="000000"/>
          <w:sz w:val="20"/>
        </w:rPr>
        <w:t xml:space="preserve"> </w:t>
      </w:r>
      <w:r>
        <w:rPr>
          <w:rFonts w:ascii="Times New Roman" w:hAnsi="Times New Roman"/>
          <w:i/>
          <w:color w:val="000000"/>
          <w:sz w:val="18"/>
        </w:rPr>
        <w:t xml:space="preserve">in vitro </w:t>
      </w:r>
      <w:r>
        <w:rPr>
          <w:rFonts w:ascii="Times New Roman" w:hAnsi="Times New Roman"/>
          <w:color w:val="000000"/>
          <w:sz w:val="18"/>
        </w:rPr>
        <w:t>companion diagnostics. According to the guidance, if the FDA determines that a companion diagnostic device is essential to the safe and effective use of a biologic product or indication, the FDA generally will not approve the biologic product or new biologic product indication if the companion diagnostic device is not approved or cleared for that indication.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 xml:space="preserve">The FDA has also introduced the concept of a complementary diagnostic, which the FDA defines as a test that is not required but which provides significant information about the use of a drug. A complementary test can help guide treatment strategy and identify which patients are likely to derive the greatest benefit from therapy, and if approved by the FDA information regarding the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diagnostic will be included in the therapeutic product labeling. </w:t>
      </w:r>
    </w:p>
    <w:p>
      <w:pPr>
        <w:pStyle w:val="TextBody"/>
        <w:bidi w:val="0"/>
        <w:spacing w:before="216" w:after="283"/>
        <w:jc w:val="left"/>
        <w:rPr>
          <w:rFonts w:ascii="Times New Roman" w:hAnsi="Times New Roman"/>
          <w:sz w:val="20"/>
        </w:rPr>
      </w:pPr>
      <w:r>
        <w:rPr>
          <w:rFonts w:ascii="Times New Roman" w:hAnsi="Times New Roman"/>
          <w:color w:val="000000"/>
          <w:sz w:val="18"/>
        </w:rPr>
        <w:t>Approval or clearance of the companion or complementary diagnostic device will ensure that the device has been adequately evaluated and has adequate performance characteristics in the intended population. The review of</w:t>
      </w:r>
      <w:r>
        <w:rPr>
          <w:rFonts w:ascii="Times New Roman" w:hAnsi="Times New Roman"/>
          <w:color w:val="000000"/>
          <w:sz w:val="20"/>
        </w:rPr>
        <w:t xml:space="preserve">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companion or complementary diagnostics in conjunction with the review of our products will, therefore, likely involve coordination of review by the FDA’s Center for Drug Evaluation and Research and Office of In Vitro Diagnostics. We may partner with a diagnostic provider to develop a companion or complementary diagnostic for certain of our product candidates. Review and approval of a companion or complementary diagnostic is typically done in parallel with development of the therapeutic product. However, it is possible that the FDA may permit approval of the companion or complementary diagnostic as a post-marketing commitment following a potential regulatory approval. </w:t>
        <w:br/>
      </w:r>
      <w:r>
        <w:rPr>
          <w:rFonts w:ascii="Times New Roman" w:hAnsi="Times New Roman"/>
          <w:color w:val="000000"/>
          <w:sz w:val="20"/>
        </w:rPr>
        <w:t> </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Under the FDCA,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 xml:space="preserve">diagnostics, including companion and complementary diagnostics, are regulated as medical devices.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The FDA has generally required </w:t>
      </w:r>
      <w:r>
        <w:rPr>
          <w:rFonts w:ascii="Times New Roman" w:hAnsi="Times New Roman"/>
          <w:i/>
          <w:color w:val="000000"/>
          <w:sz w:val="18"/>
        </w:rPr>
        <w:t xml:space="preserve">in vitro </w:t>
      </w:r>
      <w:r>
        <w:rPr>
          <w:rFonts w:ascii="Times New Roman" w:hAnsi="Times New Roman"/>
          <w:color w:val="000000"/>
          <w:sz w:val="18"/>
        </w:rPr>
        <w:t>companion diagnostics intended to select the patients who will respond to cancer treatment to obtain a PMA for that diagnostic simultaneously with approval of the therapeutic.</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the applicant must demonstrate that the diagnostic has adequate sensitivity and specificity, has adequate specimen and reagent stability, and produces reproducible results when the same sample is tested multiple times by multiple users at multiple laboratories. As part of the PMA review, the FDA will typically inspect the manufacturer’s facilities for compliance with the Quality System Regulation (“QSR”), which imposes elaborate testing, control, documentation and other quality assurance requirements.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PMA approval is not guaranteed, and the FDA may ultimately respond to a PMA submission with a not approvable determination based on deficiencies in the application and require additional clinical trial or other data that may be expensive and time-consuming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additional testing and/or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After a device is placed on the market, it remains subject to significant regulatory requirements. Medical devices may be marketed only for the uses and indications for which they are cleared or approved. Device manufacturers must also register their establishments and list their devices with the FDA. A medical device manufacturer’s manufacturing processes, and the processes of the device specification developer and repackager/relabeler (if different from the manufacturer) and initial importer (if manufactured outside of the United States) are required to comply with the applicable portions of the QSR, which cover the methods and documentation of the design, testing, production, processes, controls, quality assurance, importation, labeling, packaging and shipping of medical devices. Facility records and manufacturing processes are subject to periodic unscheduled inspections by the FDA.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Pediatric information</w:t>
      </w:r>
    </w:p>
    <w:p>
      <w:pPr>
        <w:pStyle w:val="TextBody"/>
        <w:bidi w:val="0"/>
        <w:spacing w:before="108" w:after="283"/>
        <w:jc w:val="left"/>
        <w:rPr>
          <w:rFonts w:ascii="Times New Roman" w:hAnsi="Times New Roman"/>
          <w:sz w:val="20"/>
        </w:rPr>
      </w:pPr>
      <w:r>
        <w:rPr>
          <w:rFonts w:ascii="Times New Roman" w:hAnsi="Times New Roman"/>
          <w:color w:val="000000"/>
          <w:sz w:val="18"/>
        </w:rPr>
        <w:t>Under the Pediatric Research Equity Act (“PREA”), a BLA or supplement to a BLA must contain data to assess the safety and effectiveness of the biologic product candidate for the claimed indications in all relevant pediatric subpopulations and to support dosing and administration for each pediatric subpopulation for which the product candidate is safe and effective. The FDA may grant deferrals for submission of data or full or partial waivers. Unless otherwise required by regulation, the PREA generally does not apply to any biologic product candidate for an indication for which orphan designation has been granted with the exception of orphan-designated biologics if the product contains a new active ingredient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sz w:val="20"/>
        </w:rPr>
      </w:pPr>
      <w:r>
        <w:rPr>
          <w:rFonts w:ascii="Times New Roman" w:hAnsi="Times New Roman"/>
          <w:color w:val="000000"/>
          <w:sz w:val="18"/>
        </w:rPr>
        <w:t>and is a molecularly targeted cancer product intended for the treatment of an adult cancer and is directed at a molecular target that FDA has determined is substantially relevant to the growth or progression of a pediatric cancer.</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Best Pharmaceuticals for Children Act (“BPCA”) provides a six-month extension of any non-patent exclusivity for a biologic if certain conditions are met. Conditions for exclusivity include the FDA’s determination that information relating to the use of a new biologic in the pediatric population may produce health benefits in that population, the FDA making a written request for pediatric studies, and the applicant agreeing to perform, and reporting on, the requested studies within the statutory timeframe. Applications under the BPCA are treated as priority applications, with all of the benefits that designation confers.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Additional controls for biologics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To help reduce the increased risk of the introduction of adventitious agents, the PHSA emphasizes the importance of manufacturing controls for products whose attributes cannot be precisely defined. The PHSA also provides authority to the FDA to immediately suspend biologics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within the United States.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the product to the FDA together with a release protocol showing a summary of the lot manufacturing history and the results of all of the manufacturer’s tests performed on the lot. The FDA may also perform certain confirmatory tests on lots of some products, such as viral vaccines, before allowing the manufacturer to release the lots for distribution. In addition, the FDA conducts laboratory research related to the regulatory standards on the safety, purity, potency, and effectiveness of biological products. As with drugs, after approval of a BLA, biologics manufacturers must address any safety issues that arise, are subject to recalls or a halt in manufacturing, and are subject to periodic inspection after approval.</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Biosimilars and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Patient Protection and Affordable Care Act (the “ACA”), includes a subtitle called the Biologics Price Competition and Innovation Act of 2009 (“BPCIA”), which created an abbreviated approval pathway for biological products that are biosimilar to or interchangeable with an FDA-licensed reference biological product. The FDA has licensed many biosimilars under the BPCIA, and has issued several guidance documents outlining an approach to review and approval of biosimilars.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Biosimilarity, which requires that there be no differences in conditions of use, route of administration, dosage form, and strength, and no clinically meaningful differences between the proposed biosimilar biological product and the reference product in terms of safety, purity and potency, can be shown through analytical studies, an assessment of toxicity, and a clinical trial or studies though the FDA has broad discretion to set or waive certain biosimilar licensure data requirements.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However, complexities associated with the larger, and often more complex, structures of biological products, as well as the processes by which such products are manufactured, pose some hurdles to biosimilar product implementation which is still being evaluated by the FDA.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Under the BPCIA, an application for a biosimilar product referencing an exclusivity-protected biological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applicant’s own preclinical data and data from adequate and well-controlled clinical trials to demonstrate the safety, purity and potency of its product. The BPCIA also created an exclusivity period for biosimilars approved as interchangeable products. At this juncture, it is unclear whether products deemed “interchangeable” by the FDA will, in fact, be readily substituted by pharmacies, which are governed by state pharmacy law.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first biologic product submitted under the biosimilar abbreviated approval pathway that is determined to be interchangeable with the reference product has exclusivity against approval of an interchangeable biologic for the same condition of use for the earlier of (i) one year after first commercial marketing of the first interchangeable biosimilar, (ii) 18 months after the first interchangeable biosimilar is approved if there is no patent challenge, (iii) eighteen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Patent term restoration and extension</w:t>
      </w:r>
    </w:p>
    <w:p>
      <w:pPr>
        <w:pStyle w:val="TextBody"/>
        <w:bidi w:val="0"/>
        <w:spacing w:before="108" w:after="283"/>
        <w:jc w:val="left"/>
        <w:rPr>
          <w:rFonts w:ascii="Times New Roman" w:hAnsi="Times New Roman"/>
          <w:sz w:val="20"/>
        </w:rPr>
      </w:pPr>
      <w:r>
        <w:rPr>
          <w:rFonts w:ascii="Times New Roman" w:hAnsi="Times New Roman"/>
          <w:color w:val="000000"/>
          <w:sz w:val="18"/>
        </w:rPr>
        <w:t>In the United States, a patent claiming a new biologic product, its method of use or its method of manufacture may be eligible for a limited patent term extension under the Hatch-Waxman Act, which permits a patent extension of up to five years for patent term lost during product development and FDA regulatory review. Assuming grant of the patent for which the extension is sought, the restoration period for a patent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covering a product is typically one-half the time between the effective date of the IND involving human beings and the submission date of the BLA, plus the time between the submission date of the BLA and the ultimate approval date. Patent term restoration cannot be used to extend the remaining term of a patent past a total of 14 years from the product’s approval date in the United States. Only one patent applicable to an approved product is eligible for the extension, and the application for the extension must be submitted prior to the expiration of the patent for which extension is sought. A patent that covers multiple products for which approval is sought can only be extended in connection with one of the approvals. The USPTO reviews and approves the application for any patent term extension in consultation with the FDA.</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Regulation and procedures governing approval of medicinal products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post-market surveillance and distribution of products. Whether or not it obtains FDA approval for a product, an applicant will need to obtain the necessary approvals by the comparable foreign regulatory 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Except in limited cases of compassionate use, it also requires the submission to the relevant competent authorities of a marketing authorization application, or MAA, and granting of a marketing authorization by these authorities before the product can be marketed and sold in the European Union.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Clinical trial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Pursuant to the currently applicable Clinical Trials Directive 2001/20/EC and the Directive 2005/28/EC on GCP, a system for the approval of clinical trials (excluding non-interventional trials) conducted in the European Union has been implemented through national legislation of the member states. Under this system, the sponsor of a clinical trial must submit a request for authorization to the competent national authority each European Union member state in which the clinical trial is to be conducted. Furthermore, the applicant must obtain a favorable opinion from the competent ethics committee before starting a clinical trial. The clinical trial application must be accompanied by an investigational medicinal product dossier with supporting information prescribed by Directive 2001/20/EC and Directive 2005/28/EC and corresponding national laws of the member states and further detailed in applicable guidance documents.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April 2014, the European Union adopted a new Clinical Trials Regulation (EU) No 536/2014, but it has not yet become effective. Its application is subject to the full functionality of the European Union clinical trials portal and database. According to the most recent official communications, the audit aiming to confirm the full functionality of the portal and database will be conducted in December 2020. The new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single-entry point and shorter deadlines for the assessment of clinical trial applications. The scientific assessment of a clinical trial to be conducted in more than one member state would be carried out once for all the concerned member states while other aspects (e.g., informed consent requirements) are assessed by each member state for its territory. In addition, sponsors must post clinical trial information (e.g., a summary of trial results) at the EudraCT website.</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PRIME designation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March 2016, the European Medicines Agency (the “EMA”) launched an initiative to facilitate development of product candidates of major interest from the point of view of public health and in particular from the point of view of therapeutic innovation. The PRIority MEdicines, (“PRIME”), scheme is intended to encourage drug development in areas of unmet medical need and provides accelerated assessment of products representing substantial innovation reviewed under the centralized procedure. Eligibility for the PRIME scheme depends on the availability of adequate preclinical and clinical data to justify a potential major public health interest prior to the initiation of confirmatory clinical trials at the proof-of-concept stage. Products from micro, small and medium-sized enterprises may qualify for earlier entry into the PRIME scheme than larger companies and benefit from fee reductions with the EMA. Many benefits accrue to sponsors of product candidates with PRIME designation, including early and proactive regulatory dialogue with the EMA, frequent discussions on clinical trial designs and other development program elements, scientific advice on key decision points for the preparation of the MAA and accelerated MAA assessment once a dossier has been submitted. More specifically, a kick-off meeting initiates these relationships and includes a team of multidisciplinary experts at the EMA to provide guidance on the overall development and regulatory strategies. Importantly, a dedicated EMA contact (rapporteur) from the Committee for Human Medicinal Products (“CHMP”), or Committee for Advanced Therapies in the case of an advanced therapy, are appointed early in the PRIME scheme to provide continuous support and help to build knowledge ahead of a MAA.</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Marketing authorization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To obtain a marketing authorization for a product under the European Union regulatory system, an applicant must submit an MAA, either under a centralized procedure administered by the EMA or one of the procedures administered by competent authorities in European Union member states (decentralized procedure, national procedure, or mutual recognition procedure). A marketing authorization may be granted only to an applicant established in the European Union. In order to support the authorization of medicinal products for children, Regulation (EC) No 1901/2006 provides that prior to obtaining a marketing authorization in the European Union, an applicant must demonstrate compliance with all measures included in an EMA-approved Pediatric Investigation Plan (“PIP”), covering all subsets of the pediatric population, unless the EMA has granted a product-specific waiver, class waiver or a deferral for one or more of the measures included in the PIP. The requirement for a PIP also applies to applications for new indications, pharmaceutical forms or routes of administration for medicinal products that are already authorized.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centralized procedure provides for the grant of a single marketing authorization by the European Commission that is valid for all European Union member states.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is optional. Manufacturers must demonstrate the quality, safety and efficacy of their products to the EMA, which provides an opinion regarding the MAA through the CHMP responsible for conducting an initial assessment of the product.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maximum timeframe for the evaluation of an MAA by the CHMP is 210 days, excluding clock stops when additional information or written or oral explanation is to be provided by the applicant in response to questions of the CHMP. 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 The final decision on the MAA is issued by the European Commission, in light of the opinion delivered by the EMA, and after the member states have had an opportunity to comment on it.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With respect to medicinal products for which a centralized authorization is not mandatory, the applicant may choose between: (i) the national procedure provided for by a specific member state, for the marketing of the product in its territory, (ii) the decentralized procedure, for drug candidates that are not marketed in any of the member states but the applicant wishes to market them on more than one EU national territories or (iii) the mutual recognition procedure, which applies to products already authorized in a member state and whose marketing in other member states’ territories is sought.</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Regulatory data protection in the European Union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European Union, new chemical entities approved on the basis of a complete independent data package qualify for eight years of data exclusivity upon marketing authorization and an additional two years of market exclusivity pursuant to Regulation (EC) No 726/2004, as amended, and Directive 2001/83/EC, as amended.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exclusivity periods apply only once from the first authorization granted to an applicant for a given active substance and they cannot be renewed when the same marketing authorization holder is granted new authorizations for new indications, strengths, pharmaceutical forms, administration routes or presentations of the same active substance. Data exclusivity prevents regulatory authorities in the European Union from referencing the innovator’s data to assess another product (either generic, hybrid or biosimilar) application for a period of eight years. During the additional two-year period of market exclusivity, a generic, hybrid or biosimilar marketing authorization application can be submitted, and the innovator’s data may be referenced, but no generic, hybrid or biosimilar medicinal product can be marketed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an MAA with a complete independent data package of pharmaceutical tests, preclinical tests and clinical trials.</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Patent term extensions in the European Union and other jurisdictions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European Union also provides for patent term extension through Supplementary Protection Certificates (“SPCs”). The rules and requirements for obtaining a SPC are similar to those in the United States. An SPC may extend the term of a patent for up to five years after its originally scheduled expiration date. In certain circumstances, these periods may be extended for six additional months if pediatric exclusivity is obtained. Although SPCs are available throughout the European Union, sponsors must apply on a country-by-country basis. Similar patent term extension rights exist in certain other foreign jurisdictions outside the European Union.</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Periods of authorization and renewals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 marketing authorization is valid for five years, in principle, and it may be renewed after five years on the basis of a reevaluation of the risk-benefit balance by the EMA or by the competent authority of the authorizing member state, depending on the procedure through which the marketing authorization has been granted.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drug on the European Union market (in the case of the centralized procedure) or on the market of the authorizing member state within three years after authorization is granted ceases to be valid.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Regulatory requirements after marketing authorization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Following approval, the holder of the marketing authorization is required to comply with a range of requirements applicable to the manufacturing, marketing, promotion and sale of the medicinal product. These include compliance with the European Union’s stringent pharmacovigilance or safety reporting rules, pursuant to which post-authorization studies and additional monitoring obligations can be imposed. In addition, the manufacturing of authorized products, for which a separate manufacturer’s license is mandatory, must also be conducted in strict compliance with the EMA’s good manufacturing practices (“GMP”) requirements and comparable requirements of other regulatory bodies in the European Union, which mandate the methods, facilities and controls used in the manufacturing, processing and packing of drugs to assure their safety and identity. Finally, the marketing and promotion of authorized products, including industry-sponsored continuing medical education and advertising directed toward the prescribers of drugs and/or the general public, are strictly regulated in the European Union under Directive 2001/83EC, as amended.</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Orphan drug designation and exclusivity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Regulation (EC) No 141/2000 and Regulation (EC) No. 847/2000 provide that a product can be designated as an orphan drug by the European Commission if its sponsor can establish: that the product is intended for the diagnosis, prevention or treatment of (i) a life-threatening or chronically debilitating condition affecting not more than five in ten thousand persons in the European Union when the application is made, or (ii)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for which the orphan designation is requested will be of significant benefit to those affected by that condition.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 orphan drug designation provides several benefits, including fee reductions, regulatory and scientific assistance and the possibility to apply for a centralized European Union marketing authorization. In particular, an orphan drug designation leads to a 10-year period of market exclusivity from the granting of the concerned medicinal product marketing authorization for the particular indication. During this market exclusivity period, neither the EMA nor the member states can accept an application or grant a marketing authorization for a “similar medicinal product.” A “similar medicinal product” is defined as a medicinal product containing a similar or identical active substance, or substances as contained in an authorized orphan medicinal product, and which is intended for the same therapeutic indication. The market exclusivity period for the authorized therapeutic indication may, however, be reduced to six years if, at the end of the fifth year, it is established that the product no longer meets the criteria for orphan drug designation because, for example, the product is sufficiently profitable so as to not justify market exclusivity.</w:t>
      </w:r>
    </w:p>
    <w:p>
      <w:pPr>
        <w:pStyle w:val="TextBody"/>
        <w:bidi w:val="0"/>
        <w:spacing w:before="324" w:after="283"/>
        <w:jc w:val="left"/>
        <w:rPr>
          <w:rFonts w:ascii="Times New Roman" w:hAnsi="Times New Roman"/>
          <w:i/>
          <w:color w:val="000000"/>
          <w:sz w:val="18"/>
        </w:rPr>
      </w:pPr>
      <w:r>
        <w:rPr>
          <w:rFonts w:ascii="Times New Roman" w:hAnsi="Times New Roman"/>
          <w:i/>
          <w:color w:val="000000"/>
          <w:sz w:val="18"/>
        </w:rPr>
        <w:t>General Data Protection Regulation (the “GDPR”)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collection, use, disclosure, transfer or other processing of personal data regarding individuals in the European Union, including personal health data, is subject to the Regulation (EU) No. 2016/679,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including the United States, and permits data protection authorities to impose large penalties for violations of the GDPR, including potential fines of up to €20 million or 4% of annual global turnover of the preceding financial year,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Coverage and reimbursement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Sales of our product candidates, if approved, will depend, in part, on the extent to which such products will be covered by third-party payors, such as government healthcare programs, commercial insurance and managed healthcare organizations. These third-party payors are increasingly limiting coverage or reducing reimbursements for medical products and services. In the United States, no uniform policy of coverage and reimbursement for products exists among third-party payors. Therefore, coverage and reimbursement for products can differ significantly from payor to payor. In addition, the U.S. government, state legislatures and foreign governments have continued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our net revenue and results. Decreases in third-party reimbursement for our product candidates or a decision by a third-party payor to not cover our product candidates could reduce physician usage of our product candidates, once approved, and have a material adverse effect on our sales, results of operations and financial condition.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Other U.S. healthcare laws and compliance requirements</w:t>
      </w:r>
    </w:p>
    <w:p>
      <w:pPr>
        <w:pStyle w:val="TextBody"/>
        <w:bidi w:val="0"/>
        <w:spacing w:before="108" w:after="283"/>
        <w:jc w:val="left"/>
        <w:rPr>
          <w:rFonts w:ascii="Times New Roman" w:hAnsi="Times New Roman"/>
          <w:sz w:val="20"/>
        </w:rPr>
      </w:pPr>
      <w:r>
        <w:rPr>
          <w:rFonts w:ascii="Times New Roman" w:hAnsi="Times New Roman"/>
          <w:color w:val="000000"/>
          <w:sz w:val="18"/>
        </w:rPr>
        <w:t>In the United States, biotechnology company activities are potentially subject to regulation by various federal, state and local authorities in addition to the FDA, including but not limited to, the Centers for Medicare &amp; Medicaid Services (“CMS”), other divisions of the U.S. Department of Health and Human Services (“HHS”) (e.g., the Office of Inspector General and the Office for Civil Rights), the U.S. Department of Justice (the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color w:val="000000"/>
        </w:rPr>
      </w:pPr>
      <w:r>
        <w:rPr>
          <w:color w:val="000000"/>
        </w:rPr>
        <w:t>“</w:t>
      </w:r>
      <w:r>
        <w:rPr>
          <w:rFonts w:ascii="Times New Roman" w:hAnsi="Times New Roman"/>
          <w:color w:val="000000"/>
          <w:sz w:val="18"/>
        </w:rPr>
        <w:t>DOJ”), and individual U.S. Attorney offices within the DOJ, and state and local governments. The laws biotechnology companies may have to comply with include the anti-fraud and abuse provisions of the Social Security Act, the federal false claims laws, the privacy and security provisions of the Health Insurance Portability and Accountability Act of 1996 (“HIPAA”), and similar state laws, each as amended, as applicable.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recommending or arranging for the purchase, lease or order of any item or service reimbursable under Medicare, Medicaid or other federal healthcare programs. The term remuneration has been interpreted broadly to include anything of value. The Anti-Kickback Statute has been interpreted to apply to arrangements between pharmaceutical manufacturers on one hand and prescribers, purchasers, and/or formulary managers on the other. There are several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Practices may not in all cases meet all the criteria for protection under a statutory exception or regulatory safe harbor. In addition, the statutory exceptions and regulatory safe harbors are subject to change. 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Federal false claims laws, including the federal civil False Claims Act, prohibit,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In addition, manufacturers can be held liable under the civil False Claims Act even when they do not submit claims directly to government payors if they are deemed to “cause” the submission of false or fraudulent claims. Pharmaceutical and other biotechnology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 and purportedly concealing price concessions in the pricing information submitted to the government for government price reporting purposes.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HIPAA created additional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conditions of the Anti-Kickback Statute, a person or entity does not need to have actual knowledge of the statute or specific intent to violate it in order to have committed a violation.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Also, many states have similar fraud and abuse statutes or regulations that apply to items and services reimbursed under Medicaid and other state programs, or, in several states, apply regardless of the payor.</w:t>
      </w:r>
    </w:p>
    <w:p>
      <w:pPr>
        <w:pStyle w:val="TextBody"/>
        <w:bidi w:val="0"/>
        <w:spacing w:before="216" w:after="283"/>
        <w:jc w:val="left"/>
        <w:rPr>
          <w:rFonts w:ascii="Times New Roman" w:hAnsi="Times New Roman"/>
          <w:sz w:val="20"/>
        </w:rPr>
      </w:pPr>
      <w:r>
        <w:rPr>
          <w:rFonts w:ascii="Times New Roman" w:hAnsi="Times New Roman"/>
          <w:color w:val="000000"/>
          <w:sz w:val="18"/>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physician assistants, certain types of advance practice nurses and teaching hospitals, or to entities or individuals at the request of, or designated on behalf of such providers, and to report annually certain ownership and investment interests held by physicians and their immediate family members.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Violation of any of the federal and state healthcare laws described above or any other governmental regulations may result in penalties, including without limitation, significant civil, criminal and/or administrative penalties, damages, fines, disgorgement, exclusion from participation in government programs, such as Medicare and Medicaid, imprisonment, injunctions, private “qui tam” actions brought by individual whistleblowers in the name of the government, refusal to enter into government contracts, oversight monitoring, contractual damages, reputational harm, administrative burdens, diminished profits and future earnings.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Federal and state data privacy and security laws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HIPAA, HHS has issued regulations to protect the privacy and security of protected health information used or disclosed by covered entities including certain healthcare providers, health plans and healthcare clearinghouses. HIPAA also regulates standardization of data content, codes and formats used in healthcare transactions and standardization of identifiers for health plans and providers. HIPAA, as amended by the Health Information Technology for Economic and Clinical Health Act of 2009 (“HITECH”), and their regulations, including the final omnibus rule published on January 25, 2013, also imposes certain obligations on the business associates of covered entities that obtain protected health information in providing services to or on behalf of covered entities. In addition to federal privacy regulations, there are many state laws governing confidentiality and security of health information that are applicable to our business. In addition to possible federal administrative, civil and criminal penalties for HIPAA violations, state attorneys general are authorized to file civil actions for damages or injunctions in federal courts to enforce HIPAA and seek attorney’s fees and costs associated with pursuing federal civil actions. Accordingly, state attorneys general have brought civil actions seeking injunctions and damages resulting from alleged violations of HIPAA’s privacy and security rules. New laws and regulations governing privacy and security may be adopted in the future as well.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state laws govern the privacy and security of health information in specified circumstances, many of which differ from each other in significant ways and may not have the same effect, and often are not preempted by HIPAA, thus complicating compliance efforts. For example, the California Consumer Privacy Act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On November 3, 2020, California voters approved a new privacy law, the California Privacy Rights Act (the “CPRA”), which significantly modifies the CCPA, including by expanding consumers’ rights with respect to certain personal information and creating a new state agency to oversee implementation and enforcement efforts. The CCPA and CPRA provide for unlimited civil penalties for violations, as well as a private right of action for data breaches that is expected to increase data breach litigation. The CPRA took effect in most material respects on January 1, 2023. CCPA enforcement thus far has been limited; it has not been subject to significant litigation and judicial interpretation. As a result, it remains unclear how various provisions of the CCPA will be interpreted and enforced. State laws are changing rapidly and there is discussion in the U.S. of a new comprehensive federal data privacy law to which we would become subject if it is enacted.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breadth of these laws and the narrowness of the statutory exceptions and regulatory safe harbors available under such laws, it is possible that some of our current or future business activities, including certain clinical research, sales and marketing practices and the provision of certain items and services to our customers, could be subject to challenge under one or more of such privacy and data security laws. The heightening compliance environment and the need to build and maintain robust and secure systems to comply with different privacy compliance and reporting requirements in multiple jurisdictions could increase the possibility that a healthcare company may fail to comply fully with one or more of these requirements. If our operations are found to be in violation of any of the privacy or data security laws or regulations described above that are applicable to us, or any other laws that apply to us, we may be subject to penalties, including potentially significant criminal, civil and administrative penalties, damages, fines, imprisonment, contractual damages, reputational harm, diminished profits and future earnings, additional reporting requirements and oversight if we become subject to a consent decree or similar agreement to resolve allegations of non-compliance with these laws, and the curtailment or restructuring of our operations, any of which could adversely affect our ability to operate our business and our results of operations. To the extent that any product candidates we may develop, once approved, are sold in a foreign country, we may be subject to similar foreign laws.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Healthcare reform</w:t>
      </w:r>
    </w:p>
    <w:p>
      <w:pPr>
        <w:pStyle w:val="TextBody"/>
        <w:bidi w:val="0"/>
        <w:spacing w:before="108" w:after="283"/>
        <w:jc w:val="left"/>
        <w:rPr>
          <w:rFonts w:ascii="Times New Roman" w:hAnsi="Times New Roman"/>
          <w:sz w:val="20"/>
        </w:rPr>
      </w:pPr>
      <w:r>
        <w:rPr>
          <w:rFonts w:ascii="Times New Roman" w:hAnsi="Times New Roman"/>
          <w:color w:val="000000"/>
          <w:sz w:val="18"/>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Several healthcare reform proposals culminated in the enactment of the Inflation Reduction Act of 2022 (the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drugs) can be selected by CMS for negotiation, with the negotiated price taking effect two years after the selection year. For 2026, the first year in which negotiated prices become effective, CMS selected 10 high-cost Medicare Part D products in 2023, negotiations took place in 2024, and the negotiated maximum fair price for each product has been announced.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will be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The IRA also imposes rebates on Medicare Part B and Part D drugs whose prices have increased at a rate greater than the rate of inflation, and in November 2024, CMS finalized regulations for the Medicare Part B and Part D inflation rebates. The IRA also extends enhanced subsidies for individuals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purchasing health insurance coverage in ACA marketplaces through plan year 2025. The IRA permits the Secretary of HHS to implement many of these provisions through guidance, as opposed to regulation, for the initial years. Manufacturers that fail to comply with the IRA may be subject to various penalties, including significant civil monetary penalties. These provisions have been and may continue to be subject to legal challenges. For example, the provisions related to the negotiation of selling prices of high-expenditure single-source drugs and biologics have been challenged in several lawsuits brought by pharmaceutical manufacturers. Thus, while it is unclear how the IRA will be implemented, it will likely have a significant impact on the biopharmaceutical industry and the pricing of prescription drug products. Additional state and federal healthcare reform measures could be adopted in the future.</w:t>
      </w:r>
    </w:p>
    <w:p>
      <w:pPr>
        <w:pStyle w:val="TextBody"/>
        <w:bidi w:val="0"/>
        <w:spacing w:before="216" w:after="283"/>
        <w:jc w:val="left"/>
        <w:rPr>
          <w:rFonts w:ascii="Times New Roman" w:hAnsi="Times New Roman"/>
          <w:sz w:val="20"/>
        </w:rPr>
      </w:pPr>
      <w:r>
        <w:rPr>
          <w:rFonts w:ascii="Times New Roman" w:hAnsi="Times New Roman"/>
          <w:color w:val="000000"/>
          <w:sz w:val="18"/>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Human Capital Management</w:t>
      </w:r>
    </w:p>
    <w:p>
      <w:pPr>
        <w:pStyle w:val="TextBody"/>
        <w:bidi w:val="0"/>
        <w:spacing w:before="108" w:after="283"/>
        <w:jc w:val="left"/>
        <w:rPr>
          <w:rFonts w:ascii="Times New Roman" w:hAnsi="Times New Roman"/>
          <w:sz w:val="20"/>
        </w:rPr>
      </w:pPr>
      <w:r>
        <w:rPr>
          <w:rFonts w:ascii="Times New Roman" w:hAnsi="Times New Roman"/>
          <w:i/>
          <w:color w:val="000000"/>
          <w:sz w:val="18"/>
        </w:rPr>
        <w:t>Employees</w:t>
      </w:r>
      <w:r>
        <w:rPr>
          <w:rFonts w:ascii="Times New Roman" w:hAnsi="Times New Roman"/>
          <w:color w:val="000000"/>
          <w:sz w:val="18"/>
        </w:rPr>
        <w:t>. As of December 31, 2024, we employed 61 employees. We also engaged 15 independent contractors located in China as of December 31, 2024 pursuant to our relationship with BioDuro-Sundia, a U.S.-based provider of preclinical development services. None of our employees are subject to a collective bargaining agreement. We consider our relationship with our employees to be good.</w:t>
      </w:r>
    </w:p>
    <w:p>
      <w:pPr>
        <w:pStyle w:val="TextBody"/>
        <w:bidi w:val="0"/>
        <w:spacing w:before="216" w:after="283"/>
        <w:jc w:val="left"/>
        <w:rPr>
          <w:rFonts w:ascii="Times New Roman" w:hAnsi="Times New Roman"/>
          <w:sz w:val="20"/>
        </w:rPr>
      </w:pPr>
      <w:r>
        <w:rPr>
          <w:rFonts w:ascii="Times New Roman" w:hAnsi="Times New Roman"/>
          <w:i/>
          <w:color w:val="000000"/>
          <w:sz w:val="18"/>
        </w:rPr>
        <w:t>Compensation and Benefits Program</w:t>
      </w:r>
      <w:r>
        <w:rPr>
          <w:rFonts w:ascii="Times New Roman" w:hAnsi="Times New Roman"/>
          <w:color w:val="000000"/>
          <w:sz w:val="18"/>
        </w:rPr>
        <w:t>. Our compensation program is designed to attract and reward talented individuals who possess the skills necessary to support our business objectives, assist in the achievement of our strategic goals and create long-term value for our stockholders. We provide employees with compensation packages that include base salary, annual incentive bonuses, and long-term equity awards tied to the value of our stock price. We believe that a compensation program with both short-term and long-term awards provides fair and competitive compensation and aligns employee and stockholder interests, including by incentivizing business and individual performance (pay for performance), motivating based on long-term company performance and integrating compensation with our business plans. In addition to cash and equity compensation, we also offer employees benefits such as life and health (medical, dental &amp; vision) insurance, flexible spending accounts for health and dependent care needs, paid time off, paid parental leave, participation in our Employee Stock Purchase Plan and a 401(k) plan. In addition to our benefits, we offer wellness and stress management support which includes an on-site gym, company-wide wellness activities, wellness resources that are shared with employees each month, an Employee Assistance Program with counseling, and flexible work arrangements.</w:t>
      </w:r>
    </w:p>
    <w:p>
      <w:pPr>
        <w:pStyle w:val="TextBody"/>
        <w:bidi w:val="0"/>
        <w:spacing w:before="216" w:after="283"/>
        <w:jc w:val="left"/>
        <w:rPr>
          <w:rFonts w:ascii="Times New Roman" w:hAnsi="Times New Roman"/>
          <w:sz w:val="20"/>
        </w:rPr>
      </w:pPr>
      <w:r>
        <w:rPr>
          <w:rFonts w:ascii="Times New Roman" w:hAnsi="Times New Roman"/>
          <w:i/>
          <w:color w:val="000000"/>
          <w:sz w:val="18"/>
        </w:rPr>
        <w:t>Inclusion and Belonging</w:t>
      </w:r>
      <w:r>
        <w:rPr>
          <w:rFonts w:ascii="Times New Roman" w:hAnsi="Times New Roman"/>
          <w:color w:val="000000"/>
          <w:sz w:val="18"/>
        </w:rPr>
        <w:t>. We believe that an equitable and inclusive environment with diverse teams produces more creative solutions, results in better, more innovative products and services and is crucial to our efforts to attract and retain key talent. Our current efforts are focused on four primary areas: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Employee well-being. We believe everyone plays a crucial role in fostering a safe and healthy workplace. With employees in diverse roles and functions, we empower them to contribute to a safe working environment, whether they are in a lab or office. Our policies and practices are designed to not only protect our employees but also to safeguard the surrounding communities where we work.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Safe work environment. We provide training to all employees to improve their understanding of behaviors that can be perceived as discriminatory, exclusionary, and/or harassing, and provide safe avenues for employees to report such behaviors.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Equal employment opportunity. We ensure that our practices and processes attract a diverse range of candidate, and that candidates are recruited, hired, paid, assigned, developed, and promoted based on merit and their alignment to our values.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Learning and development opportunities. To support our employees in reaching their full potential, we offer a wide range of internal and external learning and development opportunities to support a culture of learning.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Community Involvement. We aim to give back to the communities where we live and work, and believe that this commitment helps in our efforts to attract and retain employees. We work with local universities to introduce and promote careers in science and biotechnology through internship opportunities.</w:t>
      </w:r>
    </w:p>
    <w:p>
      <w:pPr>
        <w:pStyle w:val="TextBody"/>
        <w:bidi w:val="0"/>
        <w:spacing w:before="216" w:after="283"/>
        <w:jc w:val="left"/>
        <w:rPr>
          <w:rFonts w:ascii="Times New Roman" w:hAnsi="Times New Roman"/>
          <w:sz w:val="20"/>
        </w:rPr>
      </w:pPr>
      <w:r>
        <w:rPr>
          <w:rFonts w:ascii="Times New Roman" w:hAnsi="Times New Roman"/>
          <w:i/>
          <w:color w:val="000000"/>
          <w:sz w:val="18"/>
        </w:rPr>
        <w:t>Employee Communication and Engagement.</w:t>
      </w:r>
      <w:r>
        <w:rPr>
          <w:rFonts w:ascii="Times New Roman" w:hAnsi="Times New Roman"/>
          <w:color w:val="000000"/>
          <w:sz w:val="20"/>
        </w:rPr>
        <w:t xml:space="preserve"> </w:t>
      </w:r>
      <w:r>
        <w:rPr>
          <w:rFonts w:ascii="Times New Roman" w:hAnsi="Times New Roman"/>
          <w:color w:val="000000"/>
          <w:sz w:val="18"/>
        </w:rPr>
        <w:t>We believe that our employees perform at their best when they understand how their contributions align with our overall strategy. To foster this connection, we prioritize open and transparent communication through several channels, including all hands meetings, company-wide updates and posts on our intranet. To maintain employee morale, we assess engagement through our managers who gather valuable feedback on career development, work environment and supervisor performance. Additionally, we track employee turnover rates to gauge satisfaction. The insights from this feedback are used to shape initiatives that aim to boost employee engagement and enhance the overall employee experience.</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Corporate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business and predecessor entity was founded in March 2007. In July 2020, we converted from a limited liability company into a Delaware corporation pursuant to a statutory conversion and changed our name to BioAtla, Inc. Our principal executive offices are located at 11085 Torreyana Road, San Diego, California 92121, and our telephone number is (858) 558-0708. Our corporate website address is www.bioatla.com. Information contained on, or that may be accessed through, our website is not incorporated by reference into this Annual Report on Form 10-K and should not be considered a part of this Annual Report on Form 10-K.</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We have obtained a registered trademark for BioAtla</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in the United States. This Annual Report on Form 10-K contains references to our trademarks and to trademarks belonging to other entities. Solely for convenience, trademarks and trade names referred to in this Annual Report on Form 10-K, including logos, artwork and other visual displays, may appear without the </w:t>
      </w:r>
      <w:r>
        <w:rPr>
          <w:rFonts w:ascii="Times New Roman" w:hAnsi="Times New Roman"/>
          <w:color w:val="000000"/>
          <w:sz w:val="16"/>
        </w:rPr>
        <w:t>®</w:t>
      </w:r>
      <w:r>
        <w:rPr>
          <w:rFonts w:ascii="Times New Roman" w:hAnsi="Times New Roman"/>
          <w:color w:val="000000"/>
          <w:sz w:val="20"/>
        </w:rPr>
        <w:t xml:space="preserve"> </w:t>
      </w:r>
      <w:r>
        <w:rPr>
          <w:rFonts w:ascii="Times New Roman" w:hAnsi="Times New Roman"/>
          <w:color w:val="000000"/>
          <w:sz w:val="18"/>
        </w:rPr>
        <w:t xml:space="preserve">or </w:t>
      </w:r>
      <w:r>
        <w:rPr>
          <w:rFonts w:ascii="Times New Roman" w:hAnsi="Times New Roman"/>
          <w:color w:val="000000"/>
          <w:sz w:val="12"/>
        </w:rPr>
        <w:t xml:space="preserve">TM </w:t>
      </w:r>
      <w:r>
        <w:rPr>
          <w:rFonts w:ascii="Times New Roman" w:hAnsi="Times New Roman"/>
          <w:color w:val="000000"/>
          <w:sz w:val="18"/>
        </w:rPr>
        <w:t>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Available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make available, free of charge through our website www.bioatla.com,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SEC maintains an internet site (http://www.sec.gov) that contains reports, proxy and information statements, and other information regarding issuers that file electronically with the SEC.</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left"/>
        <w:rPr>
          <w:rFonts w:ascii="Times New Roman" w:hAnsi="Times New Roman"/>
          <w:b/>
          <w:color w:val="000000"/>
          <w:sz w:val="18"/>
        </w:rPr>
      </w:pPr>
      <w:bookmarkStart w:id="5" w:name="item_1a_risk_factors"/>
      <w:bookmarkEnd w:id="5"/>
      <w:r>
        <w:rPr>
          <w:rFonts w:ascii="Times New Roman" w:hAnsi="Times New Roman"/>
          <w:b/>
          <w:color w:val="000000"/>
          <w:sz w:val="18"/>
        </w:rPr>
        <w:t>ITEM 1A. Risk Factors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Risk Factor Summary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Investing in our common stock involves a high degree of risk. You should carefully consider all information in this Annual Report on Form 10-K before purchasing our common stock. These risks and uncertainties include, but are not limited to, the following:</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We are a clinical-stage biopharmaceutical company with a limited operating history and no products approved for commercial sale, and we have a history of significant losses and expect to continue to incur significant losses for the foreseeable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will require substantial additional capital to finance our operations, and if we fail to raise such capital when needed, or on acceptable terms, we may be forced to delay, reduce or eliminate one or more of our research and drug development programs or future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have incurred significant losses and negative cash flows from operations since our inception. We may incur losses over the next several years and may never achieve or maintain profitability. These factors raise substantial doubt about our ability to continue as a going concern and we will need additional funding to continue development of our CAB technology platform and our CAB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product candidates may fail in development or suffer delays that adversely affect their commercial viability.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are substantially dependent on the success of our patented CAB technology platform, and our future success depends heavily on the successful development of this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expend our resources to pursue particular product candidates and fail to capitalize on product candidates that may be more profitable or for which there is a greater likelihood of success.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Results from early-stage clinical trials may not be predictive of results from late-stage or other clinical trials, and the results of our clinical trials may not satisfy the requirements of the FDA, the European Medicine Agency (“EMA”) or other comparable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the commencement and completion of clinical trials could increase costs and delay or prevent regulatory approval and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competition from entities that have developed or may develop product candidates for cancer, including companies developing novel treatments and technology platforms.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obtain U.S. or foreign regulatory approval and, as a result, unable to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intend to seek approval from the FDA or comparable foreign regulatory authorities through the use of accelerated approval pathways, if available, and if we are unable to obtain such approval, we may be required to conduct additional preclinical studies or clinical trials beyond those that we contemplate, which could increase the expense of obtaining, and delay the receipt of, necessary marketing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Fast track designation granted for ozuriftamab vedotin in recurrent or metastatic squamous cell carcinoma of the head and neck (SCCHN) and, if granted,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Even if we receive regulatory approval for any of our product candidates, we will be subject to ongoing regulatory obligations and continued regulatory review, which may result in significant additional expense.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not realize the anticipated benefits of our workforce reductions, and our restructuring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fail to attract and retain qualified senior management and key scientific personnel, our business may be materially and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portion of our research and development activities take place in China, and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face risks related to health epidemics and outbreaks which could significantly disrupt our preclinical studies and could affect enrollment of patients in our clinical trials. Continuation and increasing severity of these conditions could delay or prevent our receipt of necessary regulatory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fail to enter into collaborations with third parties for the development and commercialization of certain of our product candidates, or if our current and future collaborations are not successful, we may not be able to capitalize on the market potential of our patented technology platform and resulting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future issuance of equity or of debt securities that are convertible into equity will dilute our share capital.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 Factors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Risks related to our financial position and need for additional capital</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are a clinical-stage biopharmaceutical company with a limited operating history and no products approved for commercial sale. We have a history of significant losses and we expect to continue to incur significant losses for the foreseeable future, which together with our limited operating history, makes it difficult to assess our future viability.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a Phase 2 clinical-stage biopharmaceutical company with a limited operating history upon which you can evaluate our business and prospects. We have no products approved for commercial sale and have not generated any revenue from product sales.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the ongoing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We have not yet demonstrated our ability to successfully obtain marketing approvals, manufacture a commercial-scale product or arrange for a third party to do so on our behalf or conduct sales and marketing activities necessary for successful product commercialization. As a result, it may be more difficult for you to assess our future viability than it could be if we had a longer operating history.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$69.8 million and $123.5 million for the years ended December 31, 2024 and 2023, respectively. As of December 31, 2024, we had an accumulated deficit of $486.0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identifying and designing product candidates and conducting preclinical studies and clinical trials, and the regulatory approval process for our product candidates. In the near term, we expect that these expenses begin to decrease as we complete enrollment for certain clinical trials, however, these expenses, and the potential for losses, may generally increase as we progress our lead product candidates through the regulatory approval process. We also expect that our expenses will vary as a result of macroeconomic factors, including inflation. For example, recently, several of our vendors have passed along price increases they have experienced in their own business as a result of inflation.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However, the amount of our future expenses and potential losses is uncertain. Our ability to achieve profitability, if ever, will depend on, among other things, our successfully developing product candidates, obtaining regulatory approvals to market and commercialize product candidates, manufacturing any approved products on commercially reasonable terms and potentially establishing a sales and marketing organization or suitable third-party alternatives to commercialize any approved product. If we, or our existing or future collaborators, are unable to develop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will require substantial additional capital to finance our operations. If we are unable to raise such capital when needed, or on acceptable terms, we may be forced to delay, reduce or eliminate one or more of our research and drug development programs or future commercialization efforts.</w:t>
      </w:r>
    </w:p>
    <w:p>
      <w:pPr>
        <w:pStyle w:val="TextBody"/>
        <w:bidi w:val="0"/>
        <w:spacing w:before="108" w:after="283"/>
        <w:jc w:val="left"/>
        <w:rPr>
          <w:rFonts w:ascii="Times New Roman" w:hAnsi="Times New Roman"/>
          <w:sz w:val="20"/>
        </w:rPr>
      </w:pPr>
      <w:r>
        <w:rPr>
          <w:rFonts w:ascii="Times New Roman" w:hAnsi="Times New Roman"/>
          <w:color w:val="000000"/>
          <w:sz w:val="18"/>
        </w:rPr>
        <w:t>The development of biopharmaceutical products, including conducting preclinical studies and clinical trials, is a very time-consuming, expensive and uncertain process that takes years to complete. Our operations have consumed substantial amounts of cash since inception, and we will continue to incur significant expenses in connection with our ongoing activities, particularly as we conduct clinical trials of, and seek</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marketing approval for, mecbotamab vedotin, ozuriftamab vedotin, evalstotug, and BA3182.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comparable foreign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Accordingly, we will need to obtain substantial additional funding in order to continue our operations.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plan to use our existing cash and cash equivalents to fund the research and development of our product candidates and development programs and to fund working capital and other general corporate purposes.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Advancing the development of our product candidates will require a significant amount of capital. Our existing cash and cash equivalents may not be sufficient to fund any of our product candidates through regulatory approval. Because the length of time and activities associated with successful research and development of any individual product candidate are highly uncertain, we are unable to estimate the actual funds we will require for development, marketing approval and commercialization activities. The timing and amount of our operating expenditures will depend largely 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progress of our ongoing clinical trials for mecbotamab vedotin, ozuriftamab vedotin, evalstotug, and BA3182;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and scope of preclinical and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progress of our collaborators with whom we have entered, or may in the future enter, into collaboration agreements and research and development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amount of milestone payments we may receive under our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our current licenses, collaboration and research and development programs or possibly establish new collaboration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costs involved in prosecuting and enforcing patent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 and timing of regulatory approvals;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efforts to enhance operational systems and hire additional personnel, including personnel to support development of our product candidates and satisfy our obligations as a public company.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are unable to obtain funding on a timely basis, including under our current or future collaborations, or on acceptable terms, we may have to delay, reduce or terminate our research and development programs and preclinical studies or clinical trials, limit strategic opportunities or undergo reductions in our workforce or other corporate restructuring activities. We may seek to raise any necessary additional capital through a combination of public or private equity offerings, debt financings, collaborations, strategic alliances, licensing arrangements and other marketing and distribution arrangements. We cannot assure you that such financing will be available at acceptable terms to us, if at all. Failure to generate sufficient cash flows from operations, raise additional capital, and reduce discretionary spending should additional capital not become available could have a material adverse effect on our ability to achieve our intended business objectives.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Our financial condition could be adversely affected by general conditions in the global economy and in the global financial markets. For example, global financial crises have caused extreme volatility and disruptions in the capital and credit markets. If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A severe or prolonged economic downturn, such as a global financial crisis, could result in a variety of risks to our business, including our ability to raise additional capital when needed on acceptable terms, if at all. There can be no assurance that further deterioration in credit and financial markets and confidence in economic conditions will not occur. If we do raise additional capital through public or private equity or convertible debt offerings, the ownership interest of our existing stockholders will be diluted, and the terms of these securities may include liquidation or other preferences that adversely affect our stockholders’ rights. If we raise additional capital through debt financings, we may be subject to covenants limiting or restricting our ability to take specific actions, such as incurring additional debt, making capital expenditures, licensing product rights, entering into product development collaborations, acquiring other businesses, products or technology or declaring dividends. If we are unable to obtain additional funding from these or other sources, it may be necessary to significantly reduce our rate of spending through reductions in staff and delay, scale back or stop certain research and development programs.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have incurred significant losses and negative cash flows from operations since our inception. We may incur losses over the next several years and may never achieve or maintain profitability. Without taking other actions, these factors raise substantial doubt about our ability to continue as a going concern and we will need additional funding to continue development of our CAB technology platform and our CAB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operating losses to date and expect to continue to incur significant expenses and operating losses for the foreseeable future as we continue the development of our CAB technology platform and our CAB product candidates. Our recurring losses from operations raise substantial doubt about our ability to continue as a going concern for the 12 months from the date that our financial statements included elsewhere in this Annual Report are issued. As a result, our independent public accounting firm included an explanatory paragraph regarding the same in its report on this Annual Report. Our financial statements as of December 31, 2024 do not include any adjustments that might result from the outcome of this uncertainty.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2024, we had approximately $49.0 million in cash and cash equivalents. Based upon our current operating plan and assumptions, we estimate that our cash and cash equivalents will enable us to fund our operations into the first half of 2026. Our estimate as to how long we expect our existing cash and cash equivalents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pStyle w:val="TextBody"/>
        <w:bidi w:val="0"/>
        <w:spacing w:before="216" w:after="283"/>
        <w:jc w:val="left"/>
        <w:rPr>
          <w:rFonts w:ascii="Times New Roman" w:hAnsi="Times New Roman"/>
          <w:sz w:val="20"/>
        </w:rPr>
      </w:pPr>
      <w:r>
        <w:rPr>
          <w:rFonts w:ascii="Times New Roman" w:hAnsi="Times New Roman"/>
          <w:color w:val="000000"/>
          <w:sz w:val="18"/>
        </w:rPr>
        <w:t>We expect to finance our future cash needs through equity or debt financings, strategic collaborations transactions, or a combination of these approaches. We believe that data from our ongoing clinical trials will enable us to raise additional capital which will address this doubt and enable us to continue as a going concern. However, there can be no assurance that we will be successful in acquiring additional funding at levels sufficient to fund our operations or on terms favorable or acceptable to us, if at all. In addition, our ability to raise additional funds may be adversely impacted by negative global economic conditions and any disruptions to and volatility in the credit and financial markets in the United States and worldwide or other factors. If we are unable to obtain adequate financing when needed or on terms favorable or acceptable to us, we may be forced to delay, reduce the scope of or eliminate one or more of our research and development programs. Moreover, the terms of any financing may adversely affect the holdings or the rights of our stockholders and the issuance of additional securities by us, whether equity or debt, or the market perception that such issuances are likely to occur, could cause the market price of our common stock to decline. If we are unable to raise sufficient capital when needed, our business, financial condition and results of operations will be harmed, and we will need to significantly modify our operational plans to continue as a going concern. If we are unable to continue as a going concern, we might have to liquidate our assets and the values we receive for our assets in liquidation or dissolution could be significantly lower than the values reflected in our consolidated financial statements.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additional capital raising efforts may divert our management from their day-to-day activities, which may adversely affect our ability to develop and commercialize our current and future product candidates, if approved. The perception that we might be unable to continue as a going concern may also make it more difficult to obtain financing for the continuation of our operations on terms that are favorable to us, or at all, and could result in the loss of confidence by investors and employees.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invest a portion of our cash in a money market fund, which is vulnerable to market-specific risks that could adversely affect our business and financial condition.</w:t>
      </w:r>
    </w:p>
    <w:p>
      <w:pPr>
        <w:pStyle w:val="TextBody"/>
        <w:bidi w:val="0"/>
        <w:spacing w:before="216" w:after="283"/>
        <w:jc w:val="left"/>
        <w:rPr>
          <w:rFonts w:ascii="Times New Roman" w:hAnsi="Times New Roman"/>
          <w:sz w:val="20"/>
        </w:rPr>
      </w:pPr>
      <w:r>
        <w:rPr>
          <w:rFonts w:ascii="Times New Roman" w:hAnsi="Times New Roman"/>
          <w:color w:val="000000"/>
          <w:sz w:val="18"/>
        </w:rPr>
        <w:t>We invest a portion of our cash in a money market fund backed by U.S. government securities. All securities are subject to risk, including fluctuations in interest rates, credit risk, market risk and systemic economic risk. Changes or movements in any of these investment-related risk items may result in a loss or impairment to our invested cash and may have a material adverse effect on our business and financial condition.</w:t>
      </w:r>
      <w:r>
        <w:rPr>
          <w:rFonts w:ascii="Times New Roman" w:hAnsi="Times New Roman"/>
          <w:color w:val="000000"/>
          <w:sz w:val="20"/>
        </w:rPr>
        <w:t xml:space="preserve"> </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the discovery, development and commercialization of our product candidates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Our current product candidates are in various stages of development. Our product candidates may fail in development or suffer delays that adversely affect their commercial viability. If we or our existing or future collaborators are unable to complete development of, obtain regulatory approval for or commercialize our product candidates or experience significant delays in doing so, our business will be materially harmed.</w:t>
      </w:r>
    </w:p>
    <w:p>
      <w:pPr>
        <w:pStyle w:val="TextBody"/>
        <w:bidi w:val="0"/>
        <w:spacing w:before="108" w:after="283"/>
        <w:jc w:val="left"/>
        <w:rPr>
          <w:rFonts w:ascii="Times New Roman" w:hAnsi="Times New Roman"/>
          <w:sz w:val="20"/>
        </w:rPr>
      </w:pPr>
      <w:r>
        <w:rPr>
          <w:rFonts w:ascii="Times New Roman" w:hAnsi="Times New Roman"/>
          <w:color w:val="000000"/>
          <w:sz w:val="18"/>
        </w:rPr>
        <w:t>We have no products on the market and our product candidates are in various stages of development. We are currently conducting Phase 2 clinical trials of mecbotamab vedotin, ozuriftamab vedotin, and evalstotug, and a Phase 1 trial of BA3182. Various other product candidates are in earlier stages of development. Our ability to achieve and sustain profitability depends on obtaining regulatory approvals for and, if approved, successfully commercializing our product candidates, either alone or with third parties. Before obtaining regulatory approval for the commercial distribution of our product candidates, we or an existing or future collaborator must conduct extensive preclinical tests and clinical trials to demonstrate the safety, efficacy, purity and potency of our product candidates. Any product candidate can unexpectedly fail at any stage of preclinical or clinical development and the historical failure rate for product candidates is high. The results from preclinical testing of a product candidate may not predict the results that will be obtained in later clinical trials of the product candidate. We or our existing or future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29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experience issues that delay or prevent clinical testing and regulatory approval of, or our ability to commercialize, product candidates, including, among others: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our clinical trials resulting from external factors including global conflicts and health epidemics;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negative or inconclusive results from preclinical testing or clinical trials leading to a decision or requirement to conduct additional preclinical testing or clinical trials or abandon a program;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product-related side effects experienced by participants in clinical trials or by individuals using therapeutic biologics that share characteristics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submitting INDs or comparable foreign applications or delays or failure in obtaining the necessary approvals from regulators or institutional review boards (“IRBs”), to commence a clinical trial, or a suspension or termination of a clinical trial once commenced;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conditions imposed by the FDA or comparable foreign authorities, including the EMA, regarding the scope or design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enrolling patients in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high drop-out rates of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inadequate drug materials or other supplies necessary for the conduct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greater than anticipated clinical trial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poor effectiveness of our product candidates during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unfavorable FDA or other regulatory agency inspection and review of a clinical trial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deficiencies in our third-party manufacturers’ manufacturing processes or facilities;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success or further approval of competitor products approved in indications in which we undertake development of our product candidates, which may change the standard of care or change the standard for approval of our product candidates in our proposed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failure of any third-party contractors, investigators or contract research organizations (“CROs”), to comply with regulatory requirements or otherwise meet their contractual obligations in a timely manner,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and changes in regulatory requirements, policy and guidelines, including the imposition of additional regulatory oversight around clinical testing generally or with respect to our technology or product candidates in particular;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varying interpretations of data by the FDA and similar foreign regulatory agencies, including the EMA.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CABs represent a new generation of antibodies, a delay or failure in development of any CAB product candidate could represent a major set-back for our patented technology platform and for our company generally.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Results from early-stage clinical trials may not be predictive of results from late-stage or other clinical trials, and the results of our clinical trials may not satisfy the requirements of the FDA, EMA or other comparable foreign regulatory authorities.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Positive and promising results from preclinical studies and early-stage clinical trials may not be predictive of results from late-stage clinical trials or from clinical trials of the same product candidates for the treatment of other indications. Product candidates in later stages of clinical trials may fail to show the desired safety and efficacy traits despite having progressed through preclinical studies and initial clinical trials. Late-stage clinical trials could differ in significant ways from early-stage clinical trials, including changes to inclusion and exclusion criteria, efficacy endpoints, dosing regimen and statistical design.</w:t>
      </w:r>
    </w:p>
    <w:p>
      <w:pPr>
        <w:pStyle w:val="TextBody"/>
        <w:bidi w:val="0"/>
        <w:spacing w:before="216" w:after="283"/>
        <w:jc w:val="left"/>
        <w:rPr>
          <w:rFonts w:ascii="Times New Roman" w:hAnsi="Times New Roman"/>
          <w:sz w:val="20"/>
        </w:rPr>
      </w:pPr>
      <w:r>
        <w:rPr>
          <w:rFonts w:ascii="Times New Roman" w:hAnsi="Times New Roman"/>
          <w:color w:val="000000"/>
          <w:sz w:val="18"/>
        </w:rPr>
        <w:t>Moreover, success in clinical trials in a particular indication does not guarantee that a product candidate will be successful for the treatment of other indications. Many companies in the biopharmaceutical industry have suffered significant setbacks in late-stage clinical trials after achieving encouraging or positive results in early-stage development. We cannot assure you that we will not face similar setbacks in our ongoing or planned clinical trials or in any subsequent or post-marketing confirmatory clinical trials. Moreover, preclinical and clinical data are often susceptible to varying interpretations and analyses and many companies that believed their product candidates performed satisfactorily in preclinical studies and clinical trials nonetheless failed to obtain FDA, EMA or comparable foreign regulatory authority approval. We cannot guarantee that the FDA will agree with our clinical trial plans, and we cannot assure you that the FDA will agree that the results from our trials will be sufficient to support approval of any of our product candidates. For example, the objective response rates on our primary endpoints may not be sufficient, we may not demonstrate a sufficient duration of response, or there may be limitations with the total sample size of our studies and dose selection strategy.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Furthermore, the approval policies or regulations of the FDA, EMA or comparable foreign regulatory authorities may significantly change in a manner rendering our clinical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data insufficient for approval, which may lead to the FDA, EMA or comparable foreign regulatory authorities delaying, limiting or denying approval of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Furthermore, there have been in the past, and may be in the future, investigator-initiated clinical trials using our investigational products. We do not control the design or administration of these or any other investigator-initiated trials that may be conducted, nor the submission or approval of any IND or foreign equivalent required to conduct any such trials. Any investigator-initiated trials could, depending on the actions of such third parties, jeopardize the validity of the clinical data generated, identify significant concerns with respect to our product candidates that could impact our findings or clinical trials, and adversely affect our ability to obtain marketing approval from the FDA or other applicable regulatory authorities. To the extent the results of these or other investigator-initiated trials are inconsistent with, or different from, the results of our ongoing or planned company-sponsored trials or raise concerns regarding our product candidates, the FDA or a foreign regulatory authority may question the results of the company-sponsored trial, or subject such results to greater scrutiny than it otherwise would. In these circumstances, the FDA or such foreign regulatory authorities may require us to obtain and submit additional clinical data, which could delay clinical development or marketing approval of our product candidates. In addition, while investigator-initiated trials could be useful to inform our own clinical development efforts, there is no guarantee that we will be able to use the data from these trials to form the basis for regulatory approval of our product candidates.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substantially dependent on the success of our patented CAB technology platform, and our future success depends heavily on the successful development of this platform.</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use our CAB technology platform to develop product candidates for cancer therapies. Any failures or setbacks involving our CAB technology platform, including adverse events, could have a detrimental impact on all of our product candidates and our research pipeline. For example, we may uncover a previously unknown risk associated with CABs or other issues that may be more problematic than we currently believe, which may prolong the period of observation required for obtaining, necessitate additional clinical testing or result in the failure to obtain, regulatory approval. If our CAB technology is not safe in certain product candidates, we could be required to abandon or redesign all of our current product candidates, which could have a material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our efforts to use and expand our patented CAB technology platform to continue to build a pipeline of product candidates and develop marketable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using our patented technology platform to develop CABs in oncology indications with our lead product candidates mecbotamab vedotin, ozuriftamab vedotin, evalstotug, and BA3182, as well as continuing to build our pipeline of product candidates. Our business depends not only on our ability to successfully develop, obtain regulatory approval for, and commercialize the product candidates we currently have in clinical and preclinical development, but to continue to generate new product candidates through our platform. Even if we are successful in continuing to build our pipeline and further progress the clinical development of our current product candidates, any additional product candidates may not be suitable for clinical development, including as a result of harmful side effects, manufacturing issues, limited efficacy or other characteristics that indicate that they are unlikely to be products that will succeed in clinical development, receive marketing approval or achieve market acceptance. If we cannot validate our technology platform by successfully commercializing CAB product candidates, we may not be able to obtain product, licensing or collaboration revenue in future periods, which would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expend our resources to pursue particular product candidates and fail to capitalize on product candidates that may be more profitable or for which there is a greater likelihood of success.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result of our limited financial and managerial resources, we must make strategic decisions as to which targets and product candidates to pursue and may forego or delay pursuit of opportunities with other targets or product candidates or for other indications that later prove to have greater commercial potential. For example, we are exploring potential strategic collaboration with third parties to accelerate development of certain assets. In addition, we may decide to further prioritize development of certain programs and certain indications. Our resource allocation decisions may cause us to fail to capitalize on viable commercial products or profitable market opportunities. Failure to properly assess potential product candidates could result in our focus on product candidates with low market potential, which would harm our business, financial condition, results of operations and prospects. Our spending on current and future research and development programs and product candidates for specific targets or indications may not yield any commercially viable products. Our understanding and evaluation of biological targets for the discovery and development of new CAB product candidates may fail to identify challenges encountered in subsequent preclinical and clinical development. If we do not accurately evaluate the likelihood of clinical trial success,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the market opportunities for any product that we develop are smaller than we believe they are, our revenue may be adversely affected and our business may suffer.</w:t>
      </w:r>
    </w:p>
    <w:p>
      <w:pPr>
        <w:pStyle w:val="TextBody"/>
        <w:bidi w:val="0"/>
        <w:spacing w:before="108" w:after="283"/>
        <w:jc w:val="left"/>
        <w:rPr>
          <w:rFonts w:ascii="Times New Roman" w:hAnsi="Times New Roman"/>
          <w:sz w:val="20"/>
        </w:rPr>
      </w:pPr>
      <w:r>
        <w:rPr>
          <w:rFonts w:ascii="Times New Roman" w:hAnsi="Times New Roman"/>
          <w:color w:val="000000"/>
          <w:sz w:val="18"/>
        </w:rPr>
        <w:t>We focus our product candidate development on therapeutic CAB antibodies for the treatment of various oncology indications, such as sarcoma, NSCLC, melanoma, and head and neck cancer among others. Our projections of addressable patient populations that may benefit from treatment with our product candidates are based on our estimates. These estimates, which have been derived from a variety of sources, including scientific literature, surveys of clinics, physician interviews, patient foundations and market research, may prove to be incorrect. Further, new studies may change the estimated incidence or prevalence of these cancers. Additionally, the potentially addressable patient population for our product candidates may not ultimately be amenable to treatment with our product candidates. Our market opportunity may also be limited by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future competitor treatments that enter the market. If any of our estimates prove to be inaccurate, the market opportunity for any product candidate that we or our strategic partners develop could be significantly diminished and have an adverse material impact on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market may not be receptive to our product candidates because they are based on our novel therapeutic modality, and we may not generate any future revenue from the sale or licensing of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product candidates that we are developing are primarily based on our patented CAB technology platform, which uses new technologies to create our novel therapeutic approach. Market participants with significant influence over acceptance of new treatments, such as physicians and third-party payors, may not adopt a product or treatment based on our patented technology platform, and we may not be able to convince patients, the medical community and third-party payors to accept and use, or to provide favorable reimbursement for, any product candidates developed by us or our existing or future collaborators. Market acceptance of our product candidates will depend on, among other factors: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of our receipt of any marketing and commercialization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terms of any approvals and the countries in which approvals are obtained;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safety and efficacy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prevalence and severity of any adverse side effects associated with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limitations or warnings contained in any labeling approved by the FDA or other regulatory authority, including the EMA;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willingness of patients to obtain new biopsies or consent to provide existing tumor tissue specimens;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relative convenience and ease of administration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willingness of patients to accept any new methods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any physician education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availability of adequate government and third-party payor reimbursement;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pricing of our products, particularly as compared to alternative treatments;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availability of alternative effective treatments for the disease indications our product candidates are intended to treat and the relative risks, benefits and costs of those treatments.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any product candidate we commercialize fails to achieve market acceptance, it could have a material and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Preliminary, preplanned interim and topline data from our clinical trials that we announce or publish from time to time may change as more patient data become available and/or are subject to audit and verification procedures that could result in material changes in the final data.</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publicly disclose preliminary, preplanned interim or topline data from our clinical trials. These data and related findings and conclusions may only reflect certain endpoints rather than all endpoints and are subject to change. For example, we may report tumor responses in certain patients that are unconfirmed at the time and which do not ultimately result in confirmed responses to treatment after follow-up evaluations. We also make assumptions, estimations, calculations and conclusions as part of our analyses of data, and we may not have received or had the opportunity to fully and carefully evaluate all data. As a result, the preliminary results that we report may differ from future results of the same studies, or different conclusions or considerations may qualify such results, once additional data have been received and fully evaluated. Topline data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preplanned interim analyses of the clinical trials we may complete, which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preplanned interim or topline data that we report differ from later, final or actual results, or if others, including regulatory authorities, disagree with the conclusions reached, our ability to obtain approval for, and commercialize, our product candidates may be harmed, which could harm our business, financial condition, results of operations and prospects.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Delays in the commencement and completion of clinical trials could increase costs and delay or prevent regulatory approval and commercialization of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cannot guarantee that clinical trials of our product candidates will be conducted as planned or completed on schedule, if at all. A failure of one or more clinical trials can occur at any stage of the clinical trial process, and other events may cause us to temporarily or permanently stop a clinical trial. Events that may prevent successful or timely commencement and completion of clinical development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negative preclinical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receiving the required regulatory clearance from the appropriate regulatory authorities to commence clinical trials or amend clinical trial protocols, including any objections to our INDs or protocol amendments from the FDA;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reaching, or a failure to reach, a consensus with regulatory authorities on study design;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delays in reaching, or failure to reach, agreement on acceptable terms with prospective CROs and clinical trial sites, the terms of which can be subject to extensive negotiation and may vary significantly among different CROs and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obtaining IRB approval at each site;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challenges in recruiting suitable patients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inability to enroll a sufficient number of patients in clinical trials to ensure adequate statistical power to detect statistically significant treatment effects;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having patients complete a trial or return for post-treatment follow-up;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CROs or clinical trial sites failing to comply with regulatory requirements or meet their contractual obligations to us in a timely manner, or at all, deviating from the protocol or dropping out of a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unforeseen safety issues, including occurrence of treatment emergent adverse events (“TEAEs”), associated with the product candidate that are viewed to outweigh the product candidate’s potential benefits;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adding new clinical trial sites;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ambiguous or negative interim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lack of adequate funding to continue the clinical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in manufacturing sufficient quantities of product candidate acceptable for use in clinical trials in a timely manner, or at all;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health epidemics and outbreaks, which in the past has resulted in, and in the future may result in, delays to patient enrollment, patients discontinuing their treatment or follow up visits or changes to trial protocols.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could encounter delays if a clinical trial is suspended or terminated by us, by the IRBs of the institutions in which such trials are being conducted, by a Data Safety Monitoring Board (“DSMB”) for such trial or by the FDA or other regulatory authorities. Such authorities may impose such a suspension or termination due to several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If we experience delays in the completion of, or termination of, any clinical trial of our product candidates, the commercial prospects of our product candidates will be harmed, and our ability to generate product revenues from any of these product candidates will be delayed or lost. In addition, any delays in completing our clinical trials will increase our costs, slow down our product candidate development and approval process and jeopardize our ability to commence product sales and generate revenues. Any of these occurrences may harm our business, financial condition, results of operations and prospects significantly. In addition, many of the factors that cause, or lead to, a delay in the commencement or completion of clinical trials may also ultimately lead to the denial of regulatory approval of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data obtained from trials and studies are susceptible to varying interpretations, and regulators may not interpret our data as favorably as we do, which may delay, limit or prevent regulatory approval. Our clinical trial results may not be successful, or even if successful, may not lead to regulatory approval.</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Enrollment and retention of patients in clinical trials is an expensive and time-consuming process and could be made more difficult or rendered impossible by multiple factors outside our control.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encounter delays or difficulties in enrolling, or be unable to enroll, a sufficient number of patients to complete any of our clinical trials on our current timelines, or at all, and even once enrolled, we may be unable to retain a sufficient number of patients to complete any of our trials. Enrollment in our clinical trials may be slower than we anticipate, leading to delays in our development timelines.</w:t>
      </w:r>
    </w:p>
    <w:p>
      <w:pPr>
        <w:pStyle w:val="TextBody"/>
        <w:bidi w:val="0"/>
        <w:spacing w:before="216" w:after="283"/>
        <w:jc w:val="left"/>
        <w:rPr>
          <w:rFonts w:ascii="Times New Roman" w:hAnsi="Times New Roman"/>
          <w:sz w:val="20"/>
        </w:rPr>
      </w:pPr>
      <w:r>
        <w:rPr>
          <w:rFonts w:ascii="Times New Roman" w:hAnsi="Times New Roman"/>
          <w:color w:val="000000"/>
          <w:sz w:val="18"/>
        </w:rPr>
        <w:t>Patient enrollment and retention in clinical trials depends on many factors, including the size and nature of the patient population, the nature of the trial protocol, our ability to recruit clinical trial investigators with the appropriate competencies and experience, delays in enrollment due to travel or quarantine policies, or other factors related to health epidemics or pandemics, the existing body of safety and efficacy data with respect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the study drug, the number and nature of competing treatments and ongoing clinical trials of competing drugs for the same indication, the proximity of patients to clinical sites, the eligibility criteria for the trial and the proportion of patients screened that meets those criteria, including criteria related to biomarkers, our ability to obtain and maintain patient consents, including any additional consents necessary for enrollment of adolescent patients, and our ability to successfully complete prerequisite studies before enrolling certain patient populations. Furthermore, any negative results or new safety signals we may report in clinical trials of our product candidates may make it difficult or impossible to recruit and retain patients in other clinical trials we are conducting. Similarly, results reported by our competitors about their drug candidates may negatively affect patient recruitment in our clinical trials. Also, marketing authorization of competitors in this same class of drugs may impair our ability to enroll patients into our clinical trials, delaying or potentially preventing us from completing recruitment of one or more of our trials.</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Delays or failures in planned patient enrollment or retention may result in increased costs, program delays or both, which could have a harmful effect on our ability to develop our product candidates or could render further development impossible. In addition, we rely on clinical trial sites to ensure timely conduct of our clinical trials and, while we have entered into agreements governing their services, we are limited in our ability to compel their actual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product candidates may cause undesirable and unforeseen side effects or have other properties impacting safety that could halt their clinical development, delay or prevent their regulatory approval, limit their commercial potential or result in significant negative consequences.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Undesirable side effects caused by our product candidates could cause us or regulatory authorities to interrupt, delay or halt clinical trials and could result in a more restrictive label or the delay or denial of regulatory approval by the FDA or other regulatory authorities and potential product liability claims. Such side effects could also affect patient recruitment or the ability of enrolled patients to complete the trial. Many compounds developed in the biopharmaceutical industry that initially showed promise in early-stage testing for treating cancer have later been found to cause side effects that prevented their further development. Any of these occurrences may materially and adversely affect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our clinical trials for our antibody-drug conjugates mecbotamab vedotin and ozuriftamab vedotin, we have observed adverse events such as reversible myelosuppression, transient liver enzyme elevations, pyrexia, or fever, metabolic disturbances and peripheral neuropathy. In our clinical trial for evalstotug, we have observed infusion-related reactions, cytokine release syndrome, and immune-related adverse events. We may also observe undesirable side effects in clinical trials for our other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For our current and future clinical trials, we have contracted with and expect to continue to contract with CROs experienced in the assessment and management of toxicities arising during clinical trials. Nonetheless, they may have difficulty observing patients and treating toxicities, which may be more challenging due to personnel changes, shift changes, house staff coverage or related issues. This could lead to more severe or prolonged toxicities or even patient deaths, which could result in us or the FDA delaying, suspending or terminating one or more of our clinical trials and which could jeopardize regulatory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Further, clinical trials by their nature test product candidates in only samples of the potential patient populations. With a limited number of patients and limited duration of exposure in such trials, rare and severe side effects of our product candidates may not be uncovered until a significantly larger number of patients are exposed to the product candidate. For example, while we believe that mecbotamab vedotin, ozuriftamab vedotin, and evalstotug have demonstrated manageable tolerability profiles thus far, we cannot assure you that these and our other product candidates will not cause more severe side effects in a greater proportion of patients.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mecbotamab vedotin, ozuriftamab vedotin, and evalstotug are being studied in combination with other therapies, which may exacerbate adverse events associated with the therapy. Patients treated with these or our other product candidates may have recently received surgical, radiation or chemotherapy treatments, which can cause side effects or adverse events that are unrelated to our product candidate but may still impact the success of our clinical trials.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inclusion of critically ill patients in our clinical trials may result in deaths or other adverse medical events due to other therapies or medications that such patients may be using or due to the gravity of such patients’ illnesses. For example, some of the late-stage patients enrolled in the clinical trials may die or experience major clinical events either during the course of our clinical trials or after participating in such trials due mainly to the gravity of their illness, which has occurred in the past.</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In the event that any of our product candidates receive regulatory approval, and we or others later identify undesirable and unforeseen side effects caused by such product, negative consequences, including any of the following, could occur: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authorities may suspend, limit or withdraw their approval of such product, or seek an injunction against its manufacture or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required to conduct additional clinical trials or post-approval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requested or required to recall a product or change the way such product is administered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additional restrictions may be imposed on the marketing of the particular product or the manufacturing processes for the product or any component thereof;</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authorities may require the addition of labeling statements, such as a boxed warning or a contraindication, or issue safety alerts, Dear Healthcare Provider letters, press releases or other communications containing warnings or other safety information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required to implement a Risk Evaluation and Mitigation Strategy (“REMS”) and/or create a Medication Guide outlining the risks of such side effects for distribution to patients, a communication plan for healthcare providers and/or other elements to assure safe use;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could be sued and held liable for harm caused to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subject to fines, injunctions or the imposition of civil or criminal penalties;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product may become less competitive;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reputation may suffer.</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of these events could prevent us from achieving or maintaining market acceptance of the particular product candidate, if approved, and result in the loss of significant revenues to us, which would materially and adversely affect our results of operations and business. In addition, if one or more of our product candidates prove to be unsafe, our business, financial condition, results of operations and prospects may be materially and adversely affected.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developing certain of our product candidates in combination with other therapies, and regulatory approval, safety or supply issues with these other therapies may delay or prevent the development and approval of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Currently, we are evaluating the use of each of mecbotamab vedotin, ozuriftamab vedotin, and evalstotug in combination with an anti-PD-1 antibody. In the future, we may explore the use of these or our other product candidates in combination with other therapies. If we choose to develop a product candidate for use in combination with an approved therapy, we are subject to the risk that the FDA, EMA or comparable foreign regulatory authorities in other jurisdictions could revoke approval of, or that safety, efficacy, manufacturing or supply issues could arise with, the therapy used in combination with our product candidate. If the therapies we use in combination with our product candidates are replaced as the standard of care, the FDA, EMA or comparable foreign regulatory authorities in other jurisdictions may require us to conduct additional clinical trials. The occurrence of any of these risks could result in our product candidates, if approved, being removed from the market or being less successful commercially.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Where we develop a product candidate for use in combination with a therapy that has not been approved by the FDA, EMA or comparable foreign regulatory authorities in other jurisdictions, we will not be able to market our product candidate for use in combination with such an unapproved therapy, unless and until the unapproved therapy receives regulatory approval. In addition, other companies may also develop their products or product candidates in combination with the unapproved therapies with which we are developing our product candidates for use in combination. Any setbacks in these companies’ clinical trials, including the emergence of serious adverse effects, may delay or prevent the development and approval of our product candidates.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If the FDA, EMA or comparable foreign regulatory authorities in other jurisdictions do not approve or revoke their approval of, or if safety, efficacy, manufacturing, or supply issues arise with, therapies we choose to evaluate in combination with any of our product candidates, we may be unable to obtain regulatory approval of or to commercialize such product candidates in combination with these therapies.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safe and effective use of any of our product candidates, such as mecbotamab vedotin and ozuriftamab vedotin, depends on a companion diagnostic test, then the FDA generally will require approval or clearance of that companion diagnostic before or at the same time that the FDA approves our product candidates, if at all. If we are unable to successfully develop companion diagnostic tests for our product candidates, experience significant delays in doing so, rely on third parties in the development of such companion diagnostic tests, or do not obtain or face delays in obtaining FDA approval of a companion diagnostic test, the full commercial potential of our product candidates and our ability to generate revenue will be materially impaired.</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If use of a companion diagnostic test is determined to be essential for the safe and effective use of any of our product candidates, such as mecbotamab vedotin and ozuriftamab vedotin, then the FDA generally will require approval or clearance of that companion diagnostic before or at the same time that the FDA approves our product candidates, if at all. The FDA has generally required </w:t>
      </w:r>
      <w:r>
        <w:rPr>
          <w:rFonts w:ascii="Times New Roman" w:hAnsi="Times New Roman"/>
          <w:i/>
          <w:color w:val="000000"/>
          <w:sz w:val="18"/>
        </w:rPr>
        <w:t>in vitro</w:t>
      </w:r>
      <w:r>
        <w:rPr>
          <w:rFonts w:ascii="Times New Roman" w:hAnsi="Times New Roman"/>
          <w:color w:val="000000"/>
          <w:sz w:val="20"/>
        </w:rPr>
        <w:t xml:space="preserve"> </w:t>
      </w:r>
      <w:r>
        <w:rPr>
          <w:rFonts w:ascii="Times New Roman" w:hAnsi="Times New Roman"/>
          <w:color w:val="000000"/>
          <w:sz w:val="18"/>
        </w:rPr>
        <w:t>companion diagnostics intended to select the patients who will respond to cancer treatment to obtain a PMA for that diagnostic simultaneously with approval of the therapeutic. The process of obtaining or creating such diagnostic and obtaining PMA approval is time-consuming and costly and a delay in diagnostic approval could delay drug approval. According to FDA guidance, if the FDA determines that a companion diagnostic device is essential to the safe and effective use of a novel therapeutic product or indication, the FDA generally will not approve the therapeutic product or new therapeutic product indication if the companion diagnostic is not also approved or cleared for that indication. If a satisfactory companion diagnostic is not commercially available, we may be required to create or obtain one that would be subject to regulatory approval requirements. For example, we have in the past explored predictive biomarkers, such as the Tumor Membrane Percent Score (“TmPS”), which measures AXL and ROR2 expression levels on the tumor membrane, to help inform which patients may be most suitable for treatment with mecbotamab vedotin and ozuriftamab vedotin. Currently, patients with negative or only 1% TmPS scores appear to have experienced clinical benefit in our ongoing clinical trials. However, if the AXL and/or ROR2 TmPS scores predict those most likely to experience clinical benefit, we may be required to pursue the further use of a companion diagnostic in our mecbotamab vedotin or ozuriftamab vedotin clinical trials, and the available market for mecbotamab vedotin or ozuriftamab vedotin, both in patient numbers and patient acceptance of the protocol, could be limited. In addition, we expect to rely on third parties for the design, development and manufacture of companion diagnostic tests for any of our product candidates that require such tests.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April 13, 2020, the FDA issued new guidance on developing and labeling companion diagnostics for a specific group of oncology therapeutic products, including recommendations to support a broader labeling claim rather than individual therapeutic products. We will continue to evaluate the impact of this guidance on our companion diagnostic development and strategy. This guidance and future policies from the FDA and other regulatory authorities may impact our development of a companion diagnostic for our product candidates and result in delays in regulatory approval. We may be required to conduct additional studies to support a broader claim. Also, to the extent other approved diagnostics are able to broaden their labeling claims to include our approved drug products, we may be forced to abandon our companion diagnostic development plans or we may not be able to compete effectively upon approval, which could adversely impact our ability to generate revenue from the sale of our approved products and adversely affect our business, financial condition, results of operations and prospects.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the FDA, EMA or a comparable foreign regulatory authority requires approval of a companion diagnostic for any of our product candidates, whether before or after it obtains marketing approval, we, and/or future collaborators, may encounter difficulties in developing and obtaining approval for such product candidate. If we or our third-party collaborators experience any delay in developing or obtaining regulatory approval of a companion diagnostic, we may be unable to enroll enough patients for our current and planned clinical trials, the development of our product candidates may be adversely affected or we may not obtain marketing approval, and we may not realize the full commercial potential of our product candidates, including mecbotamab vedotin and ozuriftamab vedotin.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and will develop product candidates and processes competitive with our product candidates. We believe that a significant number of products are currently under development, and may become commercially available in the future, for the treatment of conditions for which we are developing product candidates. We believe that while our patented CAB technology platform, its associated intellectual property and our scientific and technical know-how give us a competitive advantage in this space, competition from many sources remains. Our success will partially depend on our ability to develop and protect therapeutics that are safer and more effective than competing products. Our commercial opportunity and success will be reduced or eliminated if competing products are safer, more effective or less expensive than the therapeutics we develop.</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do not believe competing companies have selective CAB technology, there is a wide array of activity in several areas of immune-based cellular therapies for oncology including CAR-T and T-cell receptor therapies. Certain companies are also pursuing antibody therapies in immuno-oncology, ADCs and various prodrug biologic products designed to be preferentially activated at tumor sites. There are several FDA approved ADC products and several companies in various stages of clinical development of ADCs mostly directed at oncology indications, a key feature of our product candidates mecbotamab vedotin and ozuriftamab vedotin. There are also companies developing technologies designed to deliver biologics and chemotherapeutic agents with some targeting capabilities. In addition, if any of our product candidates are approved in oncology indications, they may compete with existing biologics and small molecule therapies, or may be used in combination with existing therapies. There are also many other therapies under development that are intended to treat the same cancers that we are targeting or may target with our CAB platform, including through approaches that could prove to be more effective, have fewer side effects, be cheaper to manufacture, be more convenient to administer or have other advantages over any products resulting from our technologies.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Many of our competitors, either alone or with strategic partners, have significantly greater financial, technical, manufacturing, marketing, sales and supply resources or experience than we do. Accordingly, our competitors may be more successful than us in obtaining approval for treatments and achieving widespread market acceptance, rendering our treatments obsolete or non-competitive. Accelerated merger and acquisition activity in the biotechnology and biopharmaceutical industries may result in even more resources being concentrated among a smaller number of our competitors. These companies also compete with us in recruiting and retaining qualified scientific and management personnel, establishing clinical trial sites and patient registration for clinical trials and acquiring technologies complementary to, or necessary for, our programs. Smaller or early-stage companies may also prove to be significant competitors, particularly through collaborative arrangements with large and established companies. The level of generic competition and the availability of reimbursement from government and other third-party payors will also significantly affect the pricing and competitiveness of our products. In addition, our competitors also may obtain FDA or other regulatory approval for their products more rapidly than we may obtain approval for ours, which could result in our competitors establishing a strong market position before we are able to enter the market.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also requirements governing the reporting of ongoing clinical trials and completed clinical trial results to public registries. Sponsors of clinical trials of FDA-regulated products, including biologics, are required to register and disclose certain clinical trial information, which is publicly available at www.clinicaltrials.gov. Information related to the product, patient population, phase of investigation, study sites and investigators, and other aspects of the clinical trial is then made public as part of the registration. Sponsors are also obligated to discuss the results of their clinical trials after completion. Disclosure of the results of these trials can be delayed in certain circumstances for up to two years after the date of completion of the trial. Competitors may use this publicly available information to gain knowledge regarding the progress of development of our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commercial opportunity could be substantially limited in the event that our competitors develop and commercialize products that are more effective, safer, less toxic or more convenient than products we may develop. In geographies that are critical to our commercial success, competitors may also obtain regulatory approvals before us, resulting in our competitors building a strong market position in advance of our products’ entry. Such competitors could also recruit our employees, which could negatively impact our level of expertise and our ability to execute our business plan.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biologic product candidates for which we intend to seek approval may face competition through an abbreviated pathway.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Biologics Price Competition and Innovation Act of 2009 (the “BPCIA”), enacted as part of the Affordable Care Act (the “ACA”), which created an abbreviated approval pathway for biological products that are biosimilar to or interchangeable with an FDA-licensed reference biological product. Under the BPCIA, an application for a biosimilar product referencing an exclusivity-protected product may not be submitted to the FDA until four years following the date that the reference product was first licensed by the FDA. In addition, the approval of a biosimilar product referencing an exclusivity-protected biological product may not be made effective by the FDA until 12 years from the date on which the reference product was first licensed. During this 12-year period of exclusivity, another company may still market a competing version of the reference product if the FDA approves a full Biologics License Application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our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There is a risk that any product candidates we may develop that are approved as a biological product under a BLA would not qualify for the 12-year period of exclusivity or that this exclusivity could be shortened due to congressional action or otherwise, potentially creating the opportunity for generic competition sooner than anticipated.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business entails a significant risk of product liability, and if we are unable to obtain sufficient insurance coverage, such failure could have a material and adverse effect on our business, financial condition, results of operations and prospects.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expect to be exposed to significant product liability risks inherent in the development, testing and manufacturing of our product candidates and products, if approved. Product liability claims could delay or prevent completion of our development programs. If we succeed in marketing products, such claims could result in an FDA investigation of the safety and effectiveness of our products, our third-party manufacturer’s manufacturing processes and facilities or our marketing programs and potentially a recall of our products or more serious enforcement action, including limitations on the approved indications for which our product candidates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In addition, we may be subject to liability based on the actions of our existing or future collaborators in connection with their development of products using our CAB technology. Furthermore, clinical trial and product liability insurance is becoming increasingly expensive. As a result, we may be unable to maintain sufficient insurance at a reasonable cost to protect us against losses caused by product liability claims that could have a material and adverse effect on our business, financial condition, results of operations and prospects.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regulatory approval, other legal compliance matters and taxation</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are currently not in compliance with Nasdaq’s continued listing requirements. If we are unable to comply with Nasdaq’s continued listing requirements, our common stock could be delisted, which could affect the price of our common stock and liquidity and reduce our ability to raise capital.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common stock is currently listed on The Nasdaq Global Market. The Nasdaq Global Market has established certain quantitative criteria and qualitative standards that companies must meet to remain listed for trading on this market.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February 6, 2025, the Company received written notice (the “Notice”) from the Listing Qualifications Department of The Nasdaq Stock Market LLC (“Nasdaq”) stating that the Company is not in compliance with Nasdaq Listing Rule 5550(a)(2) (the “Rule”) because the Company has not maintained a minimum closing bid price of the Company’s common stock of at least $1.00 per share for the last 30 consecutive business days. The Notice has no immediate effect on the listing or trading of the Company’s securities.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has 180 calendar days from the date of the Notice, or until August 5, 2025, to regain compliance. If the Company is not deemed in compliance before the expiration of the 180 day compliance period, it will be afforded an additional 180 day compliance period, provided that the Company transfers to The Nasdaq Capital Market and it meets the applicable market value of publicly held shares requirement for continued listing and all other applicable standards for initial listing on The Nasdaq Capital Market (except for the Rule) based on the Company’s most recent public filings and market information and provides written notice to Nasdaq of its intention to cure this deficiency during the second compliance period.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intends to monitor the bid price of the Company’s listed securities and may, if appropriate, consider available options to regain compliance with the Rule. There can be no assurance that the Company will be able to regain compliance with the Rule.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delisting of our common stock could adversely affect the market liquidity of our common stock and the market price of our common stock could decrease. In addition, delisting of our common stock could result in the loss of confidence by investors and adversely affect our ability to raise capital on terms acceptable to us, or at all.</w:t>
      </w:r>
    </w:p>
    <w:p>
      <w:pPr>
        <w:pStyle w:val="TextBody"/>
        <w:bidi w:val="0"/>
        <w:spacing w:before="328" w:after="283"/>
        <w:jc w:val="left"/>
        <w:rPr>
          <w:rFonts w:ascii="Times New Roman" w:hAnsi="Times New Roman"/>
          <w:b/>
          <w:i/>
          <w:color w:val="000000"/>
          <w:sz w:val="18"/>
        </w:rPr>
      </w:pPr>
      <w:r>
        <w:rPr>
          <w:rFonts w:ascii="Times New Roman" w:hAnsi="Times New Roman"/>
          <w:b/>
          <w:i/>
          <w:color w:val="000000"/>
          <w:sz w:val="18"/>
        </w:rPr>
        <w:t>We may be unable to obtain U.S. or foreign regulatory approval and, as a result, unable to commercialize our product candidates.</w:t>
      </w:r>
    </w:p>
    <w:p>
      <w:pPr>
        <w:pStyle w:val="TextBody"/>
        <w:bidi w:val="0"/>
        <w:spacing w:before="108" w:after="283"/>
        <w:jc w:val="left"/>
        <w:rPr>
          <w:rFonts w:ascii="Times New Roman" w:hAnsi="Times New Roman"/>
          <w:sz w:val="20"/>
        </w:rPr>
      </w:pPr>
      <w:r>
        <w:rPr>
          <w:rFonts w:ascii="Times New Roman" w:hAnsi="Times New Roman"/>
          <w:color w:val="000000"/>
          <w:sz w:val="18"/>
        </w:rPr>
        <w:t>Our product candidates are subject to extensive governmental regulations relating to, among other things, the research, development, testing, manufacture, quality control, import, export, safety, effectiveness, labeling, packaging, storage, distribution, record keeping, approval, advertising, promotion, marketing, post-approval monitoring and post-approval reporting of drugs and therapeutic biologics. Rigorous preclinical testing and clinical trials and an extensive regulatory approval process are required to be successfully completed in the United States and in many foreign jurisdictions before a new drug or therapeutic biologic can be marketed. Satisfaction of these and other regulatory requirements is costly, lengthy, time-consuming, uncertain and subject to unanticipated delays. We have not previously submitted a BLA to the FDA, or similar drug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approval filings to comparable foreign regulatory authorities, for any product candidate, and it is possible that none of the product candidates we may develop will obtain the regulatory approvals necessary for us or our existing or future collaborators to begin selling them.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not completed any large-scale or pivotal clinical trials nor managed the regulatory approval process with the FDA or any other regulatory authority. The time required to obtain FDA and other approvals is unpredictable but typically takes many years following the commencement of clinical trials, depending upon the type, complexity and novelty of the product candidate, and numerous other factors including the substantial discretion of regulatory authorities. The standards that the FDA and its foreign counterparts, including the EMA, use when regulating us and our existing or future collaborators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foreign regulations, guidance or interpretations will be changed, or what the impact of such changes, if any, may be. For example, the Oncology Center of Excellence within the FDA has advanced Project Optimus, which is an initiative to reform the dose optimization and dose selection paradigm in oncology drug development to emphasize selection of an optimal dose, which is a dose or doses that maximizes not only the efficacy of a drug but the safety and tolerability as well. This shift from the prior approach, which generally determined the maximum tolerated dose, may require sponsors to spend additional time and resources to further explore a product candidate’s dose-response relationship to facilitate optimum dose selection in a target population. Other Oncology Center of Excellence initiatives have included Project FrontRunner, an initiative with a goal of developing a framework for identifying candidate drugs for initial clinical development in the earlier advanced setting rather than for treatment of patients who have received numerous prior lines of therapies or have exhausted available treatment options, and Project Equity, which is an initiative to ensure that the data submitted to the FDA for approval of oncology medical products adequately reflects the demographic representation of patients for whom the medical products are intended. More recently, as part of the Food and Drug Omnibus Reform Act (FDORA), sponsors will be required to submit Diversity Action Plans (DAPs) for Phase 3 studies or other pivotal studies of new drugs. DAPs must include the sponsor’s goals for enrollment for such studies, disaggregated by age group, sex, and racial and ethnic demographic characteristics of clinically relevant study populations; the sponsor’s rationale for such goals; and an explanation of how the sponsor intends to meet such goals. Actions taken in the early days of the new presidential administration have created significant uncertainty as to whether Project Equity will continue and whether the statutory requirements related to DAPs will be implemented by FDA in the near future. We are considering these and other policy changes as they relate to our programs.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our product candidates could fail to receive regulatory approval for many reasons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FDA or comparable foreign regulatory authorities may disagree with the design or implementation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18"/>
        </w:rPr>
        <w:t>we may be unable to demonstrate to the satisfaction of the FDA or comparable foreign regulatory authorities that a product candidate is safe, pure and potent for its proposed indication;</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results of clinical trials may fail to achieve the level of statistical significance required by the FDA or comparable foreign regulatory authorities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that a product candidate’s clinical and other benefits outweigh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that the dose for the product candidate has been optimized;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be unable to demonstrate a sufficient response rate or duration of response for a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FDA or comparable foreign regulatory authorities may disagree with our interpretation of data submitted in support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data collected from preclinical studies and clinical trials of our product candidates may not be sufficient to support the submission of a BLA or other regulatory submission necessary to obtain regulatory approval in the United States or elsewhere;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contractors may not meet the current Good Manufacturing Practices (“cGMPs”) and other applicable requirements for manufacturing processes, procedures, documentation and facilities necessary for approval by the FDA or comparable foreign regulatory authorities.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Any delay or failure in obtaining required approvals could have a material and adverse effect on our ability to generate revenues from the particular product candidate for which we are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BLA,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216" w:after="283"/>
        <w:jc w:val="left"/>
        <w:rPr>
          <w:rFonts w:ascii="Times New Roman" w:hAnsi="Times New Roman"/>
          <w:sz w:val="20"/>
        </w:rPr>
      </w:pPr>
      <w:r>
        <w:rPr>
          <w:rFonts w:ascii="Times New Roman" w:hAnsi="Times New Roman"/>
          <w:color w:val="000000"/>
          <w:sz w:val="18"/>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39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regulations in foreign jurisdictions. Moreover, the time required to obtain approval may differ from that required to obtain FDA approval. Approval by the FDA does not ensure approval by regulatory authorities outside the United States and vice versa.</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intend to seek approval from the FDA or comparable foreign regulatory authorities through the use of accelerated approval pathways, if available.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accelerated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intend to seek accelerated approval for one or more of our product candidates. Under the accelerated approval program, the FDA may grant accelerated approval to a product candidate designed to treat a serious or life-threatening condition that provides meaningful advantage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We intend to seek accelerated approval for some of our product candidates on the basis of objective response rate, a surrogate endpoint that we believe is reasonably likely to predict clinical benefit. For products granted accelerated approval, sponsors are required to verify and describe the product’s clinical benefit generally in the form of confirmatory trials. These confirmatory trials must be completed with due diligence, and the FDA may require that the trial be designed, initiated, and/or fully enrolled prior to approval. If we were to pursue accelerated approval for a product candidate for a disease or condition, we would likely do so on the basis that there is no available therapy for that disease or condition. If any of our competitors were to receive full approval on the basis of a confirmatory trial for a drug for a disease or condition for which we are seeking accelerated approval before we receive accelerated approval, the disease or condition would no longer qualify as one for which there is no available therapy, and accelerated approval of our product candidate would not occur, unless we were able to demonstrate a meaningful advantage over the approved product. Many cancer therapies rely on accelerated approval, and the treatment landscape can change quickly as the FDA converts accelerated approvals to full approvals on the basis of successful confirmatory trials. Failure to conduct required post-approval studies, or to confirm a clinical benefit during post-marketing studies, would allow the FDA to withdraw the product from the market on an expedited basis. All promotional materials for product candidates approved under accelerated regulations are subject to prior review by the FDA.</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Prior to seeking accelerated approval for any of our product candidates, we intend to seek feedback from the FDA and will otherwise evaluate our ability to seek and receive accelerated approval. We cannot assure you that after our evaluation of the feedback and other factors we will decide to pursue or submit a BLA for accelerated approval or any other form of expedited development, review or approval. Similarly, we cannot assure you that after subsequent FDA feedback we will continue to pursue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our product candidates, we cannot assure you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w:t>
      </w:r>
    </w:p>
    <w:p>
      <w:pPr>
        <w:pStyle w:val="TextBody"/>
        <w:bidi w:val="0"/>
        <w:spacing w:before="208" w:after="283"/>
        <w:jc w:val="left"/>
        <w:rPr>
          <w:rFonts w:ascii="Times New Roman" w:hAnsi="Times New Roman"/>
          <w:sz w:val="20"/>
        </w:rPr>
      </w:pPr>
      <w:r>
        <w:rPr>
          <w:rFonts w:ascii="Times New Roman" w:hAnsi="Times New Roman"/>
          <w:color w:val="000000"/>
          <w:sz w:val="18"/>
        </w:rPr>
        <w:t>Recently, the accelerated approval pathway has come under scrutiny within the FDA and by Congress. The FDA has put increased focus on ensuring that confirmatory studies are conducted with diligence and, ultimately, that such studies confirm the benefit. For example, the FDA has convened its Oncologic Drugs Advisory Committee to review what the FDA has called dangling or delinquent accelerated approvals where confirmatory studies have not been completed or where results did not confirm benefit.</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enactment of FDORA included provisions related to the accelerated approval pathway. Pursuant to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FDORA enables the FDA to initiate enforcement action for the failure to conduct with due diligence a required post-approval study, including a failure to meet any required conditions specified by the FDA or to submit timely reports. In addition, the Oncology Center of Excellence has announced Project Confirm, which is an initiative to promote the transparency of outcomes related to accelerated approvals for oncology indications and provide a framework to foster discussion, research and innovation in approval and post-marketing processes, with the goal to enhance the balance of access and verification of benefit for therapies available to patients with cancer and hematologic malignancies.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Fast track designation granted for ozuriftamab vedotin in recurrent or metastatic squamous cell carcinoma of the head and neck (SCCHN) and potential future fast track designation for any of our other product candidates by the FDA may not lead to a faster development or regulatory review or approval process and does not increase the likelihood that our product candidates will receive regulatory approval.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July 2024, the FDA granted fast track designation for ozuriftamab vedotin in recurrent or metastatic SCCHN, and we may seek fast track designation in the future for other product candidates. If a drug is intended for the treatment of a serious or life-threatening disease and the drug demonstrates the potential to address unmet medical needs for this disease, the drug may qualify for fast track designation. The FDA has broad discretion whether or not to grant this designation. Even if we believe a particular product candidate is eligible for this designation, we cannot assure you that the FDA would decide to grant it. Even if product candidates do receive fast track designation, as ozuriftamab vedotin has in recurrent or metastatic SCCHN, we may not experience a faster development process, review or approval compared to conventional FDA procedures. The FDA may withdraw fast track designation if it believes that the designation is no longer supported by data from its clinical development programs. Many drugs that have received fast track designation have failed to obtain approval, and there can be no assurance that such fast track designation would lead to a faster development or regulatory review or approval process, or to regulatory approval.</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Any regulatory approvals that we or our existing or future collaborators obtain for our product candidates may also be subject to limitations on the approved indicated uses for which a product may be marketed or to conditions of approval, or contain requirements for potentially costly post-marketing testing, including “Phase 4” clinical trials, and surveillance to monitor the safety and efficacy of the product candidate. Furthermore, any regulatory approval to market a product may be subject to limitations on the labeling of the product or may require safety warnings or other restrictions. In addition, the FDA has the authority to require a REMS plan as part of a BLA or after approval, which may impose further requirements or restrictions on the distribution or use of an approved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GCPs for any clinical trials that we conduct post-approval. The manufacturer and manufacturing facilities we use to make a future product, if any, will also be subject to periodic review and inspection by the FDA and other regulatory agencies, including for continued compliance with cGMP requirements. Any product promotion and advertising will also be subject to regulatory requirements and continuing regulatory review.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restrictions on the marketing or manufacturing of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withdrawal of the product from the market or voluntary or mandatory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fines, warning or untitled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delay of approval or refusal by the FDA or comparable regulatory authorities in other jurisdictions to approve pending applications or supplements to approved applications filed by us, our current collaborator or any future strategic partners;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suspension or revocation of product license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 seizure or detention or refusal to permit the import or export of products;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injunctions or the imposition of civil or criminal penalties.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FDA’s policies may change and additional government regulations may be enacted that could prevent, limit or delay regulatory approval of our product candidates. We also cannot predict the likelihood, nature or extent of government regulation that may arise from future legislation or administrative action, either in the United States or abroad. If these regulations impose constraints on the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Even if we are able to commercialize any product candidate, such product candidate may become subject to unfavorable pricing regulations or third-party coverage and reimbursement policies, which would harm our business.</w:t>
      </w:r>
    </w:p>
    <w:p>
      <w:pPr>
        <w:pStyle w:val="TextBody"/>
        <w:bidi w:val="0"/>
        <w:spacing w:before="108" w:after="283"/>
        <w:jc w:val="left"/>
        <w:rPr>
          <w:rFonts w:ascii="Times New Roman" w:hAnsi="Times New Roman"/>
          <w:sz w:val="20"/>
        </w:rPr>
      </w:pPr>
      <w:r>
        <w:rPr>
          <w:rFonts w:ascii="Times New Roman" w:hAnsi="Times New Roman"/>
          <w:color w:val="000000"/>
          <w:sz w:val="18"/>
        </w:rPr>
        <w:t>The regulations that govern regulatory approvals, pricing and reimbursement for new drugs and therapeutic biologics vary widely from country to country. Some countries require approval of the sale price of a drug or therapeutic biologic before it can be marketed. In many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commercialize any products successfully also will depend in part on the extent to which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At our programs’ current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is significant uncertainty related to third-party payor coverage and reimbursement of newly approved products. For example, in the United States, principal decisions about reimbursement for new products are typically made by the Centers for Medicare &amp; Medicaid Services (“CMS”) an agency within the U.S. Department of Health and Human Services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As a result, the coverage determination process is often time-consuming and costly. This process will require us to provide scientific and clinical support for the use of our products to each third-party payor separately, with no assurance that coverage and adequate reimbursement will be applied consistently or obtained in the first instance.</w:t>
      </w:r>
    </w:p>
    <w:p>
      <w:pPr>
        <w:pStyle w:val="TextBody"/>
        <w:bidi w:val="0"/>
        <w:spacing w:before="210" w:after="283"/>
        <w:jc w:val="left"/>
        <w:rPr>
          <w:rFonts w:ascii="Times New Roman" w:hAnsi="Times New Roman"/>
          <w:color w:val="000000"/>
          <w:sz w:val="18"/>
        </w:rPr>
      </w:pPr>
      <w:r>
        <w:rPr>
          <w:rFonts w:ascii="Times New Roman" w:hAnsi="Times New Roman"/>
          <w:color w:val="000000"/>
          <w:sz w:val="18"/>
        </w:rPr>
        <w:t>Moreover,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some countries, particularly member states of the European Union (EU),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existing or future collaborators may be required to conduct a clinical trial or other studies that compare the cost-effectiveness of our product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may be significant delays in obtaining reimbursement for newly 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be insufficient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United States. Third-party payors often rely upon Medicare coverage policy and payment limitations in setting their own reimbursement rates. If reimbursement of any product candidate approved for marketing is unavailable or limited in scope or amount, or if pricing is set at unsatisfactory levels, our business, financial condition, results of operations or prospects could be materially and adversely affected, and our ability to commercialize such products, once approved, could be materially impaired.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FDA and other regulatory agencies actively enforce the laws and regulations prohibiting the promotion of off-label uses.</w:t>
      </w:r>
    </w:p>
    <w:p>
      <w:pPr>
        <w:pStyle w:val="TextBody"/>
        <w:bidi w:val="0"/>
        <w:spacing w:before="108" w:after="283"/>
        <w:jc w:val="left"/>
        <w:rPr>
          <w:rFonts w:ascii="Times New Roman" w:hAnsi="Times New Roman"/>
          <w:sz w:val="20"/>
        </w:rPr>
      </w:pPr>
      <w:r>
        <w:rPr>
          <w:rFonts w:ascii="Times New Roman" w:hAnsi="Times New Roman"/>
          <w:color w:val="000000"/>
          <w:sz w:val="18"/>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For example, if we receive marketing approval for mecbotamab vedotin as a treatment for mKRAS NSCLC, and we are found to have promoted off-label uses, we may become subject to significant liability. Physicians may nevertheless use our product for their patients in a manner that is inconsistent with the approved labeling.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Moreover, although we believe that our product candidates may be safer or more effective than other therapies, unless we conduct head-to-head comparative studies, we will not be able to make any claims of superiority.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Disruptions at the FDA, the SEC and other government agencies caused by, among other factors,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In addition, government funding of the Securities and Exchange Commission (“SEC”) and other government agencies on which our operations may rely, including those that fund research and development activities, is subject to the political process, which is inherently fluid and unpredictable.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Disruptions at the FDA and other agencies may also slow the time necessary for new drugs to be reviewed or approved by necessary government agencies, which would adversely affect our business. Furthermore, the application of newly developed artificial intelligence (“AI”) and other technologies may have the impact of reducing the development time to bring new products to market, which may materially increase the volume of applications for product approval to the FDA compared to historical application levels. If this increased application volume materializes and funding for additional staff and resources are not allocated to the FDA, the FDA may not be able to continue its current pace of application reviews and review timelines could be extended. Regulatory authorities outside the U.S. facing similar increases in application volume may also experience delays in their regulatory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prolonged government shutdown occurs, if global health concerns prevent the FDA or other regulatory authorities from conducting their regular inspections, reviews, or other regulatory activities, or if the volume of applications to the FDA for new product candidates increases materially, it could significantly impact the ability of the FDA to timely review and process our regulatory submissions, which could have a material adverse effect on our business. Further, future government shutdowns or delays could impact our ability to access the public markets and obtain necessary capital in order to properly capitalize and continue our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There is substantial uncertainty regarding the new Administration’s initiatives and how these might impact the FDA, its implementation of laws, regulations, policies and guidance and its personnel. Similar initiatives may also be directed toward other government agencies. These initiatives could prevent, limit or delay development and regulatory approval of our product candidates, which would impact our business.</w:t>
      </w:r>
    </w:p>
    <w:p>
      <w:pPr>
        <w:pStyle w:val="TextBody"/>
        <w:bidi w:val="0"/>
        <w:spacing w:before="108" w:after="283"/>
        <w:jc w:val="left"/>
        <w:rPr>
          <w:rFonts w:ascii="Times New Roman" w:hAnsi="Times New Roman"/>
          <w:sz w:val="20"/>
        </w:rPr>
      </w:pPr>
      <w:r>
        <w:rPr>
          <w:rFonts w:ascii="Times New Roman" w:hAnsi="Times New Roman"/>
          <w:color w:val="000000"/>
          <w:sz w:val="18"/>
        </w:rPr>
        <w:t>FDA-regulated industries, such as ours, face substantial uncertainty in regard to the regulatory environment we will face as we proceed with research and development, and possibly in the future commercialization, efforts following the inauguration of President Trump in January 2025. Some of these efforts have manifested to date in the form of personnel measures that could impact the FDA’s ability to hire and retain key personnel, which could result in delays or limitations on our ability to obtain guidance from the FDA on our product candidates in development and obtain the requisite regulatory approvals in the future. Moreover, the new Administration has proposed action to freeze or reduce the budget of the National Institutes of Health (“NIH”) as related to its funding for medical research, which could decrease the ability of facilities that rely on NIH funding to enroll and conduct clinical trials. There remains general uncertainty regarding future activities. The new Administration could issue or promulgate executive orders, regulations, policies or guidance that adversely affects us or create a more challenging or costly environment to pursue the development of new therapeutic products. Alternatively, state governments may attempt to address or react to changes at the federal level with changes to their own regulatory frameworks in a manner that is adverse to our operations. If we or our collaborators become negatively impacted by future governmental orders, regulations, policies or guidance as a result of the new Administration, there could be a material adverse effect on us and our business.</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FDA, EMA and other comparable foreign regulatory authorities may not accept data from trials conducted in locations outside of their jurisdiction.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are performed by clinical investigators of recognized competence and pursuant to current GCP requirements; and (iii)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We cannot assure you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for commercialization in the applicable jurisdiction.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Healthcare legislative reform measures may have a material adverse effect on our business and results of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pStyle w:val="TextBody"/>
        <w:bidi w:val="0"/>
        <w:spacing w:before="216" w:after="283"/>
        <w:jc w:val="left"/>
        <w:rPr>
          <w:rFonts w:ascii="Times New Roman" w:hAnsi="Times New Roman"/>
          <w:sz w:val="20"/>
        </w:rPr>
      </w:pPr>
      <w:r>
        <w:rPr>
          <w:rFonts w:ascii="Times New Roman" w:hAnsi="Times New Roman"/>
          <w:color w:val="000000"/>
          <w:sz w:val="18"/>
        </w:rPr>
        <w:t>In addition, in the United States, there have been and continue to be several legislative initiatives to contain healthcare costs. Previously, in March 2010, the ACA was enacted, which was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Healthcare reform initiatives culminated in the enactment of the IRA in August 2022, which, among other things, allows HHS to directly negotiate the selling price of a statutorily specified number of drugs and biologics each year that CMS reimburses under Medicare Part B and Part D. The negotiated price may not exceed a statutory ceiling price. Only high-expenditure single-source biologics that have been approved for at least 11 years (7 years for drugs) are eligible to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A drug or biological product that has an orphan drug designation for only one rare disease or condition are excluded from the IRA’s price negotiation requirements, but will lose that exclusion if it receives designations for more than one rare disease or condition, or if it is approved for an indication that is not within that single designated rare disease or condition, unless such additional designation or such disqualifying approvals are withdrawn by the time CMS evaluates the drug for selection for negotiation. The negotiated prices have represented, and will continue to represent, a significant discount from average prices to wholesalers and direct purchasers. The law also imposes rebates on Medicare Part D and Part B drugs whose prices have increased at a rate greater than the rate of inflation. The IRA also extends enhanced subsidies for individuals purchasing health insurance coverage in ACA marketplaces through plan year 2025. Manufacturers that fail to comply with the IRA may be subject to various penalties, including civil monetary penalties. The IRA permits the Secretary of HHS to implement many of these provisions through guidance, as opposed to regulation, for the initial years. These provisions may be subject to legal challenges. For example, the provisions related to the negotiation of selling prices of high-expenditure single-source drugs and biologics have been challenged in several lawsuits. Thus, while it is unclear how certain provisions of the IRA will be implemented, the IRA will likely have a significant impact on the pharmaceutical industry. It is unclear to what extent other statutory, regulatory, and administrative initiatives will be enacted and implemented, and to what extent these or any future legislation or regulations by the current administration or subsequent administrations will have on our business, including market acceptance, and sales, of our products and product candidates.</w:t>
      </w:r>
    </w:p>
    <w:p>
      <w:pPr>
        <w:pStyle w:val="TextBody"/>
        <w:bidi w:val="0"/>
        <w:spacing w:before="216" w:after="283"/>
        <w:jc w:val="left"/>
        <w:rPr>
          <w:rFonts w:ascii="Times New Roman" w:hAnsi="Times New Roman"/>
          <w:sz w:val="20"/>
        </w:rPr>
      </w:pPr>
      <w:r>
        <w:rPr>
          <w:rFonts w:ascii="Times New Roman" w:hAnsi="Times New Roman"/>
          <w:color w:val="000000"/>
          <w:sz w:val="18"/>
        </w:rPr>
        <w:t>Further, on May 30, 2018, the Trickett Wendler, Frank Mongiello, Jordan McLinn, and Matthew Beilina Right to Try Act of 2017, or the Right to Try Act, was signed into law. The law, among other things, provides a federal framework for certain patients to access certain investigational new product candidates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products available to eligible patients as a result of the Right to Try Act.</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the FDA released a final rule in September 2020 providing guidance for states to build and submit plans for importing drugs from Canada, and the FDA authorized the first such plan in Florida in January 2024, which has been extended until July 2025. It is unclear how this program will be implemented, including which drugs will be chosen, and whether it will be subject to legal challenges in the United States or Canada. Other states have also submitted proposals that are pending review by the FDA.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 products that we successfully commercialize or put pressure on our product pricing.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product candidates and any future product candidates or additional pricing pressures.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relationships with healthcare professionals, clinical investigators, CROs and third-party payors in connection with our current and future business activities may be subject to federal and state healthcare fraud and abuse laws, false claims laws, transparency laws, government price reporting and health information privacy and security laws, which could expose us to significant losses, including, among other things, criminal sanctions, civil penalties, contractual damages, exclusion from governmental healthcare programs, reputational harm, administrative burdens and diminished profits and future earnings.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Healthcare providers, physicians and third-party payors will play a primary role in the recommendation and prescription of any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Restrictions under applicable federal and state healthcare laws and regulations, include the following:</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the U.S. federal Anti-Kickback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U.S. federal false claims and civil monetary penalties laws, including 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HIPAA, as amended by HITECH, which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federal and state consumer protection and unfair competition laws, which broadly regulate marketplace activities and activities that potentially harm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U.S. Physician Payments Sunshine Act created under the ACA, and its implementing regulations, which require that certain manufacturers of drugs, devices, medical supplies and therapeutic biologics that are reimbursable under Medicare, Medicaid, and Children’s Health Insurance Programs report annually to the Department of Health and Human Services information related to certain payments and other transfers of value to physicians, as defined by such law, physician assistants, certain types of advance practice nurses and teaching hospitals, as well as ownership and investment interests held by the physicians described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analogous state laws and regulations, such as state anti-kickback and false claims laws that may apply to sales or marketing arrangements and claims involving healthcare items or services reimbursed by non-governmental third-party payors, including private insurers; some state laws require that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information related to drug pricing, including price increases. State and local laws require the registration of pharmaceutical sales representatives.</w:t>
      </w:r>
    </w:p>
    <w:p>
      <w:pPr>
        <w:pStyle w:val="TextBody"/>
        <w:bidi w:val="0"/>
        <w:spacing w:before="216" w:after="283"/>
        <w:jc w:val="left"/>
        <w:rPr>
          <w:rFonts w:ascii="Times New Roman" w:hAnsi="Times New Roman"/>
          <w:sz w:val="20"/>
        </w:rPr>
      </w:pPr>
      <w:r>
        <w:rPr>
          <w:rFonts w:ascii="Times New Roman" w:hAnsi="Times New Roman"/>
          <w:color w:val="000000"/>
          <w:sz w:val="18"/>
        </w:rPr>
        <w:t>Foreign and state laws also govern the privacy and security of health information in some circumstances, many of which differ from each other in significant ways and often are not preempted by HIPAA, thus complicating compliance efforts. For instance, the collection and use of health data in the EU is governed by the General Data Protection Regulation (“GDPR”) which extends the geographical scope of EU data protection law to non-EU entities under certain conditions, tightens existing EU data protection principles and creates new obligations for companies and new rights for individuals. Failure to comply with the GDPR may result in substantial fines and other administrative penalties. The GDPR may increase our responsibility and liability in relation to personal data that we possess and we may be required to put in place additional mechanisms ensuring compliance with the GDPR. We comply with the GDPR and the UK GDPR, which, together with the amended UK Data Protection Act 2018, retains the GDPR in United Kingdom national law, the latter regime having the ability to separately fine and penalize violations. The relationship between the United Kingdom and the EU in relation to certain aspects of data protection law remains unclear, and it is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unclear how United Kingdom data protection laws and regulations will develop in the medium to longer term, and how data transfers to and from the United Kingdom will be regulated in the long term. Ongoing developments in the United Kingdom have created additional uncertainty regarding personal data transfers from the European Economic Area (EEA) to the United Kingdom following the termination of the personal data transfer grace period set out in the EU and United Kingdom Trade and Cooperation Agreement, which ended on June 30, 2021. It is not clear whether (and when) an adequacy decision may be granted by the European Commission enabling data transfers from EU member states to the United Kingdom long term without additional measures. Moreover, in July 2020 the Court of Justice of the European Union (CJEU) invalidated the EU-US Privacy Shield Framework (Privacy Shield) under which personal data could be transferred from the EEA and the United Kingdom to entities in the United States who had self-certified under the Privacy Shield scheme. This has led to uncertainty about the adequate transfer mechanisms for other personal data transfers from the EEA and the United Kingdom to the United States or interruption of such transfers. In the event that any court of law orders the suspension of personal data transfers to or from a particular jurisdiction this could give rise to operational interruption in the performance of services for customers, greater costs to implement alternative data transfer mechanisms that are still permitted, regulatory liabilities or reputational harm.</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state laws govern the privacy and security of health information in specified circumstances, many of which differ from each other in significant ways and may not have the same effect, thus complicating compliance efforts. Certain state laws may be more stringent or broader in scope, or offer greater individual rights, with respect to personal information, and such laws may differ from each other, all of which may complicate compliance efforts. For example, the CCPA, as modified by the CPRA,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and CPRA may increase our compliance costs and potential liability, and similar laws have been proposed at the federal level and in other states. In addition, Virginia’s Consumer Data Protection Act, which took effect on January 1, 2023, requires businesses subject to the legislation to conduct data protection assessments in certain circumstances and requires opt-in consent from consumers to acquire and process their sensitive personal information, which includes information revealing a consumer’s physical and mental health diagnosis and genetic and biometric information that can identify a consumer. Colorado enacted the Colorado Privacy Act, and Connecticut enacted the Connecticut Data Privacy Act, each of which took effect on July 1, 2023, and Utah enacted the Consumer Privacy Act, which became effective on December 31, 2023, and each of these laws may increase the complexity, variation in requirements, restrictions, and potential legal risks, and could require increased compliance costs and changes in business practices and policies. Other states have also enacted, proposed, or are considering proposing, data privacy laws, which could further complicate compliance efforts, increase our potential liability and adversely affect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Ensuring that our internal operations and future business arrangements with third parties comply with applicable healthcare, privacy and securities laws and regulations worldwide will involve substantial costs. If our operations are found to be in violation of any of the laws described above or any other governmental laws and regulations that may apply to us, we may be subject to regulatory investigations and enforcement actions, as well as civil private plaintiff litigation, which could mean significant penalties, including civil, criminal and administrative penalties, damages, fines, exclusion from participation in government-funded healthcare programs such as Medicare and Medicaid or similar programs in other countries or jurisdictions, disgorgement, imprisonment, reputational harm and diminished profits. Responding to regulatory inquiries and 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comply with U.S. and foreign regulatory requirements, regulatory authorities could limit or withdraw any marketing or commercialization approvals we may receive and subject us to other penalties that could materially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United States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We rely, and expect we will continue to rely, on third-party manufacturers, and we will not have control over compliance with applicable rules and regulations by such manufacturers. Any product promotion and advertising will also be subject to regulatory requirements and continuing regulatory review. If we or our existing or future collaborators, manufacturers or service providers fail to comply with applicable continuing regulatory requirements in the United States or foreign jurisdictions in which we seek to market our products, we or they may be subject to, among other things, fines, warning or untitled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injunctions, civil penalties and criminal prosecution.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research and development activities could be affected or delayed as a result of possible restrictions on animal testing.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Certain laws and regulations may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or FCPA, the U.S. domestic bribery statute contained in 18 U.S.C. § 201, the U.S. Travel Act, the USA PATRIOT Act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United States,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and our third-party contractors must comply with environmental, health and safety laws and regulations. A failure to comply with these laws and regulations could expose us to significant costs or liabilities.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and our third-party contractors are subject to numerous environmental, health and safety laws and regulations, including those governing laboratory procedures and the use, generation, manufacture, distribution, storage, handling, treatment, remediation and disposal of hazardous materials and wastes. Hazardous chemicals, including flammable and biological materials, are involved in certain aspects of our business, and we cannot eliminate the risk of injury or contamination from the use, generation, manufacture, distribution, storage, handling, treatment or disposal of hazardous materials and wastes. In the event of contamination or injury, or failure to comply with environmental, health and safety laws and regulations, we could be held liable for any resulting damages, fines and penalties associated with such liability which could exceed our assets and resources.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maintain workers’ compensation insurance to cover us for costs and expenses we may incur due to injuries to our employees resulting from the use of biological or hazardous materials or wastes arising out of and in the course of employment, this insurance may not provide adequate coverage against potential liabilities. We do not maintain insurance for environmental liability that may be asserted against us in connection with our storage or disposal of biological, hazardous or radioactive materials.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Environmental, health and safety laws and regulations are becoming increasingly more stringent.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Changes in tax laws or in their implementation or interpretation may adversely affect us or our investors.</w:t>
      </w:r>
    </w:p>
    <w:p>
      <w:pPr>
        <w:pStyle w:val="TextBody"/>
        <w:bidi w:val="0"/>
        <w:spacing w:before="108" w:after="283"/>
        <w:jc w:val="left"/>
        <w:rPr>
          <w:rFonts w:ascii="Times New Roman" w:hAnsi="Times New Roman"/>
          <w:sz w:val="20"/>
        </w:rPr>
      </w:pPr>
      <w:r>
        <w:rPr>
          <w:rFonts w:ascii="Times New Roman" w:hAnsi="Times New Roman"/>
          <w:color w:val="000000"/>
          <w:sz w:val="18"/>
        </w:rPr>
        <w:t>The rules dealing with the U.S. federal, state and local income taxation are constantly under review by persons involved in the legislative process and by the Internal Revenue Service (“IRS”) and the U.S. Treasury Department. Changes to tax laws (which changes may have retroactive application) could adversely affect us or holders of our common stock. In recent years, many changes have been made and changes are likely to continue to occur in the future. For example, on January 1, 2022, a provision of the Tax Cuts and Jobs Act of 2017 went into effect that eliminates the option to deduct domestic research and development costs in the year incurred and instead requires taxpayers to amortize such costs over five years. 2022 also saw the enactment of the IRA, which imposes, among others, a 1% excise tax on certain repurchases of stock and a 15% alternative minimum income tax on “adjusted financial statement income” of certain corporations. 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employee matters, managing our growth and other risks related to our business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may not realize the anticipated benefits of our workforce reductions, and our restructuring may adversely affect our business.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March 2025, we announced a reduction in our workforce by approximately 30%. This reduction in force, and the attrition that may occur following it, may result in the loss of institutional knowledge and expertise and the reallocation and combination of certain roles and responsibilities across the organization, all of which could adversely affect our operations. These restructurings and other additional measures we might take to reduce costs could strain our workforce, divert management attention, yield attrition beyond our intended reduction in force, reduce employee morale, cause us to delay, limit, reduce or eliminate certain development plans or otherwise interfere with our ability to operate and grow our business effectively, each of which could have an adverse impact on our business, operating results, and financial condition. Charges and costs incurred in connection with workforce reduction efforts may be significant and higher than estimated. In connection with these actions, we estimate that we will incur cash expenditures of between $0.5 and $0.6 million for employee severance and related benefit costs. The Company expects to pay substantially all of the restructuring and related charges in the second quarter of 2025. The estimates of the charges and expenditures that we expect to incur in connection with the workforce reduction, and the timing thereof, are subject to a number of assumptions, and actual amounts may differ materially from estimates. Even if successfully completed, we may not achieve the anticipated cost savings, operating efficiencies or other benefits of such activities.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attract and retain qualified senior management and key clinical and scientific personnel, our business may be materially and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success depends in part on our continued ability to attract, retain and motivate highly qualified management and clinical and scientific personnel. We are highly dependent upon members of our senior management, including Jay M. Short, Ph.D., our Chairman and Chief Executive Officer, as well as our clinical development leaders, senior scientists, and other members of our senior management team. The loss of services of any of these individuals could delay or prevent the successful development of our product pipeline, the initiation and completion of our planned clinical trials or the commercialization of product candidates or any future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Competition for qualified personnel in the pharmaceutical, biopharmaceutical and biotechnology field is intense due to the limited number of individuals who possess the skills and experience required by our industry. We will need to hire additional personnel as we expand our clinical development and if we initiate commercial activities. We may not be able to attract and retain quality personnel on acceptable terms, or at all. In addition, to the extent we hire personnel from competitors, we may be subject to allegations that they have been improperly solicited or that they have divulged proprietary or other confidential information, or that their former employers own their research output.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currently have no sales organization. If we are unable to establish sales, marketing and distribution capabilities on our own or through third parties, we may not be able to market and sell our product candidates, if approved, effectively in the United States and foreign jurisdictions or generate product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currently do not have a marketing or sales organization. In order to commercialize our product candidates in the United States and foreign jurisdictions on our own, we must build our marketing, sales, distribution, managerial and other non-technical capabilities or make arrangements with third parties to perform these services, and we may not be successful in doing so. If any of our product candidates receives regulatory approval, we will need to develop internal sales, marketing and distribution capabilities to commercialize such products, which would be expensive and time-consuming, or make arrangements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existing or future collaborators, we will need to establish and maintain marketing and distribution arrangements with third parties, and we cannot assure you that we will be able to enter into such arrangements on acceptable terms, or at all. In entering into third-party marketing or distribution arrangements, any revenue we receive will depend upon the efforts of the third parties, and we cannot assure you that such third parties will establish adequate sales and distribution capabilities or be successful in gaining market acceptance of any approved product. If we are not successful in commercializing any product approved in the future, either on our own or through arrangements with one or more third parties, we may not be able to generate any future product revenue and we would incur significant additional losses.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 order to successfully implement our plans and strategies, we will need to grow the size of our organization, and we may experience difficulties in managing this growth.</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2024, we had 61 employees, including part-time employees. In order to successfully implement our development and commercialization plans and strategies, and operate as a public company, we expect to need additional development, managerial, operational, financial, sales, marketing and other personnel. Future growth would impose significant added responsibilities on members of management,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identifying, recruiting, integrating, maintaining and motivating additional employees;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managing our internal development efforts effectively, including the clinical and regulatory review process for mecbotamab vedotin, ozuriftamab vedotin, evalstotug, BA3182, and any other product candidates, while complying with our contractual obligations to contractors and other third parties; and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improving our operational, financial and management controls, reporting systems and procedures.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future financial performance and our ability to successfully develop and, if approved, commercialize mecbotamab vedotin, ozuriftamab vedotin, evalstotug, BA3182, and any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date, we have used the services of outside vendors to augment our capabilities in performing certain tasks, including preclinical and clinical trial management, manufacturing, statistics and analysis and research and development functions. Our growth strategy may also entail expanding our group of such contractors or consultants to assist in implementing these tasks going forward. Because we rely on numerous consultants,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mecbotamab vedotin, ozuriftamab vedotin, evalstotug, BA3182, and any future product candidates or otherwise advance our business. We may not be able to manage our existing outside contractors or find other competent outside contractors and consultants on economically reasonable terms, or at all. If we are not able to effectively expand our organization by hiring new employees and expanding our groups of consultants and contractors, we may not be able to successfully implement the tasks necessary to further develop and commercialize mecbotamab vedotin, ozuriftamab vedotin, evalstotug, BA3182, and any future product candidates and, accordingly, may not achieve our research, development and commercialization goals.</w:t>
      </w:r>
    </w:p>
    <w:p>
      <w:pPr>
        <w:pStyle w:val="TextBody"/>
        <w:bidi w:val="0"/>
        <w:spacing w:before="324" w:after="283"/>
        <w:jc w:val="left"/>
        <w:rPr>
          <w:rFonts w:ascii="Times New Roman" w:hAnsi="Times New Roman"/>
          <w:sz w:val="20"/>
        </w:rPr>
      </w:pPr>
      <w:r>
        <w:rPr>
          <w:rFonts w:ascii="Times New Roman" w:hAnsi="Times New Roman"/>
          <w:b/>
          <w:i/>
          <w:color w:val="000000"/>
          <w:sz w:val="18"/>
        </w:rPr>
        <w:t>Our employees and independent contractors, including principal investigators, CROs, consultants and vendors, may engage in misconduct or other improper activities, including noncompliance with regulatory standards and requirements.</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exposed to the risk that our employees and independent contractors, including principal investigators, CROs, consultants and vendors may violate (intentionally or unintentionally) our internal processes and procedures, or engage in misconduct or other illegal activity. Such actions could include intentional, reckless and/or negligent conduct or disclosure of unauthorized activities to us that violate: (1) the laws and regulations of the FDA and other similar regulatory requirements, including those laws that require the reporting of true, complete and accurate information to such authorities, (2) manufacturing standards, including cGMP requirements, (3) data privacy, security, fraud and abuse and other healthcare laws and regulations in the United States and abroad or (4)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drug product, which could result in regulatory sanctions and cause serious harm to our reputation. It is not always possible to identify, prevent and deter these activities and/or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actions, including fraud or other misconduct, even if none occurred. If any such actions are instituted against us, we may incur significant costs to respond, and if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disgorgements, possible exclusion from participation in Medicare, Medicaid and other federal healthcare programs, individual imprisonment,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 any of which could adversely affect our ability to operate our business and our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depend on our information technology systems and those of our CROs, manufacturers, contractors and consultants. Our internal computer systems, such as our enterprise resource planning (“ERP”) system,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w:t>
      </w:r>
    </w:p>
    <w:p>
      <w:pPr>
        <w:pStyle w:val="TextBody"/>
        <w:bidi w:val="0"/>
        <w:spacing w:before="108" w:after="283"/>
        <w:jc w:val="left"/>
        <w:rPr>
          <w:rFonts w:ascii="Times New Roman" w:hAnsi="Times New Roman"/>
          <w:sz w:val="20"/>
        </w:rPr>
      </w:pPr>
      <w:r>
        <w:rPr>
          <w:rFonts w:ascii="Times New Roman" w:hAnsi="Times New Roman"/>
          <w:color w:val="000000"/>
          <w:sz w:val="18"/>
        </w:rPr>
        <w:t>In the ordinary course of our business, we collect, store and transmit large amounts of confidential information, including intellectual property, proprietary business information and personal information. Despite the implementation of security measures, our internal computer systems and infrastructure and those of our current and any future CROs, manufacturers, other contractors, consultants, existing or future collaborators and other third-party service providers are vulnerable to unauthorized access, impairment, or damage from various methods, including cybersecurity attacks, ransomware attacks, breaches, intentional or accidental mistakes or errors, or other technological failures, which can include, among other things, computer viruses, malware, exploit of unpatched product or service vulnerabilities, unauthorized access attempts (including third parties gaining access to systems using stolen or inferred credentials), denial-of-service attacks, phishing attempts, service disruptions, natural disasters, fire, terrorism, war, telecommunication and electrical failures, and attacks enhanced or facilitated by AI. As the cyber-threat landscape evolves, these attacks are growing in frequency, levels of persistence, sophistication and intensity, are becoming increasingly difficult to detect, and are being conducted by sophisticated groups and individuals with a wide range of motives and expertise.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If such an event were to occur and cause interruptions in our operations, impact to critical data or systems, or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49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result in the unauthorized acquisition of or access to personally identifiable information or individually identifiable health information (violating certain privacy, cybersecurity or data protection laws such as HIPAA, HITECH, the CCPA and GDPR), it could result in a material disruption of our product candidate development programs and our business operations and we could incur significant liabilities. There also could be requirements that we notify individuals and regulators in the event of unauthorized access to, acquisition, destruction, alteration, or misuse of, personal or health information, which could result from breaches experienced by us or by our vendors, contractors or organizations with which we have formed strategic relationships. Notifications and follow-up actions related to a security breach could impact our reputation and cause us to incur significant costs, including legal expenses and remediation costs, and result in the loss of confidence by our partners, customers, and stakeholders, and thereby have longer term adverse impact on our business operations and revenue. For example, the loss of clinical trial data from completed, ongoing or future clinical trials involving our product candidates could result in delays in our regulatory approval efforts and significantly increase our costs to recover or reproduce the lost data. In addition, because of our approach of running multiple clinical trials in parallel, any breach of our computer systems may result in a loss of data or compromised data integrity across many of our programs in various stages of development.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also rely on third parties to manufacture our product candidates,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or international privacy and security laws.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operate our ERP system and other key business systems on SaaS platforms. Accordingly, we depend on these systems, and the third-party providers of these services, for several aspects of our operations. If these service providers or these systems fail, or if we are unable to continue to have access to these systems on commercially reasonable terms, or at all, operations could be severely disrupted until an equivalent system(s) could be identified, licensed or developed, and integrated into our operations. This disruption could have a material adverse effect on our business.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to experiencing a security incident, third parties may gather, collect, or infer sensitive data about us from public sources, data brokers, or other means that reveal competitively sensitive details about our organization and could be used to undermine our competitive advantage or market position. Additionally, sensitive data of the Company could be leaked, disclosed, or revealed as a result of or in connection with our employees’, personnel’s, or vendors’ use of generative AI technologies.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A portion of our research and development activities take place in China. Uncertainties regarding the interpretation and enforcement of Chinese laws, rules and regulations, a trade war, deterioration of international relations, or political unrest in China could materially adversely affect our business, financial condition and results of operations.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conduct preclinical research and development activities in China through BioDuro-Sundia, which is U.S. owned, but governed by Chinese laws, rules and regulations. Additionally, our agreement with Himalaya Therapeutics Limited Company is for the initiation of clinical trials of evalstotug in the People’s Republic of China. The Chinese legal system is a civil law system based on written statutes. Unlike the common law system, prior court decisions may be cited for reference but have limited precedential value. In addition, the Chinese legal system is based in part on government policies and internal rules, some of which are not published on a timely basis or not published at all, and which may have a retroactive effect. As a result, we may not be aware of our violation of these policies and rules until after the occurrence of the violation. Any administrative and court proceedings in China may be protracted, resulting in substantial costs and diversion of resources and management attention. Since Chinese administrative and court authorities have significant discretion in interpreting and implementing statutory and contractual terms, it may be more difficult to evaluate the outcome of administrative and court proceedings and the level of legal protection we enjoy than in U.S. or EU legal systems.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do some business with companies in China and it is possible some of our contractual counterparties could be impacted by the legislation targeting China. One particular executive order titled Advancing Biotechnology and Biomanufacturing Innovation for a Sustainable, Safe, and Secure American Bioeconomy signed on September 12, 2022 will likely impact the pharmaceutical industry to encourage U.S. domestic manufacturing of pharmaceutical products. Moreover, there have been Congressional legislative proposals, such as the bill titled the BIOSECURE Act, a version of which was introduced in Congress in 2024 and passed by the House of Representatives but was not passed by the Senate. A substantially similar bill could be reintroduced in Congress in the future, which could, among other things, prohibit U.S. federal procurement of biotechnology equipment or services produced or provided by certain named Chinese “biotechnology companies of concern” and loans and grants to, and federal contracts with any entity that uses biotechnology equipment or services from one of these entities in performance of the government contract, grant, or loan. There is significant uncertainty regarding the ultimate form and impact of such initiatives.</w:t>
      </w:r>
    </w:p>
    <w:p>
      <w:pPr>
        <w:pStyle w:val="TextBody"/>
        <w:bidi w:val="0"/>
        <w:spacing w:before="216" w:after="283"/>
        <w:jc w:val="left"/>
        <w:rPr>
          <w:rFonts w:ascii="Times New Roman" w:hAnsi="Times New Roman"/>
          <w:sz w:val="20"/>
        </w:rPr>
      </w:pPr>
      <w:r>
        <w:rPr>
          <w:rFonts w:ascii="Times New Roman" w:hAnsi="Times New Roman"/>
          <w:color w:val="000000"/>
          <w:sz w:val="18"/>
        </w:rPr>
        <w:t>Furthermore, we are exposed to the possibility of disruption of our research and development activities in the event of changes in the policies of the United States or Chinese governments, political unrest or unstable economic conditions in China, including the escalation of tensions between China and Taiwan. In addition, disagreements between the United States and China with respect to their political, military or economic policies toward Taiwan may contribute to further controversies. For example, a trade war could lead to increased costs for clinical materials that are manufactured in China. These interruptions or failures and any restrictive measures resulting from a deterioration of U.S.- China</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relations could also result in impeding the commercialization of our product candidates and impair our competitive position. Further, we may be exposed to fluctuations in the value of the local currency in China. Future appreciation of the local currency could increase our costs. These uncertainties may impede our ability to enforce the contracts we have entered into and our ability to continue our research and development activities and could materially and adversely affect our business, financial condition and results of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current operations are concentrated in two locations. We or the third parties upon whom we depend may be adversely affected by earthquakes, wildfires or other natural disasters, and our business continuity and disaster recovery plans may not adequately protect us from a serious disaster.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 portion of our current operations are located in our facilities in San Diego, California, and we conduct a portion of our research and development activities in China through our arrangement with BioDuro-Sundia. Any unplanned event, such as flood, fire, explosion, earthquake, extreme weather condition, medical epidemics or pandemics,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us from using all or a significant portion of our headquarters, damaged critical infrastructure, such as our research facilities or the manufacturing facilities of our third-party contract manufacturers, or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 In addition, all of our therapeutic antibodies are manufactured by starting with cells from a master cell bank which are stored in multiple locations to reduce the risk of loss. While we believe we will have adequate backup should any cell bank be lost in a catastrophic event, and we take precautions when transporting our cell banks, it is possible that we could lose several cell banks and have our manufacturing severely impacted by the need to replace the cell banks.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business is subject to economic, political, regulatory and other risks associated with conducting business internationally.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our collaborators or licensees may seek regulatory approval of our product candidates outside of the United States including in China, the EU, Australia, New Zealand, and Japan. Additionally, pursuant to our agreement with Himalaya Therapeutics Limited Company, we conduct clinical trials in the People’s Republic of China. Accordingly, we expect that we will be subject to additional risks related to operating in foreign countries if we obtain the necessary approvals,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differing regulatory requirements and reimbursement regimes in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unexpected changes in tariffs, trade barriers, price and exchange controls and other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economic weakness, including inflation, or political instability in particular foreign economies and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compliance with tax, employment, immigration and labor laws for employees living or traveling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foreign taxes, including withholding of payroll taxes;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foreign currency fluctuations, which could result in increased operating expenses and reduced revenue, and other obligations incident to doing business in another country;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difficulties staffing and managing foreign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workforce uncertainty in countries where labor unrest is more common than in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potential liability under the FCPA or comparable foreign regulations;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production shortages resulting from any events affecting raw material supply or manufacturing capabilities abroad;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business interruptions resulting from geo-political actions, including war and terrorism.</w:t>
      </w:r>
    </w:p>
    <w:p>
      <w:pPr>
        <w:pStyle w:val="TextBody"/>
        <w:bidi w:val="0"/>
        <w:spacing w:before="216" w:after="283"/>
        <w:jc w:val="left"/>
        <w:rPr>
          <w:rFonts w:ascii="Times New Roman" w:hAnsi="Times New Roman"/>
          <w:sz w:val="20"/>
        </w:rPr>
      </w:pPr>
      <w:r>
        <w:rPr>
          <w:rFonts w:ascii="Times New Roman" w:hAnsi="Times New Roman"/>
          <w:color w:val="000000"/>
          <w:sz w:val="18"/>
        </w:rPr>
        <w:t>Existing free trade laws and regulations, such as the United States-Mexico-Canada Agreement, provide certain beneficial duties and tariffs for qualifying imports and exports, subject to compliance with the applicable classification and other requirements. Changes in laws or policies governing the terms of trade, and in particular increased trade restrictions, tariffs or taxes on imports from countries where we manufacture products, such as China, could have a material adverse effect on our business and financial results. For example, in February 2025, the U.S. government imposed or threatened to impose new tariffs on imported products from Mexico, Canada and China. The impact of these tariffs is</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subject to several factors, including the effective date and duration of such tariffs, changes in the amount, scope and nature of the tariffs in the future, any retaliatory responses to such actions that the target countries may take and any mitigating actions that may become available. Despite recent trade negotiations between the U.S. and the Mexican, Canadian and Chinese governments, given the uncertainty regarding the scope and duration of any new tariffs, as well as the potential for additional tariffs or trade barriers by the U.S., Mexico, Canada, China or other countries, we can provide no assurance that any strategies we implement to mitigate the impact of such tariffs or other trade actions will be successful.</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Additionally, in February 2022, armed conflict escalated between Russia and Ukraine, and disputes remain unsettled in early 2025. In October 2023, armed conflict escalated between Israel and Hamas, including in the Gaza Strip. It is not possible to predict the broader consequences of these conflicts, which could include further sanctions, embargoes, greater regional instability, geopolitical shifts and other adverse effects on macroeconomic conditions, such as inflation, rising interest rates, currency exchange rates, supply chain challenges and financial market conditions. These and other risks associated with our international operations may materially adversely affect our ability to attain or maintain profitable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face risks related to health epidemics and outbreaks, which could significantly disrupt our preclinical studies, affect enrollment of patients in our clinical trials or delay or prevent our receipt of necessary regulatory approvals.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face risks related to health epidemics or outbreaks of communicable diseases. The outbreak of communicable diseases could result in a widespread health crisis that could adversely affect general commercial activity and the economies and financial markets of many countries. Health pandemics in the past have resulted in, and in the future may result in, governments implementing numerous containment measures, such as travel bans and restrictions, particularly quarantines, shelter-in-place or total lock-down orders and business limitations and shutdowns.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are following, and plan to continue to follow, recommendations from federal, state and local governments regarding workplace policies, practices and procedures. We are complying with all applicable guidelines for our clinical trials, including remote clinical monitoring.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health epidemics in the past have had, and in the future may have, a severe effect on the clinical trials of many drug candidates of several sponsors. The extent to which any future health epidemics may impact our preclinical and clinical trial operations is uncertain and will depend on future developments. Disruptions or restrictions on our ability to travel to monitor data from our clinical trials, or to conduct clinical trials, or the ability of patients enrolled in our studies to travel, or the ability of staff at study sites to travel, as well as temporary closures of our facilities or the facilities of our clinical trial partners and their contract manufacturers, would negatively impact our clinical trial activities. In addition, we rely on independent clinical investigators, CROs and other third-party service providers to assist us in managing, monitoring and otherwise carrying out our preclinical studies and clinical trials, including the collection of data from our clinical trials, and an outbreak may affect their ability to devote sufficient time and resources to our programs or to travel to sites to perform work for us. Similarly, the expected timeline for data readouts of our preclinical studies and clinical trials and certain regulatory filings may be negatively impacted, which would adversely affect our ability to obtain regulatory approval for and to commercialize our product candidates, increase our operating expenses and have a material adverse effect on our business, financial condition, results of operations and prospects.</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our dependence on third parties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We have entered, and may in the future seek to enter, into collaborations with third parties for the development and commercialization of certain of our product candidates. If we fail to enter into such collaborations, or such collaborations are not successful, we may not be able to capitalize on the market potential of our patented technology platform and resulting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We have entered, and may in the future seek to enter, into collaborations with third parties for the development and commercialization of certain of our product candidates. For example, in September 2024 we entered into an agreement to license BA3361, a Nectin-4 x CD3 T cell engaging (TCE) bispecific CAB antibody to Context Therapeutics. In addition, we are currently exploring potential third-party collaborators for development and commercialization of select CAB product candidates. With respect to our collaborations, and what we expect will be the case with any future license or collaboration agreements, we have, and would expect to have, limited control over the amount and timing of resources that our existing or future collaborators dedicate to the development or commercialization of our product candidates. Our ability to generate revenues from these arrangements will depend on our existing or future collaborators’ willingness to select additional product candidates to license and their abilities and willingness to fulfill their payment obligations and successfully perform the functions assigned to them in these arrangements.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Our existing collaboration arrangements currently pose, and future collaborations involving our product candidates will pose, the following risks to us: </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have significant discretion in determining the efforts and resources that they will apply to these collaborations;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pursue development and commercialization of our product candidates or may elect not to continue or renew development or commercialization programs based on preclinical or clinical trial results, changes in the collaborators’ strategic focus due to their acquisition of competitive products or their internal development of competitive products, available funding or other external factors, such as a business combination that diverts resources or creates competing priorities;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collaborators and other alliances could independently develop, or develop with third parties, products that compete directly or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indirectly with our product candidate, particularly if the collaborators believe that competitive products are more likely to be successfully developed or can be commercialized under terms that are more economically attractive than ours;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with marketing, manufacturing and distribution rights to one or more products may not commit sufficient resources to or otherwise not perform satisfactorily in carrying out these activities;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could grant exclusive rights to our collaborators that would prevent us from collaborating with others;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infringe the intellectual property rights of third parties, which may expose us to litigation and potential liability;</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disputes may arise between the collaborators and us that result in the delay or termination of the research, development or commercialization of our product candidate or that result in costly litigation or arbitration that diverts management attention and resources;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disputes may arise with respect to the ownership of any intellectual property developed pursuant to our collaborations;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may not provide us with timely and accurate information regarding development, regulatory or commercialization status or results, which could adversely impact our ability to manage our own development efforts, accurately forecast financial results or provide timely information to our stockholders regarding our out-licensed product candidates;</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collaborations may be terminated and, if terminated, this may result in a need for additional capital to pursue further development or commercialization of the applicable current or future product candidates; and</w:t>
      </w:r>
    </w:p>
    <w:p>
      <w:pPr>
        <w:pStyle w:val="TextBody"/>
        <w:bidi w:val="0"/>
        <w:spacing w:before="108" w:after="283"/>
        <w:jc w:val="left"/>
        <w:rPr>
          <w:color w:val="000000"/>
        </w:rPr>
      </w:pPr>
      <w:r>
        <w:rPr>
          <w:color w:val="000000"/>
        </w:rPr>
        <w: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collaborators’ sales and marketing activities or other operations may not be in compliance with applicable laws resulting in civil or criminal proceedings.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Collaboration agreements may not lead to development or commercialization of our product candidates in the most efficient manner or at all. If a collaborator of ours were to be involved in a business combination, the continued pursuit and emphasis on our product development or commercialization program could be delayed, diminished or terminated.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our existing or future collaborators cease development efforts under our existing or future collaboration agreements, or if any of those agreements are terminated, we may lose committed funding under those agreements and these collaborations may fail to lead to commercial products and the reputation of our patented CAB technology platform may suffer.</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Revenue from research and development collaborations depend upon continuation of the collaborations, initiation and expansion of the number of programs subject to the collaborations, the achievement of milestones and royalties, if any, derived from future products developed from our research. If we are unable to successfully advance the development of our product candidates or achieve milestones, revenue and cash resources from milestone payments under our existing or future collaboration agreements will be substantially less than expected.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ability to advance our product candidates may be limited by third parties on which we rely for certain technologies which we use in certain of our programs. If any third party developing our product candidates or other candidates based on our patented CAB technology platform experiences a delay or failure in development, regulatory approval or commercialization, even if such failure is not due to our CAB technology, it could reflect negatively on us, our other product candidates and our patented CAB technology platform. In addition, if one of our current or future collaborators terminates its agreement with us, we may find it more difficult to attract new collaborators and our perception in the business and financial communities and our stock price could be adversely affected.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establishing commercialization collaborations, which could adversely affect our ability to commercialize our product candidates, if approved.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evaluate and, if strategically attractive, seek to enter into additional collaborations, including with major biotechnology or biopharmaceutical companies. The competition for collaborators is intense, and such arrangements are complex and time-consuming to negotiate, document, and implement and they may require substantial resources to maintain.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it is possible that a collaborator may not devote sufficient resources to the commercialization of our product candidates or may otherwise fail in its commercialization efforts, in which event the commercialization of such product candidates could be delayed or terminated and our business could be substantially harmed. In addition, the terms of any collaboration or other arrangement that we establish may not be favorable to us or may not be perceived as favorable, which may negatively impact our business, financial condition, results of operations and prospects.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third parties on which we rely to conduct our preclinical and clinical trials,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rely, and expect we will continue to rely, on third-party investigators, CROs, data management organizations and consultants to conduct, supervise and monitor our ongoing clinical trials and preclinical studies. Because we rely on these third parties and do not have the ability to conduct preclinical studies or clinical trials independently, we have less control over the timing, quality and other aspects of preclinical studies and clinical trials than we would have had we conducted them on our own. These investigators, CROs and consultants are not our employees and we will have limited control over the amount of time and resources that they dedicate to our development programs. These third parties may have contractual relationships with other entities, some of which may be our competitors, which may draw time and resources from our development programs. The third parties with whom we contract might not be diligent, careful or timely in conducting our preclinical studies or clinical trials, resulting in the preclinical studies or clinical trials being delayed or unsuccessful.</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do 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development programs could be delayed and otherwise adversely affected. Furthermore, we depend on the availability of various animals to conduct certain preclinical studies that we are required to complete prior to submitting an IND and initiating clinical development or to continue clinical development, including pharmacological and toxicology evaluations. There is currently a shortage of animals available for drug development due to an increase in demand from companies conducting research in the U.S., EU, and China. This has caused the cost of obtaining animals for our preclinical studies to increase dramatically, and if the shortage continues, could also result in delays to our development timelines. In all events, we are responsible for ensuring that each of our preclinical studies and clinical trials are conducted in accordance with the general investigational plan, protocols for the trial and regulatory requirements. The FDA requires preclinical studies to be conducted in accordance with GLPs and clinical trials to be conducted in accordance with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does not relieve us of these responsibilities and requirements. Any adverse development or delay in our preclinical studies and clinical trials could have a material and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rely on third parties for the manufacture of our product candidates for preclinical studies and our ongoing clinical trials, and we expect to continue to do so for additional clinical trials and ultimately commercialization. This reliance on third parties increases the risk that we will not have sufficient quantities of our product candidates or products, if approved, or such quantities at an acceptable cost, which could delay, prevent or impair our development or commercialization efforts.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rely, and expect we will continue to rely, on third-party contract manufacturers to manufacture our preclinical and clinical trial product supplies and the raw materials used to create our product candidates. We do not own manufacturing facilities for producing such supplies, and we do not have long-term manufacturing agreements. Furthermore, the raw materials for our product candidates may be sourced, in some cases, from a single-source supplier.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We cannot assure you that our preclinical and clinical development product supplies or raw materials will not be limited, interrupted, or be of satisfactory quality or continue to be available at acceptable prices. In particular, any replacement of a manufacturer could require significant effort and expertise because there are a limited number of qualified replacements.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third-party manufacture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submit an application for regulatory approval of any of our product candidates, the facilities used by our contract manufacturers to manufacture our product candidates will be subject to inspection by the FDA or other regulatory authorities. If our contract manufacturers cannot successfully manufacture material that conforms to our specifications and the strict regulatory requirements of the FDA or others or if they are unable to maintain a compliance status acceptable to the FDA or other regulatory authorities, approval of our product candidates may be delayed or we may need to find alternative manufacturing facilities, which would significantly impact our ability to develop, obtain regulatory approval for or market our product candidates, if approved.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to continue to rely on third-party manufacturers if we receive regulatory approval for any product candidate. If we are unable to obtain or maintain third-party manufacturing for product candidates, or to do so on commercially reasonable terms, we may not be able to develop and commercialize our product candidates successfully. Even if we are able to establish agreements with third-party manufacturers, reliance on third-party manufacturers entails additional risks,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reduction or termination of production or deliveries by suppliers, or the raising of prices or renegotiation of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termination or nonrenewal of arrangements or agreements by our third-party contractors at a time that is costly or inconvenient for us;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breach by the third-party contractors of our agreements with them;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third-party contractors to comply with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failure of the third party to manufacture our product candidates according to our specifications;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mislabeling of clinical supplies, potentially resulting in the wrong dose amounts being supplied or active drug not being properly identified;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misappropriation of our proprietary information, including our trade secrets and know-how.</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we have no material long-term contracts with our suppliers, and we compete with other companies for raw materials and production. We may experience a significant disruption in the supply of raw materials from current sources or, in the event of a disruption, we may be unable to locate alternative materials suppliers of comparable quality at an acceptable price, or at all. In addition, if we experience significant increased demand, or if we need to replace an existing supplier, we may be unable to locate additional supplies of raw materials on terms that are acceptable to us, or at all, or we may be unable to locate any supplier with sufficient capacity to meet our requirements or to fill our orders in a timely manner. Identifying a suitable supplier is an involved process that requires us to become satisfied with their quality control, responsiveness and service, financial stability and labor and other ethical practices. Even if we are able to expand existing sources, we may encounter delays in production and added costs as a result of the time it takes to train suppliers in our methods, products and quality control standards.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manufacture of biotechnology products is complex, and manufacturers often encounter difficulties in production. If we or any of our third-party manufacturers encounter any loss of materials or if any of our third-party manufacturers encounter other difficulties, or otherwise fail to comply with their contractual or regulatory obligations, our ability to provide product candidates for clinical trials or our products to patients, once approved, the development or commercialization of our product candidates could be delayed or stopped.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manufacture of biotechnology products is complex and requires significant expertise and capital investment, including the development of advanced manufacturing techniques and process controls. We and our contract manufacturers must comply with cGMPs, regulations and guidelines for the manufacturing of biologics used in clinical trials and, if approved, marketed products. In order to conduct clinical trials of our product candidates, we and existing and future collaborators will need to manufacture them in large quantities and in accordance with cGMPs. Manufacturers of biotechnology products often encounter difficulties in production, particularly in scaling up and validating initial production. In addition, if microbial, viral or other contaminations are discovered in our products or in the manufacturing facilities in which our products are made, such manufacturing facilities may need to be closed for an extended period of time to investigate and remedy the contamination. Delays in raw materials availability and supply may also extend the period of time required to develop our products. Furthermore, changes in our manufacturing methods may require comparability studies, including clinical bridging studies, which may result in delays to the approval process for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All of our therapeutic antibodies are manufactured by starting with cells from a cell bank. In accordance with cGMPs, we produce one master cell bank for each antibody manufactured, which is then stored in multiple locations to reduce the risk of loss. We have also created a working cell bank for certain manufactured antibodies. While we believe we will have adequate backup should any cell bank be lost in a catastrophic event, and we take precautions when transporting our cell banks, it is possible that we could lose multiple cell banks and have our manufacturing severely impacted by the need to replace the cell banks.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cannot assure you that any stability or other issues relating to the manufacture of any of our product candidates or products will not occur in the future. Additionally, our manufacturers may experience manufacturing difficulties due to resource constraints or as a result of labor disputes or unstable political environments. If our manufacturers were to encounter any of these difficulties, or otherwise fail to comply with their contractual obligations, our ability to provide any product candidates to patients in planned clinical trials and products to patients, once approved, would be jeopardized.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 or enforcement actions by regulatory authorities. We may also have to take inventory write-offs and incur other charges and expenses for product candidates or products that fail to meet specifications, undertake costly remediation efforts or seek more costly manufacturing alternatives. Accordingly, failures or difficulties faced at any level of our supply chain could adversely affect our business and delay or impede the development and commercialization of any of our product candidates or products and could have an adverse effect on our business, financial condition, results of operations and prospects.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Risks related to intellectual property</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If we are not able to obtain, maintain and protect our intellectual property rights in any product candidates or technologies we develop, or if the scope of the intellectual property protection obtained is not sufficiently broad, third parties could develop and commercialize products and technology similar or identical to ours, and we may not be able to compete effectively in our market.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success depends in part on our ability to obtain and maintain patents and other forms of intellectual property rights, including in-licenses of intellectual property rights of others, for our product candidates, methods used to develop and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The patent process is expensive and time-consuming, and we may not be able to apply for patents on certain aspects of our product candidates in a timely fashion, at a reasonable cost, in all jurisdictions,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the patent position of biotechnology and biopharmaceutical companies can be highly uncertain because it involves complex legal and factual issues.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 Furthermore, even if they are unchallenged, our patents and patent applications may not adequately protect our intellectual property, provide exclusivity for our product candidates, or prevent others from designing around our patent claims.</w:t>
      </w:r>
    </w:p>
    <w:p>
      <w:pPr>
        <w:pStyle w:val="TextBody"/>
        <w:bidi w:val="0"/>
        <w:spacing w:before="216" w:after="283"/>
        <w:jc w:val="left"/>
        <w:rPr>
          <w:rFonts w:ascii="Times New Roman" w:hAnsi="Times New Roman"/>
          <w:sz w:val="20"/>
        </w:rPr>
      </w:pPr>
      <w:r>
        <w:rPr>
          <w:rFonts w:ascii="Times New Roman" w:hAnsi="Times New Roman"/>
          <w:color w:val="000000"/>
          <w:sz w:val="18"/>
        </w:rPr>
        <w:t>Once granted, patents may remain open to opposition, interference, re-examination, post-grant review,</w:t>
      </w:r>
      <w:r>
        <w:rPr>
          <w:rFonts w:ascii="Times New Roman" w:hAnsi="Times New Roman"/>
          <w:color w:val="000000"/>
          <w:sz w:val="20"/>
        </w:rPr>
        <w:t xml:space="preserve"> </w:t>
      </w:r>
      <w:r>
        <w:rPr>
          <w:rFonts w:ascii="Times New Roman" w:hAnsi="Times New Roman"/>
          <w:i/>
          <w:color w:val="000000"/>
          <w:sz w:val="18"/>
        </w:rPr>
        <w:t>inter partes</w:t>
      </w:r>
      <w:r>
        <w:rPr>
          <w:rFonts w:ascii="Times New Roman" w:hAnsi="Times New Roman"/>
          <w:color w:val="000000"/>
          <w:sz w:val="20"/>
        </w:rPr>
        <w:t xml:space="preserve"> </w:t>
      </w:r>
      <w:r>
        <w:rPr>
          <w:rFonts w:ascii="Times New Roman" w:hAnsi="Times New Roman"/>
          <w:color w:val="000000"/>
          <w:sz w:val="18"/>
        </w:rPr>
        <w:t>review, nullification or derivation action in court or before patent offices or similar proceedings for a given period after allowance or grant, during which time third parties can raise objections against granted patents. In the course of such proceedings, which may continue for a protracted period of time, the patent owner may be compelled to limit the scope of the allowed or granted patent claims thus attacked, or may lose the allowed or granted claims altogether. In the past we have been party to a patent opposition proceeding at the European Patent Office, or EPO, and we may in the future become party to patent opposition proceedings in the EPO or similar proceedings in other foreign patent offices. In addition, we cannot assure you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obtain, maintain, protect and enforce intellectual property protection for our technologies and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Others will not or may not be able to make, use or sell compounds that are the same as or similar to our product candidates but that are not covered by the claims of the patents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licensors, or our existing or future collaborators are the first to make the inventions covered by each of our issued patents and pending patent applications that we own or license.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or our licensors, or our existing or future collaborators are the first to file patent applications covering certain aspects of our inventions.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Others will not independently develop similar or alternative technologies or duplicate any of our technologies without infringing our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third party may not challenge our patents and, if challenged, that a court would hold that our patents are valid, enforceable and infringed.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issued patents that we own or have licensed will provide us with any competitive advantage, or will not be challenged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We may develop or in-license additional proprietary technologies that are patentable.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Pending patent applications that we own or may license will lead to issued patents.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patents of others will not have a material or adverse effect on our business, financial condition, results of operations and prospects.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competitors do not conduct research and development activities in countries where we do not have enforceable patent rights and then use the information learned from such activities to develop competitive products for sale in our commercial markets.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the breadth or strength of protection provided by the patents and patent applications we hold, obtain or pursue with respect to our product candidates is challenged, or if they fail to provide meaningful exclusivity for our product candidates, it could threaten our ability to practice our technologies or commercialize our product candidates. We cannot offer any assurances about which, if any, patents will issue, the breadth of any such patent, or whether any issued patents will be found invalid and unenforceable or will be threatened by third parties. Furthermore, an interference or derivation proceeding can be provoked by a third party or instituted by a patent office or in a court proceeding, to determine who was the first to invent any of the subject matter covered by the patent claims of our applications.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Where we obtain licenses from third parties, 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are unable to protect the confidentiality of our trade secrets, our business and competitive position would be harmed.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addition to seeking patent protection for certain aspects of our product candidates, we also consider trade secrets, including confidential and unpatented know-how important to the maintenance of our competitive position. We seek to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 advisors and other third parties. We also enter into confidentiality and invention or patent assignment agreements with our employees and consultants that obligate them to maintain confidentiality and assign their inventions to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 proprietary technologies will be effective. We cannot guarantee that our trade secrets and other proprietary and confidential information will not be disclosed or that competitors will not otherwise gain access to our trade secrets.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could be harmed.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we would have no right to prevent such competitor from using that technology or information to compete with us, which could harm our competitive position. If we are unable to prevent material disclosure of the intellectual property related to our technologies to third parties, we will not be able to establish or maintain a competitive advantage in our market, which could materially adversely affect our business, results of operations and financial condition. Even if we are able to adequately protect our trade secrets and proprietary information, our trade secrets could otherwise become known or could be independently discovered by our competitors. Competitors could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in the absence of patent protection, we would have no right to prevent them, or those to whom they communicate, from using that technology or information to compete with us. If our trade secrets are not adequately protected so as to protect our market against competitors’ products, others may be able to exploit our product candidates and discovery technologies to identify and develop competing product candidates, and thus our competitive position could be adversely affected, as could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terms of our patents may not protect our competitive position on our product candidates for an adequate amount of time.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Patents have a limited lifespan. In the United States, if all maintenance fees are timely paid, the natural expiration of a patent is generally 20 years after its earliest U.S. non-provisional effective filing date. Although various extensions may be available, the life of a patent, and the protection it affords, is limited. Even if patents covering our technologies or product candidates are obtained, once the patent life has expired, we may be open to competition. Our issued patents will expire on dates ranging from 2030 to 2040, subject to any additional patent extensions that may be available for such patents. If patents are issued on our pending patent applications, the resulting patents are projected to expire on dates ranging from 2030 to 2044 plus any potential patent extensions that may be available for such patents. Due to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do not obtain patent term extension for our product candidates, our business may be materially harmed.</w:t>
      </w:r>
    </w:p>
    <w:p>
      <w:pPr>
        <w:pStyle w:val="TextBody"/>
        <w:bidi w:val="0"/>
        <w:spacing w:before="108" w:after="283"/>
        <w:jc w:val="left"/>
        <w:rPr>
          <w:rFonts w:ascii="Times New Roman" w:hAnsi="Times New Roman"/>
          <w:sz w:val="20"/>
        </w:rPr>
      </w:pPr>
      <w:r>
        <w:rPr>
          <w:rFonts w:ascii="Times New Roman" w:hAnsi="Times New Roman"/>
          <w:color w:val="000000"/>
          <w:sz w:val="18"/>
        </w:rPr>
        <w:t>Depending upon the timing, duration and specifics of FDA marketing approval of our product candidates, one or more of our U.S. patents may be eligible for limited patent term restoration under the Drug Price Competition and Patent Term Restoration Act of 1984, or the Hatch-Waxman Amendments. The Hatch-Waxman Amendments permit a patent restoration term of up to five years as compensation for patent term lost during product development and the FDA regulatory review process. A maximum of one patent may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or require. If we are unable to obtain patent term</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extension or restoration or the term of any such extension is less than we request or require,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Recent patent reform legislation could increase the uncertainties and costs surrounding the prosecution of our patent applications and the enforcement or defense of our issued patents.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2011, the Leahy-Smith America Invents Act, or Leahy-Smith Act, was signed into law. The Leahy-Smith Act includes several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another party was first to invent the claimed invention. A third party that filed or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render our technology to be patentable over the prior art. Since patent applications in the United States and most other countries are confidential for a period of time after filing or until issuance, we cannot be certain that we were the first to either (i) file any patent application related to our product candidates or (ii) invent any of the inventions claimed in our patents or patent applications.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Leahy-Smith Act also includes several significant changes that affect the way patent applications will be prosecuted and also may affect patent litigation. These include allowing third-party submission of prior art to the USPTO during patent prosecution and the provision of additional procedures to attack the validity of a patent by USPTO 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application of a lower evidentiary standard in USPTO proceedings compared to the evidentiary standard applied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patent claims that would not have been invalidated if first challenged by the third party as a defendant in a district court action. Thus, the Leahy-Smith Act and its implementation could increase the uncertainties and costs surrounding the prosecution and defense of our or our licensors’ patent applications and the enforcement or defense of our issued patents, all of which could have a material adverse effect on our business, financial condition, results of operations and prospects.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Changes in U.S. patent law or laws in other countries could diminish the value of patents in general, thereby impairing our ability to protect our product candidates.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is the case with other biopharmaceutical companies, our success is heavily dependent on intellectual property, particularly patents. Obtaining and enforcing patents in the biopharmaceutical industry involves a high degree of technological and legal complexity. Therefore, obtaining and enforcing biopharmaceutical patents is costly, time-consuming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For example, the U.S. Supreme Court has ruled on several patent cases in recent years, sometimes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the patents we might obtain or license in the future.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Other companies or organizations may challenge our or our licensors’ patent rights or may assert patent rights that prevent us from developing and commercializing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CAB therapeutics are a new scientific field. We have obtained grants and issuances of CAB therapeutic patents and the various technologies used in discovering and producing CAB therapeutic proteins.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 portfolio of patents, patent applications and other intellectual property covering CAB compositions of matter as well as their development and methods of use.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 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There are many issued and pending patents that claim aspects of our product candidates and modifications that we may need to apply to our product candidates. There are also many issued patents that claim antibodies or portions of antibodies that may be relevant for CAB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Intellectual property rights of third parties could prevent or delay our drug discovery and development efforts and could adversely affect our ability to commercialize our product candidates, and we might be required to litigate or obtain licenses from third parties in order to discover, develop or market our product candidates. Such litigation or licenses could be costly or not available on commercially reasonable terms.</w:t>
      </w:r>
    </w:p>
    <w:p>
      <w:pPr>
        <w:pStyle w:val="TextBody"/>
        <w:bidi w:val="0"/>
        <w:spacing w:before="108" w:after="283"/>
        <w:jc w:val="left"/>
        <w:rPr>
          <w:rFonts w:ascii="Times New Roman" w:hAnsi="Times New Roman"/>
          <w:sz w:val="20"/>
        </w:rPr>
      </w:pPr>
      <w:r>
        <w:rPr>
          <w:rFonts w:ascii="Times New Roman" w:hAnsi="Times New Roman"/>
          <w:color w:val="000000"/>
          <w:sz w:val="18"/>
        </w:rPr>
        <w:t>Our commercial success depends in part on our ability to develop, manufacture, market and sell our product candidates and use our proprietary technologies without infringing or otherwise violating the patents and proprietary rights of third parties. There is a substantial amount of litigation involving patent and other intellectual property rights in the biotechnology and pharmaceutical industries, including patent infringement lawsuits, interferences, derivation proceedings, post grant reviews,</w:t>
      </w:r>
      <w:r>
        <w:rPr>
          <w:rFonts w:ascii="Times New Roman" w:hAnsi="Times New Roman"/>
          <w:color w:val="000000"/>
          <w:sz w:val="20"/>
        </w:rPr>
        <w:t xml:space="preserve"> </w:t>
      </w:r>
      <w:r>
        <w:rPr>
          <w:rFonts w:ascii="Times New Roman" w:hAnsi="Times New Roman"/>
          <w:i/>
          <w:color w:val="000000"/>
          <w:sz w:val="18"/>
        </w:rPr>
        <w:t>inter partes</w:t>
      </w:r>
      <w:r>
        <w:rPr>
          <w:rFonts w:ascii="Times New Roman" w:hAnsi="Times New Roman"/>
          <w:color w:val="000000"/>
          <w:sz w:val="20"/>
        </w:rPr>
        <w:t xml:space="preserve"> </w:t>
      </w:r>
      <w:r>
        <w:rPr>
          <w:rFonts w:ascii="Times New Roman" w:hAnsi="Times New Roman"/>
          <w:color w:val="000000"/>
          <w:sz w:val="18"/>
        </w:rPr>
        <w:t>reviews, and reexamination proceedings before the USPTO or oppositions and other comparable proceedings in foreign jurisdictions. Given the vast number of patents in our field of technology, we cannot assure you that marketing of our product candidates or practice of our technologies will not infringe existing patents or patents that may be granted in the future. Because the antibody landscape is still evolving and the CAB antibody landscape is a new field, it is difficult to conclusively assess our freedom to operate without infringing on third-party rights. There are numerous companies that have pending patent applications and issued patents broadly covering many aspects of antibodies generally or covering antibodies directed against the same targets as, or targets similar to, those we are pursuing. Our competitive position may suffer if patents issued to third parties or other third-party intellectual property rights cover our products or product candidates or elements thereof, or our manufacture or uses relevant to our development plans. If any third-party patents were held by a court of competent jurisdiction to cover the manufacturing process of any of our product candidates, any molecules formed during the manufacturing process or any final product or formulation itself, the holders of any such patents may be able to block our ability to commercialize such product candidate.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Parties making claims against us may obtain injunctive or other equitable relief, which could effectively block our ability to further practice our technologies or develop and commercialize one or more of our product candidates. There may be issued patents of which we are not aware, held by third parties that, if found to be valid and enforceable, could be alleged to be infringed by our CAB technologies. There also may be pending patent applications of which we are not aware that may result in issued patents, which could be alleged to be infringed by our CAB technologies. If such an infringement claim should be brought and be successful, we may be required to pay substantial damages, be forced to abandon our product candidates or seek a license from any patent holders, and would most likely be required to pay license fees or royalties or both, each of which could be substantial. No assurances can be given that a license will be available on commercially reasonable terms, if at all. Even if we were able to obtain a license, the rights we obtain may be nonexclusive, which would provide our competitors access to the same intellectual property rights upon which we are forced to rely. As the biotechnology and pharmaceutical industries expand and more patents are issued, the risk increases that our product candidates or technologies may give rise to claims of infringement of the patent rights of others.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59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or our collaboration partner, or any future strategic partners may be subject to third-party claims for infringement or misappropriation of patent or other proprietary rights. 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existing or future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identify relevant third-party patents or may incorrectly interpret the relevance, scope or expiration of a third-party patent which might adversely affect our ability to develop and market our products.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United States and abroad that is relevant to or necessary for the commercialization of our product candidates in any jurisdiction. For example, U.S. applications filed before November 29, 2000, and certain U.S. applications filed after that date that will not be filed outside the United States, remain confidential until patents issue. Patent applications in the United States and elsewhere are published approximately 18 months after the earliest filing for which priority is claimed, with such earliest filing date being commonly referred to as the priority date. Therefore, patent applications covering our product candidates or technologies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even if we have received patent protection for our technologies and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fail to identify and correctly interpret relevant patents, we may be subject to infringement claims.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or our technologies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claims challenging the inventorship or ownership of our patents and other intellectual property.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also be subject to claims that former employees, collaborators or other third parties have an ownership interest in our patents or other intellectual property. We may have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involved in lawsuits to protect or enforce our patents or the patents of our licensors, which could be expensive, time-consuming and unsuccessful, and issued patents covering our product candidates could be found invalid or unenforceable if challenged in court in the United States or abroad.</w:t>
      </w:r>
    </w:p>
    <w:p>
      <w:pPr>
        <w:pStyle w:val="TextBody"/>
        <w:bidi w:val="0"/>
        <w:spacing w:before="108" w:after="283"/>
        <w:jc w:val="left"/>
        <w:rPr>
          <w:rFonts w:ascii="Times New Roman" w:hAnsi="Times New Roman"/>
          <w:sz w:val="20"/>
        </w:rPr>
      </w:pPr>
      <w:r>
        <w:rPr>
          <w:rFonts w:ascii="Times New Roman" w:hAnsi="Times New Roman"/>
          <w:color w:val="000000"/>
          <w:sz w:val="18"/>
        </w:rPr>
        <w:t>Competitors may infringe our patents or the patents of our licensors. If we were to initiate legal proceedings against a third party to enforce a patent covering one of our products or our technology, the defendant could counterclaim that our patent is invalid or unenforceable, or the court may refuse to stop the defendant in such infringement proceeding from using the technology at issue on the grounds that our patents do not cover the technology in question. In patent litigation in the United States,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our patents or other intellectual property rights.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Interference or derivation proceedings provoked by third parties or brought by us, the USPTO or any foreign patent authority may be necessary to determine the priority and/or ownership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if any license is offered at all. Our defense of litigation or interference proceedings may fail and, even if successful, may result in substantial costs and distract our management and other employees.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may not be able to prevent, alone or with our licensors, misappropriation of our intellectual property, trade secrets or confidential information, particularly in countries where the laws may not protect those rights as fully as in the United States.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able to protect our intellectual property rights throughout the world.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Obtaining a valid and enforceable issued or granted patent covering our technology in the United States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United States.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in certain jurisdictions. Proceedings to enforce our patent rights in foreign jurisdictions, regardless of whether they are successful, could result in substantial cost and divert our efforts and attention from other aspects of our business. Similarly, if our trade secrets are disclosed in a foreign jurisdiction, competitors worldwide could have access to our proprietary information and we may be without satisfactory recourse. Such disclosure could have a material adverse effect on our business. Moreover, our ability to protect and enforce our intellectual property rights may be adversely affected by unforeseen changes in foreign intellectual property laws.</w:t>
      </w:r>
    </w:p>
    <w:p>
      <w:pPr>
        <w:pStyle w:val="TextBody"/>
        <w:bidi w:val="0"/>
        <w:spacing w:before="216" w:after="283"/>
        <w:jc w:val="left"/>
        <w:rPr>
          <w:rFonts w:ascii="Times New Roman" w:hAnsi="Times New Roman"/>
          <w:sz w:val="20"/>
        </w:rPr>
      </w:pPr>
      <w:r>
        <w:rPr>
          <w:rFonts w:ascii="Times New Roman" w:hAnsi="Times New Roman"/>
          <w:color w:val="000000"/>
          <w:sz w:val="18"/>
        </w:rPr>
        <w:t>We generally file a provisional patent application first (a priority filing) at the USPTO. An international application under the Patent Cooperation Treaty (“PCT”) is usually filed within 12 months after the priority filing. Based on the PCT filing, national and regional patent applications may be filed in the United States, Europe, Japan, Australia and Canada and, depending on the individual case, also in any or all of,</w:t>
      </w:r>
      <w:r>
        <w:rPr>
          <w:rFonts w:ascii="Times New Roman" w:hAnsi="Times New Roman"/>
          <w:color w:val="000000"/>
          <w:sz w:val="20"/>
        </w:rPr>
        <w:t xml:space="preserve"> </w:t>
      </w:r>
      <w:r>
        <w:rPr>
          <w:rFonts w:ascii="Times New Roman" w:hAnsi="Times New Roman"/>
          <w:i/>
          <w:color w:val="000000"/>
          <w:sz w:val="18"/>
        </w:rPr>
        <w:t>inter alia</w:t>
      </w:r>
      <w:r>
        <w:rPr>
          <w:rFonts w:ascii="Times New Roman" w:hAnsi="Times New Roman"/>
          <w:color w:val="000000"/>
          <w:sz w:val="18"/>
        </w:rPr>
        <w:t>, Brazil, China, Hong Kong, India, Israel, Mexico, New Zealand, Russia,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in other jurisdictions. It is also quite common that depending on the country, various scopes of patent protection may be granted on the same product candidate or technology.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laws of some jurisdictions do not protect intellectual property rights to the same extent as the laws in the United States, and many companies have encountered significant difficulties in protecting and defending such rights in such jurisdictions. The requirements for patentability differ, in varying degrees, from country to country, and the laws of some foreign countries do not protect intellectual property rights, including trade secrets, to the same extent as federal and state laws of the United States.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Intellectual property litigation could cause us to spend substantial resources and distract our personnel from their normal responsibilities.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we fail to comply with our obligations under any license, collaboration or other agreements, we may be required to pay damages and could lose intellectual property rights that are necessary for developing and protecting our product candidates or we could lose certain rights to grant sublicenses.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current and any future collaboration agreements or license agreements we enter into are likely to impose various development, commercialization, funding, milestone, royalty, diligence, sublicensing, insurance, patent prosecution and enforcement and/or other obligations on us.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may own or control intellectual property that has not been licensed to us and, as a result, we may be subject to claims, regardless of their merit, that we are infringing or otherwise violating the licensor’s rights. In addition, while we cannot currently determine the amount of the royalty obligations we would be required to pay on sales of future products, if any, the amounts may be significant. The amount of our future royalty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not be successful in obtaining or maintaining necessary rights to our product candidates through acquisitions and in-licenses.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may find that our programs require the use of proprietary rights held by third parties, and the growth of our business may depend in part on our ability to acquire, in-license or use these proprietary rights. We may be unable to acquire or in-license compositions, methods of use, processes or other third-party intellectual property rights from third parties that we identify as necessary for our product candidates. The licensing and acquisition of third-party intellectual property rights is a competitive area, and more established companies are also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Moreover, collaboration arrangements are complex and time-consuming to negotiate, document, implement and maintain. We may not be successful in our efforts to establish and implement collaborations or other alternative arrangements should we choose to enter into such arrangements. We also may be unable to license or acquire third-party intellectual property rights on terms that that would be favorable to us or would allow us to make an appropriate return on our investment. Even if we are able to obtain a license to intellectual property of interest, we may not be able to secure exclusive rights, in which case others could use the same rights and compete with us.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USPTO and various foreign governmental patent agencies require compliance with several procedural, documentary, fee payment and other provisions during the patent process. Periodic maintenance fees, renewal fees, annuity fees and various other governmental fees on patents and/or applications will be due to be paid to the USPTO and various governmental patent agencies outside of the United States in several stages over the lifetime of the patents and/or applications. We employ reputable law firms and other professionals and rely on such third parties to help us comply with these requirements and effect payment of these fees with respect to the patents and patent applications that we own, and if we in-license intellectual property we may have to rely upon our licensors to comply with these requirements and effect payment of these fees with respect to any patents and patent applications that we license. In many cases, an inadvertent lapse can be cured by payment of a late fee or by other means in accordance with the applicable rules. However,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time-consuming, expensive and sometimes unpredictable.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our trademarks and trade names are not adequately protected, then we may not be able to build name recognition in our markets of interest and our business may be adversely affected.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trademarks or trade names may be challenged, infringed, circumvented, declared generic or determined to be infringing on other marks. We only have one currently registered trademark and rely on common law protection for the rest of our trademarks.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are unable to establish name recognition based on our trademarks and trade names, we may not be able to compete effectively and our business may be adversely affected.</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Risks related to our common stock</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Our operating results may fluctuate significantly or may fall below the expectations of investors or securities analysts, each of which may cause our stock price to fluctuate or decline.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expect our operating results to be subject to annual and quarterly fluctuations. Our net loss and other operating results will be affected by numerous factors, including, among others: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variations in the level of expense related to the ongoing development of our product candidates or future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results of preclinical studies and clinical trials, or the addition or termination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our existing collaborations and any potential additional collaborations, licensing or similar arrangements;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any intellectual property infringement lawsuit or opposition, interference or cancellation proceeding in which we may become involved;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additions and departures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strategic decisions by us or our competitors, such as acquisitions, divestitures, spin-offs, joint ventures, strategic investments or changes in business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if any of our product candidates receives regulatory approval, the terms of such approval and market acceptance and demand for such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developments affecting our product candidates or those of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general market and economic conditions.</w:t>
      </w:r>
    </w:p>
    <w:p>
      <w:pPr>
        <w:pStyle w:val="TextBody"/>
        <w:bidi w:val="0"/>
        <w:spacing w:before="204" w:after="283"/>
        <w:jc w:val="left"/>
        <w:rPr>
          <w:rFonts w:ascii="Times New Roman" w:hAnsi="Times New Roman"/>
          <w:color w:val="000000"/>
          <w:sz w:val="18"/>
        </w:rPr>
      </w:pPr>
      <w:r>
        <w:rPr>
          <w:rFonts w:ascii="Times New Roman" w:hAnsi="Times New Roman"/>
          <w:color w:val="000000"/>
          <w:sz w:val="18"/>
        </w:rPr>
        <w:t>If our operating results fall below the expectations of investors or securities analysts, the price of our common stock could decline substantially. Furthermore, any fluctuations in our operating results may, in turn, cause the price of our stock to fluctuate substantially.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stock price may be volatile, and you could lose all or part of your investment.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trading price of our common stock has been and is likely to continue to be highly volatile. The market price for our common stock may be influenced by many factors, including the other risks described in this section and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results of our clinical trials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regulatory or legal developments in the United States and other countries, especially changes in laws or regulations applicable to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introductions and announcements of new products by us, our current or future collaborators or our competitors, and the timing of these introductions or announcements;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announcements of new collaboration agreements, or the restructuring or termination of current collaboration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actions taken by regulatory agencies with respect to our products, preclinical studies, clinical trials, manufacturing process or sales and marketing terms;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actual or anticipated 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success of our efforts to acquire or in-license additional technologies, products or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developments concerning any future collaborations, including those regarding manufacturing, supply and commercialization of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market conditions in the pharmaceutical and biotechnology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announcements by us or our competitors of significant acquisitions, strategic collaborations, joint ventures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developments or disputes concerning patents or other proprietary rights, including patents, litigation matters and our ability to obtain patent protection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or inability to raise additional capital and the terms on which we raise 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actual or anticipated changes in earnings estimates or changes in stock market analysts’ recommendations regarding our common stock, other comparable companies or our industry generally;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failure or the failure of our competitors to meet analysts’ projections or guidance that we or our competitors may give to the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announcement and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speculation in the press or investment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trading volume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expiration of market stand-off or lock-up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concentrated ownership of our common stock;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changes in accounting principles;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terrorist acts, acts of war or periods of widespread civil unrest;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the impact of any natural disasters or public health emergencies;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general economic, industry and market conditions.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the stock markets in general, and the markets for pharmaceutical, biopharmaceutical and biotechnology stocks in particular, have experienced extreme volatility that has been often unrelated to the operating performance of the issuer. These broad market and industry factors may seriously harm the market price of our common stock, regardless of our operating performance.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future issuance of equity or of debt securities that are convertible into equity will dilute our share capital.</w:t>
      </w:r>
    </w:p>
    <w:p>
      <w:pPr>
        <w:pStyle w:val="TextBody"/>
        <w:bidi w:val="0"/>
        <w:spacing w:before="108" w:after="283"/>
        <w:jc w:val="left"/>
        <w:rPr>
          <w:rFonts w:ascii="Times New Roman" w:hAnsi="Times New Roman"/>
          <w:sz w:val="20"/>
        </w:rPr>
      </w:pPr>
      <w:r>
        <w:rPr>
          <w:rFonts w:ascii="Times New Roman" w:hAnsi="Times New Roman"/>
          <w:color w:val="000000"/>
          <w:sz w:val="18"/>
        </w:rPr>
        <w:t>We will need to raise additional capital in the future. To the extent we raise additional capital through the issuance of equity or convertible debt securities in the future, there will be further dilution to investors and the terms of these securities may include liquidation or other preferences that adversely affect our stockholders’ rights.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On December 19, 2024, we completed a registered direct offering (the “Registered Direct Offering”) with certain institutional investors, where we issued an aggregate of (a) 9,679,158 shares of our common stock and (b) warrants to purchase 9,679,158 shares of our common stock (the “Warrants”). The Warrants will not become exercisable until June 20, 2025 at an exercise price of $1.19 per share. Once the Warrants are exercised, the issuance of additional shares of our common stock would cause immediate and substantial dilution to our existing shareholders and could cause a significant reduction in the market price of our common stock.</w:t>
      </w:r>
    </w:p>
    <w:p>
      <w:pPr>
        <w:pStyle w:val="TextBody"/>
        <w:bidi w:val="0"/>
        <w:spacing w:before="216" w:after="283"/>
        <w:jc w:val="left"/>
        <w:rPr>
          <w:rFonts w:ascii="Times New Roman" w:hAnsi="Times New Roman"/>
          <w:sz w:val="20"/>
        </w:rPr>
      </w:pPr>
      <w:r>
        <w:rPr>
          <w:rFonts w:ascii="Times New Roman" w:hAnsi="Times New Roman"/>
          <w:color w:val="000000"/>
          <w:sz w:val="18"/>
        </w:rPr>
        <w:t>Future issuances of our common stock or other equity securities, or the perception that such sales may occur, could adversely affect the trading price of our common stock and impair our ability to raise capital through future offerings of shares or equity securities. We may choose to raise additional capital through the issuance of equity or convertible debt securities due to market conditions or strategic considerations even if we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believe we have sufficient funds for our current or future operating plans. No prediction can be made as to the effect, if any, that future sales of common stock or the availability of common stock for future sales will have on the trading price of our common stock.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If securities or industry analysts do not publish research or reports about our business, or if they issue adverse or misleading research or reports regarding us, our business or our market, our stock price and trading volume could decline.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trading market for our common stock is influenced by the research and reports that industry or securities analysts publish about us, our business or our market. If no or few securities or industry analysts commence or maintain coverage of us, the trading price for our stock would be negatively impacted.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principal stockholders and management own a significant percentage of our stock and will be able to exert significant control over matters subject to stockholder approval and their interests may conflict with your interests as an owner of our common stock.</w:t>
      </w:r>
    </w:p>
    <w:p>
      <w:pPr>
        <w:pStyle w:val="TextBody"/>
        <w:bidi w:val="0"/>
        <w:spacing w:before="108" w:after="283"/>
        <w:jc w:val="left"/>
        <w:rPr>
          <w:rFonts w:ascii="Times New Roman" w:hAnsi="Times New Roman"/>
          <w:sz w:val="20"/>
        </w:rPr>
      </w:pPr>
      <w:r>
        <w:rPr>
          <w:rFonts w:ascii="Times New Roman" w:hAnsi="Times New Roman"/>
          <w:color w:val="000000"/>
          <w:sz w:val="18"/>
        </w:rPr>
        <w:t>As of December 31, 2024, executive officers and directors, together with holders of 5% or more of our outstanding common stock and their respective affiliates, beneficially own approximately 32.0% of our outstanding common stock. More specifically, Jay M. Short, Ph.D, our Chairman and Chief Executive Officer, together with his spouse, beneficially own approximately 6.6%, of our outstanding common stock, as of December 31, 2024.</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a result, Dr. Short and our other principal stockholders will continue to have significant influence over the outcome of corporate actions requiring stockholder approval, including the election of directors,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we have entered into certain related party transactions with Himalaya Therapeutics SEZC, Inversagen, LLC and BioAtla Holdings, LLC, including various licensing arrangements with respect to certain CAB antibodies. Dr. Short and his spouse are each a manager of Inversagen, LLC and BioAtla Holdings, LLC and a director of Himalaya Therapeutics SEZC. In addition, Dr. Short’s spouse is also an officer of Himalaya Therapeutics SEZC. These related party transactions, and any future related party transactions, create the possibility of actual conflicts of interest with regard to Dr. Short.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Sales of a substantial number of shares of our common stock in the public market could cause our stock price to fall.</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All of our outstanding shares of common stock are freely tradable without restriction or further registration under the Securities Act unless held by our “affiliates” as defined in Rule 144 under the Securities Act, or Rule 144. Shares issued upon the exercise of stock options and warrants outstanding under our equity incentive plans or pursuant to future awards granted under those plans will become available for sale in the public market to the extent permitted by Rules 144 and 701 under the Securities Act.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registered the offer and sale of all shares of common stock that we may issue under our equity compensation plans, which shares will be able to be sold in the public market upon issuance, subject to applicable securities laws.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Anti-takeover provisions in our charter documents and under Delaware law could make an acquisition of us, which may be beneficial to our stockholders, more difficult and may prevent attempts by our stockholders to replace or remove our current management.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Provisions in the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prohibition on actions by our stockholders by written consent;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special meetings of stockholders be called only by the chairman of our board of directors, our chief executive officer, or our board of directors pursuant to a resolution adopted by a majority of the total number of authorized directors;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advance notice requirements for election to our board of directors and for proposing matters that can be acted upon at stockholder meetings;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directors may only be removed “for cause” and only with 66 2/3% voting stock of our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a requirement that only the board of directors may change the number of directors and fill vacancies on the board;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division of our board of directors into three classes, serving staggered terms of three years each;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authority of the board of directors to issue preferred stock with such terms as the board of directors may determine.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Moreover, because we are incorporated in Delaware, we are governed by the provisions of Section 203 of the Delaware General Corporation Law, as amended,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These provisions would apply even if the proposed merger or acquisition could be considered beneficial by some stockholders.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The Company’s ability to attract and retain qualified members of our board of directors may be impacted due to new laws, including recently enacted diversity quotas.</w:t>
      </w:r>
    </w:p>
    <w:p>
      <w:pPr>
        <w:pStyle w:val="TextBody"/>
        <w:bidi w:val="0"/>
        <w:spacing w:before="108" w:after="283"/>
        <w:jc w:val="left"/>
        <w:rPr>
          <w:rFonts w:ascii="Times New Roman" w:hAnsi="Times New Roman"/>
          <w:sz w:val="20"/>
        </w:rPr>
      </w:pPr>
      <w:r>
        <w:rPr>
          <w:rFonts w:ascii="Times New Roman" w:hAnsi="Times New Roman"/>
          <w:color w:val="000000"/>
          <w:sz w:val="18"/>
        </w:rPr>
        <w:t>In September 2018, California enacted SB 826 (“SB 826”) requiring public companies headquartered in California with a board of directors having five members to have at least two female directors, and public company boards with six or more members to have at least three female directors. SB 826 has been challenged in legal proceedings and on May 13, 2022, the Superior Court of California for the County of Los Angeles entered an order striking down SB 826, holding that the statute violates the Equal Protection Clause of the California Constitution. The California Secretary of State has appealed the order and such appeal is currently pending. On September 16, 2022, the appellate court ruled to temporarily stay enforcement of the trial court’s order, which prevented the California Secretary of State from collecting diversity data on corporate disclosure forms pursuant to SB 826,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However, ultimate enforceability of SB 826 remains uncertain.</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September 2020, California enacted AB 979 (“AB 979”), which requires that by the end of 2021 California-headquartered public companies have at least one director on their boards who is from an underrepresented community, defined as “an individual who self-identifies as Black, African American, Hispanic, Latino, Asian, Pacific Islander, Native American, Native Hawaiian, or Alaska Native, or who self-identifies as gay, lesbian, bisexual, or transgender.” On April 1, 2022, the Superior Court of California for the County of Los Angeles entered an order striking down AB 979, holding that the statute violates the Equal Protection Clause of the California Constitution. On June 6, 2022, a notice of appeal was filed. On September 16, 2022, the appellate court ruled to temporarily stay enforcement of the trial court’s order, which prevented the California Secretary of State from collecting diversity data on corporate disclosure forms pursuant to AB 979, pending a further order of the appellate court. On December 1, 2022, the appellate court vacated the temporary stay order and on February 3, 2023, a record on appeal was filed and such appeal is currently pending. To the extent that this ruling of the appellate court permits the Secretary of State of California to collect and report diversity data, we may be required to comply with additional disclosure requirements. In June 2023, the federal district court for the Eastern District of California granted the plaintiffs a summary judgment and determined that AB 979 was unconstitutional on its face. The Eastern District of California’s decision is currently on appeal. Litigation regarding AB 979 will continue.</w:t>
      </w:r>
    </w:p>
    <w:p>
      <w:pPr>
        <w:pStyle w:val="TextBody"/>
        <w:bidi w:val="0"/>
        <w:spacing w:before="216" w:after="283"/>
        <w:jc w:val="left"/>
        <w:rPr>
          <w:rFonts w:ascii="Times New Roman" w:hAnsi="Times New Roman"/>
          <w:sz w:val="20"/>
        </w:rPr>
      </w:pPr>
      <w:r>
        <w:rPr>
          <w:rFonts w:ascii="Times New Roman" w:hAnsi="Times New Roman"/>
          <w:color w:val="000000"/>
          <w:sz w:val="18"/>
        </w:rPr>
        <w:t>Failure to achieve designated minimum gender and diversity levels in a timely manner exposes such companies to financial penalties and reputational harm. While we are currently in compliance with these regulations, we cannot assure that we can recruit, attract and/or retain qualified members of the board and meet gender and diversity quotas as a result of evolving state laws or Nasdaq rules, which may expose us to penalties and/or reputational harm.</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have incurred, and will continue to incur, significant costs as a result of operating as a public company, and our management is required to devote substantial time to compliance initiatives and corporate governance practices. Additionally, if we fail to maintain proper and effective internal controls, our ability to produce accurate financial statements on a timely basis could be impaired.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a public company, we have incurred and will continue to incur significant legal, accounting and other expenses that we did not incur as a private company. The Sarbanes-Oxley Act,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Also, the Exchange Act requires, among other things, that we file annual, quarterly and current reports with respect to our business and operating results. Our management and other personnel need to devote a substantial amount of time to these compliance initiatives. Moreover, these rules and regulations increase our legal and financial compliance costs and make some activities, including obtaining director and officer liability insurance and maintaining such coverage, more time-consuming and costly. These rules and regulations could also make it more difficult for us to attract and retain qualified members of our board of directors or our board committees or as executive officers.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as a public company, we are required to incur costs and obligations in order to comply with SEC rules that implement Section 404 of the Sarbanes-Oxley Act. Currently, as a smaller reporting company and a non-accelerated filer, we can take advantage of exemptions from various reporting requirements, including not being required to comply with the auditor attestation requirements of Section 404 of the Sarbanes-Oxley Act, reduced disclosure obligations regarding executive compensation in our annual report, periodic reports and proxy statements and providing only two years of audited financial statements in our annual report and periodic reports. Under the SEC rules, we are required to make a formal assessment of the effectiveness of our internal control over financial reporting, and if we cease to be a smaller reporting company, we will be required to include an attestation report on internal control over financial reporting issued by our independent registered public accounting firm. We engaged outside consultants to assist in a process to document and evaluate our internal control over financial reporting, which is both costly and challenging. In this regard, we have dedicated, and will continue to dedicate, internal resources, potentially engage outside consultants and adopt a detailed work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 As a result of the complexity involved in complying with the rules and regulations applicable to public companies, our management’s attention may be diverted from other business concerns, which could harm our business, operating results, and financial condition. Since becoming a public company, we increased, and may in the future further increase, the number of employees dedicated to finance and reporting, and the services of outside consultants to meet requirements, which has increased our operating expenses.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rules governing the standards that must be met for management to assess our internal control over financial reporting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the Sarbanes-Oxley Act. Our internal control over financial reporting may not prevent or detect all errors and all fraud.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 In addition, if we are not able to continue to meet these requirements, we may not be able to remain listed on The Nasdaq Global Market.</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disclosure controls and procedures may not prevent or detect all errors or acts of fraud.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Because we do not anticipate paying any cash dividends on our capital stock in the foreseeable future, your ability to achieve a return on your investment will depend on appreciation of the value of our common stock.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never declared or paid cash dividends on our capital stock. We currently intend to retain all of our future earnings, if any, to finance the growth and development of our business and do not anticipate declaring or paying any cash dividends for the foreseeable future. Any return to stockholders will therefore be limited to any appreciation in the value of our common stock, which is not certain.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We may be subject to securities litigation, which is expensive and could divert our management’s attention.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the past, companies that have experienced volatility in the market price of their securities have been subject to securities class action litigation. We may be the target of this type of litigation in the future. Regardless of the merits or the ultimate results of such litigation, securities litigation brought against us could result in substantial costs and divert our management’s attention from other business concerns.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Our certificate of incorporation and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pStyle w:val="TextBody"/>
        <w:bidi w:val="0"/>
        <w:spacing w:before="108" w:after="283"/>
        <w:jc w:val="left"/>
        <w:rPr>
          <w:rFonts w:ascii="Times New Roman" w:hAnsi="Times New Roman"/>
          <w:sz w:val="20"/>
        </w:rPr>
      </w:pPr>
      <w:r>
        <w:rPr>
          <w:rFonts w:ascii="Times New Roman" w:hAnsi="Times New Roman"/>
          <w:color w:val="000000"/>
          <w:sz w:val="18"/>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jc w:val="left"/>
        <w:rPr/>
      </w:pPr>
      <w:r>
        <w:rPr/>
        <w:t> </w:t>
      </w:r>
    </w:p>
    <w:p>
      <w:pPr>
        <w:pStyle w:val="TextBody"/>
        <w:bidi w:val="0"/>
        <w:jc w:val="left"/>
        <w:rPr>
          <w:rFonts w:ascii="Times New Roman" w:hAnsi="Times New Roman"/>
          <w:b/>
          <w:color w:val="000000"/>
          <w:sz w:val="18"/>
        </w:rPr>
      </w:pPr>
      <w:bookmarkStart w:id="6" w:name="item_1b_unresolved_staff_comments"/>
      <w:bookmarkEnd w:id="6"/>
      <w:r>
        <w:rPr>
          <w:rFonts w:ascii="Times New Roman" w:hAnsi="Times New Roman"/>
          <w:b/>
          <w:color w:val="000000"/>
          <w:sz w:val="18"/>
        </w:rPr>
        <w:t>ITEM 1B. Unresolved Staff Comments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08" w:after="283"/>
        <w:jc w:val="left"/>
        <w:rPr/>
      </w:pPr>
      <w:r>
        <w:rPr/>
        <w:t> </w:t>
      </w:r>
    </w:p>
    <w:p>
      <w:pPr>
        <w:pStyle w:val="TextBody"/>
        <w:bidi w:val="0"/>
        <w:jc w:val="left"/>
        <w:rPr>
          <w:rFonts w:ascii="Times New Roman" w:hAnsi="Times New Roman"/>
          <w:b/>
          <w:color w:val="000000"/>
          <w:sz w:val="18"/>
        </w:rPr>
      </w:pPr>
      <w:bookmarkStart w:id="7" w:name="item_1c_cybersecurity"/>
      <w:bookmarkEnd w:id="7"/>
      <w:r>
        <w:rPr>
          <w:rFonts w:ascii="Times New Roman" w:hAnsi="Times New Roman"/>
          <w:b/>
          <w:color w:val="000000"/>
          <w:sz w:val="18"/>
        </w:rPr>
        <w:t>ITEM 1C. Cybersecurity</w:t>
      </w:r>
    </w:p>
    <w:p>
      <w:pPr>
        <w:pStyle w:val="TextBody"/>
        <w:bidi w:val="0"/>
        <w:spacing w:before="120" w:after="283"/>
        <w:jc w:val="left"/>
        <w:rPr>
          <w:rFonts w:ascii="Times New Roman" w:hAnsi="Times New Roman"/>
          <w:b/>
          <w:color w:val="000000"/>
          <w:sz w:val="18"/>
        </w:rPr>
      </w:pPr>
      <w:r>
        <w:rPr>
          <w:rFonts w:ascii="Times New Roman" w:hAnsi="Times New Roman"/>
          <w:b/>
          <w:color w:val="000000"/>
          <w:sz w:val="18"/>
        </w:rPr>
        <w:t>Cybersecurity Risk Management and Strategy:</w:t>
      </w:r>
    </w:p>
    <w:p>
      <w:pPr>
        <w:pStyle w:val="TextBody"/>
        <w:bidi w:val="0"/>
        <w:spacing w:before="120" w:after="283"/>
        <w:jc w:val="left"/>
        <w:rPr>
          <w:rFonts w:ascii="Times New Roman" w:hAnsi="Times New Roman"/>
          <w:sz w:val="20"/>
        </w:rPr>
      </w:pPr>
      <w:r>
        <w:rPr>
          <w:rFonts w:ascii="Times New Roman" w:hAnsi="Times New Roman"/>
          <w:color w:val="000000"/>
          <w:sz w:val="18"/>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violation of privacy or security laws and other litigation and legal risk; and reputational risks.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maintain an incident response plan to coordinate the activities we take to protect against, detect, respond to and remediate cybersecurity incidents, as such term is defined in Item 106(a) of Regulation S-K, as well as to comply with potentially applicable legal obligations and mitigate brand and reputational damage.</w:t>
      </w:r>
    </w:p>
    <w:p>
      <w:pPr>
        <w:pStyle w:val="TextBody"/>
        <w:bidi w:val="0"/>
        <w:spacing w:before="216" w:after="120"/>
        <w:jc w:val="left"/>
        <w:rPr>
          <w:rFonts w:ascii="Times New Roman" w:hAnsi="Times New Roman"/>
          <w:sz w:val="20"/>
        </w:rPr>
      </w:pPr>
      <w:r>
        <w:rPr>
          <w:rFonts w:ascii="Times New Roman" w:hAnsi="Times New Roman"/>
          <w:color w:val="000000"/>
          <w:sz w:val="18"/>
        </w:rPr>
        <w:t>We have implemented</w:t>
      </w:r>
      <w:r>
        <w:rPr>
          <w:rFonts w:ascii="Times New Roman" w:hAnsi="Times New Roman"/>
          <w:color w:val="000000"/>
          <w:sz w:val="20"/>
        </w:rPr>
        <w:t xml:space="preserve"> </w:t>
      </w:r>
      <w:r>
        <w:rPr>
          <w:rFonts w:ascii="Times New Roman" w:hAnsi="Times New Roman"/>
          <w:color w:val="000000"/>
          <w:sz w:val="18"/>
        </w:rPr>
        <w:t>several cybersecurity processes, technologies, and controls to aid in our efforts to identify, assess, and manage material risks, as well as to test and improve our incident response plan. Our approach includes,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conducting regular network and endpoint monitoring, vulnerability assessments, and penetration testing to improve our information systems, as such term is defined in Item 106(a) of Regulation S-K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regular cybersecurity training programs for employees and management; and annual cybersecurity management training for employees involved in our systems and processes that handle sensitive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leveraging the NIST incident handling framework to help us identify, protect, detect, respond, and recover when there is an actual or potential cybersecurity incident;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operating threat intelligence processes designed to research our adversaries;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closely monitoring emerging data protection laws and implementing changes to our processes designed to comply;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conducting regular phishing email simulations for all employees and all contractors with access to corporate email systems to enhance awareness and responsiveness to such possible threats;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through policy, practice, and contract (as applicable) requiring employees, as well as third-parties who provide services on our behalf, to treat sensitive information with care;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carrying information security risk insurance that provides protection against the potential losses arising from a cybersecurity incident;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maintaining a risk management program for suppliers, vendors, and other third parties, which includes conducting pre-engagement risk-based diligence, implementing contractual security and notification provisions, and ongoing monitoring as needed.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These approaches vary in maturity across the business, and we work to continually improve them.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process for identifying and assessing material risks from cybersecurity threats operates alongside our broader overall risk assessment process, covering all company risks. As part of this process appropriate disclosure personnel will collaborate with subject matter specialists, as necessary, to gather insights for identifying and assessing material cybersecurity threat risks, their severity, and potential mitigation.</w:t>
      </w:r>
    </w:p>
    <w:p>
      <w:pPr>
        <w:pStyle w:val="TextBody"/>
        <w:bidi w:val="0"/>
        <w:spacing w:before="216" w:after="283"/>
        <w:jc w:val="left"/>
        <w:rPr>
          <w:rFonts w:ascii="Times New Roman" w:hAnsi="Times New Roman"/>
          <w:sz w:val="20"/>
        </w:rPr>
      </w:pPr>
      <w:r>
        <w:rPr>
          <w:rFonts w:ascii="Times New Roman" w:hAnsi="Times New Roman"/>
          <w:color w:val="000000"/>
          <w:sz w:val="18"/>
        </w:rPr>
        <w:t>As part of the above approach and processes, we have engaged</w:t>
      </w:r>
      <w:r>
        <w:rPr>
          <w:rFonts w:ascii="Times New Roman" w:hAnsi="Times New Roman"/>
          <w:color w:val="000000"/>
          <w:sz w:val="20"/>
        </w:rPr>
        <w:t xml:space="preserve"> </w:t>
      </w:r>
      <w:r>
        <w:rPr>
          <w:rFonts w:ascii="Times New Roman" w:hAnsi="Times New Roman"/>
          <w:color w:val="000000"/>
          <w:sz w:val="18"/>
        </w:rPr>
        <w:t>assessors to review our cybersecurity program to help identify areas for continued focus, improvement and/or compliance.</w:t>
      </w:r>
    </w:p>
    <w:p>
      <w:pPr>
        <w:pStyle w:val="TextBody"/>
        <w:bidi w:val="0"/>
        <w:spacing w:before="216" w:after="283"/>
        <w:jc w:val="left"/>
        <w:rPr>
          <w:rFonts w:ascii="Times New Roman" w:hAnsi="Times New Roman"/>
          <w:sz w:val="20"/>
        </w:rPr>
      </w:pPr>
      <w:r>
        <w:rPr>
          <w:rFonts w:ascii="Times New Roman" w:hAnsi="Times New Roman"/>
          <w:color w:val="000000"/>
          <w:sz w:val="18"/>
        </w:rPr>
        <w:t>We describe whether and how risks from identified cybersecurity threats, including as a result of any previous cybersecurity incidents, have materially affected</w:t>
      </w:r>
      <w:r>
        <w:rPr>
          <w:rFonts w:ascii="Times New Roman" w:hAnsi="Times New Roman"/>
          <w:color w:val="000000"/>
          <w:sz w:val="20"/>
        </w:rPr>
        <w:t xml:space="preserve"> </w:t>
      </w:r>
      <w:r>
        <w:rPr>
          <w:rFonts w:ascii="Times New Roman" w:hAnsi="Times New Roman"/>
          <w:color w:val="000000"/>
          <w:sz w:val="18"/>
        </w:rPr>
        <w:t>or are reasonably likely to materially affect us, including our business strategy, results of operations, or financial condition,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under the heading “We depend on our information technology systems and those of our CROs, manufacturers, contractors and consultants. Our internal computer systems, or those of any of our CROs, manufacturers, other contractors, consultants, existing or future collaborators, may fail or suffer security or data privacy breaches or other unauthorized or improper access to, use or acquisition of or destruction of our proprietary and confidential data, employee data or personal data, which could result in additional costs, loss of revenue significant liabilities, harm to our reputation and material disruption of our operations” included as part of our risk factor disclosures at Item 1A of this Annual Report on Form 10-K, and under the heading “Risks related to employee matters, managing our growth and other risks related to our business.”</w:t>
      </w:r>
      <w:r>
        <w:rPr>
          <w:rFonts w:ascii="Times New Roman" w:hAnsi="Times New Roman"/>
          <w:color w:val="000000"/>
          <w:sz w:val="20"/>
        </w:rPr>
        <w:t xml:space="preserve"> </w:t>
      </w:r>
    </w:p>
    <w:p>
      <w:pPr>
        <w:pStyle w:val="TextBody"/>
        <w:bidi w:val="0"/>
        <w:spacing w:before="216" w:after="120"/>
        <w:jc w:val="left"/>
        <w:rPr>
          <w:rFonts w:ascii="Times New Roman" w:hAnsi="Times New Roman"/>
          <w:color w:val="000000"/>
          <w:sz w:val="18"/>
        </w:rPr>
      </w:pPr>
      <w:r>
        <w:rPr>
          <w:rFonts w:ascii="Times New Roman" w:hAnsi="Times New Roman"/>
          <w:color w:val="000000"/>
          <w:sz w:val="18"/>
        </w:rPr>
        <w:t>In the last three fiscal years, we have not experienced any material cybersecurity incidents and the expenses we have incurred from cybersecurity incidents were immaterial. This includes penalties and settlements, of which there were none.</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Cybersecurity Governance:</w:t>
      </w:r>
    </w:p>
    <w:p>
      <w:pPr>
        <w:pStyle w:val="TextBody"/>
        <w:bidi w:val="0"/>
        <w:spacing w:before="108" w:after="283"/>
        <w:jc w:val="left"/>
        <w:rPr>
          <w:rFonts w:ascii="Times New Roman" w:hAnsi="Times New Roman"/>
          <w:sz w:val="20"/>
        </w:rPr>
      </w:pPr>
      <w:r>
        <w:rPr>
          <w:rFonts w:ascii="Times New Roman" w:hAnsi="Times New Roman"/>
          <w:color w:val="000000"/>
          <w:sz w:val="18"/>
        </w:rPr>
        <w:t>Cybersecurity is an important part of our risk management processes and an area of increasing focus for our Board and management. Our Audit Committee is responsible for the oversight of risks from cybersecurity threats.</w:t>
      </w:r>
      <w:r>
        <w:rPr>
          <w:rFonts w:ascii="Times New Roman" w:hAnsi="Times New Roman"/>
          <w:color w:val="000000"/>
          <w:sz w:val="20"/>
        </w:rPr>
        <w:t xml:space="preserve"> </w:t>
      </w:r>
      <w:r>
        <w:rPr>
          <w:rFonts w:ascii="Times New Roman" w:hAnsi="Times New Roman"/>
          <w:color w:val="000000"/>
          <w:sz w:val="18"/>
        </w:rPr>
        <w:t>The Audit Committee semi-annually receives an overview from management of our cybersecurity threat risk management and strategy processes covering topics such as data security posture, progress towards pre-determined risk-mitigation-related goals, our incident response plan, and cybersecurity threat risks or incidents and developments, as well as the steps management has taken to respond to such risks.</w:t>
      </w:r>
      <w:r>
        <w:rPr>
          <w:rFonts w:ascii="Times New Roman" w:hAnsi="Times New Roman"/>
          <w:color w:val="000000"/>
          <w:sz w:val="20"/>
        </w:rPr>
        <w:t xml:space="preserve"> </w:t>
      </w:r>
      <w:r>
        <w:rPr>
          <w:rFonts w:ascii="Times New Roman" w:hAnsi="Times New Roman"/>
          <w:color w:val="000000"/>
          <w:sz w:val="18"/>
        </w:rPr>
        <w:t>In such sessions, the Audit Committee generally receives materials indicating current and emerging cybersecurity threat risks and describing the company’s ability to mitigate those risks. Members of the Board and the Audit Committee are also encouraged to regularly engage in ad hoc conversations with management on cybersecurity-related news events and discuss any updates to our cybersecurity risk management and strategy programs.</w:t>
      </w:r>
      <w:r>
        <w:rPr>
          <w:rFonts w:ascii="Times New Roman" w:hAnsi="Times New Roman"/>
          <w:color w:val="000000"/>
          <w:sz w:val="20"/>
        </w:rPr>
        <w:t xml:space="preserve"> </w:t>
      </w:r>
      <w:r>
        <w:rPr>
          <w:rFonts w:ascii="Times New Roman" w:hAnsi="Times New Roman"/>
          <w:color w:val="000000"/>
          <w:sz w:val="18"/>
        </w:rPr>
        <w:t>Material cybersecurity threat risks may also be considered during separate Board meeting discussions.</w:t>
      </w:r>
    </w:p>
    <w:p>
      <w:pPr>
        <w:pStyle w:val="TextBody"/>
        <w:bidi w:val="0"/>
        <w:spacing w:before="216" w:after="283"/>
        <w:jc w:val="left"/>
        <w:rPr>
          <w:rFonts w:ascii="Times New Roman" w:hAnsi="Times New Roman"/>
          <w:sz w:val="20"/>
        </w:rPr>
      </w:pPr>
      <w:r>
        <w:rPr>
          <w:rFonts w:ascii="Times New Roman" w:hAnsi="Times New Roman"/>
          <w:color w:val="000000"/>
          <w:sz w:val="18"/>
        </w:rPr>
        <w:t>Our cybersecurity risk management and strategy processes, which are discussed in greater detail above, are led by our Senior Vice President of IP and Contracts and other members of the management team.</w:t>
      </w:r>
      <w:r>
        <w:rPr>
          <w:rFonts w:ascii="Times New Roman" w:hAnsi="Times New Roman"/>
          <w:color w:val="000000"/>
          <w:sz w:val="20"/>
        </w:rPr>
        <w:t xml:space="preserve"> </w:t>
      </w:r>
      <w:r>
        <w:rPr>
          <w:rFonts w:ascii="Times New Roman" w:hAnsi="Times New Roman"/>
          <w:color w:val="000000"/>
          <w:sz w:val="18"/>
        </w:rPr>
        <w:t>Our team has over ten years in information technology, cybersecurity, risk management, and compliance and includes individuals with BS degrees in Information Technology and several information technology and security certifications.</w:t>
      </w:r>
    </w:p>
    <w:p>
      <w:pPr>
        <w:pStyle w:val="TextBody"/>
        <w:bidi w:val="0"/>
        <w:spacing w:before="216" w:after="283"/>
        <w:jc w:val="left"/>
        <w:rPr>
          <w:rFonts w:ascii="Times New Roman" w:hAnsi="Times New Roman"/>
          <w:sz w:val="20"/>
        </w:rPr>
      </w:pPr>
      <w:r>
        <w:rPr>
          <w:rFonts w:ascii="Times New Roman" w:hAnsi="Times New Roman"/>
          <w:color w:val="000000"/>
          <w:sz w:val="18"/>
        </w:rPr>
        <w:t>These members of management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w:t>
      </w:r>
      <w:r>
        <w:rPr>
          <w:rFonts w:ascii="Times New Roman" w:hAnsi="Times New Roman"/>
          <w:color w:val="000000"/>
          <w:sz w:val="20"/>
        </w:rPr>
        <w:t xml:space="preserve"> </w:t>
      </w:r>
      <w:r>
        <w:rPr>
          <w:rFonts w:ascii="Times New Roman" w:hAnsi="Times New Roman"/>
          <w:color w:val="000000"/>
          <w:sz w:val="18"/>
        </w:rPr>
        <w:t>If a cybersecurity incident is determined to be a material cybersecurity incident, our incident response plan and cybersecurity disclosure controls and procedures define the process to disclose such a material cybersecurity incident.</w:t>
      </w:r>
    </w:p>
    <w:p>
      <w:pPr>
        <w:pStyle w:val="TextBody"/>
        <w:bidi w:val="0"/>
        <w:spacing w:before="120" w:after="283"/>
        <w:jc w:val="left"/>
        <w:rPr/>
      </w:pPr>
      <w:r>
        <w:rPr/>
        <w:t> </w:t>
      </w:r>
    </w:p>
    <w:p>
      <w:pPr>
        <w:pStyle w:val="TextBody"/>
        <w:bidi w:val="0"/>
        <w:jc w:val="left"/>
        <w:rPr>
          <w:rFonts w:ascii="Times New Roman" w:hAnsi="Times New Roman"/>
          <w:b/>
          <w:color w:val="000000"/>
          <w:sz w:val="18"/>
        </w:rPr>
      </w:pPr>
      <w:bookmarkStart w:id="8" w:name="item_2_properties"/>
      <w:bookmarkEnd w:id="8"/>
      <w:r>
        <w:rPr>
          <w:rFonts w:ascii="Times New Roman" w:hAnsi="Times New Roman"/>
          <w:b/>
          <w:color w:val="000000"/>
          <w:sz w:val="18"/>
        </w:rPr>
        <w:t>ITEM 2. Properties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headquarters are located at 11085 Torreyana Road, San Diego, California 92121, where we lease approximately 43,377 square feet of office and laboratory space under a lease that terminates on June 30, 2025. We believe that our existing facilities are adequate to meet our current needs, and that suitable additional alternative spaces will be available in the future on commercially reasonable terms.</w:t>
      </w:r>
    </w:p>
    <w:p>
      <w:pPr>
        <w:pStyle w:val="TextBody"/>
        <w:bidi w:val="0"/>
        <w:jc w:val="left"/>
        <w:rPr>
          <w:rFonts w:ascii="Times New Roman" w:hAnsi="Times New Roman"/>
          <w:b/>
          <w:color w:val="000000"/>
          <w:sz w:val="18"/>
        </w:rPr>
      </w:pPr>
      <w:bookmarkStart w:id="9" w:name="item_3_legal_proceedings"/>
      <w:bookmarkEnd w:id="9"/>
      <w:r>
        <w:rPr>
          <w:rFonts w:ascii="Times New Roman" w:hAnsi="Times New Roman"/>
          <w:b/>
          <w:color w:val="000000"/>
          <w:sz w:val="18"/>
        </w:rPr>
        <w:t>ITEM 3. Legal Proceedings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we may be subject to various claims and suits arising in the ordinary course of business. We are not currently a party to any legal proceedings the outcome of which we believe, if determined adversely to us, would individually or in the aggregate have a material adverse effect on our business, operating results or financial condition.</w:t>
      </w:r>
    </w:p>
    <w:p>
      <w:pPr>
        <w:pStyle w:val="TextBody"/>
        <w:bidi w:val="0"/>
        <w:jc w:val="left"/>
        <w:rPr>
          <w:rFonts w:ascii="Times New Roman" w:hAnsi="Times New Roman"/>
          <w:b/>
          <w:color w:val="000000"/>
          <w:sz w:val="18"/>
        </w:rPr>
      </w:pPr>
      <w:bookmarkStart w:id="10" w:name="item_4_mine_safety_disclosures"/>
      <w:bookmarkEnd w:id="10"/>
      <w:r>
        <w:rPr>
          <w:rFonts w:ascii="Times New Roman" w:hAnsi="Times New Roman"/>
          <w:b/>
          <w:color w:val="000000"/>
          <w:sz w:val="18"/>
        </w:rPr>
        <w:t>ITEM 4. Mine Safety Disclosures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Not applicable.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69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center"/>
        <w:rPr>
          <w:rFonts w:ascii="Times New Roman" w:hAnsi="Times New Roman"/>
          <w:b/>
          <w:color w:val="000000"/>
          <w:sz w:val="18"/>
        </w:rPr>
      </w:pPr>
      <w:bookmarkStart w:id="11" w:name="part_ii"/>
      <w:bookmarkEnd w:id="11"/>
      <w:r>
        <w:rPr>
          <w:rFonts w:ascii="Times New Roman" w:hAnsi="Times New Roman"/>
          <w:b/>
          <w:color w:val="000000"/>
          <w:sz w:val="18"/>
        </w:rPr>
        <w:t>PART II</w:t>
      </w:r>
    </w:p>
    <w:p>
      <w:pPr>
        <w:pStyle w:val="TextBody"/>
        <w:bidi w:val="0"/>
        <w:jc w:val="left"/>
        <w:rPr>
          <w:rFonts w:ascii="Times New Roman" w:hAnsi="Times New Roman"/>
          <w:b/>
          <w:color w:val="000000"/>
          <w:sz w:val="18"/>
        </w:rPr>
      </w:pPr>
      <w:bookmarkStart w:id="12" w:name="item_5_market_for_registrant"/>
      <w:bookmarkEnd w:id="12"/>
      <w:r>
        <w:rPr>
          <w:rFonts w:ascii="Times New Roman" w:hAnsi="Times New Roman"/>
          <w:b/>
          <w:color w:val="000000"/>
          <w:sz w:val="18"/>
        </w:rPr>
        <w:t>ITEM 5. Market for Registrant’s Common Equity, Related Stockholder Matters and Issuer Purchases of Equity Securities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Market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Shares of our common stock began trading on the Nasdaq Global Market on December 16, 2020 under the symbol “BCAB.” Prior to that time, there was no public market for shares of our common stock.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Holders of Record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March 26, 2024, there were 28 stockholders of record of our common stock and 0 stockholders of record of our Class B common stock. These numbers were derived from our stockholder records and do not include beneficial owners of our common stock whose shares are held in “street” name with various dealers, clearing agencies, banks, brokers and other fiduciaries.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Dividends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upon, among other factors, our results of operations, financial condition, capital requirements, contractual restrictions, business prospects and other factors our board of directors may deem relevant.</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Securities Authorized for Issuance Under Equity Compensation Plans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Information about securities authorized for issuance under our equity compensation plans is incorporated herein by reference to Item 12 of Part III of this Annual Report on Form 10-K.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Recent Sales of Unregistered Securities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Other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During the twelve months ended December 31, 2024, no director or officer of the Company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rFonts w:ascii="Times New Roman" w:hAnsi="Times New Roman"/>
          <w:b/>
          <w:color w:val="000000"/>
          <w:sz w:val="18"/>
        </w:rPr>
      </w:pPr>
      <w:bookmarkStart w:id="13" w:name="item_6_selected_financial_data"/>
      <w:bookmarkEnd w:id="13"/>
      <w:r>
        <w:rPr>
          <w:rFonts w:ascii="Times New Roman" w:hAnsi="Times New Roman"/>
          <w:b/>
          <w:color w:val="000000"/>
          <w:sz w:val="18"/>
        </w:rPr>
        <w:t>ITEM 6. [Reserved]</w:t>
      </w:r>
    </w:p>
    <w:p>
      <w:pPr>
        <w:pStyle w:val="TextBody"/>
        <w:bidi w:val="0"/>
        <w:spacing w:before="108" w:after="283"/>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bookmarkStart w:id="14" w:name="item_7_management_discussion"/>
      <w:bookmarkEnd w:id="14"/>
      <w:r>
        <w:rPr>
          <w:rFonts w:ascii="Times New Roman" w:hAnsi="Times New Roman"/>
          <w:b/>
          <w:color w:val="000000"/>
          <w:sz w:val="18"/>
        </w:rPr>
        <w:t>ITEM 7. Management’s Discussion and Analysis of Financial Condition and Results of Operations</w:t>
      </w:r>
    </w:p>
    <w:p>
      <w:pPr>
        <w:pStyle w:val="TextBody"/>
        <w:bidi w:val="0"/>
        <w:spacing w:before="108" w:after="283"/>
        <w:jc w:val="left"/>
        <w:rPr>
          <w:rFonts w:ascii="Times New Roman" w:hAnsi="Times New Roman"/>
          <w:sz w:val="20"/>
        </w:rPr>
      </w:pPr>
      <w:r>
        <w:rPr>
          <w:rFonts w:ascii="Times New Roman" w:hAnsi="Times New Roman"/>
          <w:i/>
          <w:color w:val="000000"/>
          <w:sz w:val="18"/>
        </w:rPr>
        <w:t>You should read the following discussion and analysis together with our financial statements and related notes included in “Item 8. Financial Statements and Supplementary Data” in this Annual Report on Form 10-K. The following discussion contains forward-looking statements that involve risks and uncertainties. For a complete discussion of forward-looking statements, see the section above entitled “Forward-Looking Statements.” Our actual results could differ materially from those expressed or implied in any forward-looking statements as a result of various factors, including those set forth under the caption “Item 1A. Risk Factors.”</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Overview</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We are a clinical-stage biopharmaceutical company developing our novel class of highly specific and selective antibody-based therapeutics for the treatment of solid tumor cancer. Our CABs capitalize on our proprietary discoveries with respect to tumor biology, enabling us to target known and widely validated tumor antigens that have previously been difficult or impossible to target. Our novel CAB therapeutic candidates exploit characteristic pH differences between the tumor microenvironment and healthy tissue. Unlike healthy tissue, the tumor microenvironment is acidic, and we have designed our antibodies to selectively bind to their targets on tumor cells under acidic pH conditions but not on targets in normal tissues. Our approach is to identify the necessary targeting and potency required for cancer cell destruction, while aiming to eliminate or greatly reduce on-target, off-tumor toxicity—one of the fundamental challenges of existing cancer therapies.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We are a United States-based company with research facilities in San Diego, California and, through our contractual relationship with BioDuro-Sundia, a provider of preclinical development services, in Beijing, China. Since the commencement of our operations, we have focused substantially all of our resources on conducting research and development activities, including drug discovery, preclinical studies and clinical trials of our product candidates, including the ongoing Phase 2 clinical trials of mecbotamab vedotin (BA3011), ozuriftamab vedotin (BA3021), evalstotug (BA3071), and our Phase 1 clinical trial of BA3182 (CAB-EpCAM x CAB-CD3), establishing and maintaining our intellectual property portfolio, manufacturing clinical and research material through third parties, hiring personnel, establishing product development and commercialization collaborations with third parties, raising capital and providing general and administrative support for these operations. Since 2014, such research and development activities have exclusively related to the research, development, manufacture and Phase 1 and Phase 2 clinical testing of our CAB antibody-based product candidates and the strengthening of our proprietary CAB technology platform and pipeline.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incurred significant losses to date. Our ability to generate product revenue sufficient to achieve profitability will depend on the successful development and eventual commercialization of one or more of our current and future product candidates. Our net losses were $69.8 million and $123.5 million for the years ended December 31, 2024 and 2023, respectively. As of December 31, 2024, we had an accumulated deficit of $486.0 million. These losses have resulted primarily from costs incurred in connection with research and development activities and general and administrative costs associated with our operations. We do not expect to generate meaningful revenue from product sales for the foreseeable future, and we expect to continue to incur significant operating expenses for the foreseeable future due to the cost of research and development, including conducting clinical trials and the regulatory approval process for our product candidates, as well as identifying and designing product candidates and conducting preclinical studies. We expect our expenses, and the potential for losses, to be variable as we focus development efforts on selected assets and indications. We expect research and development expenses to decrease in the near term as we complete enrollment and treatment of patients in certain of our trials.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Over the long-term, we expect our expenses to increase substantially in connection with the development of our clinical programs beyond our existing Phase 1 and Phase 2 clinical trials and through the commercialization of our product candidates. As a result, we will require substantial additional capital to develop and commercialize our product candidates and fund operations for the foreseeable future. Until such time as we can generate significant revenue from product sales, if ever, we expect to finance our operations through a combination of public or private equity offerings, debt financings, collaborations and other similar arrangements.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Because of the numerous risks and uncertainties associated with product development, we are unable to accurately predict the timing or amount of increased expenses or when, or if, we will be able to achieve profitability. Even if we do achieve profitability, we may not be able to sustain or increase profitability on a quarterly or annual basis. If we fail to become profitable or are unable to sustain profitability on a continuing basis, then we may be unable to raise capital, maintain our research and development efforts, expand our business or continue our operations at planned levels, and as a result we may be forced to substantially reduce or terminate our operations.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As of December 31, 2024, our cash and cash equivalents totaled approximately $49.0 million. Accordingly, based on our current operating plan, and along with our history of operating losses, our current cash and cash equivalents may not to be sufficient to fund our ongoing operations for a period of at least twelve months from the date the financial statements included in this report are issued, and these circumstances raise substantial doubt about our ability to continue as a going concern.</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Financial Operations Overview</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Revenue</w:t>
      </w:r>
    </w:p>
    <w:p>
      <w:pPr>
        <w:pStyle w:val="TextBody"/>
        <w:bidi w:val="0"/>
        <w:spacing w:before="108" w:after="283"/>
        <w:jc w:val="left"/>
        <w:rPr>
          <w:rFonts w:ascii="Times New Roman" w:hAnsi="Times New Roman"/>
          <w:sz w:val="20"/>
        </w:rPr>
      </w:pPr>
      <w:r>
        <w:rPr>
          <w:rFonts w:ascii="Times New Roman" w:hAnsi="Times New Roman"/>
          <w:color w:val="000000"/>
          <w:sz w:val="18"/>
        </w:rPr>
        <w:t>To date, we have not generated any revenue from the sale of products and do not expect to generate meaningful revenue in the near future.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has entered into collaborations and licensing agreements with various third parties that, in some cases, may provide for potential future milestone and royalty payments to us (see Note 7 to our financial statements). In September 2024, the Company licensed BA3362, a Nectin-4 x CD3 T cell engaging bispecific antibody, to Context Therapeutics (“Context”). We recognized revenue of $11.0 million during the twelve months ended December 31, 2024 related to the licensing agreement with Context.</w:t>
      </w:r>
    </w:p>
    <w:p>
      <w:pPr>
        <w:pStyle w:val="TextBody"/>
        <w:bidi w:val="0"/>
        <w:spacing w:before="216" w:after="283"/>
        <w:jc w:val="left"/>
        <w:rPr>
          <w:rFonts w:ascii="Times New Roman" w:hAnsi="Times New Roman"/>
          <w:sz w:val="20"/>
        </w:rPr>
      </w:pPr>
      <w:r>
        <w:rPr>
          <w:rFonts w:ascii="Times New Roman" w:hAnsi="Times New Roman"/>
          <w:color w:val="000000"/>
          <w:sz w:val="18"/>
        </w:rPr>
        <w:t xml:space="preserve">Prior to developing our own programs, we received revenue from services performed under fixed price service contracts that, in some cases, provided for potential milestone and royalty payments to us. We did not recognize any revenue from our legacy service contracts during the years ended December 31, 2024 and 2023, respectively. </w:t>
        <w:br/>
        <w:br/>
      </w:r>
      <w:r>
        <w:rPr>
          <w:rFonts w:ascii="Times New Roman" w:hAnsi="Times New Roman"/>
          <w:b/>
          <w:i/>
          <w:color w:val="000000"/>
          <w:sz w:val="18"/>
        </w:rPr>
        <w:t>Operating Expenses</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Research and Development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Research and development expenses consist primarily of costs incurred in the discovery and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External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Fees paid to third parties such as contractors, clinical research organizations (CROs) and consultants, and other costs related to preclinical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Fees paid to third parties such as contract manufacturing organizations (CMOs) and other vendors for manufacturing research and clinical trial materials;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Expenses related to laboratory supplies and services.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Unallocated expenses consist 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Personnel-related expenses, including salaries, benefits and equity-based compensation expenses, for personnel in our research and development functions;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Related equipment and facilities depreciation expense.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expense research and development costs in the periods in which they are incurred. Nonrefundable advance payments for goods or services to be received in future periods for use in research and development activities are deferred and capitalized. The capitalized amounts are then expensed as the related goods are delivered and services are performed.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expect our research and development expenses to decrease in the near term as we complete enrollment and treatment in certain of our clinical trials, and focus development on selected high potential indications. However, research and development could increase upon initiation of new clinical trials, including registrational trials for our lead product candidates. The process of conducting the necessary preclinical and clinical research to obtain regulatory approval is costly and time-consuming. Successful product candidates in later stages of clinical development generally have higher development costs than those in earlier stages of clinical development, primarily due to the increased size and duration of later-stage clinical trials. Accordingly, to the extent that our product candidates continue to advance into clinical trials, including larger and later-stage clinical trials, our expenses will increase substantially and may become more variable. The actual probability of success for our product candidates may be affected by a variety of factors, including the safety and efficacy of our product candidates, the quality and consistency in their manufacture, investment in our clinical programs and competition with other products. As a result of these variables, we are unable to determine the duration and completion costs of our research and development projects and programs or when and to what extent we will generate revenue from the commercialization and sale of our product candidates. We may never succeed in achieving regulatory approval for any of our product candidates.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General and Administrative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general and administrative expenses include personnel-related expenses for personnel in our executive, finance, corporate and other administrative functions, intellectual property and patent costs, facilities and other allocated expenses, other expenses for outside professional services, including legal, human resources, investor relations, audit and accounting services and insurance costs. Personnel-related expenses consist of salaries, benefits and equity-based compensation.</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Interest income consists primarily of interest earned on our cash and cash equivalent balances.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Results of Operations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Comparison of the years ended December 31, 2024 and 2023</w:t>
      </w:r>
    </w:p>
    <w:tbl>
      <w:tblPr>
        <w:tblW w:w="6409" w:type="dxa"/>
        <w:jc w:val="left"/>
        <w:tblInd w:w="0" w:type="dxa"/>
        <w:tblLayout w:type="fixed"/>
        <w:tblCellMar>
          <w:top w:w="28" w:type="dxa"/>
          <w:left w:w="28" w:type="dxa"/>
          <w:bottom w:w="28" w:type="dxa"/>
          <w:right w:w="28" w:type="dxa"/>
        </w:tblCellMar>
      </w:tblPr>
      <w:tblGrid>
        <w:gridCol w:w="2496"/>
        <w:gridCol w:w="146"/>
        <w:gridCol w:w="202"/>
        <w:gridCol w:w="684"/>
        <w:gridCol w:w="171"/>
        <w:gridCol w:w="151"/>
        <w:gridCol w:w="202"/>
        <w:gridCol w:w="777"/>
        <w:gridCol w:w="166"/>
        <w:gridCol w:w="146"/>
        <w:gridCol w:w="196"/>
        <w:gridCol w:w="661"/>
        <w:gridCol w:w="411"/>
      </w:tblGrid>
      <w:tr>
        <w:trPr/>
        <w:tc>
          <w:tcPr>
            <w:tcW w:w="2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84,943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(73,943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55,744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53,686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Collaboration and Other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Collaboration and other revenue for the twelve months ended December 31, 2024 was $11.0 million and consisted of revenue recognized under the Context License Agreement. See Note 7 to our financial statements for further details regarding collaboration and licensing agreements.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Research and Development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 summarizes our research and development expenses allocated by CAB program for the periods indicated:</w:t>
      </w:r>
    </w:p>
    <w:tbl>
      <w:tblPr>
        <w:tblW w:w="7875" w:type="dxa"/>
        <w:jc w:val="left"/>
        <w:tblInd w:w="0" w:type="dxa"/>
        <w:tblLayout w:type="fixed"/>
        <w:tblCellMar>
          <w:top w:w="28" w:type="dxa"/>
          <w:left w:w="28" w:type="dxa"/>
          <w:bottom w:w="28" w:type="dxa"/>
          <w:right w:w="28" w:type="dxa"/>
        </w:tblCellMar>
      </w:tblPr>
      <w:tblGrid>
        <w:gridCol w:w="3981"/>
        <w:gridCol w:w="146"/>
        <w:gridCol w:w="217"/>
        <w:gridCol w:w="666"/>
        <w:gridCol w:w="161"/>
        <w:gridCol w:w="161"/>
        <w:gridCol w:w="217"/>
        <w:gridCol w:w="766"/>
        <w:gridCol w:w="146"/>
        <w:gridCol w:w="146"/>
        <w:gridCol w:w="196"/>
        <w:gridCol w:w="661"/>
        <w:gridCol w:w="411"/>
      </w:tblGrid>
      <w:tr>
        <w:trPr/>
        <w:tc>
          <w:tcPr>
            <w:tcW w:w="3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Change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Mecbotamab vedotin, BA3011 (CAB AXL-ADC)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(11,599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Ozuriftamab vedotin, BA3021 (CAB ROR2-ADC)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8,962</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(4,568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Evalstotug, BA3071 (CAB CTLA-4)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CAB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43,022</w:t>
            </w:r>
          </w:p>
        </w:tc>
        <w:tc>
          <w:tcPr>
            <w:tcW w:w="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(38,347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12,082</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Research and development expenses were $63.1 million and $103.7 million for the years ended December 31, 2024 and 2023, respectively. The decrease of approximately $40.6 million was primarily driven by a $16.9 million decrease in development costs for our pre-clinical programs primarily BA3142, our CAB B7H3 x CD3 bispecific program, and BA3361, our CAB Nectin-4 ADC program, a $13.5 million decrease in development costs for our clinical stage programs primarily due to completing Phase 2 enrollment for our ongoing ADC trials for mecbotamab vedotin and ozuriftamab vedotin, a $9.6 million decrease in manufacturing costs for evalstotug, a $1.2 million decrease in stock-based compensation related to awards issued under our 2020 Equity Incentive Plan, a $0.5 million decrease in personnel related expense, and a $0.4 million decrease in facilities and other allocated expense. This was offset by $1.7 million in related party expense incurred in connection with the licensing agreement with Context Therapeutics in September 2024, which is further discussed in Note 7 and Note 8 to our financial statements.</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General and administrative expense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General and administrative expenses were $21.8 million and $26.0 million for the years ended December 31, 2024 and 2023, respectively. The decrease of approximately $4.1 million was primarily driven by a decrease of $3.4 million in stock-based compensation related to awards issued under our 2020 Equity Incentive Plan, a $0.7 million decrease in insurance primarily due to lower D&amp;O insurance premiums, a $0.3 million decrease in personnel related expense, offset by a $0.5 million increase in professional fees, consulting and advisor fees due to 2024 transactions including our licensing agreement with Context Therapeutics in September 2024 and our Registered Direct Offering in December 2024.</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Interest income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Interest income was $3.4 million and $6.3 million for the years ended December 31, 2024 and 2023, respectively. The decrease of $2.9 million was primarily due to lower cash and cash equivalents compared to same period in 2023, and lower interest rates during same period.</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Liquidity and Capital Resources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incurred aggregate net losses and negative cash flows from operations since our inception and anticipate we will continue to incur net losses for the foreseeable future. Since July 2020, we have funded our operations primarily through the issuance of equity. As of December 31, 2024, we had cash and cash equivalents of $49.0 million.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January 2023, the Company entered into an Open Market Sale Agreement (the “Sales Agreement”) with Jefferies LLC (“Jefferies”) acting as sales agent pursuant to which the Company may, from time to time at its sole discretion, sell shares of the Company’s common stock, with aggregate gross sales proceeds of up to $100.0 million. The Company will pay Jefferies a commission of 3.0% of the aggregate gross proceeds the Company receives from all sales of the Company’s common stock under the Sales Agreement. We have not sold any shares of our common stock under the Sales Agreement as of December 31, 2024.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December 2024, the Company closed on an offering (the “December 2024 Offering”) of 9,679,158 shares of common stock at a price of $0.9520 per share with accompanying warrants to purchase up to 9,679,158 shares of common stock, which have an exercise price of $1.19 per share (the “Warrants”). The gross proceeds from the December 2024 Offering were approximately $9.2 million, before deducting $0.7 million of placement agent fees and other offering expenses payable by the Company. The accompanying Warrants become exercisable beginning six months from issuance and will expire five years from the date of initial exercisability. Accordingly, there were 9,679,158 common stock warrants outstanding but not yet exercisable at December 31, 2024.</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Future Funding Requirements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Our primary uses of cash are to fund operating expenses, which consist primarily of research and development expenses related to our programs and related personnel costs. The timing and amount of future funding requirements depends on many factors,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initiation and advancement, scope, rate of progress, completion of enrollment, results and costs of our preclinical studies, clinical trials and other related activities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costs associated with manufacturing our product candidates and establishing commercial supplies and sales, marketing and distribution capabilities;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and costs of capital expenditures to support our research and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number and characteristics of other product candidates that we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timing, receipt and amount of sales from our potential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need and ability to hire additional management, scientific and medical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effect of competing products that may limit market penetration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our need to implement additional internal systems and infrastructure, including financial and reporting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economic and other terms, timing and success of any collaboration, licensing, or other arrangements into which we may enter in the future, including the timing of receipt of any milestone or royalty payments under these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compliance and administrative costs associated with being a public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the extent to which we acquire or invest in businesses, products or technologies, although we have no commitments or agreements relating to any of these types of transactions.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Based on our current operating plan, our current cash and cash equivalents may not be sufficient to fund our ongoing operations for a period of at least twelve months from the date the financial statements included in this report are issued. We have based this estimate on assumptions that may prove to be wrong, and we could utilize our available capital resources sooner than we currently expect. These circumstances raise substantial doubt about our ability to continue as a going concern. While management believes additional funds can be raised through equity or debt financings, strategic collaborations transactions, or a combination of these approaches, which will alleviate the conditions that raise substantial doubt, these plans are not entirely within our control and cannot be assessed as being probable of occurring. We may not be able to secure additional financing in a timely manner or on favorable terms, if at all.</w:t>
      </w:r>
    </w:p>
    <w:p>
      <w:pPr>
        <w:pStyle w:val="TextBody"/>
        <w:bidi w:val="0"/>
        <w:spacing w:before="216" w:after="283"/>
        <w:jc w:val="left"/>
        <w:rPr>
          <w:rFonts w:ascii="Times New Roman" w:hAnsi="Times New Roman"/>
          <w:sz w:val="20"/>
        </w:rPr>
      </w:pPr>
      <w:r>
        <w:rPr>
          <w:rFonts w:ascii="Times New Roman" w:hAnsi="Times New Roman"/>
          <w:color w:val="000000"/>
          <w:sz w:val="18"/>
        </w:rPr>
        <w:t>Failure to generate sufficient cash flows from operations, raise additional capital, and reduce discretionary spending should additional capital not become available could have a material adverse effect on our ability to achieve our intended business objectives. Because of the numerous risks and uncertainties associated with the development and commercialization of our product candidates, we are unable to estimate the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amounts of increased capital outlays and operating expenditures associated with our current and anticipated preclinical studies and clinical trials. To the extent that we raise additional capital through collaborations, strategic alliances or licensing arrangements with third parties, we may have to relinquish valuable rights to our product candidates. We may also have to forego future revenue streams of research programs at an earlier stage of development or on less favorable terms than we would otherwise choose, or have to grant licenses on terms that may not be favorable to us. Our ability to raise additional funds will depend on financial, economic and other factors, many of which are beyond our control. For example, market volatility resulting from a variety of causes, including inflation, high interest rates, growing recession risks, supply chain disruptions, and geopolitical disruptions, including the ongoing conflict between Russia and Ukraine and the wars between Israel and the terrorist groups Hamas and Hezbollah, could adversely impact our ability to access capital as and when needed. We may choose to raise additional capital through the issuance of equity or convertible debt securities due to market conditions or strategic considerations even if we believe we have sufficient funds for our current or future operating plans. To the extent we issue additional shares of common stock or other equity or convertible debt securities in the future, there will be further dilution to our investors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acquiring other businesses, products or technology, or declaring dividends. If we are unable to obtain additional funding from these or other sources, it may be necessary to significantly reduce our rate of spending through additional reductions in staff and delay, scale back or stop certain research and development programs.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Cash Flows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summarizes our cash flows for the periods indicated:</w:t>
      </w:r>
    </w:p>
    <w:tbl>
      <w:tblPr>
        <w:tblW w:w="5805" w:type="dxa"/>
        <w:jc w:val="left"/>
        <w:tblInd w:w="0" w:type="dxa"/>
        <w:tblLayout w:type="fixed"/>
        <w:tblCellMar>
          <w:top w:w="28" w:type="dxa"/>
          <w:left w:w="28" w:type="dxa"/>
          <w:bottom w:w="28" w:type="dxa"/>
          <w:right w:w="28" w:type="dxa"/>
        </w:tblCellMar>
      </w:tblPr>
      <w:tblGrid>
        <w:gridCol w:w="3061"/>
        <w:gridCol w:w="146"/>
        <w:gridCol w:w="202"/>
        <w:gridCol w:w="684"/>
        <w:gridCol w:w="171"/>
        <w:gridCol w:w="151"/>
        <w:gridCol w:w="202"/>
        <w:gridCol w:w="777"/>
        <w:gridCol w:w="411"/>
      </w:tblGrid>
      <w:tr>
        <w:trPr/>
        <w:tc>
          <w:tcPr>
            <w:tcW w:w="3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30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9,511</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(62,425</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(104,036</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used in operating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Net cash used in operating activities for the year ended December 31, 2024 was $71.9 million, which consisted of a net loss of $69.8 million, a net change of $11.2 million in our net operating assets and liabilities and $9.0 million of non-cash transactions. The net change in our operating assets and liabilities was primarily due to a decrease in accounts payable and accrued expenses of $13.5 million and a decrease in operating lease right-of-use assets and liabilities of $0.6 million, partially offset by an increase in prepaid expenses and other assets of $2.9 million. The non-cash transactions primarily consisted of $8.9 million of stock-based compensation and non-cash charges of $0.9 million related to depreciation and amortization, offset by $0.8 million related to the change in fair value of the warrant liability.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Net cash used in operating activities for the year ended December 31, 2023 was $104.0 million, which consisted of a net loss of $123.5 million, a net change of $4.7 million in our net operating assets and liabilities and $14.8 million of non-cash transactions. The net change in our operating assets and liabilities was primarily due to an increase in accounts payable and accrued expenses of $5.3 million, partially offset by a decrease in operating lease right-of-use assets and liabilities of $0.6 million. The non-cash transactions primarily consisted of $13.5 million of stock-based compensation and non-cash charges of $1.2 million related to depreciation and amortization.</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used in investing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Cash used in investing activities was $0 and $0.1 million for the years ended December 31, 2024 and 2023, respectively, primarily related to the purchase of property and equipment.</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Cash provided by financing activities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Net cash provided by financing activities was $9.5 million for the year ended December 31, 2024, which consisted primarily of $9.2 million in net proceeds from the issuance of common stock and warrants in connection with the December 2024 offering and common stock issued under our Employee Stock Purchase Plan of $342,000, partially offset by payment of taxes related to the net settlement of equity awards of $46,000.</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Net cash provided by financing activities was $77,000 for the year ended December 31, 2023, which consisted primarily of the net proceeds from the issuance of common stock under our Employee Stock Purchase Plan of $336,000, partially offset by payment of taxes related to the net settlement of equity awards of $259,000.</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Critical Accounting Policies and Estimates</w:t>
      </w:r>
    </w:p>
    <w:p>
      <w:pPr>
        <w:pStyle w:val="TextBody"/>
        <w:bidi w:val="0"/>
        <w:spacing w:before="108" w:after="283"/>
        <w:jc w:val="left"/>
        <w:rPr>
          <w:rFonts w:ascii="Times New Roman" w:hAnsi="Times New Roman"/>
          <w:sz w:val="20"/>
        </w:rPr>
      </w:pPr>
      <w:r>
        <w:rPr>
          <w:rFonts w:ascii="Times New Roman" w:hAnsi="Times New Roman"/>
          <w:color w:val="000000"/>
          <w:sz w:val="18"/>
        </w:rPr>
        <w:t>Our management’s discussion and analysis of our financial condition and results of operations is based on our financial statements, which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revenue generated, and reported expenses incurred during the reporting periods. Our estimates are based on our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and conditions.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While our significant accounting policies are described in the Note 1 to our financial statements included elsewhere in this Annual Report on Form 10-K, we believe that the following critical accounting policies are most important to understanding and evaluating our reported financial results.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Accrued Expenses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part of the process of preparing our financial statements, we accrue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make estimates of our accrued expenses as of each balance sheet date based on facts and circumstances known to us at that time. The estimates in our accrued research and development expenses include the costs incurred for services performed by our vendors in connection with research and development activities for which we have not yet been invoiced. We periodically confirm the accuracy of our estimates with the service providers and make adjustments if necessary.</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expense accordingly. Advance payments for goods and services that will be used in future research and development activities are expensed when the activity has been performed or when the goods have been received rather than when the payment is made.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Collaboration revenue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recognize revenue in a manner that depicts the transfer of control of a product or a service to a customer and reflects the amount of the consideration we are entitled to receive in exchange for such product or service. In doing so, we follow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We consider the terms of a contract and all relevant facts and circumstances when applying the revenue recognition standard.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customer is a party that has entered into a contract with us, where the purpose of the contract is to obtain a product or a service that is an output of our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we will collect substantially all of the consideration to which we are entitled to receive in exchange for the transfer of the product or the service.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performance obligation is defined as a promise to transfer a product or a service to a customer. We identify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our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transaction price is the amount of consideration we are entitled to receive in exchange for the transfer of control of a product or a service to a customer. To determine the transaction price, we consider the existence of any significant financing component, the effects of any variable elements, noncash considerations and consideration payable to the customer. If a significant financing component exists, the transaction price is adjusted for the time value of money. If an element of variability exists, we must estimate the consideration it expects to receive and use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bidi w:val="0"/>
        <w:spacing w:before="216" w:after="283"/>
        <w:jc w:val="left"/>
        <w:rPr>
          <w:rFonts w:ascii="Times New Roman" w:hAnsi="Times New Roman"/>
          <w:sz w:val="20"/>
        </w:rPr>
      </w:pPr>
      <w:r>
        <w:rPr>
          <w:rFonts w:ascii="Times New Roman" w:hAnsi="Times New Roman"/>
          <w:color w:val="000000"/>
          <w:sz w:val="18"/>
        </w:rPr>
        <w:t>If a contract has multiple performance obligations, we allocate the transaction price to each distinct performance obligation in an amount that reflects the consideration we are entitled to receive in exchange for satisfying each distinct performance obligation. For each distinct</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performance obligation, revenue is recognized when (or as) we transfer control of the product or the service applicable to such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those instances where we first receive consideration in advance of satisfying our performance obligation, we classify such consideration as deferred revenue until (or as) we satisfy such performance obligation. In those instances where we first satisfy our performance obligation prior to receipt of consideration, the consideration is recorded as accounts receivable.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expense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324" w:after="283"/>
        <w:jc w:val="left"/>
        <w:rPr>
          <w:rFonts w:ascii="Times New Roman" w:hAnsi="Times New Roman"/>
          <w:sz w:val="20"/>
        </w:rPr>
      </w:pPr>
      <w:r>
        <w:rPr>
          <w:rFonts w:ascii="Times New Roman" w:hAnsi="Times New Roman"/>
          <w:b/>
          <w:color w:val="000000"/>
          <w:sz w:val="18"/>
        </w:rPr>
        <w:t>Other Company Information</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See Note 1 to the audited financial statements included in Item 8 of this Annual Report on Form 10-K.</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Off-Balance Sheet Arrangements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not entered into any off-balance sheet arrangements, as defined in the rules and regulations of the SEC.</w:t>
      </w:r>
    </w:p>
    <w:p>
      <w:pPr>
        <w:pStyle w:val="TextBody"/>
        <w:bidi w:val="0"/>
        <w:jc w:val="left"/>
        <w:rPr>
          <w:rFonts w:ascii="Times New Roman" w:hAnsi="Times New Roman"/>
          <w:b/>
          <w:color w:val="000000"/>
          <w:sz w:val="18"/>
        </w:rPr>
      </w:pPr>
      <w:bookmarkStart w:id="15" w:name="item_7a_quantitative_and_qualitative"/>
      <w:bookmarkEnd w:id="15"/>
      <w:r>
        <w:rPr>
          <w:rFonts w:ascii="Times New Roman" w:hAnsi="Times New Roman"/>
          <w:b/>
          <w:color w:val="000000"/>
          <w:sz w:val="18"/>
        </w:rPr>
        <w:t>ITEM 7A. Quantitative and Qualitative Disclosures About Market Risk</w:t>
      </w:r>
    </w:p>
    <w:p>
      <w:pPr>
        <w:pStyle w:val="TextBody"/>
        <w:bidi w:val="0"/>
        <w:spacing w:before="108" w:after="283"/>
        <w:jc w:val="left"/>
        <w:rPr>
          <w:rFonts w:ascii="Times New Roman" w:hAnsi="Times New Roman"/>
          <w:sz w:val="20"/>
        </w:rPr>
      </w:pPr>
      <w:r>
        <w:rPr>
          <w:rFonts w:ascii="Times New Roman" w:hAnsi="Times New Roman"/>
          <w:color w:val="000000"/>
          <w:sz w:val="18"/>
        </w:rPr>
        <w:t>Not applicable to a smaller reporting company.</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bookmarkStart w:id="16" w:name="item_8_financial_statements"/>
      <w:bookmarkEnd w:id="16"/>
      <w:r>
        <w:rPr>
          <w:rFonts w:ascii="Times New Roman" w:hAnsi="Times New Roman"/>
          <w:b/>
          <w:color w:val="000000"/>
          <w:sz w:val="18"/>
        </w:rPr>
        <w:t>ITEM 8. Financial Statements and Supplementary Data</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BioAtla, Inc.</w:t>
      </w:r>
    </w:p>
    <w:p>
      <w:pPr>
        <w:pStyle w:val="TextBody"/>
        <w:bidi w:val="0"/>
        <w:jc w:val="left"/>
        <w:rPr/>
      </w:pPr>
      <w:r>
        <w:rPr/>
        <w:t> </w:t>
      </w:r>
    </w:p>
    <w:tbl>
      <w:tblPr>
        <w:tblW w:w="6534" w:type="dxa"/>
        <w:jc w:val="left"/>
        <w:tblInd w:w="0" w:type="dxa"/>
        <w:tblLayout w:type="fixed"/>
        <w:tblCellMar>
          <w:top w:w="28" w:type="dxa"/>
          <w:left w:w="28" w:type="dxa"/>
          <w:bottom w:w="28" w:type="dxa"/>
          <w:right w:w="28" w:type="dxa"/>
        </w:tblCellMar>
      </w:tblPr>
      <w:tblGrid>
        <w:gridCol w:w="5551"/>
        <w:gridCol w:w="146"/>
        <w:gridCol w:w="157"/>
        <w:gridCol w:w="309"/>
        <w:gridCol w:w="371"/>
      </w:tblGrid>
      <w:tr>
        <w:trPr/>
        <w:tc>
          <w:tcPr>
            <w:tcW w:w="5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Index to financial statements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tcMar>
              <w:top w:w="0" w:type="dxa"/>
              <w:left w:w="0" w:type="dxa"/>
              <w:bottom w:w="0" w:type="dxa"/>
              <w:right w:w="0" w:type="dxa"/>
            </w:tcMar>
            <w:vAlign w:val="center"/>
          </w:tcPr>
          <w:p>
            <w:pPr>
              <w:pStyle w:val="TableContents"/>
              <w:bidi w:val="0"/>
              <w:spacing w:before="0" w:after="283"/>
              <w:jc w:val="left"/>
              <w:rPr/>
            </w:pPr>
            <w:r>
              <w:rPr/>
              <w:t> </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report_of_independent_registered">
              <w:r>
                <w:rPr>
                  <w:rStyle w:val="InternetLink"/>
                  <w:rFonts w:ascii="Times New Roman" w:hAnsi="Times New Roman"/>
                  <w:color w:val="0000FF"/>
                  <w:sz w:val="18"/>
                  <w:u w:val="single"/>
                </w:rPr>
                <w:t>Report of Independent Registered Public Accounting Firm (PCAOB ID: 42)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consolidated_balance_sheets">
              <w:r>
                <w:rPr>
                  <w:rStyle w:val="InternetLink"/>
                  <w:rFonts w:ascii="Times New Roman" w:hAnsi="Times New Roman"/>
                  <w:color w:val="0000FF"/>
                  <w:sz w:val="18"/>
                  <w:u w:val="single"/>
                </w:rPr>
                <w:t>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81</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consolidated_statements_of_operations">
              <w:r>
                <w:rPr>
                  <w:rStyle w:val="InternetLink"/>
                  <w:rFonts w:ascii="Times New Roman" w:hAnsi="Times New Roman"/>
                  <w:color w:val="0000FF"/>
                  <w:sz w:val="18"/>
                  <w:u w:val="single"/>
                </w:rPr>
                <w:t>Statements of Operations and Comprehensive Loss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82</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statements_of_convertible_preferred">
              <w:r>
                <w:rPr>
                  <w:rStyle w:val="InternetLink"/>
                  <w:rFonts w:ascii="Times New Roman" w:hAnsi="Times New Roman"/>
                  <w:color w:val="0000FF"/>
                  <w:sz w:val="18"/>
                  <w:u w:val="single"/>
                </w:rPr>
                <w:t>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83</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consolidated_statements_of_cash_flows">
              <w:r>
                <w:rPr>
                  <w:rStyle w:val="InternetLink"/>
                  <w:rFonts w:ascii="Times New Roman" w:hAnsi="Times New Roman"/>
                  <w:color w:val="0000FF"/>
                  <w:sz w:val="18"/>
                  <w:u w:val="single"/>
                </w:rPr>
                <w:t>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84</w:t>
            </w:r>
          </w:p>
        </w:tc>
        <w:tc>
          <w:tcPr>
            <w:tcW w:w="371"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5551" w:type="dxa"/>
            <w:tcBorders/>
            <w:tcMar>
              <w:top w:w="0" w:type="dxa"/>
              <w:left w:w="0" w:type="dxa"/>
              <w:bottom w:w="0" w:type="dxa"/>
              <w:right w:w="0" w:type="dxa"/>
            </w:tcMar>
            <w:vAlign w:val="center"/>
          </w:tcPr>
          <w:p>
            <w:pPr>
              <w:pStyle w:val="TableContents"/>
              <w:pBdr/>
              <w:bidi w:val="0"/>
              <w:spacing w:before="0" w:after="283"/>
              <w:ind w:left="0" w:right="0" w:hanging="180"/>
              <w:jc w:val="left"/>
              <w:rPr/>
            </w:pPr>
            <w:hyperlink w:anchor="notes_to_consolidated_financial">
              <w:r>
                <w:rPr>
                  <w:rStyle w:val="InternetLink"/>
                  <w:rFonts w:ascii="Times New Roman" w:hAnsi="Times New Roman"/>
                  <w:color w:val="0000FF"/>
                  <w:sz w:val="18"/>
                  <w:u w:val="single"/>
                </w:rPr>
                <w:t>Notes to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85</w:t>
            </w:r>
          </w:p>
        </w:tc>
        <w:tc>
          <w:tcPr>
            <w:tcW w:w="3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17" w:name="report_of_independent_registered"/>
      <w:bookmarkEnd w:id="17"/>
      <w:r>
        <w:rPr>
          <w:rFonts w:ascii="Times New Roman" w:hAnsi="Times New Roman"/>
          <w:b/>
          <w:color w:val="000000"/>
          <w:sz w:val="18"/>
        </w:rPr>
        <w:t>Report of Independent Registered Public Accounting Firm</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To the Stockholders and the Board of Directors of BioAtla, Inc.</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Opinion on the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We have audited the accompanying balance sheets of BioAtla, Inc. (the Company) as of December 31, 2024 and 2023, the related statements of operations and comprehensive loss, stockholders’ equity and cash flows for each of the two years in the period ended December 31, 2024, and the related notes (collectively referred to as the “financial statements”). In our opinion, the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The Company’s Ability to Continue as a Going Concern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accompanying financial statements have been prepared assuming that the Company will continue as a going concern. As discussed in Note 1 to the financial statements, the Company has suffered recurring losses and has stated that substantial doubt exists about the Company’s ability to continue as a going concern. Management’s evaluation of the events and conditions and management’s plans regarding these matters are also described in Note 1. The financial statements do not include any adjustments that might result from the outcome of this uncertainty.</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Basis for Opinion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79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b/>
          <w:color w:val="000000"/>
          <w:sz w:val="18"/>
        </w:rPr>
        <w:t>Critical Audit Matter</w:t>
      </w:r>
      <w:r>
        <w:rPr>
          <w:rFonts w:ascii="Times New Roman" w:hAnsi="Times New Roman"/>
          <w:color w:val="000000"/>
          <w:sz w:val="20"/>
        </w:rPr>
        <w:t xml:space="preserve"> </w:t>
      </w:r>
    </w:p>
    <w:p>
      <w:pPr>
        <w:pStyle w:val="TextBody"/>
        <w:bidi w:val="0"/>
        <w:spacing w:before="108" w:after="283"/>
        <w:jc w:val="both"/>
        <w:rPr>
          <w:rFonts w:ascii="Times New Roman" w:hAnsi="Times New Roman"/>
          <w:color w:val="000000"/>
          <w:sz w:val="18"/>
        </w:rPr>
      </w:pPr>
      <w:r>
        <w:rPr>
          <w:rFonts w:ascii="Times New Roman" w:hAnsi="Times New Roman"/>
          <w:color w:val="000000"/>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8"/>
        <w:gridCol w:w="146"/>
        <w:gridCol w:w="8781"/>
      </w:tblGrid>
      <w:tr>
        <w:trPr/>
        <w:tc>
          <w:tcPr>
            <w:tcW w:w="12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81" w:type="dxa"/>
            <w:tcBorders/>
            <w:vAlign w:val="center"/>
          </w:tcPr>
          <w:p>
            <w:pPr>
              <w:pStyle w:val="TableContents"/>
              <w:bidi w:val="0"/>
              <w:spacing w:before="0" w:after="283"/>
              <w:jc w:val="left"/>
              <w:rPr>
                <w:sz w:val="4"/>
                <w:szCs w:val="4"/>
              </w:rPr>
            </w:pPr>
            <w:r>
              <w:rPr>
                <w:sz w:val="4"/>
                <w:szCs w:val="4"/>
              </w:rPr>
            </w:r>
          </w:p>
        </w:tc>
      </w:tr>
      <w:tr>
        <w:trPr/>
        <w:tc>
          <w:tcPr>
            <w:tcW w:w="127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i/>
                <w:color w:val="000000"/>
                <w:sz w:val="18"/>
              </w:rPr>
            </w:pPr>
            <w:r>
              <w:rPr>
                <w:rFonts w:ascii="Times New Roman" w:hAnsi="Times New Roman"/>
                <w:b/>
                <w:i/>
                <w:color w:val="000000"/>
                <w:sz w:val="18"/>
              </w:rPr>
              <w:t>Accrual of Clinical Trial Expenses</w:t>
            </w:r>
          </w:p>
        </w:tc>
      </w:tr>
      <w:tr>
        <w:trPr/>
        <w:tc>
          <w:tcPr>
            <w:tcW w:w="1278" w:type="dxa"/>
            <w:tcBorders/>
            <w:tcMar>
              <w:top w:w="0" w:type="dxa"/>
              <w:left w:w="0" w:type="dxa"/>
              <w:bottom w:w="0" w:type="dxa"/>
              <w:right w:w="0" w:type="dxa"/>
            </w:tcMar>
            <w:vAlign w:val="center"/>
          </w:tcPr>
          <w:p>
            <w:pPr>
              <w:pStyle w:val="TableContents"/>
              <w:bidi w:val="0"/>
              <w:spacing w:before="16" w:after="283"/>
              <w:jc w:val="left"/>
              <w:rPr/>
            </w:pPr>
            <w:r>
              <w:rPr/>
              <w:t> </w:t>
            </w:r>
          </w:p>
        </w:tc>
        <w:tc>
          <w:tcPr>
            <w:tcW w:w="146" w:type="dxa"/>
            <w:tcBorders/>
            <w:tcMar>
              <w:top w:w="0" w:type="dxa"/>
              <w:left w:w="0" w:type="dxa"/>
              <w:bottom w:w="0" w:type="dxa"/>
              <w:right w:w="0" w:type="dxa"/>
            </w:tcMar>
            <w:vAlign w:val="center"/>
          </w:tcPr>
          <w:p>
            <w:pPr>
              <w:pStyle w:val="TableContents"/>
              <w:bidi w:val="0"/>
              <w:spacing w:before="16" w:after="283"/>
              <w:jc w:val="left"/>
              <w:rPr/>
            </w:pPr>
            <w:r>
              <w:rPr/>
              <w:t> </w:t>
            </w:r>
          </w:p>
        </w:tc>
        <w:tc>
          <w:tcPr>
            <w:tcW w:w="8781" w:type="dxa"/>
            <w:tcBorders/>
            <w:tcMar>
              <w:top w:w="0" w:type="dxa"/>
              <w:left w:w="0" w:type="dxa"/>
              <w:bottom w:w="0" w:type="dxa"/>
              <w:right w:w="0" w:type="dxa"/>
            </w:tcMar>
            <w:vAlign w:val="center"/>
          </w:tcPr>
          <w:p>
            <w:pPr>
              <w:pStyle w:val="TableContents"/>
              <w:bidi w:val="0"/>
              <w:spacing w:before="16" w:after="283"/>
              <w:jc w:val="left"/>
              <w:rPr/>
            </w:pPr>
            <w:r>
              <w:rPr/>
              <w:t> </w:t>
            </w:r>
          </w:p>
        </w:tc>
      </w:tr>
      <w:tr>
        <w:trPr/>
        <w:tc>
          <w:tcPr>
            <w:tcW w:w="1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Description of the Matter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18"/>
              </w:rPr>
            </w:pPr>
            <w:r>
              <w:rPr>
                <w:rFonts w:ascii="Times New Roman" w:hAnsi="Times New Roman"/>
                <w:color w:val="000000"/>
                <w:sz w:val="18"/>
              </w:rPr>
              <w:t>During 2024, the Company incurred $63.1 million for research and development expenses and as of December 31, 2024 accrued $5.7 million for clinical trial costs. A portion of the Company’s ongoing research and development activities are conducted by third-party service providers, including clinical research organizations (“CROs”). External costs to be paid to CROs are accrued and expensed based upon actual work completed in accordance with signed agreements.</w:t>
            </w:r>
          </w:p>
          <w:p>
            <w:pPr>
              <w:pStyle w:val="TableContents"/>
              <w:bidi w:val="0"/>
              <w:spacing w:before="108" w:after="283"/>
              <w:jc w:val="both"/>
              <w:rPr>
                <w:rFonts w:ascii="Times New Roman" w:hAnsi="Times New Roman"/>
                <w:color w:val="000000"/>
                <w:sz w:val="18"/>
              </w:rPr>
            </w:pPr>
            <w:r>
              <w:rPr>
                <w:rFonts w:ascii="Times New Roman" w:hAnsi="Times New Roman"/>
                <w:color w:val="000000"/>
                <w:sz w:val="18"/>
              </w:rPr>
              <w:t xml:space="preserve">Auditing management’s accounting for accrued clinical trial costs is especially challenging because the evaluation is dependent upon a high-volume of data and input exchanged between clinical personnel and third-party service providers, such as the total trial management costs, number of sites activated, the number of patients enrolled, and the number of patient visits, which is tracked in spreadsheets and other end user computing programs. </w:t>
            </w:r>
          </w:p>
        </w:tc>
      </w:tr>
      <w:tr>
        <w:trPr/>
        <w:tc>
          <w:tcPr>
            <w:tcW w:w="1278" w:type="dxa"/>
            <w:tcBorders/>
            <w:tcMar>
              <w:top w:w="0" w:type="dxa"/>
              <w:left w:w="0" w:type="dxa"/>
              <w:bottom w:w="0" w:type="dxa"/>
              <w:right w:w="0" w:type="dxa"/>
            </w:tcMar>
            <w:vAlign w:val="center"/>
          </w:tcPr>
          <w:p>
            <w:pPr>
              <w:pStyle w:val="TableContents"/>
              <w:bidi w:val="0"/>
              <w:spacing w:before="16" w:after="283"/>
              <w:jc w:val="left"/>
              <w:rPr/>
            </w:pPr>
            <w:r>
              <w:rPr/>
              <w:t> </w:t>
            </w:r>
          </w:p>
        </w:tc>
        <w:tc>
          <w:tcPr>
            <w:tcW w:w="146" w:type="dxa"/>
            <w:tcBorders/>
            <w:tcMar>
              <w:top w:w="0" w:type="dxa"/>
              <w:left w:w="0" w:type="dxa"/>
              <w:bottom w:w="0" w:type="dxa"/>
              <w:right w:w="0" w:type="dxa"/>
            </w:tcMar>
            <w:vAlign w:val="center"/>
          </w:tcPr>
          <w:p>
            <w:pPr>
              <w:pStyle w:val="TableContents"/>
              <w:bidi w:val="0"/>
              <w:spacing w:before="16" w:after="283"/>
              <w:jc w:val="left"/>
              <w:rPr/>
            </w:pPr>
            <w:r>
              <w:rPr/>
              <w:t> </w:t>
            </w:r>
          </w:p>
        </w:tc>
        <w:tc>
          <w:tcPr>
            <w:tcW w:w="8781" w:type="dxa"/>
            <w:tcBorders/>
            <w:tcMar>
              <w:top w:w="0" w:type="dxa"/>
              <w:left w:w="0" w:type="dxa"/>
              <w:bottom w:w="0" w:type="dxa"/>
              <w:right w:w="0" w:type="dxa"/>
            </w:tcMar>
            <w:vAlign w:val="center"/>
          </w:tcPr>
          <w:p>
            <w:pPr>
              <w:pStyle w:val="TableContents"/>
              <w:bidi w:val="0"/>
              <w:spacing w:before="16" w:after="283"/>
              <w:jc w:val="both"/>
              <w:rPr/>
            </w:pPr>
            <w:r>
              <w:rPr/>
              <w:t> </w:t>
            </w:r>
          </w:p>
        </w:tc>
      </w:tr>
      <w:tr>
        <w:trPr/>
        <w:tc>
          <w:tcPr>
            <w:tcW w:w="12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How We Addressed the Matter in Our Audit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18"/>
              </w:rPr>
            </w:pPr>
            <w:r>
              <w:rPr>
                <w:rFonts w:ascii="Times New Roman" w:hAnsi="Times New Roman"/>
                <w:color w:val="000000"/>
                <w:sz w:val="18"/>
              </w:rPr>
              <w:t>To test the completeness of the Company’s accrued clinical trial expenses, we obtained from third-parties confirmation of the number of patients enrolled and costs billed but unpaid as of year-end for significant clinical trials. We obtained an understanding of the status of significant clinical trial activities from accounting personnel and the clinical project managers. To assess the appropriate measurement of accrued clinical trial expenses, we inspected key terms, timelines of completion, activities and costs for a sample of vendor contracts, including amendments, and compared these to management’s analyses used in tracking the progress of service agreements. We also tested a sample of subsequent payments by agreeing the amount of the payment to the invoice and to the amount accrued.</w:t>
            </w:r>
          </w:p>
        </w:tc>
      </w:tr>
    </w:tbl>
    <w:p>
      <w:pPr>
        <w:pStyle w:val="TextBody"/>
        <w:bidi w:val="0"/>
        <w:spacing w:before="220" w:after="283"/>
        <w:jc w:val="left"/>
        <w:rPr>
          <w:rFonts w:ascii="Times New Roman" w:hAnsi="Times New Roman"/>
          <w:color w:val="000000"/>
          <w:sz w:val="18"/>
        </w:rPr>
      </w:pPr>
      <w:r>
        <w:rPr>
          <w:rFonts w:ascii="Times New Roman" w:hAnsi="Times New Roman"/>
          <w:color w:val="000000"/>
          <w:sz w:val="18"/>
        </w:rPr>
        <w:t>/s/ Ernst &amp; Young LLP</w:t>
      </w:r>
    </w:p>
    <w:p>
      <w:pPr>
        <w:pStyle w:val="TextBody"/>
        <w:bidi w:val="0"/>
        <w:jc w:val="left"/>
        <w:rPr>
          <w:rFonts w:ascii="Times New Roman" w:hAnsi="Times New Roman"/>
          <w:color w:val="000000"/>
          <w:sz w:val="18"/>
        </w:rPr>
      </w:pPr>
      <w:r>
        <w:rPr>
          <w:rFonts w:ascii="Times New Roman" w:hAnsi="Times New Roman"/>
          <w:color w:val="000000"/>
          <w:sz w:val="18"/>
        </w:rPr>
        <w:t>We have served as the Company’s auditor since 2016.</w:t>
      </w:r>
    </w:p>
    <w:p>
      <w:pPr>
        <w:pStyle w:val="TextBody"/>
        <w:bidi w:val="0"/>
        <w:jc w:val="left"/>
        <w:rPr>
          <w:rFonts w:ascii="Times New Roman" w:hAnsi="Times New Roman"/>
          <w:color w:val="000000"/>
          <w:sz w:val="18"/>
        </w:rPr>
      </w:pPr>
      <w:r>
        <w:rPr>
          <w:rFonts w:ascii="Times New Roman" w:hAnsi="Times New Roman"/>
          <w:color w:val="000000"/>
          <w:sz w:val="18"/>
        </w:rPr>
        <w:t>San Diego, California</w:t>
      </w:r>
    </w:p>
    <w:p>
      <w:pPr>
        <w:pStyle w:val="TextBody"/>
        <w:bidi w:val="0"/>
        <w:jc w:val="left"/>
        <w:rPr>
          <w:rFonts w:ascii="Times New Roman" w:hAnsi="Times New Roman"/>
          <w:sz w:val="20"/>
        </w:rPr>
      </w:pPr>
      <w:r>
        <w:rPr>
          <w:rFonts w:ascii="Times New Roman" w:hAnsi="Times New Roman"/>
          <w:color w:val="000000"/>
          <w:sz w:val="18"/>
        </w:rPr>
        <w:t>March</w:t>
      </w:r>
      <w:r>
        <w:rPr>
          <w:rFonts w:ascii="Times New Roman" w:hAnsi="Times New Roman"/>
          <w:color w:val="000000"/>
          <w:sz w:val="20"/>
        </w:rPr>
        <w:t xml:space="preserve"> </w:t>
      </w:r>
      <w:r>
        <w:rPr>
          <w:rFonts w:ascii="Times New Roman" w:hAnsi="Times New Roman"/>
          <w:color w:val="000000"/>
          <w:sz w:val="18"/>
        </w:rPr>
        <w:t>27, 2025</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18" w:name="consolidated_balance_sheets"/>
      <w:bookmarkEnd w:id="18"/>
      <w:r>
        <w:rPr>
          <w:rFonts w:ascii="Times New Roman" w:hAnsi="Times New Roman"/>
          <w:b/>
          <w:color w:val="000000"/>
          <w:sz w:val="18"/>
        </w:rPr>
        <w:t>Balance Sheets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tbl>
      <w:tblPr>
        <w:tblW w:w="8884" w:type="dxa"/>
        <w:jc w:val="left"/>
        <w:tblInd w:w="0" w:type="dxa"/>
        <w:tblLayout w:type="fixed"/>
        <w:tblCellMar>
          <w:top w:w="28" w:type="dxa"/>
          <w:left w:w="28" w:type="dxa"/>
          <w:bottom w:w="28" w:type="dxa"/>
          <w:right w:w="28" w:type="dxa"/>
        </w:tblCellMar>
      </w:tblPr>
      <w:tblGrid>
        <w:gridCol w:w="6141"/>
        <w:gridCol w:w="146"/>
        <w:gridCol w:w="196"/>
        <w:gridCol w:w="751"/>
        <w:gridCol w:w="166"/>
        <w:gridCol w:w="146"/>
        <w:gridCol w:w="196"/>
        <w:gridCol w:w="751"/>
        <w:gridCol w:w="391"/>
      </w:tblGrid>
      <w:tr>
        <w:trPr/>
        <w:tc>
          <w:tcPr>
            <w:tcW w:w="6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116,406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right-of-use-asset,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28,344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Liability to licensor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Preferred stock, $0.0001</w:t>
            </w:r>
            <w:r>
              <w:rPr>
                <w:rFonts w:ascii="Times New Roman" w:hAnsi="Times New Roman"/>
                <w:color w:val="000000"/>
                <w:sz w:val="20"/>
              </w:rPr>
              <w:t> </w:t>
            </w:r>
            <w:r>
              <w:rPr>
                <w:rFonts w:ascii="Times New Roman" w:hAnsi="Times New Roman"/>
                <w:color w:val="000000"/>
                <w:sz w:val="18"/>
              </w:rPr>
              <w:t>par value; 200,000,000</w:t>
            </w:r>
            <w:r>
              <w:rPr>
                <w:rFonts w:ascii="Times New Roman" w:hAnsi="Times New Roman"/>
                <w:color w:val="000000"/>
                <w:sz w:val="20"/>
              </w:rPr>
              <w:t> </w:t>
            </w:r>
            <w:r>
              <w:rPr>
                <w:rFonts w:ascii="Times New Roman" w:hAnsi="Times New Roman"/>
                <w:color w:val="000000"/>
                <w:sz w:val="18"/>
              </w:rPr>
              <w:t xml:space="preserve">shares authorized at </w:t>
              <w:br/>
              <w:t>   December 31, 2024 and December 31, 2023; 0</w:t>
            </w:r>
            <w:r>
              <w:rPr>
                <w:rFonts w:ascii="Times New Roman" w:hAnsi="Times New Roman"/>
                <w:color w:val="000000"/>
                <w:sz w:val="20"/>
              </w:rPr>
              <w:t> </w:t>
            </w:r>
            <w:r>
              <w:rPr>
                <w:rFonts w:ascii="Times New Roman" w:hAnsi="Times New Roman"/>
                <w:color w:val="000000"/>
                <w:sz w:val="18"/>
              </w:rPr>
              <w:t xml:space="preserve">shares issued and outstanding at </w:t>
              <w:br/>
              <w:t>   December 31, 2024 and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Common stock, $0.0001</w:t>
            </w:r>
            <w:r>
              <w:rPr>
                <w:rFonts w:ascii="Times New Roman" w:hAnsi="Times New Roman"/>
                <w:color w:val="000000"/>
                <w:sz w:val="20"/>
              </w:rPr>
              <w:t> </w:t>
            </w:r>
            <w:r>
              <w:rPr>
                <w:rFonts w:ascii="Times New Roman" w:hAnsi="Times New Roman"/>
                <w:color w:val="000000"/>
                <w:sz w:val="18"/>
              </w:rPr>
              <w:t>par value; 350,000,000</w:t>
            </w:r>
            <w:r>
              <w:rPr>
                <w:rFonts w:ascii="Times New Roman" w:hAnsi="Times New Roman"/>
                <w:color w:val="000000"/>
                <w:sz w:val="20"/>
              </w:rPr>
              <w:t> </w:t>
            </w:r>
            <w:r>
              <w:rPr>
                <w:rFonts w:ascii="Times New Roman" w:hAnsi="Times New Roman"/>
                <w:color w:val="000000"/>
                <w:sz w:val="18"/>
              </w:rPr>
              <w:t xml:space="preserve">shares authorized at </w:t>
              <w:br/>
              <w:t>   December 31, 2024 and December 31, 2023; 58,099,164</w:t>
            </w:r>
            <w:r>
              <w:rPr>
                <w:rFonts w:ascii="Times New Roman" w:hAnsi="Times New Roman"/>
                <w:color w:val="000000"/>
                <w:sz w:val="20"/>
              </w:rPr>
              <w:t> </w:t>
            </w:r>
            <w:r>
              <w:rPr>
                <w:rFonts w:ascii="Times New Roman" w:hAnsi="Times New Roman"/>
                <w:color w:val="000000"/>
                <w:sz w:val="18"/>
              </w:rPr>
              <w:t>and 48,077,599</w:t>
            </w:r>
            <w:r>
              <w:rPr>
                <w:rFonts w:ascii="Times New Roman" w:hAnsi="Times New Roman"/>
                <w:color w:val="000000"/>
                <w:sz w:val="20"/>
              </w:rPr>
              <w:t> </w:t>
            </w:r>
            <w:r>
              <w:rPr>
                <w:rFonts w:ascii="Times New Roman" w:hAnsi="Times New Roman"/>
                <w:color w:val="000000"/>
                <w:sz w:val="18"/>
              </w:rPr>
              <w:br/>
              <w:t>   shares issued and outstanding at December 31, 2024 and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sz w:val="20"/>
              </w:rPr>
            </w:pPr>
            <w:r>
              <w:rPr>
                <w:rFonts w:ascii="Times New Roman" w:hAnsi="Times New Roman"/>
                <w:color w:val="000000"/>
                <w:sz w:val="18"/>
              </w:rPr>
              <w:t>Class B common stock, $0.0001</w:t>
            </w:r>
            <w:r>
              <w:rPr>
                <w:rFonts w:ascii="Times New Roman" w:hAnsi="Times New Roman"/>
                <w:color w:val="000000"/>
                <w:sz w:val="20"/>
              </w:rPr>
              <w:t> </w:t>
            </w:r>
            <w:r>
              <w:rPr>
                <w:rFonts w:ascii="Times New Roman" w:hAnsi="Times New Roman"/>
                <w:color w:val="000000"/>
                <w:sz w:val="18"/>
              </w:rPr>
              <w:t>par value; 15,368,569</w:t>
            </w:r>
            <w:r>
              <w:rPr>
                <w:rFonts w:ascii="Times New Roman" w:hAnsi="Times New Roman"/>
                <w:color w:val="000000"/>
                <w:sz w:val="20"/>
              </w:rPr>
              <w:t> </w:t>
            </w:r>
            <w:r>
              <w:rPr>
                <w:rFonts w:ascii="Times New Roman" w:hAnsi="Times New Roman"/>
                <w:color w:val="000000"/>
                <w:sz w:val="18"/>
              </w:rPr>
              <w:t xml:space="preserve">shares authorized at </w:t>
              <w:br/>
              <w:t>   December 31, 2024 and December 31, 2023; 0</w:t>
            </w:r>
            <w:r>
              <w:rPr>
                <w:rFonts w:ascii="Times New Roman" w:hAnsi="Times New Roman"/>
                <w:color w:val="000000"/>
                <w:sz w:val="20"/>
              </w:rPr>
              <w:t> </w:t>
            </w:r>
            <w:r>
              <w:rPr>
                <w:rFonts w:ascii="Times New Roman" w:hAnsi="Times New Roman"/>
                <w:color w:val="000000"/>
                <w:sz w:val="18"/>
              </w:rPr>
              <w:t xml:space="preserve">shares issued </w:t>
              <w:br/>
              <w:t>   and outstanding at December 31, 2024 and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1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1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119,658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19" w:name="consolidated_statements_of_operations"/>
      <w:bookmarkEnd w:id="19"/>
      <w:r>
        <w:rPr>
          <w:rFonts w:ascii="Times New Roman" w:hAnsi="Times New Roman"/>
          <w:b/>
          <w:color w:val="000000"/>
          <w:sz w:val="18"/>
        </w:rPr>
        <w:t>Statements of Operations and Comprehensive Loss</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and per share amounts)</w:t>
      </w:r>
    </w:p>
    <w:p>
      <w:pPr>
        <w:pStyle w:val="TextBody"/>
        <w:bidi w:val="0"/>
        <w:jc w:val="left"/>
        <w:rPr/>
      </w:pPr>
      <w:r>
        <w:rPr/>
        <w:t> </w:t>
      </w:r>
    </w:p>
    <w:tbl>
      <w:tblPr>
        <w:tblW w:w="8384" w:type="dxa"/>
        <w:jc w:val="left"/>
        <w:tblInd w:w="0" w:type="dxa"/>
        <w:tblLayout w:type="fixed"/>
        <w:tblCellMar>
          <w:top w:w="28" w:type="dxa"/>
          <w:left w:w="28" w:type="dxa"/>
          <w:bottom w:w="28" w:type="dxa"/>
          <w:right w:w="28" w:type="dxa"/>
        </w:tblCellMar>
      </w:tblPr>
      <w:tblGrid>
        <w:gridCol w:w="5311"/>
        <w:gridCol w:w="146"/>
        <w:gridCol w:w="196"/>
        <w:gridCol w:w="916"/>
        <w:gridCol w:w="166"/>
        <w:gridCol w:w="146"/>
        <w:gridCol w:w="196"/>
        <w:gridCol w:w="916"/>
        <w:gridCol w:w="391"/>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3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and development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General and administrative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84,943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(129,687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Gain (loss) on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per common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48,573,364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47,777,568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16" w:after="283"/>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sz w:val="20"/>
        </w:rPr>
      </w:pPr>
      <w:bookmarkStart w:id="20" w:name="statements_of_convertible_preferred"/>
      <w:bookmarkEnd w:id="20"/>
      <w:r>
        <w:rPr>
          <w:rFonts w:ascii="Times New Roman" w:hAnsi="Times New Roman"/>
          <w:b/>
          <w:color w:val="000000"/>
          <w:sz w:val="18"/>
        </w:rPr>
        <w:t>Statements of</w:t>
      </w:r>
      <w:r>
        <w:rPr>
          <w:rFonts w:ascii="Times New Roman" w:hAnsi="Times New Roman"/>
          <w:color w:val="000000"/>
          <w:sz w:val="20"/>
        </w:rPr>
        <w:t xml:space="preserve"> </w:t>
      </w:r>
      <w:r>
        <w:rPr>
          <w:rFonts w:ascii="Times New Roman" w:hAnsi="Times New Roman"/>
          <w:b/>
          <w:color w:val="000000"/>
          <w:sz w:val="18"/>
        </w:rPr>
        <w:t>Stockholders’ Equity</w:t>
      </w:r>
    </w:p>
    <w:p>
      <w:pPr>
        <w:pStyle w:val="TextBody"/>
        <w:bidi w:val="0"/>
        <w:jc w:val="center"/>
        <w:rPr>
          <w:rFonts w:ascii="Times New Roman" w:hAnsi="Times New Roman"/>
          <w:b/>
          <w:color w:val="000000"/>
          <w:sz w:val="18"/>
        </w:rPr>
      </w:pPr>
      <w:r>
        <w:rPr>
          <w:rFonts w:ascii="Times New Roman" w:hAnsi="Times New Roman"/>
          <w:b/>
          <w:color w:val="000000"/>
          <w:sz w:val="18"/>
        </w:rPr>
        <w:t>(in thousands, except share amounts)</w:t>
      </w:r>
    </w:p>
    <w:p>
      <w:pPr>
        <w:pStyle w:val="TextBody"/>
        <w:bidi w:val="0"/>
        <w:jc w:val="left"/>
        <w:rPr/>
      </w:pPr>
      <w:r>
        <w:rPr/>
        <w:t> </w:t>
      </w:r>
    </w:p>
    <w:tbl>
      <w:tblPr>
        <w:tblW w:w="10399" w:type="dxa"/>
        <w:jc w:val="left"/>
        <w:tblInd w:w="0" w:type="dxa"/>
        <w:tblLayout w:type="fixed"/>
        <w:tblCellMar>
          <w:top w:w="28" w:type="dxa"/>
          <w:left w:w="28" w:type="dxa"/>
          <w:bottom w:w="28" w:type="dxa"/>
          <w:right w:w="28" w:type="dxa"/>
        </w:tblCellMar>
      </w:tblPr>
      <w:tblGrid>
        <w:gridCol w:w="1296"/>
        <w:gridCol w:w="146"/>
        <w:gridCol w:w="146"/>
        <w:gridCol w:w="916"/>
        <w:gridCol w:w="146"/>
        <w:gridCol w:w="146"/>
        <w:gridCol w:w="271"/>
        <w:gridCol w:w="480"/>
        <w:gridCol w:w="146"/>
        <w:gridCol w:w="146"/>
        <w:gridCol w:w="146"/>
        <w:gridCol w:w="886"/>
        <w:gridCol w:w="166"/>
        <w:gridCol w:w="146"/>
        <w:gridCol w:w="271"/>
        <w:gridCol w:w="480"/>
        <w:gridCol w:w="146"/>
        <w:gridCol w:w="146"/>
        <w:gridCol w:w="205"/>
        <w:gridCol w:w="726"/>
        <w:gridCol w:w="166"/>
        <w:gridCol w:w="146"/>
        <w:gridCol w:w="233"/>
        <w:gridCol w:w="893"/>
        <w:gridCol w:w="166"/>
        <w:gridCol w:w="146"/>
        <w:gridCol w:w="223"/>
        <w:gridCol w:w="858"/>
        <w:gridCol w:w="411"/>
      </w:tblGrid>
      <w:tr>
        <w:trPr/>
        <w:tc>
          <w:tcPr>
            <w:tcW w:w="1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9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w:t>
              <w:b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46,336,166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180,339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318,634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165,550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director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Conversion of 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48,077,599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70,672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net of issuance costs and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under equity incentive plans, net of shares withheld for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common stock for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265,412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Taxes related to net share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2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58,099,164</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8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500,298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(486,039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8"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14,265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21" w:name="consolidated_statements_of_cash_flows"/>
      <w:bookmarkEnd w:id="21"/>
      <w:r>
        <w:rPr>
          <w:rFonts w:ascii="Times New Roman" w:hAnsi="Times New Roman"/>
          <w:b/>
          <w:color w:val="000000"/>
          <w:sz w:val="18"/>
        </w:rPr>
        <w:t>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thousands)</w:t>
      </w:r>
    </w:p>
    <w:tbl>
      <w:tblPr>
        <w:tblW w:w="8679" w:type="dxa"/>
        <w:jc w:val="left"/>
        <w:tblInd w:w="0" w:type="dxa"/>
        <w:tblLayout w:type="fixed"/>
        <w:tblCellMar>
          <w:top w:w="28" w:type="dxa"/>
          <w:left w:w="28" w:type="dxa"/>
          <w:bottom w:w="28" w:type="dxa"/>
          <w:right w:w="28" w:type="dxa"/>
        </w:tblCellMar>
      </w:tblPr>
      <w:tblGrid>
        <w:gridCol w:w="5776"/>
        <w:gridCol w:w="146"/>
        <w:gridCol w:w="196"/>
        <w:gridCol w:w="691"/>
        <w:gridCol w:w="166"/>
        <w:gridCol w:w="146"/>
        <w:gridCol w:w="196"/>
        <w:gridCol w:w="751"/>
        <w:gridCol w:w="611"/>
      </w:tblGrid>
      <w:tr>
        <w:trPr/>
        <w:tc>
          <w:tcPr>
            <w:tcW w:w="5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Loss on disposal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Prepaid expenses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18"/>
              </w:rPr>
            </w:pPr>
            <w:r>
              <w:rPr>
                <w:rFonts w:ascii="Times New Roman" w:hAnsi="Times New Roman"/>
                <w:color w:val="000000"/>
                <w:sz w:val="18"/>
              </w:rPr>
              <w:t>Right-of-use assets and lease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(71,936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and warrants,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Proceeds from issuance of common stock under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Payments for taxes related to net settlement of equity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(62,425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(104,036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215,507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111,471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 issuance costs included in accounts payable and accrued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Tax related to net settlement of equity awards included in accounts payable and </w:t>
              <w:br/>
              <w:t>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18"/>
        </w:rPr>
      </w:pPr>
      <w:r>
        <w:rPr>
          <w:rFonts w:ascii="Times New Roman" w:hAnsi="Times New Roman"/>
          <w:i/>
          <w:color w:val="000000"/>
          <w:sz w:val="18"/>
        </w:rPr>
        <w:t>See accompanying notes.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r>
        <w:rPr>
          <w:rFonts w:ascii="Times New Roman" w:hAnsi="Times New Roman"/>
          <w:b/>
          <w:color w:val="000000"/>
          <w:sz w:val="18"/>
        </w:rPr>
        <w:t>BioAtla, Inc.</w:t>
      </w:r>
    </w:p>
    <w:p>
      <w:pPr>
        <w:pStyle w:val="TextBody"/>
        <w:bidi w:val="0"/>
        <w:jc w:val="center"/>
        <w:rPr>
          <w:rFonts w:ascii="Times New Roman" w:hAnsi="Times New Roman"/>
          <w:b/>
          <w:color w:val="000000"/>
          <w:sz w:val="18"/>
        </w:rPr>
      </w:pPr>
      <w:bookmarkStart w:id="22" w:name="notes_to_consolidated_financial"/>
      <w:bookmarkEnd w:id="22"/>
      <w:r>
        <w:rPr>
          <w:rFonts w:ascii="Times New Roman" w:hAnsi="Times New Roman"/>
          <w:b/>
          <w:color w:val="000000"/>
          <w:sz w:val="18"/>
        </w:rPr>
        <w:t>Notes to Financial Statements</w:t>
      </w:r>
    </w:p>
    <w:p>
      <w:pPr>
        <w:pStyle w:val="TextBody"/>
        <w:bidi w:val="0"/>
        <w:spacing w:before="216" w:after="283"/>
        <w:jc w:val="left"/>
        <w:rPr>
          <w:rFonts w:ascii="Times New Roman" w:hAnsi="Times New Roman"/>
          <w:b/>
          <w:color w:val="000000"/>
          <w:sz w:val="18"/>
        </w:rPr>
      </w:pPr>
      <w:r>
        <w:rPr>
          <w:rFonts w:ascii="Times New Roman" w:hAnsi="Times New Roman"/>
          <w:b/>
          <w:color w:val="000000"/>
          <w:sz w:val="18"/>
        </w:rPr>
        <w:t>1. Organization and Summary of Significant Accounting Policies</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Organization</w:t>
      </w:r>
    </w:p>
    <w:p>
      <w:pPr>
        <w:pStyle w:val="TextBody"/>
        <w:bidi w:val="0"/>
        <w:spacing w:before="108" w:after="283"/>
        <w:jc w:val="left"/>
        <w:rPr>
          <w:rFonts w:ascii="Times New Roman" w:hAnsi="Times New Roman"/>
          <w:sz w:val="20"/>
        </w:rPr>
      </w:pPr>
      <w:r>
        <w:rPr>
          <w:rFonts w:ascii="Times New Roman" w:hAnsi="Times New Roman"/>
          <w:color w:val="000000"/>
          <w:sz w:val="18"/>
        </w:rPr>
        <w:t>BioAtla, LLC was formed in Delaware</w:t>
      </w:r>
      <w:r>
        <w:rPr>
          <w:rFonts w:ascii="Times New Roman" w:hAnsi="Times New Roman"/>
          <w:color w:val="000000"/>
          <w:sz w:val="20"/>
        </w:rPr>
        <w:t xml:space="preserve"> </w:t>
      </w:r>
      <w:r>
        <w:rPr>
          <w:rFonts w:ascii="Times New Roman" w:hAnsi="Times New Roman"/>
          <w:color w:val="000000"/>
          <w:sz w:val="18"/>
        </w:rPr>
        <w:t>in March 2007</w:t>
      </w:r>
      <w:r>
        <w:rPr>
          <w:rFonts w:ascii="Times New Roman" w:hAnsi="Times New Roman"/>
          <w:color w:val="000000"/>
          <w:sz w:val="20"/>
        </w:rPr>
        <w:t xml:space="preserve"> </w:t>
      </w:r>
      <w:r>
        <w:rPr>
          <w:rFonts w:ascii="Times New Roman" w:hAnsi="Times New Roman"/>
          <w:color w:val="000000"/>
          <w:sz w:val="18"/>
        </w:rPr>
        <w:t>and was converted to a Delaware corporation in July 2020 and renamed BioAtla, Inc. (the “Company”). The Company has a proprietary platform for creating biologics, including its conditionally active biologics (“CAB” or “CABs”). CABs have been designed to be active only under certain conditions found in diseased tissue, while remaining inactive in normal tissue. The Company is currently in clinical development of several CAB drug candidates including: its two lead CAB antibody drug conjugates (“CAB ADC”), mecbotamab vedotin (BA3011), a CAB ADC targeting AXL and ozuriftamab vedotin (BA3021), a CAB ADC targeting ROR2; evalstotug (BA3071), a CAB anti-CTLA-4 antibody; and BA3182 (CAB-EpCAM x CAB-CD3), a CAB bispecific antibody targeting EpCAM.</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Basis of Presentation</w:t>
      </w:r>
    </w:p>
    <w:p>
      <w:pPr>
        <w:pStyle w:val="TextBody"/>
        <w:bidi w:val="0"/>
        <w:spacing w:before="108" w:after="283"/>
        <w:jc w:val="left"/>
        <w:rPr>
          <w:rFonts w:ascii="Times New Roman" w:hAnsi="Times New Roman"/>
          <w:sz w:val="20"/>
        </w:rPr>
      </w:pPr>
      <w:r>
        <w:rPr>
          <w:rFonts w:ascii="Times New Roman" w:hAnsi="Times New Roman"/>
          <w:color w:val="000000"/>
          <w:sz w:val="18"/>
        </w:rPr>
        <w:t>The accompanying financial statements have been prepared in accordance with accounting principles generally accepted in the United States of America (“GAAP”). BioAtla, Inc. is a single legal entity with no consolidated variable interest entities ("VIEs") or subsidiaries (see Note 8).</w:t>
      </w:r>
      <w:r>
        <w:rPr>
          <w:rFonts w:ascii="Times New Roman" w:hAnsi="Times New Roman"/>
          <w:color w:val="000000"/>
          <w:sz w:val="20"/>
        </w:rPr>
        <w:t xml:space="preserve"> </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Liquidity and Going Concern</w:t>
      </w:r>
    </w:p>
    <w:p>
      <w:pPr>
        <w:pStyle w:val="TextBody"/>
        <w:bidi w:val="0"/>
        <w:spacing w:before="108" w:after="283"/>
        <w:jc w:val="left"/>
        <w:rPr>
          <w:rFonts w:ascii="Times New Roman" w:hAnsi="Times New Roman"/>
          <w:sz w:val="20"/>
        </w:rPr>
      </w:pPr>
      <w:r>
        <w:rPr>
          <w:rFonts w:ascii="Times New Roman" w:hAnsi="Times New Roman"/>
          <w:color w:val="000000"/>
          <w:sz w:val="18"/>
        </w:rPr>
        <w:t>The Company has incurred cumulative operating losses and negative cash flows from operations since its inception and expects to continue to incur significant expenses and operating losses for the foreseeable future as it continues the development of its product candidates. As of December 31, 2024, the Company had an accumulated deficit of $486.0</w:t>
      </w:r>
      <w:r>
        <w:rPr>
          <w:rFonts w:ascii="Times New Roman" w:hAnsi="Times New Roman"/>
          <w:color w:val="000000"/>
          <w:sz w:val="20"/>
        </w:rPr>
        <w:t xml:space="preserve"> </w:t>
      </w:r>
      <w:r>
        <w:rPr>
          <w:rFonts w:ascii="Times New Roman" w:hAnsi="Times New Roman"/>
          <w:color w:val="000000"/>
          <w:sz w:val="18"/>
        </w:rPr>
        <w:t>million. The Company plans to continue to fund its losses from operations and capital funding needs through public or private equity or debt financings, or other sources. If the Company is not able to secure adequate additional funding, the Company may be forced to make reductions in spending, extend payment terms with suppliers, liquidate assets where possible, or suspend or curtail planned programs. Any of these actions could materially harm the Company’s business, results of operations and future prospects.</w:t>
      </w:r>
    </w:p>
    <w:p>
      <w:pPr>
        <w:pStyle w:val="TextBody"/>
        <w:bidi w:val="0"/>
        <w:spacing w:before="216" w:after="283"/>
        <w:jc w:val="left"/>
        <w:rPr>
          <w:rFonts w:ascii="Times New Roman" w:hAnsi="Times New Roman"/>
          <w:sz w:val="20"/>
        </w:rPr>
      </w:pPr>
      <w:r>
        <w:rPr>
          <w:rFonts w:ascii="Times New Roman" w:hAnsi="Times New Roman"/>
          <w:color w:val="000000"/>
          <w:sz w:val="18"/>
        </w:rPr>
        <w:t>In January 2023, the Company entered into an Open Market Sale Agreement (the “Sales Agreement”) with Jefferies LLC pursuant to which the Company may, from time to time at its sole discretion, sell shares of the Company’s common stock, with aggregate gross sales proceeds of up to $100.0</w:t>
      </w:r>
      <w:r>
        <w:rPr>
          <w:rFonts w:ascii="Times New Roman" w:hAnsi="Times New Roman"/>
          <w:color w:val="000000"/>
          <w:sz w:val="20"/>
        </w:rPr>
        <w:t xml:space="preserve"> </w:t>
      </w:r>
      <w:r>
        <w:rPr>
          <w:rFonts w:ascii="Times New Roman" w:hAnsi="Times New Roman"/>
          <w:color w:val="000000"/>
          <w:sz w:val="18"/>
        </w:rPr>
        <w:t>million. The Company has not sold any shares of its common stock under the Sales Agreement as of December 31, 2024.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Management is required to perform a two-step analysis of the Company’s ability to continue as a going concern. Management must first evaluate whether there are conditions and events that raise substantial doubt about the Company’s ability to continue as a going concern (Step 1). If management concludes that substantial doubt is raised, management is also required to consider whether its plans alleviate that doubt (Step 2). Management’s assessment concluded that there is substantial doubt about the Company’s ability to continue as a going concern for a period of at least one year from the issuance date of these financial statements.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has prepared its consolidated financial statements on a going concern basis, which assumes that the Company will realize its assets and satisfy its liabilities in the normal course of business. The accompanying consolidated financial statements do not include any adjustments to reflect the possible future effects on the recoverability and classification of assets or the amounts and classifications of liabilities that may result from the outcome of the uncertainty concerning the Company’s ability to continue as a going concern.</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Variable Interest Entities (“VIE”)</w:t>
      </w:r>
    </w:p>
    <w:p>
      <w:pPr>
        <w:pStyle w:val="TextBody"/>
        <w:bidi w:val="0"/>
        <w:spacing w:before="108" w:after="283"/>
        <w:jc w:val="left"/>
        <w:rPr>
          <w:rFonts w:ascii="Times New Roman" w:hAnsi="Times New Roman"/>
          <w:sz w:val="20"/>
        </w:rPr>
      </w:pPr>
      <w:r>
        <w:rPr>
          <w:rFonts w:ascii="Times New Roman" w:hAnsi="Times New Roman"/>
          <w:color w:val="000000"/>
          <w:sz w:val="18"/>
        </w:rPr>
        <w:t>The Company consolidates entities in which it has a controlling financial interest. The Company determines whether it has a controlling financial interest in an entity by first evaluating whether the entity is a voting interest entity or a VIE. VIEs are entities in which (i) the total equity investment at risk is sufficient to enable the entity to finance its activities independently, (ii) the equity holders have the power to direct the activities of the entity that most significantly impact its economic performance, the obligation to absorb the losses of the entity and the right to receive the residual returns of the entity and (iii) the legal entity is structured with substantive voting rights. A VIE is an entity that lacks one or more of the characteristics of a voting interest entity. The Company has a controlling financial interest in a VIE when the Company has a variable interest or interests that provide it with (i) the power to direct the activities of the VIE that most significantly impact the VIE’s economic performance and (ii) the obligation to absorb losses of the VIE or the right to receive benefits from the VIE that could potentially be significant to the VIE. The Company evaluates its relationships with its VIEs on an ongoing basis to determine whether or not it has a controlling financial interest</w:t>
      </w:r>
      <w:r>
        <w:rPr>
          <w:rFonts w:ascii="Times New Roman" w:hAnsi="Times New Roman"/>
          <w:color w:val="000000"/>
          <w:sz w:val="20"/>
        </w:rPr>
        <w:t xml:space="preserve"> </w:t>
      </w:r>
      <w:r>
        <w:rPr>
          <w:rFonts w:ascii="Times New Roman" w:hAnsi="Times New Roman"/>
          <w:color w:val="000000"/>
          <w:sz w:val="18"/>
        </w:rPr>
        <w:t>(see Note 8).</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Use of Estimates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Company’s financial statements are prepared in accordance with U.S. GAAP. The preparation of the Company’s financial statements requires it to make estimates and assumptions that impact the reported amounts of assets, liabilities, revenues and expenses and the disclosure of contingent assets and liabilities in the Company’s financial statements and accompanying notes. The most significant estimates in the Company’s financial statements relate to accruals for research and development costs, equity-based compensation and fair value measurements.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revenue and expenses that are not readily apparent from other sources. Actual results may differ materially and adversely from these estimates. To the extent there are material differences between the estimates and actual results, the Company’s future results of operations will be affected.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Cash and Cash Equivalents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considers all highly liquid investments with original maturities of 90 days or less at the date of purchase to be cash equivalents. Cash equivalents consist of highly rated securities including U.S. Government and U.S. Treasury money market funds, which are unrestricted as to withdrawal or use. The cash and cash equivalents balance as of December 31, 2024 and 2023 includes $38.8</w:t>
      </w:r>
      <w:r>
        <w:rPr>
          <w:rFonts w:ascii="Times New Roman" w:hAnsi="Times New Roman"/>
          <w:color w:val="000000"/>
          <w:sz w:val="20"/>
        </w:rPr>
        <w:t xml:space="preserve"> </w:t>
      </w:r>
      <w:r>
        <w:rPr>
          <w:rFonts w:ascii="Times New Roman" w:hAnsi="Times New Roman"/>
          <w:color w:val="000000"/>
          <w:sz w:val="18"/>
        </w:rPr>
        <w:t>million and $50.4</w:t>
      </w:r>
      <w:r>
        <w:rPr>
          <w:rFonts w:ascii="Times New Roman" w:hAnsi="Times New Roman"/>
          <w:color w:val="000000"/>
          <w:sz w:val="20"/>
        </w:rPr>
        <w:t xml:space="preserve"> </w:t>
      </w:r>
      <w:r>
        <w:rPr>
          <w:rFonts w:ascii="Times New Roman" w:hAnsi="Times New Roman"/>
          <w:color w:val="000000"/>
          <w:sz w:val="18"/>
        </w:rPr>
        <w:t>million, respectively, invested in U.S. Government and U.S. Treasury money market funds.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Concentrations of Risk</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Financial instruments that potentially subject the Company to a significant concentration of credit risk consist primarily of cash and cash equivalents. The Company maintains deposits in federally insured financial institutions in excess of federally insured limits and may invest cash that is not required for immediate operating needs in highly liquid instruments that bear minimal risk. The Company has not experienced any losses in such accounts and management believes that the Company is not exposed to significant credit risk due to the financial position of the depository institutions in which those deposits are held.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Property and Equipment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Property and equipment are stated at cost and depreciated on a straight-line basis over the estimated useful life of the related assets. Leasehold improvements are stated at cost and amortized on a straight-line basis over the lesser of the remaining term of the related lease or the estimated useful life of the leasehold improvements. Repairs and maintenance costs are charged to expense as incurred and expenditures that materially extend the useful lives of assets are capitalized.</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Impairment of Long-Lived Assets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reviews long-lived assets, such as property and equipment, for impairment whenever events or changes in circumstances indicate the carrying amount of an asset may not be recoverable. Recoverability of assets to be held and used is measured by a comparison of the carrying amount of an asset to the future undiscounted net cash flows expected to be generated by the asset. If such assets are considered to be impaired, the impairment to be recognized is measured as the amount by which the carrying amount of the assets exceeds the fair value of the assets. Fair value would be assessed using discounted cash flows or other appropriate measures of fair value. The Company has not recognized any impairment losses for the years ended December 31, 2024 and 2023.</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Leases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determines if an arrangement is a lease at inception. An arrangement is or contains a lease if it conveys the right to control the use of an identified asset for a period of time in exchange for consideration. If a lease is identified, classification is determined at lease commencement. Operating lease liabilities are recognized at the present value of the future lease payments at the lease commencement date. The Company’s leases do not provide an implicit interest rate and therefore the Company estimates its incremental borrowing rate to discount lease payments. The incremental borrowing rate reflects the interest rate that the Company would have to pay to borrow on a collateralized basis an amount equal to the lease payments in a similar economic environment over a similar term. Operating lease right-of-use (“ROU”) assets are based on the corresponding lease liability adjusted for any lease payments made at or before commencement, initial direct costs, and lease incentives. Renewals or early terminations are not accounted for unless the Company is reasonably certain to exercise these options. Operating lease expense is recognized and the ROU asset is amortized on a straight-line basis over the lease term. Variable lease costs are recognized as incurred and are not included in the calculation of the ROU asset or the related lease liability.</w:t>
      </w:r>
    </w:p>
    <w:p>
      <w:pPr>
        <w:pStyle w:val="TextBody"/>
        <w:bidi w:val="0"/>
        <w:spacing w:before="216" w:after="283"/>
        <w:jc w:val="left"/>
        <w:rPr>
          <w:rFonts w:ascii="Times New Roman" w:hAnsi="Times New Roman"/>
          <w:sz w:val="20"/>
        </w:rPr>
      </w:pPr>
      <w:r>
        <w:rPr>
          <w:rFonts w:ascii="Times New Roman" w:hAnsi="Times New Roman"/>
          <w:color w:val="000000"/>
          <w:sz w:val="18"/>
        </w:rPr>
        <w:t>The Company has a single lease agreement with lease and non-lease components, which are accounted for as a single lease component. Payments for short-term leases, defined as leases with a term of twelve months or less, are expensed on a straight-line basis over the lease term. The Company does not currently have any short-term leases.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Operating leases are included in operating lease right-of-use assets, operating lease liabilities, and operating lease liabilities, non-current on the Company’s balance sheets. The Company does not have any finance leases.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Derivative Instruments and Warrant Liabilities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evaluates its financial instruments and other contracts, including issued warrants to purchase common stock, to determine if those instruments are required to be recognized as derivatives or contain features that qualify as embedded derivatives under the relevant accounting standards (see Note 3 and Note 6). The result of this accounting treatment is that the derivative is carried at fair value as an asset or liability with changes in fair value recognized in earnings at each reporting date. Changes in the fair value of derivatives are recorded in the statement of operations and comprehensive loss as a component of other income (expense).</w:t>
        <w:br/>
        <w:br/>
      </w:r>
      <w:r>
        <w:rPr>
          <w:rFonts w:ascii="Times New Roman" w:hAnsi="Times New Roman"/>
          <w:b/>
          <w:i/>
          <w:color w:val="000000"/>
          <w:sz w:val="18"/>
        </w:rPr>
        <w:t>Revenue Recognition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recognizes revenue in a manner that depicts the transfer of control of a product or a service to a customer and reflects the amount of the consideration the Company is entitled to receive in exchange for such product or service. In doing so, the Company follows a five-step approach: (i) identify the contract with a customer, (ii) identify the performance obligations in the contract, (iii) determine the transaction price, (iv) allocate the transaction price to the performance obligations, and (v) recognize revenue when (or as) the customer obtains control of the product or service. The Company considers the terms of a contract and all relevant facts and circumstances when applying the revenue recognition standard.</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customer is a party that has entered into a contract with the Company, where the purpose of the contract is to obtain a product or a service that is an output of the Company’s ordinary activities in exchange for consideration. To be considered a contract, (i) the contract must be approved (in writing, orally, or in accordance with other customary business practices), (ii) each party’s rights regarding the product or the service to be transferred can be identified, (iii) the payment terms for the product or the service to be transferred can be identified, (iv) the contract must have commercial substance (that is, the risk, timing or amount of future cash flows is expected to change as a result of the contract), and (v) it is probable that the Company will collect substantially all of the consideration to which it is entitled to receive in exchange for the transfer of the product or the service.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performance obligation is defined as a promise to transfer a product or a service to a customer. The Company identifies each promise to transfer a product or a service (or a bundle of products or services, or a series of products and services that are substantially the same and have the same pattern of transfer) that is distinct. A product or a service is distinct if both (i) the customer can benefit from the product or the service either on its own or together with other resources that are readily available to the customer and (ii) the Company’s promise to transfer the product or the service to the customer is separately identifiable from other promises in the contract. Each distinct promise to transfer a product or a service is a unit of accounting for revenue recognition. If a promise to transfer a product or a service is not separately identifiable from other promises in the contract, such promises should be combined into a single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transaction price is the amount of consideration the Company is entitled to receive in exchange for the transfer of control of a product or a service to a customer. To determine the transaction price, the Company considers the existence of any significant financing component, the effects of any variable elements, noncash consideration and consideration payable to the customer. If a significant financing component exists, the transaction price is adjusted for the time value of money. If an element of variability exists, the Company must estimate the consideration it expects to receive and use that amount as the basis for recognizing revenue as the product or the service is transferred to the customer. There are two methods for determining the amount of variable consideration: (i) the expected value method, which is the sum of probability-weighted amounts in a range of possible consideration amounts, and (ii) the mostly likely amount method, which identifies the single most likely amount in a range of possible consideration amounts.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If a contract has multiple performance obligations, the Company allocates the transaction price to each distinct performance obligation in an amount that reflects the consideration the Company is entitled to receive in exchange for satisfying each distinct performance obligation. For each distinct performance obligation, revenue is recognized when the Company transfers control of the product or the service applicable to such performance obligation.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those instances where the Company first receives consideration in advance of satisfying its performance obligation, the Company classifies such consideration as deferred revenue until (or as) the Company satisfies such performance obligation. In those instances where the Company first satisfies its performance obligation prior to its receipt of consideration, the consideration is recorded as accounts receivable.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expenses incremental costs of obtaining and fulfilling a contract as incurred if the expected amortization period of the asset that would be recognized is one year or less, or if the amount of the asset is immaterial. Otherwise, such costs are capitalized as contract assets if they are incremental to the contract and amortized to expense proportionate to revenue recognition of the underlying contract.</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Research and Development Expenses</w:t>
      </w:r>
    </w:p>
    <w:p>
      <w:pPr>
        <w:pStyle w:val="TextBody"/>
        <w:bidi w:val="0"/>
        <w:spacing w:before="108" w:after="283"/>
        <w:jc w:val="left"/>
        <w:rPr>
          <w:rFonts w:ascii="Times New Roman" w:hAnsi="Times New Roman"/>
          <w:sz w:val="20"/>
        </w:rPr>
      </w:pPr>
      <w:r>
        <w:rPr>
          <w:rFonts w:ascii="Times New Roman" w:hAnsi="Times New Roman"/>
          <w:color w:val="000000"/>
          <w:sz w:val="18"/>
        </w:rPr>
        <w:t>The Company’s activities have largely consisted of research and development efforts related to developing our CAB programs. Research and development expenses consist of expenses incurred in performing research and development activities including salaries and benefits, facilities and other overhead expenses, clinical trials, contract services and other outside expenses. Research and development expenses are charged to expense as incurred. Payments for these activities are based on the terms of the individual agreements, which may differ from the pattern of costs incurred, and are reflected in the accompanying balance sheets as prepaid or accrued expenses. When evaluating the adequacy of the accrued expenses, the Company analyzes progress of the services, including the phase or completion of events, invoices received and contracted costs. Significant judgments and estimates may be made in determining the accrued balances at the end of any reporting period. Actual results could differ from the Company’s estimates.</w:t>
      </w:r>
      <w:r>
        <w:rPr>
          <w:rFonts w:ascii="Times New Roman" w:hAnsi="Times New Roman"/>
          <w:color w:val="000000"/>
          <w:sz w:val="20"/>
        </w:rPr>
        <w:t xml:space="preserve"> </w:t>
      </w:r>
    </w:p>
    <w:p>
      <w:pPr>
        <w:pStyle w:val="TextBody"/>
        <w:bidi w:val="0"/>
        <w:spacing w:before="216" w:after="283"/>
        <w:jc w:val="left"/>
        <w:rPr>
          <w:rFonts w:ascii="Times New Roman" w:hAnsi="Times New Roman"/>
          <w:sz w:val="20"/>
        </w:rPr>
      </w:pPr>
      <w:r>
        <w:rPr>
          <w:rFonts w:ascii="Times New Roman" w:hAnsi="Times New Roman"/>
          <w:color w:val="000000"/>
          <w:sz w:val="18"/>
        </w:rPr>
        <w:t>As of December 31, 2024,</w:t>
      </w:r>
      <w:r>
        <w:rPr>
          <w:rFonts w:ascii="Times New Roman" w:hAnsi="Times New Roman"/>
          <w:color w:val="000000"/>
          <w:sz w:val="20"/>
        </w:rPr>
        <w:t xml:space="preserve"> </w:t>
      </w:r>
      <w:r>
        <w:rPr>
          <w:rFonts w:ascii="Times New Roman" w:hAnsi="Times New Roman"/>
          <w:color w:val="000000"/>
          <w:sz w:val="18"/>
        </w:rPr>
        <w:t>the Company has accrued $5.7</w:t>
      </w:r>
      <w:r>
        <w:rPr>
          <w:rFonts w:ascii="Times New Roman" w:hAnsi="Times New Roman"/>
          <w:color w:val="000000"/>
          <w:sz w:val="20"/>
        </w:rPr>
        <w:t xml:space="preserve"> </w:t>
      </w:r>
      <w:r>
        <w:rPr>
          <w:rFonts w:ascii="Times New Roman" w:hAnsi="Times New Roman"/>
          <w:color w:val="000000"/>
          <w:sz w:val="18"/>
        </w:rPr>
        <w:t>million related to clinical trial costs.</w:t>
      </w:r>
      <w:r>
        <w:rPr>
          <w:rFonts w:ascii="Times New Roman" w:hAnsi="Times New Roman"/>
          <w:color w:val="000000"/>
          <w:sz w:val="20"/>
        </w:rPr>
        <w:t xml:space="preserve"> </w:t>
      </w:r>
      <w:r>
        <w:rPr>
          <w:rFonts w:ascii="Times New Roman" w:hAnsi="Times New Roman"/>
          <w:color w:val="000000"/>
          <w:sz w:val="18"/>
        </w:rPr>
        <w:t>The Company has entered into contracts related to its clinical trials with clinical research organizations. The Company reviews and accrues clinical trial costs based on work performed, which relies on estimates and assumptions of total trial management costs, sites activated, patients enrolled, and number of patient visits. The Company follows this method since reasonably dependable estimates of the costs applicable to clinical trials can be made. Accrued clinical trial costs are subject to revisions as the trials progress. Revisions are charged to expense in the period in which the facts that give rise to the revision become known. A modification in the protocol of a clinical trial or cancellation of a trial could result in a material change to the Company's results of operations.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Patent Costs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Costs related to filing and pursuing patent applications are recorded as general and administrative expenses and expensed as incurred since recoverability of such expenditures is uncertain.</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Stock-Based Compensation</w:t>
      </w:r>
    </w:p>
    <w:p>
      <w:pPr>
        <w:pStyle w:val="TextBody"/>
        <w:bidi w:val="0"/>
        <w:spacing w:before="108" w:after="283"/>
        <w:jc w:val="left"/>
        <w:rPr>
          <w:rFonts w:ascii="Times New Roman" w:hAnsi="Times New Roman"/>
          <w:sz w:val="20"/>
        </w:rPr>
      </w:pPr>
      <w:r>
        <w:rPr>
          <w:rFonts w:ascii="Times New Roman" w:hAnsi="Times New Roman"/>
          <w:color w:val="000000"/>
          <w:sz w:val="18"/>
        </w:rPr>
        <w:t>Stock-based compensation expense represents the grant date fair value of equity awards, consisting of stock options, restricted stock units (“RSUs”) and employee stock purchase plan rights, over the requisite service period of the awards (usually the vesting period) on a straight-line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basis. The Company estimates the fair value of stock option grants and employee stock purchase plan rights using the Black-Scholes option pricing model. Prior to the Company’s IPO, the fair value of RSUs was based on the estimated fair value of the underlying common stock on the date of grant and, subsequent to the Company’s IPO, the fair value is based on the closing sales price of the Company’s common stock on the date of grant. Equity award forfeitures are recognized as they occur.</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Income Taxes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financial statements and tax basis of assets and liabilities using enacted tax rates in effect for the year in which the differences are expected to reverse. The effect of a change in tax rates on deferred tax assets and liabilities is recognized as income in the period that includes the enactment date.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The Company recognizes net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exclusive of reversing temporary difference, tax-planning strategies, and the results of recent operations. If management determines that the Company would be able to realize its deferred tax assets in the future in excess of their net recorded amount, management would make an adjustment to the deferred tax asset valuation allowance, which would reduce the provision for income taxes.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records uncertain tax positions on the basis of a two-step process whereby (1) management determines whether it is more likely than not that the tax positions will be sustained on the basis of the technical merits of the position and (2) for those tax positions that meet the more-likely-than-not recognition threshold, management recognizes the largest amount of tax benefit that is more than 50% likely to be realized upon ultimate settlement with the related tax authority. The Company recognizes interest and penalties related to unrecognized tax benefits within income tax expense. Any accrued interest and penalties are included within the related tax liability.</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Comprehensive Loss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Comprehensive loss is defined as a change in equity during a period from transactions and other events and circumstances from non-owner sources, and consists of net loss and other comprehensive gain (loss). There have been no items qualifying as other comprehensive loss and, therefore, for all periods presented, the Company’s comprehensive loss was the same as its reported net loss.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Net Loss Per Share</w:t>
      </w:r>
    </w:p>
    <w:p>
      <w:pPr>
        <w:pStyle w:val="TextBody"/>
        <w:bidi w:val="0"/>
        <w:spacing w:before="108" w:after="283"/>
        <w:jc w:val="left"/>
        <w:rPr>
          <w:rFonts w:ascii="Times New Roman" w:hAnsi="Times New Roman"/>
          <w:sz w:val="20"/>
        </w:rPr>
      </w:pPr>
      <w:r>
        <w:rPr>
          <w:rFonts w:ascii="Times New Roman" w:hAnsi="Times New Roman"/>
          <w:color w:val="000000"/>
          <w:sz w:val="18"/>
        </w:rPr>
        <w:t>Basic net loss per common share is computed by dividing the net loss by the weighted-average number of common shares outstanding for the period, without consideration for potentially dilutive securities. Diluted net loss per share is computed by dividing the net loss by the weighted-average number of common shares and dilutive common stock equivalents outstanding for the period determined using the treasury-stock method. Dilutive common stock equivalents are comprised of RSUs, common stock options outstanding under the Company’s stock option plan, and contingently issuable shares under the BioAtla, Inc. Employee Stock Purchase Plan (the “ESPP”).</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Potentially dilutive securities not included in the calculation of diluted net loss per common share because to do so would be anti-dilutive are as follows (in common stock equivalents):</w:t>
      </w:r>
    </w:p>
    <w:tbl>
      <w:tblPr>
        <w:tblW w:w="4378" w:type="dxa"/>
        <w:jc w:val="left"/>
        <w:tblInd w:w="0" w:type="dxa"/>
        <w:tblLayout w:type="fixed"/>
        <w:tblCellMar>
          <w:top w:w="28" w:type="dxa"/>
          <w:left w:w="28" w:type="dxa"/>
          <w:bottom w:w="28" w:type="dxa"/>
          <w:right w:w="28" w:type="dxa"/>
        </w:tblCellMar>
      </w:tblPr>
      <w:tblGrid>
        <w:gridCol w:w="1861"/>
        <w:gridCol w:w="146"/>
        <w:gridCol w:w="916"/>
        <w:gridCol w:w="146"/>
        <w:gridCol w:w="146"/>
        <w:gridCol w:w="146"/>
        <w:gridCol w:w="826"/>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6,096,046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6,273,507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99,104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ESPP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57,253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17,407,073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6,429,864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00" w:after="283"/>
        <w:jc w:val="left"/>
        <w:rPr>
          <w:rFonts w:ascii="Times New Roman" w:hAnsi="Times New Roman"/>
          <w:b/>
          <w:i/>
          <w:color w:val="000000"/>
          <w:sz w:val="18"/>
        </w:rPr>
      </w:pPr>
      <w:r>
        <w:rPr>
          <w:rFonts w:ascii="Times New Roman" w:hAnsi="Times New Roman"/>
          <w:b/>
          <w:i/>
          <w:color w:val="000000"/>
          <w:sz w:val="18"/>
        </w:rPr>
        <w:t>Recent Accounting Pronouncements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In November 2023, the Financial Accounting Standards Board (FASB) issued Accounting Standard Update (“ASU”) No. 2023 07, Segment Reporting (Topic 280) – Improvements to Reportable Segment Disclosures (ASU 2023-07), which is intended to improve reportable segment disclosure requirements, primarily through enhanced disclosures about significant segment expenses. Effective January 1, 2024, the Company adopted the new standard on a retrospective basis for annual periods, and interim periods beginning for the first quarter of 2025. The Company has included the new disclosures in Note 11 to the financial statements.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December 2023, the FASB issued ASU No. 2023-09, “Income Taxes (Topic 740): Improvements to Income Tax Disclosures”. ASU 2023-09 requires disaggregated information about a reporting entity's effective tax rate reconciliation as well as information on income taxes paid. ASU 2023-09 is effective for public entities with annual periods beginning after December 15, 2024, with early adoption permitted. The Company is currently evaluating the impact of this guidance on its financial statements.</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2. Balance Sheet Details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Prepaid expenses and other current assets consist of the following (in thousands):</w:t>
      </w:r>
    </w:p>
    <w:p>
      <w:pPr>
        <w:pStyle w:val="TextBody"/>
        <w:bidi w:val="0"/>
        <w:jc w:val="left"/>
        <w:rPr/>
      </w:pPr>
      <w:r>
        <w:rPr/>
        <w:t> </w:t>
      </w:r>
    </w:p>
    <w:tbl>
      <w:tblPr>
        <w:tblW w:w="5134" w:type="dxa"/>
        <w:jc w:val="left"/>
        <w:tblInd w:w="0" w:type="dxa"/>
        <w:tblLayout w:type="fixed"/>
        <w:tblCellMar>
          <w:top w:w="28" w:type="dxa"/>
          <w:left w:w="28" w:type="dxa"/>
          <w:bottom w:w="28" w:type="dxa"/>
          <w:right w:w="28" w:type="dxa"/>
        </w:tblCellMar>
      </w:tblPr>
      <w:tblGrid>
        <w:gridCol w:w="3091"/>
        <w:gridCol w:w="146"/>
        <w:gridCol w:w="196"/>
        <w:gridCol w:w="511"/>
        <w:gridCol w:w="146"/>
        <w:gridCol w:w="146"/>
        <w:gridCol w:w="196"/>
        <w:gridCol w:w="511"/>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Prepaid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prepaid expenses and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Property and equipment consist of the following (in thousands):</w:t>
      </w:r>
    </w:p>
    <w:p>
      <w:pPr>
        <w:pStyle w:val="TextBody"/>
        <w:bidi w:val="0"/>
        <w:jc w:val="left"/>
        <w:rPr/>
      </w:pPr>
      <w:r>
        <w:rPr/>
        <w:t> </w:t>
      </w:r>
    </w:p>
    <w:tbl>
      <w:tblPr>
        <w:tblW w:w="7271" w:type="dxa"/>
        <w:jc w:val="left"/>
        <w:tblInd w:w="0" w:type="dxa"/>
        <w:tblLayout w:type="fixed"/>
        <w:tblCellMar>
          <w:top w:w="28" w:type="dxa"/>
          <w:left w:w="28" w:type="dxa"/>
          <w:bottom w:w="28" w:type="dxa"/>
          <w:right w:w="28" w:type="dxa"/>
        </w:tblCellMar>
      </w:tblPr>
      <w:tblGrid>
        <w:gridCol w:w="3481"/>
        <w:gridCol w:w="146"/>
        <w:gridCol w:w="1441"/>
        <w:gridCol w:w="146"/>
        <w:gridCol w:w="196"/>
        <w:gridCol w:w="571"/>
        <w:gridCol w:w="166"/>
        <w:gridCol w:w="146"/>
        <w:gridCol w:w="196"/>
        <w:gridCol w:w="571"/>
        <w:gridCol w:w="211"/>
      </w:tblGrid>
      <w:tr>
        <w:trPr/>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Useful 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Furniture, fixtures and office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3</w:t>
            </w:r>
            <w:r>
              <w:rPr>
                <w:rFonts w:ascii="Times New Roman" w:hAnsi="Times New Roman"/>
                <w:color w:val="000000"/>
                <w:sz w:val="20"/>
              </w:rPr>
              <w:t> </w:t>
            </w:r>
            <w:r>
              <w:rPr>
                <w:rFonts w:ascii="Times New Roman" w:hAnsi="Times New Roman"/>
                <w:color w:val="000000"/>
                <w:sz w:val="18"/>
              </w:rPr>
              <w:t>- 7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2</w:t>
            </w:r>
            <w:r>
              <w:rPr>
                <w:rFonts w:ascii="Times New Roman" w:hAnsi="Times New Roman"/>
                <w:color w:val="000000"/>
                <w:sz w:val="20"/>
              </w:rPr>
              <w:t> </w:t>
            </w:r>
            <w:r>
              <w:rPr>
                <w:rFonts w:ascii="Times New Roman" w:hAnsi="Times New Roman"/>
                <w:color w:val="000000"/>
                <w:sz w:val="18"/>
              </w:rPr>
              <w:t>- 3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(6,078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4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Accounts payable and accrued expenses consist of the following (in thousands):</w:t>
      </w:r>
    </w:p>
    <w:p>
      <w:pPr>
        <w:pStyle w:val="TextBody"/>
        <w:bidi w:val="0"/>
        <w:jc w:val="left"/>
        <w:rPr/>
      </w:pPr>
      <w:r>
        <w:rPr/>
        <w:t> </w:t>
      </w:r>
    </w:p>
    <w:tbl>
      <w:tblPr>
        <w:tblW w:w="4819" w:type="dxa"/>
        <w:jc w:val="left"/>
        <w:tblInd w:w="0" w:type="dxa"/>
        <w:tblLayout w:type="fixed"/>
        <w:tblCellMar>
          <w:top w:w="28" w:type="dxa"/>
          <w:left w:w="28" w:type="dxa"/>
          <w:bottom w:w="28" w:type="dxa"/>
          <w:right w:w="28" w:type="dxa"/>
        </w:tblCellMar>
      </w:tblPr>
      <w:tblGrid>
        <w:gridCol w:w="2596"/>
        <w:gridCol w:w="146"/>
        <w:gridCol w:w="196"/>
        <w:gridCol w:w="601"/>
        <w:gridCol w:w="146"/>
        <w:gridCol w:w="146"/>
        <w:gridCol w:w="196"/>
        <w:gridCol w:w="601"/>
        <w:gridCol w:w="1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Accrued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3. Fair Value Measurements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Company’s financial instruments consist of cash and cash equivalents, accounts payable and accrued expenses, and warrants to purchase common stock. The carrying amounts of the Company’s cash and cash equivalents and accounts payable and accrued expenses are considered to be representative of their respective fair values due to their short-term nature.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 xml:space="preserve">The accounting guidance defines fair value, establishes a consistent framework for measuring fair value and expands disclosure for each major asset and liability category measured at fair value on either a recurring or non-recurring basis. Fair value is defined as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the accounting guidance establishes a three-tier fair value hierarchy, which prioritizes the inputs used in measuring fair value as follows: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Level 1: Observable inputs such as quoted prices in active markets.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Level 2: Inputs, other than the quoted prices in active markets that are observable either directly or indirectly.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Level 3: Unobservable inputs in which there is little or no market data, which require the reporting entity to develop its own assumptions.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When quoted market prices are available in active markets, the fair value of assets and liabilities is estimated within Level 1 of the valuation hierarchy. If quoted prices are not available, then fair values are estimated by using pricing models, quoted prices of assets and liabilities with similar characteristics, or discounted cash flows within Level 2 of the valuation hierarchy. In cases where Level 1 or Level 2 inputs are not available, the fair values are estimated by using inputs within Level 3 of the hierarchy.</w:t>
      </w:r>
    </w:p>
    <w:p>
      <w:pPr>
        <w:pStyle w:val="TextBody"/>
        <w:bidi w:val="0"/>
        <w:spacing w:before="216" w:after="283"/>
        <w:jc w:val="left"/>
        <w:rPr>
          <w:rFonts w:ascii="Times New Roman" w:hAnsi="Times New Roman"/>
          <w:sz w:val="20"/>
        </w:rPr>
      </w:pPr>
      <w:r>
        <w:rPr>
          <w:rFonts w:ascii="Times New Roman" w:hAnsi="Times New Roman"/>
          <w:color w:val="000000"/>
          <w:sz w:val="18"/>
        </w:rPr>
        <w:t>The Company has determined the estimated fair value of its financial instruments based on appropriate valuation methodologies; however, considerable judgment is required to develop these estimates. Accordingly, these estimated fair values are not necessarily indicative of the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89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amounts the Company could realize in a current market exchange. The estimated fair values can be materially affected by using different assumptions or methodologies. The methods and assumptions used in estimating the fair values of financial instruments are based on carrying values and future cash flows.</w:t>
      </w:r>
      <w:r>
        <w:rPr>
          <w:rFonts w:ascii="Times New Roman" w:hAnsi="Times New Roman"/>
          <w:color w:val="000000"/>
          <w:sz w:val="20"/>
        </w:rPr>
        <w:t xml:space="preserve"> </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tables present information about the Company’s financial assets and liabilities measured at fair value on a recurring basis and indicate the level of the fair value hierarchy utilized to determine such fair values (in thousands):</w:t>
      </w:r>
    </w:p>
    <w:p>
      <w:pPr>
        <w:pStyle w:val="TextBody"/>
        <w:bidi w:val="0"/>
        <w:spacing w:before="108" w:after="283"/>
        <w:jc w:val="left"/>
        <w:rPr/>
      </w:pPr>
      <w:r>
        <w:rPr/>
        <w:t> </w:t>
      </w:r>
    </w:p>
    <w:tbl>
      <w:tblPr>
        <w:tblW w:w="5980" w:type="dxa"/>
        <w:jc w:val="left"/>
        <w:tblInd w:w="0" w:type="dxa"/>
        <w:tblLayout w:type="fixed"/>
        <w:tblCellMar>
          <w:top w:w="28" w:type="dxa"/>
          <w:left w:w="28" w:type="dxa"/>
          <w:bottom w:w="28" w:type="dxa"/>
          <w:right w:w="28" w:type="dxa"/>
        </w:tblCellMar>
      </w:tblPr>
      <w:tblGrid>
        <w:gridCol w:w="1521"/>
        <w:gridCol w:w="146"/>
        <w:gridCol w:w="196"/>
        <w:gridCol w:w="601"/>
        <w:gridCol w:w="146"/>
        <w:gridCol w:w="146"/>
        <w:gridCol w:w="233"/>
        <w:gridCol w:w="412"/>
        <w:gridCol w:w="146"/>
        <w:gridCol w:w="146"/>
        <w:gridCol w:w="196"/>
        <w:gridCol w:w="511"/>
        <w:gridCol w:w="146"/>
        <w:gridCol w:w="146"/>
        <w:gridCol w:w="196"/>
        <w:gridCol w:w="601"/>
        <w:gridCol w:w="4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38,822</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108" w:after="283"/>
        <w:jc w:val="left"/>
        <w:rPr/>
      </w:pPr>
      <w:r>
        <w:rPr/>
        <w:t> </w:t>
      </w:r>
    </w:p>
    <w:p>
      <w:pPr>
        <w:pStyle w:val="TextBody"/>
        <w:bidi w:val="0"/>
        <w:spacing w:before="108" w:after="283"/>
        <w:jc w:val="left"/>
        <w:rPr/>
      </w:pPr>
      <w:r>
        <w:rPr/>
        <w:t> </w:t>
      </w:r>
    </w:p>
    <w:tbl>
      <w:tblPr>
        <w:tblW w:w="5818" w:type="dxa"/>
        <w:jc w:val="left"/>
        <w:tblInd w:w="0" w:type="dxa"/>
        <w:tblLayout w:type="fixed"/>
        <w:tblCellMar>
          <w:top w:w="28" w:type="dxa"/>
          <w:left w:w="28" w:type="dxa"/>
          <w:bottom w:w="28" w:type="dxa"/>
          <w:right w:w="28" w:type="dxa"/>
        </w:tblCellMar>
      </w:tblPr>
      <w:tblGrid>
        <w:gridCol w:w="1521"/>
        <w:gridCol w:w="146"/>
        <w:gridCol w:w="196"/>
        <w:gridCol w:w="601"/>
        <w:gridCol w:w="146"/>
        <w:gridCol w:w="146"/>
        <w:gridCol w:w="233"/>
        <w:gridCol w:w="412"/>
        <w:gridCol w:w="146"/>
        <w:gridCol w:w="146"/>
        <w:gridCol w:w="233"/>
        <w:gridCol w:w="412"/>
        <w:gridCol w:w="146"/>
        <w:gridCol w:w="146"/>
        <w:gridCol w:w="196"/>
        <w:gridCol w:w="601"/>
        <w:gridCol w:w="391"/>
      </w:tblGrid>
      <w:tr>
        <w:trPr/>
        <w:tc>
          <w:tcPr>
            <w:tcW w:w="1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50,416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1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Cash Equivalents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Cash equivalents are comprised of money market funds, which are classified within Level 1 of the fair value hierarchy because they are valued using quoted market prices in active markets.</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Warrant Liability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of December 31, 2024, Level 3 liabilities include the warrant liability which resulted from warrants being issued on December 20, 2024 (as further described in Note 6), which did not meet the criteria for equity classification in accordance with ASC Subtopic 815-40, Derivatives and Hedging - Contracts in Entity’s Own Equity (“ASC 815-40”), and are therefore accounted for as liabilities at fair value. The Company did not have any Level 3 assets or liabilities as of December 31, 2023.</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estimates the fair value of its Warrants using significant unobservable inputs, which represent Level 3 measurements within the fair value hierarchy. The Company estimated the fair value of the Warrants using the Black-Scholes option pricing model.</w:t>
      </w:r>
    </w:p>
    <w:p>
      <w:pPr>
        <w:pStyle w:val="TextBody"/>
        <w:bidi w:val="0"/>
        <w:spacing w:before="216" w:after="108"/>
        <w:jc w:val="left"/>
        <w:rPr>
          <w:rFonts w:ascii="Times New Roman" w:hAnsi="Times New Roman"/>
          <w:color w:val="000000"/>
          <w:sz w:val="18"/>
        </w:rPr>
      </w:pPr>
      <w:r>
        <w:rPr>
          <w:rFonts w:ascii="Times New Roman" w:hAnsi="Times New Roman"/>
          <w:color w:val="000000"/>
          <w:sz w:val="18"/>
        </w:rPr>
        <w:t>The significant inputs used in the valuation models at issuance and December 31, 2024, to measure the fair value of the Warrants are as follows:</w:t>
      </w:r>
    </w:p>
    <w:tbl>
      <w:tblPr>
        <w:tblW w:w="4465" w:type="dxa"/>
        <w:jc w:val="left"/>
        <w:tblInd w:w="0" w:type="dxa"/>
        <w:tblLayout w:type="fixed"/>
        <w:tblCellMar>
          <w:top w:w="28" w:type="dxa"/>
          <w:left w:w="28" w:type="dxa"/>
          <w:bottom w:w="28" w:type="dxa"/>
          <w:right w:w="28" w:type="dxa"/>
        </w:tblCellMar>
      </w:tblPr>
      <w:tblGrid>
        <w:gridCol w:w="1846"/>
        <w:gridCol w:w="146"/>
        <w:gridCol w:w="1141"/>
        <w:gridCol w:w="146"/>
        <w:gridCol w:w="1186"/>
      </w:tblGrid>
      <w:tr>
        <w:trPr/>
        <w:tc>
          <w:tcPr>
            <w:tcW w:w="1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Valuation Date</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20,</w:t>
              <w:b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br/>
              <w:t>2024</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$0.59</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4.40%</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w:t>
            </w:r>
          </w:p>
        </w:tc>
      </w:tr>
      <w:tr>
        <w:trPr/>
        <w:tc>
          <w:tcPr>
            <w:tcW w:w="18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following table presents the changes in the fair value of Level 3 liabilities for the year ended December 31, 2024 (in thousands):</w:t>
      </w:r>
    </w:p>
    <w:tbl>
      <w:tblPr>
        <w:tblW w:w="5103" w:type="dxa"/>
        <w:jc w:val="left"/>
        <w:tblInd w:w="0" w:type="dxa"/>
        <w:tblLayout w:type="fixed"/>
        <w:tblCellMar>
          <w:top w:w="28" w:type="dxa"/>
          <w:left w:w="28" w:type="dxa"/>
          <w:bottom w:w="28" w:type="dxa"/>
          <w:right w:w="28" w:type="dxa"/>
        </w:tblCellMar>
      </w:tblPr>
      <w:tblGrid>
        <w:gridCol w:w="3096"/>
        <w:gridCol w:w="146"/>
        <w:gridCol w:w="406"/>
        <w:gridCol w:w="1064"/>
        <w:gridCol w:w="391"/>
      </w:tblGrid>
      <w:tr>
        <w:trPr/>
        <w:tc>
          <w:tcPr>
            <w:tcW w:w="30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Warrant Liability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Issuance of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0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sz w:val="20"/>
        </w:rPr>
      </w:pPr>
      <w:r>
        <w:rPr>
          <w:rFonts w:ascii="Times New Roman" w:hAnsi="Times New Roman"/>
          <w:color w:val="000000"/>
          <w:sz w:val="18"/>
        </w:rPr>
        <w:t>Changes in the fair value of the liability-classified Warrants are recognized as a component of other income, net in the statement of operations. No transfers between levels have occurred during the periods presented.</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4. Leases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The Company has a single operating lease for its corporate headquarters and laboratory space in San Diego, California. The lease expires in July 2025 and the Company has an option to extend the term of the lease for an additional five years. Additionally, the lease includes certain rent abatement, rent escalations, tenant improvement allowances and additional charges for common area maintenance and other costs. </w:t>
      </w:r>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components of lease expense included in the Company’s statements of operations and loss include (in thousands):</w:t>
      </w:r>
    </w:p>
    <w:tbl>
      <w:tblPr>
        <w:tblW w:w="4310" w:type="dxa"/>
        <w:jc w:val="left"/>
        <w:tblInd w:w="0" w:type="dxa"/>
        <w:tblLayout w:type="fixed"/>
        <w:tblCellMar>
          <w:top w:w="28" w:type="dxa"/>
          <w:left w:w="28" w:type="dxa"/>
          <w:bottom w:w="28" w:type="dxa"/>
          <w:right w:w="28" w:type="dxa"/>
        </w:tblCellMar>
      </w:tblPr>
      <w:tblGrid>
        <w:gridCol w:w="1831"/>
        <w:gridCol w:w="146"/>
        <w:gridCol w:w="246"/>
        <w:gridCol w:w="642"/>
        <w:gridCol w:w="183"/>
        <w:gridCol w:w="183"/>
        <w:gridCol w:w="246"/>
        <w:gridCol w:w="642"/>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Variable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lease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1,732</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color w:val="000000"/>
          <w:sz w:val="18"/>
        </w:rPr>
      </w:pPr>
      <w:r>
        <w:rPr>
          <w:rFonts w:ascii="Times New Roman" w:hAnsi="Times New Roman"/>
          <w:color w:val="000000"/>
          <w:sz w:val="18"/>
        </w:rPr>
        <w:t>Variable lease costs are primarily related to payments made to lessors for common area maintenance, property taxes, insurance, and other operating expenses. The Company did not have any short-term leases or finance leases for the year ended December 31, 2024.</w:t>
      </w:r>
    </w:p>
    <w:p>
      <w:pPr>
        <w:pStyle w:val="TextBody"/>
        <w:bidi w:val="0"/>
        <w:spacing w:before="216" w:after="216"/>
        <w:jc w:val="left"/>
        <w:rPr>
          <w:rFonts w:ascii="Times New Roman" w:hAnsi="Times New Roman"/>
          <w:color w:val="000000"/>
          <w:sz w:val="18"/>
        </w:rPr>
      </w:pPr>
      <w:r>
        <w:rPr>
          <w:rFonts w:ascii="Times New Roman" w:hAnsi="Times New Roman"/>
          <w:color w:val="000000"/>
          <w:sz w:val="18"/>
        </w:rPr>
        <w:t>The weighted average remaining lease term and weighted average discount rate for operating leases were as follows:</w:t>
      </w:r>
    </w:p>
    <w:tbl>
      <w:tblPr>
        <w:tblW w:w="5584" w:type="dxa"/>
        <w:jc w:val="left"/>
        <w:tblInd w:w="0" w:type="dxa"/>
        <w:tblLayout w:type="fixed"/>
        <w:tblCellMar>
          <w:top w:w="28" w:type="dxa"/>
          <w:left w:w="28" w:type="dxa"/>
          <w:bottom w:w="28" w:type="dxa"/>
          <w:right w:w="28" w:type="dxa"/>
        </w:tblCellMar>
      </w:tblPr>
      <w:tblGrid>
        <w:gridCol w:w="3601"/>
        <w:gridCol w:w="146"/>
        <w:gridCol w:w="146"/>
        <w:gridCol w:w="421"/>
        <w:gridCol w:w="256"/>
        <w:gridCol w:w="146"/>
        <w:gridCol w:w="146"/>
        <w:gridCol w:w="421"/>
        <w:gridCol w:w="30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discount rate percentage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Supplemental cash flow information related to leases under which the Company is the lessee was as follows (amounts in thousands):</w:t>
      </w:r>
    </w:p>
    <w:tbl>
      <w:tblPr>
        <w:tblW w:w="7625" w:type="dxa"/>
        <w:jc w:val="left"/>
        <w:tblInd w:w="0" w:type="dxa"/>
        <w:tblLayout w:type="fixed"/>
        <w:tblCellMar>
          <w:top w:w="28" w:type="dxa"/>
          <w:left w:w="28" w:type="dxa"/>
          <w:bottom w:w="28" w:type="dxa"/>
          <w:right w:w="28" w:type="dxa"/>
        </w:tblCellMar>
      </w:tblPr>
      <w:tblGrid>
        <w:gridCol w:w="5146"/>
        <w:gridCol w:w="146"/>
        <w:gridCol w:w="246"/>
        <w:gridCol w:w="642"/>
        <w:gridCol w:w="183"/>
        <w:gridCol w:w="183"/>
        <w:gridCol w:w="246"/>
        <w:gridCol w:w="642"/>
        <w:gridCol w:w="191"/>
      </w:tblGrid>
      <w:tr>
        <w:trPr/>
        <w:tc>
          <w:tcPr>
            <w:tcW w:w="5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paid for amounts included in the measurement of operating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1,685</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16"/>
        <w:jc w:val="left"/>
        <w:rPr>
          <w:rFonts w:ascii="Times New Roman" w:hAnsi="Times New Roman"/>
          <w:color w:val="000000"/>
          <w:sz w:val="18"/>
        </w:rPr>
      </w:pPr>
      <w:r>
        <w:rPr>
          <w:rFonts w:ascii="Times New Roman" w:hAnsi="Times New Roman"/>
          <w:color w:val="000000"/>
          <w:sz w:val="18"/>
        </w:rPr>
        <w:t>Maturities of operating lease liabilities as of December 31, 2024 were as follows (in thousands):</w:t>
      </w:r>
    </w:p>
    <w:tbl>
      <w:tblPr>
        <w:tblW w:w="3494" w:type="dxa"/>
        <w:jc w:val="left"/>
        <w:tblInd w:w="0" w:type="dxa"/>
        <w:tblLayout w:type="fixed"/>
        <w:tblCellMar>
          <w:top w:w="28" w:type="dxa"/>
          <w:left w:w="28" w:type="dxa"/>
          <w:bottom w:w="28" w:type="dxa"/>
          <w:right w:w="28" w:type="dxa"/>
        </w:tblCellMar>
      </w:tblPr>
      <w:tblGrid>
        <w:gridCol w:w="2251"/>
        <w:gridCol w:w="146"/>
        <w:gridCol w:w="303"/>
        <w:gridCol w:w="583"/>
        <w:gridCol w:w="211"/>
      </w:tblGrid>
      <w:tr>
        <w:trPr/>
        <w:tc>
          <w:tcPr>
            <w:tcW w:w="2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u w:val="single"/>
              </w:rPr>
            </w:pPr>
            <w:r>
              <w:rPr>
                <w:rFonts w:ascii="Times New Roman" w:hAnsi="Times New Roman"/>
                <w:b/>
                <w:color w:val="000000"/>
                <w:sz w:val="18"/>
                <w:u w:val="single"/>
              </w:rPr>
              <w:t>Years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Operating</w:t>
              <w:br/>
              <w:t>lease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future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pPr>
      <w:r>
        <w:rPr/>
        <w:t>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5. Commitments and Contingencies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From time to time, the Company may be subject to various claims and suits arising in the ordinary course of business. The Company is not currently a party to any legal proceedings the outcome of which the Company believes, if determined adversely to the Company, would individually or in the aggregate have a material adverse effect on the Company’s business, operating results or financial condition.</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6. Stockholders’ Equity</w:t>
      </w:r>
    </w:p>
    <w:p>
      <w:pPr>
        <w:pStyle w:val="TextBody"/>
        <w:bidi w:val="0"/>
        <w:jc w:val="left"/>
        <w:rPr/>
      </w:pPr>
      <w:r>
        <w:rPr/>
        <w:t> </w:t>
      </w:r>
    </w:p>
    <w:p>
      <w:pPr>
        <w:pStyle w:val="TextBody"/>
        <w:bidi w:val="0"/>
        <w:spacing w:before="108" w:after="283"/>
        <w:jc w:val="left"/>
        <w:rPr>
          <w:rFonts w:ascii="Times New Roman" w:hAnsi="Times New Roman"/>
          <w:b/>
          <w:i/>
          <w:color w:val="000000"/>
          <w:sz w:val="18"/>
        </w:rPr>
      </w:pPr>
      <w:r>
        <w:rPr>
          <w:rFonts w:ascii="Times New Roman" w:hAnsi="Times New Roman"/>
          <w:b/>
          <w:i/>
          <w:color w:val="000000"/>
          <w:sz w:val="18"/>
        </w:rPr>
        <w:t>Description of securities of Delaware corporation</w:t>
      </w:r>
    </w:p>
    <w:p>
      <w:pPr>
        <w:pStyle w:val="TextBody"/>
        <w:bidi w:val="0"/>
        <w:spacing w:before="108" w:after="283"/>
        <w:jc w:val="left"/>
        <w:rPr>
          <w:rFonts w:ascii="Times New Roman" w:hAnsi="Times New Roman"/>
          <w:sz w:val="20"/>
        </w:rPr>
      </w:pPr>
      <w:r>
        <w:rPr>
          <w:rFonts w:ascii="Times New Roman" w:hAnsi="Times New Roman"/>
          <w:color w:val="000000"/>
          <w:sz w:val="18"/>
        </w:rPr>
        <w:t>The Company is authorized to issue 200,000,000</w:t>
      </w:r>
      <w:r>
        <w:rPr>
          <w:rFonts w:ascii="Times New Roman" w:hAnsi="Times New Roman"/>
          <w:color w:val="000000"/>
          <w:sz w:val="20"/>
        </w:rPr>
        <w:t xml:space="preserve"> </w:t>
      </w:r>
      <w:r>
        <w:rPr>
          <w:rFonts w:ascii="Times New Roman" w:hAnsi="Times New Roman"/>
          <w:color w:val="000000"/>
          <w:sz w:val="18"/>
        </w:rPr>
        <w:t>shares of preferred stock, par value $0.0001</w:t>
      </w:r>
      <w:r>
        <w:rPr>
          <w:rFonts w:ascii="Times New Roman" w:hAnsi="Times New Roman"/>
          <w:color w:val="000000"/>
          <w:sz w:val="20"/>
        </w:rPr>
        <w:t xml:space="preserve"> </w:t>
      </w:r>
      <w:r>
        <w:rPr>
          <w:rFonts w:ascii="Times New Roman" w:hAnsi="Times New Roman"/>
          <w:color w:val="000000"/>
          <w:sz w:val="18"/>
        </w:rPr>
        <w:t>per share, 350,000,000</w:t>
      </w:r>
      <w:r>
        <w:rPr>
          <w:rFonts w:ascii="Times New Roman" w:hAnsi="Times New Roman"/>
          <w:color w:val="000000"/>
          <w:sz w:val="20"/>
        </w:rPr>
        <w:t xml:space="preserve"> </w:t>
      </w:r>
      <w:r>
        <w:rPr>
          <w:rFonts w:ascii="Times New Roman" w:hAnsi="Times New Roman"/>
          <w:color w:val="000000"/>
          <w:sz w:val="18"/>
        </w:rPr>
        <w:t>shares of common stock, par value $0.0001</w:t>
      </w:r>
      <w:r>
        <w:rPr>
          <w:rFonts w:ascii="Times New Roman" w:hAnsi="Times New Roman"/>
          <w:color w:val="000000"/>
          <w:sz w:val="20"/>
        </w:rPr>
        <w:t xml:space="preserve"> </w:t>
      </w:r>
      <w:r>
        <w:rPr>
          <w:rFonts w:ascii="Times New Roman" w:hAnsi="Times New Roman"/>
          <w:color w:val="000000"/>
          <w:sz w:val="18"/>
        </w:rPr>
        <w:t>per share, and 15,368,569</w:t>
      </w:r>
      <w:r>
        <w:rPr>
          <w:rFonts w:ascii="Times New Roman" w:hAnsi="Times New Roman"/>
          <w:color w:val="000000"/>
          <w:sz w:val="20"/>
        </w:rPr>
        <w:t xml:space="preserve"> </w:t>
      </w:r>
      <w:r>
        <w:rPr>
          <w:rFonts w:ascii="Times New Roman" w:hAnsi="Times New Roman"/>
          <w:color w:val="000000"/>
          <w:sz w:val="18"/>
        </w:rPr>
        <w:t>shares of Class B common stock, par value $0.0001</w:t>
      </w:r>
      <w:r>
        <w:rPr>
          <w:rFonts w:ascii="Times New Roman" w:hAnsi="Times New Roman"/>
          <w:color w:val="000000"/>
          <w:sz w:val="20"/>
        </w:rPr>
        <w:t xml:space="preserve"> </w:t>
      </w:r>
      <w:r>
        <w:rPr>
          <w:rFonts w:ascii="Times New Roman" w:hAnsi="Times New Roman"/>
          <w:color w:val="000000"/>
          <w:sz w:val="18"/>
        </w:rPr>
        <w:t>per share.</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Dividends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Subject to preferences that may be applicable to any outstanding shares of preferred stock, holders of the Company’s common stock and Class B common stock are entitled to receive dividends only if declared from time to time by the Company’s board of directors out of assets which are legally available.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Liquidation preferences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Upon any liquidation, dissolution or winding-up of the Company, holders of the Company’s common stock and Class B common stock are entitled to share ratably in all assets remaining after payment of all liabilities and the liquidation preferences of any of our outstanding shares of preferred stock.</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Conversion</w:t>
      </w:r>
    </w:p>
    <w:p>
      <w:pPr>
        <w:pStyle w:val="TextBody"/>
        <w:bidi w:val="0"/>
        <w:spacing w:before="108" w:after="283"/>
        <w:jc w:val="left"/>
        <w:rPr>
          <w:rFonts w:ascii="Times New Roman" w:hAnsi="Times New Roman"/>
          <w:sz w:val="20"/>
        </w:rPr>
      </w:pPr>
      <w:r>
        <w:rPr>
          <w:rFonts w:ascii="Times New Roman" w:hAnsi="Times New Roman"/>
          <w:color w:val="000000"/>
          <w:sz w:val="18"/>
        </w:rPr>
        <w:t>Holders of the Company’s common stock have no conversion rights, while holders of the Company’s Class B common stock shall have the right to convert each share of Class B common stock into one share of common stock at such holder’s election, provided that as a result of such conversion, such holder would not beneficially own in excess of 4.99% of any class of the Company’s securities registered under the Securities Exchange Act of 1934, as amended, unless otherwise as expressly provided for in the Company’s amended and restated certificate of incorporation. This ownership limitation may be increased or decreased to any other percentage designated by such holder of Class B common stock upon 61</w:t>
      </w:r>
      <w:r>
        <w:rPr>
          <w:rFonts w:ascii="Times New Roman" w:hAnsi="Times New Roman"/>
          <w:color w:val="000000"/>
          <w:sz w:val="20"/>
        </w:rPr>
        <w:t xml:space="preserve"> </w:t>
      </w:r>
      <w:r>
        <w:rPr>
          <w:rFonts w:ascii="Times New Roman" w:hAnsi="Times New Roman"/>
          <w:color w:val="000000"/>
          <w:sz w:val="18"/>
        </w:rPr>
        <w:t>days’ notice to the Company.</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Voting rights</w:t>
      </w:r>
    </w:p>
    <w:p>
      <w:pPr>
        <w:pStyle w:val="TextBody"/>
        <w:bidi w:val="0"/>
        <w:spacing w:before="108" w:after="283"/>
        <w:jc w:val="left"/>
        <w:rPr>
          <w:rFonts w:ascii="Times New Roman" w:hAnsi="Times New Roman"/>
          <w:sz w:val="20"/>
        </w:rPr>
      </w:pPr>
      <w:r>
        <w:rPr>
          <w:rFonts w:ascii="Times New Roman" w:hAnsi="Times New Roman"/>
          <w:color w:val="000000"/>
          <w:sz w:val="18"/>
        </w:rPr>
        <w:t>Except as otherwise expressly provided in the Company’s amended and restated certificate of incorporation or as required by applicable law, on any matter that is submitted to a vote by the Company’s stockholders, holders of the Company’s common stock are entitled to one</w:t>
      </w:r>
      <w:r>
        <w:rPr>
          <w:rFonts w:ascii="Times New Roman" w:hAnsi="Times New Roman"/>
          <w:color w:val="000000"/>
          <w:sz w:val="20"/>
        </w:rPr>
        <w:t xml:space="preserve"> </w:t>
      </w:r>
      <w:r>
        <w:rPr>
          <w:rFonts w:ascii="Times New Roman" w:hAnsi="Times New Roman"/>
          <w:color w:val="000000"/>
          <w:sz w:val="18"/>
        </w:rPr>
        <w:t>vote per share of common stock, and holders of the Company’s Class B common stock are not entitled to any votes per share of Class B common stock, including for the election of directors.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Open Market Sale Agreement</w:t>
      </w:r>
    </w:p>
    <w:p>
      <w:pPr>
        <w:pStyle w:val="TextBody"/>
        <w:bidi w:val="0"/>
        <w:spacing w:before="108" w:after="283"/>
        <w:jc w:val="left"/>
        <w:rPr>
          <w:rFonts w:ascii="Times New Roman" w:hAnsi="Times New Roman"/>
          <w:sz w:val="20"/>
        </w:rPr>
      </w:pPr>
      <w:r>
        <w:rPr>
          <w:rFonts w:ascii="Times New Roman" w:hAnsi="Times New Roman"/>
          <w:color w:val="000000"/>
          <w:sz w:val="18"/>
        </w:rPr>
        <w:t>In January 2023, BioAtla, Inc. (the “Company”) entered into an open market sale agreement under which the Company may offer and sell, from time to time in its sole discretion, shares of the Company’s common stock, par value $0.0001</w:t>
      </w:r>
      <w:r>
        <w:rPr>
          <w:rFonts w:ascii="Times New Roman" w:hAnsi="Times New Roman"/>
          <w:color w:val="000000"/>
          <w:sz w:val="20"/>
        </w:rPr>
        <w:t xml:space="preserve"> </w:t>
      </w:r>
      <w:r>
        <w:rPr>
          <w:rFonts w:ascii="Times New Roman" w:hAnsi="Times New Roman"/>
          <w:color w:val="000000"/>
          <w:sz w:val="18"/>
        </w:rPr>
        <w:t>per share, with aggregate gross sales proceeds of up to $100,000,000</w:t>
      </w:r>
      <w:r>
        <w:rPr>
          <w:rFonts w:ascii="Times New Roman" w:hAnsi="Times New Roman"/>
          <w:color w:val="000000"/>
          <w:sz w:val="20"/>
        </w:rPr>
        <w:t xml:space="preserve"> </w:t>
      </w:r>
      <w:r>
        <w:rPr>
          <w:rFonts w:ascii="Times New Roman" w:hAnsi="Times New Roman"/>
          <w:color w:val="000000"/>
          <w:sz w:val="18"/>
        </w:rPr>
        <w:t>through an “at the market” equity offering program under which Jefferies LLC will act as sales agent. No shares have been sold under the agreement to date.</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December 2024 Offering and Warrant Issuance</w:t>
      </w:r>
    </w:p>
    <w:p>
      <w:pPr>
        <w:pStyle w:val="TextBody"/>
        <w:bidi w:val="0"/>
        <w:spacing w:before="108" w:after="283"/>
        <w:jc w:val="left"/>
        <w:rPr>
          <w:rFonts w:ascii="Times New Roman" w:hAnsi="Times New Roman"/>
          <w:sz w:val="20"/>
        </w:rPr>
      </w:pPr>
      <w:r>
        <w:rPr>
          <w:rFonts w:ascii="Times New Roman" w:hAnsi="Times New Roman"/>
          <w:color w:val="000000"/>
          <w:sz w:val="18"/>
        </w:rPr>
        <w:t>In December 2024, the Company closed on an offering (the “December 2024 Offering) of 9,679,158</w:t>
      </w:r>
      <w:r>
        <w:rPr>
          <w:rFonts w:ascii="Times New Roman" w:hAnsi="Times New Roman"/>
          <w:color w:val="000000"/>
          <w:sz w:val="20"/>
        </w:rPr>
        <w:t xml:space="preserve"> </w:t>
      </w:r>
      <w:r>
        <w:rPr>
          <w:rFonts w:ascii="Times New Roman" w:hAnsi="Times New Roman"/>
          <w:color w:val="000000"/>
          <w:sz w:val="18"/>
        </w:rPr>
        <w:t>shares of common stock at a price of $0.9520</w:t>
      </w:r>
      <w:r>
        <w:rPr>
          <w:rFonts w:ascii="Times New Roman" w:hAnsi="Times New Roman"/>
          <w:color w:val="000000"/>
          <w:sz w:val="20"/>
        </w:rPr>
        <w:t xml:space="preserve"> </w:t>
      </w:r>
      <w:r>
        <w:rPr>
          <w:rFonts w:ascii="Times New Roman" w:hAnsi="Times New Roman"/>
          <w:color w:val="000000"/>
          <w:sz w:val="18"/>
        </w:rPr>
        <w:t>per share with accompanying warrants to purchase up to 9,679,158</w:t>
      </w:r>
      <w:r>
        <w:rPr>
          <w:rFonts w:ascii="Times New Roman" w:hAnsi="Times New Roman"/>
          <w:color w:val="000000"/>
          <w:sz w:val="20"/>
        </w:rPr>
        <w:t xml:space="preserve"> </w:t>
      </w:r>
      <w:r>
        <w:rPr>
          <w:rFonts w:ascii="Times New Roman" w:hAnsi="Times New Roman"/>
          <w:color w:val="000000"/>
          <w:sz w:val="18"/>
        </w:rPr>
        <w:t>shares of common stock, which have an exercise price of $1.19</w:t>
      </w:r>
      <w:r>
        <w:rPr>
          <w:rFonts w:ascii="Times New Roman" w:hAnsi="Times New Roman"/>
          <w:color w:val="000000"/>
          <w:sz w:val="20"/>
        </w:rPr>
        <w:t xml:space="preserve"> </w:t>
      </w:r>
      <w:r>
        <w:rPr>
          <w:rFonts w:ascii="Times New Roman" w:hAnsi="Times New Roman"/>
          <w:color w:val="000000"/>
          <w:sz w:val="18"/>
        </w:rPr>
        <w:t>per share (the “Warrants”). The gross proceeds from the December 2024 Offering were approximately $9.2</w:t>
      </w:r>
      <w:r>
        <w:rPr>
          <w:rFonts w:ascii="Times New Roman" w:hAnsi="Times New Roman"/>
          <w:color w:val="000000"/>
          <w:sz w:val="20"/>
        </w:rPr>
        <w:t xml:space="preserve"> </w:t>
      </w:r>
      <w:r>
        <w:rPr>
          <w:rFonts w:ascii="Times New Roman" w:hAnsi="Times New Roman"/>
          <w:color w:val="000000"/>
          <w:sz w:val="18"/>
        </w:rPr>
        <w:t>million, before deducting $0.7</w:t>
      </w:r>
      <w:r>
        <w:rPr>
          <w:rFonts w:ascii="Times New Roman" w:hAnsi="Times New Roman"/>
          <w:color w:val="000000"/>
          <w:sz w:val="20"/>
        </w:rPr>
        <w:t xml:space="preserve"> </w:t>
      </w:r>
      <w:r>
        <w:rPr>
          <w:rFonts w:ascii="Times New Roman" w:hAnsi="Times New Roman"/>
          <w:color w:val="000000"/>
          <w:sz w:val="18"/>
        </w:rPr>
        <w:t>million of placement agent fees and other offering expenses payable by the Company. As discussed in Note 3, the Company recorded a liability of $4.6</w:t>
      </w:r>
      <w:r>
        <w:rPr>
          <w:rFonts w:ascii="Times New Roman" w:hAnsi="Times New Roman"/>
          <w:color w:val="000000"/>
          <w:sz w:val="20"/>
        </w:rPr>
        <w:t xml:space="preserve"> </w:t>
      </w:r>
      <w:r>
        <w:rPr>
          <w:rFonts w:ascii="Times New Roman" w:hAnsi="Times New Roman"/>
          <w:color w:val="000000"/>
          <w:sz w:val="18"/>
        </w:rPr>
        <w:t>million related to the issuance of the Warrants. The issuance costs of $0.7</w:t>
      </w:r>
      <w:r>
        <w:rPr>
          <w:rFonts w:ascii="Times New Roman" w:hAnsi="Times New Roman"/>
          <w:color w:val="000000"/>
          <w:sz w:val="20"/>
        </w:rPr>
        <w:t xml:space="preserve"> </w:t>
      </w:r>
      <w:r>
        <w:rPr>
          <w:rFonts w:ascii="Times New Roman" w:hAnsi="Times New Roman"/>
          <w:color w:val="000000"/>
          <w:sz w:val="18"/>
        </w:rPr>
        <w:t>million were allocated between the equity and warrant liability on a relative fair value basis. $0.4</w:t>
      </w:r>
      <w:r>
        <w:rPr>
          <w:rFonts w:ascii="Times New Roman" w:hAnsi="Times New Roman"/>
          <w:color w:val="000000"/>
          <w:sz w:val="20"/>
        </w:rPr>
        <w:t xml:space="preserve"> </w:t>
      </w:r>
      <w:r>
        <w:rPr>
          <w:rFonts w:ascii="Times New Roman" w:hAnsi="Times New Roman"/>
          <w:color w:val="000000"/>
          <w:sz w:val="18"/>
        </w:rPr>
        <w:t>million of issuance costs were allocated to the shares of common stock as a reduction to the proceeds, while $0.3</w:t>
      </w:r>
      <w:r>
        <w:rPr>
          <w:rFonts w:ascii="Times New Roman" w:hAnsi="Times New Roman"/>
          <w:color w:val="000000"/>
          <w:sz w:val="20"/>
        </w:rPr>
        <w:t xml:space="preserve"> </w:t>
      </w:r>
      <w:r>
        <w:rPr>
          <w:rFonts w:ascii="Times New Roman" w:hAnsi="Times New Roman"/>
          <w:color w:val="000000"/>
          <w:sz w:val="18"/>
        </w:rPr>
        <w:t>million of issuance costs were allocated to the liability-classified warrants and immediately expensed. The accompanying Warrants become exercisable beginning six months from issuance and will expire five years</w:t>
      </w:r>
      <w:r>
        <w:rPr>
          <w:rFonts w:ascii="Times New Roman" w:hAnsi="Times New Roman"/>
          <w:color w:val="000000"/>
          <w:sz w:val="20"/>
        </w:rPr>
        <w:t xml:space="preserve"> </w:t>
      </w:r>
      <w:r>
        <w:rPr>
          <w:rFonts w:ascii="Times New Roman" w:hAnsi="Times New Roman"/>
          <w:color w:val="000000"/>
          <w:sz w:val="18"/>
        </w:rPr>
        <w:t>from the date of initial exercisability. Accordingly, there were 9,679,158</w:t>
      </w:r>
      <w:r>
        <w:rPr>
          <w:rFonts w:ascii="Times New Roman" w:hAnsi="Times New Roman"/>
          <w:color w:val="000000"/>
          <w:sz w:val="20"/>
        </w:rPr>
        <w:t xml:space="preserve"> </w:t>
      </w:r>
      <w:r>
        <w:rPr>
          <w:rFonts w:ascii="Times New Roman" w:hAnsi="Times New Roman"/>
          <w:color w:val="000000"/>
          <w:sz w:val="18"/>
        </w:rPr>
        <w:t>common stock warrants outstanding but not yet exercisable at December 31, 2024.</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2020 Equity Incentive Plan</w:t>
      </w:r>
    </w:p>
    <w:p>
      <w:pPr>
        <w:pStyle w:val="TextBody"/>
        <w:bidi w:val="0"/>
        <w:spacing w:before="108" w:after="283"/>
        <w:jc w:val="left"/>
        <w:rPr>
          <w:rFonts w:ascii="Times New Roman" w:hAnsi="Times New Roman"/>
          <w:sz w:val="20"/>
        </w:rPr>
      </w:pPr>
      <w:r>
        <w:rPr>
          <w:rFonts w:ascii="Times New Roman" w:hAnsi="Times New Roman"/>
          <w:color w:val="000000"/>
          <w:sz w:val="18"/>
        </w:rPr>
        <w:t>On October 29, 2020, the Company’s board of directors approved the adoption of the BioAtla, Inc. 2020 Equity Incentive Plan (the “2020 Plan”) and approved certain amendments to the 2020 Plan in December 2020. The Company’s stockholders approved the 2020 Plan, as amended, in December 2020. Under the 2020 Plan, the Company may grant awards of common stock to the Company’s employees, consultants and non-employee directors pursuant to option awards, stock appreciation rights awards, restricted stock awards, restricted stock unit awards, performance stock awards, performance stock unit awards and other stock-based awards. As of December 31, 2024 and 2023, the total number of common shares authorized for issuance under the 2020 Plan was 10,735,431</w:t>
      </w:r>
      <w:r>
        <w:rPr>
          <w:rFonts w:ascii="Times New Roman" w:hAnsi="Times New Roman"/>
          <w:color w:val="000000"/>
          <w:sz w:val="20"/>
        </w:rPr>
        <w:t xml:space="preserve"> </w:t>
      </w:r>
      <w:r>
        <w:rPr>
          <w:rFonts w:ascii="Times New Roman" w:hAnsi="Times New Roman"/>
          <w:color w:val="000000"/>
          <w:sz w:val="18"/>
        </w:rPr>
        <w:t>and 9,196,970, respectively. On January 1st of each year, commencing with the first January 1st following the effective date of the 2020 Plan, the shares authorized for issuance under the 2020 Plan shall be increased by the number of shares equal to the lesser of 4% of the total number of shares outstanding on the immediately preceding December 31st and such lesser number of shares determined by the Company’s board of directors. The maximum term of the options granted under the 2020 Plan is no more than ten years. Awards under the 2020 Plan generally vest at 25% one year from the vesting commencement date and ratably each month thereafter for a period of 36</w:t>
      </w:r>
      <w:r>
        <w:rPr>
          <w:rFonts w:ascii="Times New Roman" w:hAnsi="Times New Roman"/>
          <w:color w:val="000000"/>
          <w:sz w:val="20"/>
        </w:rPr>
        <w:t xml:space="preserve"> </w:t>
      </w:r>
      <w:r>
        <w:rPr>
          <w:rFonts w:ascii="Times New Roman" w:hAnsi="Times New Roman"/>
          <w:color w:val="000000"/>
          <w:sz w:val="18"/>
        </w:rPr>
        <w:t>months, subject to continuous service.</w:t>
      </w:r>
    </w:p>
    <w:p>
      <w:pPr>
        <w:pStyle w:val="TextBody"/>
        <w:bidi w:val="0"/>
        <w:spacing w:before="216" w:after="283"/>
        <w:jc w:val="left"/>
        <w:rPr>
          <w:rFonts w:ascii="Times New Roman" w:hAnsi="Times New Roman"/>
          <w:sz w:val="20"/>
        </w:rPr>
      </w:pPr>
      <w:r>
        <w:rPr>
          <w:rFonts w:ascii="Times New Roman" w:hAnsi="Times New Roman"/>
          <w:color w:val="000000"/>
          <w:sz w:val="18"/>
        </w:rPr>
        <w:t>On February 26, 2023, the Compensation Committee of the Company’s board of directors approved a modification to the Company’s 2020 Plan to allow vesting of RSUs or stock options, as applicable, subject to the grantee’s continued service to the Company and/or one of its subsidiaries as an employee, non-employee director, or independent contractor. Unvested RSUs totaling 139,730</w:t>
      </w:r>
      <w:r>
        <w:rPr>
          <w:rFonts w:ascii="Times New Roman" w:hAnsi="Times New Roman"/>
          <w:color w:val="000000"/>
          <w:sz w:val="20"/>
        </w:rPr>
        <w:t xml:space="preserve"> </w:t>
      </w:r>
      <w:r>
        <w:rPr>
          <w:rFonts w:ascii="Times New Roman" w:hAnsi="Times New Roman"/>
          <w:color w:val="000000"/>
          <w:sz w:val="18"/>
        </w:rPr>
        <w:t>shares and 574,244</w:t>
      </w:r>
      <w:r>
        <w:rPr>
          <w:rFonts w:ascii="Times New Roman" w:hAnsi="Times New Roman"/>
          <w:color w:val="000000"/>
          <w:sz w:val="20"/>
        </w:rPr>
        <w:t xml:space="preserve"> </w:t>
      </w:r>
      <w:r>
        <w:rPr>
          <w:rFonts w:ascii="Times New Roman" w:hAnsi="Times New Roman"/>
          <w:color w:val="000000"/>
          <w:sz w:val="18"/>
        </w:rPr>
        <w:t>unvested options, which would have been forfeited under the original terms of the 2020 Plan, continued to vest. The Company applied modification accounting to these awards which resulted in a decrease in fair value to these awards. The Company calculated compensation cost for the modified unvested awards of $416,000</w:t>
      </w:r>
      <w:r>
        <w:rPr>
          <w:rFonts w:ascii="Times New Roman" w:hAnsi="Times New Roman"/>
          <w:color w:val="000000"/>
          <w:sz w:val="20"/>
        </w:rPr>
        <w:t xml:space="preserve"> </w:t>
      </w:r>
      <w:r>
        <w:rPr>
          <w:rFonts w:ascii="Times New Roman" w:hAnsi="Times New Roman"/>
          <w:color w:val="000000"/>
          <w:sz w:val="18"/>
        </w:rPr>
        <w:t>related to the RSUs and $962,000</w:t>
      </w:r>
      <w:r>
        <w:rPr>
          <w:rFonts w:ascii="Times New Roman" w:hAnsi="Times New Roman"/>
          <w:color w:val="000000"/>
          <w:sz w:val="20"/>
        </w:rPr>
        <w:t xml:space="preserve"> </w:t>
      </w:r>
      <w:r>
        <w:rPr>
          <w:rFonts w:ascii="Times New Roman" w:hAnsi="Times New Roman"/>
          <w:color w:val="000000"/>
          <w:sz w:val="18"/>
        </w:rPr>
        <w:t>related to the options, and will recognize these amounts over the remaining requisite service periods. The modification also resulted in an increase to the term of 130,699</w:t>
      </w:r>
      <w:r>
        <w:rPr>
          <w:rFonts w:ascii="Times New Roman" w:hAnsi="Times New Roman"/>
          <w:color w:val="000000"/>
          <w:sz w:val="20"/>
        </w:rPr>
        <w:t xml:space="preserve"> </w:t>
      </w:r>
      <w:r>
        <w:rPr>
          <w:rFonts w:ascii="Times New Roman" w:hAnsi="Times New Roman"/>
          <w:color w:val="000000"/>
          <w:sz w:val="18"/>
        </w:rPr>
        <w:t>fully vested options for which $123,000</w:t>
      </w:r>
      <w:r>
        <w:rPr>
          <w:rFonts w:ascii="Times New Roman" w:hAnsi="Times New Roman"/>
          <w:color w:val="000000"/>
          <w:sz w:val="20"/>
        </w:rPr>
        <w:t xml:space="preserve"> </w:t>
      </w:r>
      <w:r>
        <w:rPr>
          <w:rFonts w:ascii="Times New Roman" w:hAnsi="Times New Roman"/>
          <w:color w:val="000000"/>
          <w:sz w:val="18"/>
        </w:rPr>
        <w:t>of incremental compensation cost was immediately recognized on the date of the modification.</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Stock-based compensation expense recognized for all equity awards under the 2020 Plan has been reported in the statements of operations and comprehensive loss as follows (in thousands):</w:t>
      </w:r>
    </w:p>
    <w:p>
      <w:pPr>
        <w:pStyle w:val="TextBody"/>
        <w:bidi w:val="0"/>
        <w:spacing w:before="180" w:after="283"/>
        <w:jc w:val="center"/>
        <w:rPr>
          <w:rFonts w:ascii="Times New Roman" w:hAnsi="Times New Roman"/>
          <w:color w:val="000000"/>
          <w:sz w:val="18"/>
        </w:rPr>
      </w:pPr>
      <w:bookmarkStart w:id="23" w:name="bkmk_231"/>
      <w:bookmarkEnd w:id="23"/>
      <w:r>
        <w:rPr>
          <w:rFonts w:ascii="Times New Roman" w:hAnsi="Times New Roman"/>
          <w:color w:val="000000"/>
          <w:sz w:val="18"/>
        </w:rPr>
        <w:t>92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4492" w:type="dxa"/>
        <w:jc w:val="left"/>
        <w:tblInd w:w="0" w:type="dxa"/>
        <w:tblLayout w:type="fixed"/>
        <w:tblCellMar>
          <w:top w:w="28" w:type="dxa"/>
          <w:left w:w="28" w:type="dxa"/>
          <w:bottom w:w="28" w:type="dxa"/>
          <w:right w:w="28" w:type="dxa"/>
        </w:tblCellMar>
      </w:tblPr>
      <w:tblGrid>
        <w:gridCol w:w="2011"/>
        <w:gridCol w:w="146"/>
        <w:gridCol w:w="234"/>
        <w:gridCol w:w="610"/>
        <w:gridCol w:w="174"/>
        <w:gridCol w:w="174"/>
        <w:gridCol w:w="234"/>
        <w:gridCol w:w="718"/>
        <w:gridCol w:w="1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1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8,921</w:t>
            </w:r>
          </w:p>
        </w:tc>
        <w:tc>
          <w:tcPr>
            <w:tcW w:w="17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8"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13,544</w:t>
            </w:r>
          </w:p>
        </w:tc>
        <w:tc>
          <w:tcPr>
            <w:tcW w:w="1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Restricted Stock Units</w:t>
      </w:r>
    </w:p>
    <w:p>
      <w:pPr>
        <w:pStyle w:val="TextBody"/>
        <w:bidi w:val="0"/>
        <w:spacing w:before="216" w:after="283"/>
        <w:jc w:val="left"/>
        <w:rPr>
          <w:rFonts w:ascii="Times New Roman" w:hAnsi="Times New Roman"/>
          <w:sz w:val="20"/>
        </w:rPr>
      </w:pPr>
      <w:r>
        <w:rPr>
          <w:rFonts w:ascii="Times New Roman" w:hAnsi="Times New Roman"/>
          <w:color w:val="000000"/>
          <w:sz w:val="18"/>
        </w:rPr>
        <w:t>In December 2022, the Company’s board of directors approved an amendment to the Director Compensation Policy, which allows each director to elect to receive their quarterly director fees in the form of restricted stock in lieu of cash. Two board members elected to receive shares of restricted stock in lieu of cash. For the twelve months ended December 31, 2023, the Company issued 45,290</w:t>
      </w:r>
      <w:r>
        <w:rPr>
          <w:rFonts w:ascii="Times New Roman" w:hAnsi="Times New Roman"/>
          <w:color w:val="000000"/>
          <w:sz w:val="20"/>
        </w:rPr>
        <w:t xml:space="preserve"> </w:t>
      </w:r>
      <w:r>
        <w:rPr>
          <w:rFonts w:ascii="Times New Roman" w:hAnsi="Times New Roman"/>
          <w:color w:val="000000"/>
          <w:sz w:val="18"/>
        </w:rPr>
        <w:t>shares of fully vested restricted stock to the two board members. Compensation expense was earned and recognized for these fully vested restricted stock grants in the amount of $0.1</w:t>
      </w:r>
      <w:r>
        <w:rPr>
          <w:rFonts w:ascii="Times New Roman" w:hAnsi="Times New Roman"/>
          <w:color w:val="000000"/>
          <w:sz w:val="20"/>
        </w:rPr>
        <w:t xml:space="preserve"> </w:t>
      </w:r>
      <w:r>
        <w:rPr>
          <w:rFonts w:ascii="Times New Roman" w:hAnsi="Times New Roman"/>
          <w:color w:val="000000"/>
          <w:sz w:val="18"/>
        </w:rPr>
        <w:t>million for the twelve months ended December 31, 2023. This election was discontinued in 2024.</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following table summarizes RSU activity under the 2020 Plan for the years ended December 31, 2024 and 2023:</w:t>
      </w:r>
    </w:p>
    <w:p>
      <w:pPr>
        <w:pStyle w:val="Normal"/>
        <w:bidi w:val="0"/>
        <w:spacing w:before="0" w:after="0"/>
        <w:jc w:val="left"/>
        <w:rPr>
          <w:sz w:val="4"/>
          <w:szCs w:val="4"/>
        </w:rPr>
      </w:pPr>
      <w:r>
        <w:rPr>
          <w:sz w:val="4"/>
          <w:szCs w:val="4"/>
        </w:rPr>
      </w:r>
      <w:bookmarkStart w:id="24" w:name="bkmk_232"/>
      <w:bookmarkStart w:id="25" w:name="bkmk_232"/>
      <w:bookmarkEnd w:id="25"/>
    </w:p>
    <w:tbl>
      <w:tblPr>
        <w:tblW w:w="5362" w:type="dxa"/>
        <w:jc w:val="left"/>
        <w:tblInd w:w="0" w:type="dxa"/>
        <w:tblLayout w:type="fixed"/>
        <w:tblCellMar>
          <w:top w:w="28" w:type="dxa"/>
          <w:left w:w="28" w:type="dxa"/>
          <w:bottom w:w="28" w:type="dxa"/>
          <w:right w:w="28" w:type="dxa"/>
        </w:tblCellMar>
      </w:tblPr>
      <w:tblGrid>
        <w:gridCol w:w="2596"/>
        <w:gridCol w:w="146"/>
        <w:gridCol w:w="146"/>
        <w:gridCol w:w="826"/>
        <w:gridCol w:w="166"/>
        <w:gridCol w:w="146"/>
        <w:gridCol w:w="262"/>
        <w:gridCol w:w="683"/>
        <w:gridCol w:w="391"/>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grant date</w:t>
              <w:b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510,039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1,598,000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1,553,000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As of December 31, 2024, total unrecognized stock-based compensation expense for RSUs was $3.0</w:t>
      </w:r>
      <w:r>
        <w:rPr>
          <w:rFonts w:ascii="Times New Roman" w:hAnsi="Times New Roman"/>
          <w:color w:val="000000"/>
          <w:sz w:val="20"/>
        </w:rPr>
        <w:t xml:space="preserve"> </w:t>
      </w:r>
      <w:r>
        <w:rPr>
          <w:rFonts w:ascii="Times New Roman" w:hAnsi="Times New Roman"/>
          <w:color w:val="000000"/>
          <w:sz w:val="18"/>
        </w:rPr>
        <w:t>million, which is expected to be recognized over a remaining weighted-average period of approximately 3.0</w:t>
      </w:r>
      <w:r>
        <w:rPr>
          <w:rFonts w:ascii="Times New Roman" w:hAnsi="Times New Roman"/>
          <w:color w:val="000000"/>
          <w:sz w:val="20"/>
        </w:rPr>
        <w:t xml:space="preserve"> </w:t>
      </w:r>
      <w:r>
        <w:rPr>
          <w:rFonts w:ascii="Times New Roman" w:hAnsi="Times New Roman"/>
          <w:color w:val="000000"/>
          <w:sz w:val="18"/>
        </w:rPr>
        <w:t>years.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Stock Options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table summarizes stock option activity under the 2020 Plan for the year ended December 31, 2024 and 2023 (in thousands, except share and per option data and years):</w:t>
      </w:r>
    </w:p>
    <w:p>
      <w:pPr>
        <w:pStyle w:val="Normal"/>
        <w:bidi w:val="0"/>
        <w:spacing w:before="0" w:after="0"/>
        <w:jc w:val="left"/>
        <w:rPr>
          <w:sz w:val="4"/>
          <w:szCs w:val="4"/>
        </w:rPr>
      </w:pPr>
      <w:r>
        <w:rPr>
          <w:sz w:val="4"/>
          <w:szCs w:val="4"/>
        </w:rPr>
      </w:r>
      <w:bookmarkStart w:id="26" w:name="bkmk_234"/>
      <w:bookmarkStart w:id="27" w:name="bkmk_234"/>
      <w:bookmarkEnd w:id="27"/>
    </w:p>
    <w:tbl>
      <w:tblPr>
        <w:tblW w:w="9039" w:type="dxa"/>
        <w:jc w:val="left"/>
        <w:tblInd w:w="0" w:type="dxa"/>
        <w:tblLayout w:type="fixed"/>
        <w:tblCellMar>
          <w:top w:w="28" w:type="dxa"/>
          <w:left w:w="28" w:type="dxa"/>
          <w:bottom w:w="28" w:type="dxa"/>
          <w:right w:w="28" w:type="dxa"/>
        </w:tblCellMar>
      </w:tblPr>
      <w:tblGrid>
        <w:gridCol w:w="3691"/>
        <w:gridCol w:w="146"/>
        <w:gridCol w:w="146"/>
        <w:gridCol w:w="826"/>
        <w:gridCol w:w="166"/>
        <w:gridCol w:w="146"/>
        <w:gridCol w:w="262"/>
        <w:gridCol w:w="683"/>
        <w:gridCol w:w="146"/>
        <w:gridCol w:w="146"/>
        <w:gridCol w:w="251"/>
        <w:gridCol w:w="725"/>
        <w:gridCol w:w="146"/>
        <w:gridCol w:w="146"/>
        <w:gridCol w:w="196"/>
        <w:gridCol w:w="826"/>
        <w:gridCol w:w="3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exercise</w:t>
              <w:br/>
              <w:t>price per</w:t>
              <w:br/>
              <w:t>option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 -</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2,736,918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3,636,148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4,020,395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6,273,507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Granted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Forfeited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(160,072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6,096,046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Vested and expected to vest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6,096,046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Exercisable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216"/>
        <w:jc w:val="left"/>
        <w:rPr>
          <w:rFonts w:ascii="Times New Roman" w:hAnsi="Times New Roman"/>
          <w:sz w:val="20"/>
        </w:rPr>
      </w:pPr>
      <w:r>
        <w:rPr>
          <w:rFonts w:ascii="Times New Roman" w:hAnsi="Times New Roman"/>
          <w:color w:val="000000"/>
          <w:sz w:val="18"/>
        </w:rPr>
        <w:t>As of December 31, 2024, total unrecognized stock-based compensation cost for unvested common stock options was $7.7</w:t>
      </w:r>
      <w:r>
        <w:rPr>
          <w:rFonts w:ascii="Times New Roman" w:hAnsi="Times New Roman"/>
          <w:color w:val="000000"/>
          <w:sz w:val="20"/>
        </w:rPr>
        <w:t xml:space="preserve"> </w:t>
      </w:r>
      <w:r>
        <w:rPr>
          <w:rFonts w:ascii="Times New Roman" w:hAnsi="Times New Roman"/>
          <w:color w:val="000000"/>
          <w:sz w:val="18"/>
        </w:rPr>
        <w:t>million, which is expected to be recognized over a remaining weighted-average period of approximately 2.0</w:t>
      </w:r>
      <w:r>
        <w:rPr>
          <w:rFonts w:ascii="Times New Roman" w:hAnsi="Times New Roman"/>
          <w:color w:val="000000"/>
          <w:sz w:val="20"/>
        </w:rPr>
        <w:t xml:space="preserve"> </w:t>
      </w:r>
      <w:r>
        <w:rPr>
          <w:rFonts w:ascii="Times New Roman" w:hAnsi="Times New Roman"/>
          <w:color w:val="000000"/>
          <w:sz w:val="18"/>
        </w:rPr>
        <w:t>years. The weighted- average grant date fair value of stock options granted during the years ended December 31, 2024 and 2023</w:t>
      </w:r>
      <w:r>
        <w:rPr>
          <w:rFonts w:ascii="Times New Roman" w:hAnsi="Times New Roman"/>
          <w:color w:val="000000"/>
          <w:sz w:val="20"/>
        </w:rPr>
        <w:t xml:space="preserve"> </w:t>
      </w:r>
      <w:r>
        <w:rPr>
          <w:rFonts w:ascii="Times New Roman" w:hAnsi="Times New Roman"/>
          <w:color w:val="000000"/>
          <w:sz w:val="18"/>
        </w:rPr>
        <w:t>was $2.04</w:t>
      </w:r>
      <w:r>
        <w:rPr>
          <w:rFonts w:ascii="Times New Roman" w:hAnsi="Times New Roman"/>
          <w:color w:val="000000"/>
          <w:sz w:val="20"/>
        </w:rPr>
        <w:t xml:space="preserve"> </w:t>
      </w:r>
      <w:r>
        <w:rPr>
          <w:rFonts w:ascii="Times New Roman" w:hAnsi="Times New Roman"/>
          <w:color w:val="000000"/>
          <w:sz w:val="18"/>
        </w:rPr>
        <w:t>per share and $2.61</w:t>
      </w:r>
      <w:r>
        <w:rPr>
          <w:rFonts w:ascii="Times New Roman" w:hAnsi="Times New Roman"/>
          <w:color w:val="000000"/>
          <w:sz w:val="20"/>
        </w:rPr>
        <w:t xml:space="preserve"> </w:t>
      </w:r>
      <w:r>
        <w:rPr>
          <w:rFonts w:ascii="Times New Roman" w:hAnsi="Times New Roman"/>
          <w:color w:val="000000"/>
          <w:sz w:val="18"/>
        </w:rPr>
        <w:t>per share, respectively. The total fair</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0" w:after="216"/>
        <w:jc w:val="left"/>
        <w:rPr>
          <w:rFonts w:ascii="Times New Roman" w:hAnsi="Times New Roman"/>
          <w:sz w:val="20"/>
        </w:rPr>
      </w:pPr>
      <w:r>
        <w:rPr>
          <w:rFonts w:ascii="Times New Roman" w:hAnsi="Times New Roman"/>
          <w:color w:val="000000"/>
          <w:sz w:val="18"/>
        </w:rPr>
        <w:t>value of options vested during the years ended December 31, 2024 and 2023</w:t>
      </w:r>
      <w:r>
        <w:rPr>
          <w:rFonts w:ascii="Times New Roman" w:hAnsi="Times New Roman"/>
          <w:color w:val="000000"/>
          <w:sz w:val="20"/>
        </w:rPr>
        <w:t xml:space="preserve"> </w:t>
      </w:r>
      <w:r>
        <w:rPr>
          <w:rFonts w:ascii="Times New Roman" w:hAnsi="Times New Roman"/>
          <w:color w:val="000000"/>
          <w:sz w:val="18"/>
        </w:rPr>
        <w:t>was $9.7</w:t>
      </w:r>
      <w:r>
        <w:rPr>
          <w:rFonts w:ascii="Times New Roman" w:hAnsi="Times New Roman"/>
          <w:color w:val="000000"/>
          <w:sz w:val="20"/>
        </w:rPr>
        <w:t xml:space="preserve"> </w:t>
      </w:r>
      <w:r>
        <w:rPr>
          <w:rFonts w:ascii="Times New Roman" w:hAnsi="Times New Roman"/>
          <w:color w:val="000000"/>
          <w:sz w:val="18"/>
        </w:rPr>
        <w:t>million and $6.7</w:t>
      </w:r>
      <w:r>
        <w:rPr>
          <w:rFonts w:ascii="Times New Roman" w:hAnsi="Times New Roman"/>
          <w:color w:val="000000"/>
          <w:sz w:val="20"/>
        </w:rPr>
        <w:t xml:space="preserve"> </w:t>
      </w:r>
      <w:r>
        <w:rPr>
          <w:rFonts w:ascii="Times New Roman" w:hAnsi="Times New Roman"/>
          <w:color w:val="000000"/>
          <w:sz w:val="18"/>
        </w:rPr>
        <w:t>million, respectively. Upon option exercise, the Company issues new shares of its common stock.</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assumptions used in the Black-Scholes option pricing model to determine the fair value of stock option grants were as follows:</w:t>
      </w:r>
    </w:p>
    <w:p>
      <w:pPr>
        <w:pStyle w:val="Normal"/>
        <w:bidi w:val="0"/>
        <w:spacing w:before="0" w:after="0"/>
        <w:jc w:val="left"/>
        <w:rPr>
          <w:sz w:val="4"/>
          <w:szCs w:val="4"/>
        </w:rPr>
      </w:pPr>
      <w:r>
        <w:rPr>
          <w:sz w:val="4"/>
          <w:szCs w:val="4"/>
        </w:rPr>
      </w:r>
      <w:bookmarkStart w:id="28" w:name="bkmk_235"/>
      <w:bookmarkStart w:id="29" w:name="bkmk_235"/>
      <w:bookmarkEnd w:id="29"/>
    </w:p>
    <w:tbl>
      <w:tblPr>
        <w:tblW w:w="4151" w:type="dxa"/>
        <w:jc w:val="left"/>
        <w:tblInd w:w="0" w:type="dxa"/>
        <w:tblLayout w:type="fixed"/>
        <w:tblCellMar>
          <w:top w:w="28" w:type="dxa"/>
          <w:left w:w="28" w:type="dxa"/>
          <w:bottom w:w="28" w:type="dxa"/>
          <w:right w:w="28" w:type="dxa"/>
        </w:tblCellMar>
      </w:tblPr>
      <w:tblGrid>
        <w:gridCol w:w="1816"/>
        <w:gridCol w:w="146"/>
        <w:gridCol w:w="983"/>
        <w:gridCol w:w="170"/>
        <w:gridCol w:w="1036"/>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77.9%</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r>
      <w:tr>
        <w:trPr/>
        <w:tc>
          <w:tcPr>
            <w:tcW w:w="1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r>
      <w:tr>
        <w:trPr/>
        <w:tc>
          <w:tcPr>
            <w:tcW w:w="1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Expected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5.95</w:t>
            </w:r>
            <w:r>
              <w:rPr>
                <w:rFonts w:ascii="Times New Roman" w:hAnsi="Times New Roman"/>
                <w:color w:val="000000"/>
                <w:sz w:val="20"/>
              </w:rPr>
              <w:t> </w:t>
            </w:r>
            <w:r>
              <w:rPr>
                <w:rFonts w:ascii="Times New Roman" w:hAnsi="Times New Roman"/>
                <w:color w:val="000000"/>
                <w:sz w:val="18"/>
              </w:rPr>
              <w:t>years</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sz w:val="20"/>
              </w:rPr>
            </w:pPr>
            <w:r>
              <w:rPr>
                <w:rFonts w:ascii="Times New Roman" w:hAnsi="Times New Roman"/>
                <w:color w:val="000000"/>
                <w:sz w:val="18"/>
              </w:rPr>
              <w:t>6.05</w:t>
            </w:r>
            <w:r>
              <w:rPr>
                <w:rFonts w:ascii="Times New Roman" w:hAnsi="Times New Roman"/>
                <w:color w:val="000000"/>
                <w:sz w:val="20"/>
              </w:rPr>
              <w:t> </w:t>
            </w:r>
            <w:r>
              <w:rPr>
                <w:rFonts w:ascii="Times New Roman" w:hAnsi="Times New Roman"/>
                <w:color w:val="000000"/>
                <w:sz w:val="18"/>
              </w:rPr>
              <w:t>years</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8"/>
        </w:rPr>
        <w:t>Expected volatility.</w:t>
      </w:r>
      <w:r>
        <w:rPr>
          <w:rFonts w:ascii="Times New Roman" w:hAnsi="Times New Roman"/>
          <w:color w:val="000000"/>
          <w:sz w:val="20"/>
        </w:rPr>
        <w:t xml:space="preserve"> </w:t>
      </w:r>
      <w:r>
        <w:rPr>
          <w:rFonts w:ascii="Times New Roman" w:hAnsi="Times New Roman"/>
          <w:color w:val="000000"/>
          <w:sz w:val="18"/>
        </w:rPr>
        <w:t>As the Company’s common stock does not have a significant trading history, the expected volatility assumption is based on volatilities of a peer group of similar companies whose share prices are publicly available. The peer group was developed based on companies in the biotechnology industry.</w:t>
      </w:r>
    </w:p>
    <w:p>
      <w:pPr>
        <w:pStyle w:val="TextBody"/>
        <w:bidi w:val="0"/>
        <w:spacing w:before="216" w:after="283"/>
        <w:jc w:val="left"/>
        <w:rPr>
          <w:rFonts w:ascii="Times New Roman" w:hAnsi="Times New Roman"/>
          <w:sz w:val="20"/>
        </w:rPr>
      </w:pPr>
      <w:r>
        <w:rPr>
          <w:rFonts w:ascii="Times New Roman" w:hAnsi="Times New Roman"/>
          <w:i/>
          <w:color w:val="000000"/>
          <w:sz w:val="18"/>
        </w:rPr>
        <w:t>Risk-free interest rate.</w:t>
      </w:r>
      <w:r>
        <w:rPr>
          <w:rFonts w:ascii="Times New Roman" w:hAnsi="Times New Roman"/>
          <w:color w:val="000000"/>
          <w:sz w:val="20"/>
        </w:rPr>
        <w:t xml:space="preserve"> </w:t>
      </w:r>
      <w:r>
        <w:rPr>
          <w:rFonts w:ascii="Times New Roman" w:hAnsi="Times New Roman"/>
          <w:color w:val="000000"/>
          <w:sz w:val="18"/>
        </w:rPr>
        <w:t>The Company bases the risk-free interest rate assumption on the U.S. Treasury’s rates for U.S. Treasury zero-coupon bonds with maturities similar to those of the expected term of the award being valued.</w:t>
      </w:r>
    </w:p>
    <w:p>
      <w:pPr>
        <w:pStyle w:val="TextBody"/>
        <w:bidi w:val="0"/>
        <w:spacing w:before="216" w:after="283"/>
        <w:jc w:val="left"/>
        <w:rPr>
          <w:rFonts w:ascii="Times New Roman" w:hAnsi="Times New Roman"/>
          <w:sz w:val="20"/>
        </w:rPr>
      </w:pPr>
      <w:r>
        <w:rPr>
          <w:rFonts w:ascii="Times New Roman" w:hAnsi="Times New Roman"/>
          <w:i/>
          <w:color w:val="000000"/>
          <w:sz w:val="18"/>
        </w:rPr>
        <w:t>Expected dividend yield.</w:t>
      </w:r>
      <w:r>
        <w:rPr>
          <w:rFonts w:ascii="Times New Roman" w:hAnsi="Times New Roman"/>
          <w:color w:val="000000"/>
          <w:sz w:val="20"/>
        </w:rPr>
        <w:t xml:space="preserve"> </w:t>
      </w:r>
      <w:r>
        <w:rPr>
          <w:rFonts w:ascii="Times New Roman" w:hAnsi="Times New Roman"/>
          <w:color w:val="000000"/>
          <w:sz w:val="18"/>
        </w:rPr>
        <w:t>The Company bases the expected dividend yield assumption on the fact that it has never paid cash dividends and has no present plans to pay cash dividends.</w:t>
      </w:r>
    </w:p>
    <w:p>
      <w:pPr>
        <w:pStyle w:val="TextBody"/>
        <w:bidi w:val="0"/>
        <w:spacing w:before="216" w:after="283"/>
        <w:jc w:val="left"/>
        <w:rPr>
          <w:rFonts w:ascii="Times New Roman" w:hAnsi="Times New Roman"/>
          <w:sz w:val="20"/>
        </w:rPr>
      </w:pPr>
      <w:r>
        <w:rPr>
          <w:rFonts w:ascii="Times New Roman" w:hAnsi="Times New Roman"/>
          <w:i/>
          <w:color w:val="000000"/>
          <w:sz w:val="18"/>
        </w:rPr>
        <w:t>Expected term.</w:t>
      </w:r>
      <w:r>
        <w:rPr>
          <w:rFonts w:ascii="Times New Roman" w:hAnsi="Times New Roman"/>
          <w:color w:val="000000"/>
          <w:sz w:val="20"/>
        </w:rPr>
        <w:t xml:space="preserve"> </w:t>
      </w:r>
      <w:r>
        <w:rPr>
          <w:rFonts w:ascii="Times New Roman" w:hAnsi="Times New Roman"/>
          <w:color w:val="000000"/>
          <w:sz w:val="18"/>
        </w:rPr>
        <w:t>For employees, the expected term represents the period of time that options are expected to be outstanding. Because the Company has minimal historical exercise behavior, it determines the expected life assumption using the simplified method, which is an average of the contractual term of the option and its vesting period. For nonemployees, the expected term is generally the contractual term of the option.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Employee Stock Purchase Plan</w:t>
      </w:r>
    </w:p>
    <w:p>
      <w:pPr>
        <w:pStyle w:val="TextBody"/>
        <w:bidi w:val="0"/>
        <w:spacing w:before="108" w:after="283"/>
        <w:jc w:val="left"/>
        <w:rPr>
          <w:rFonts w:ascii="Times New Roman" w:hAnsi="Times New Roman"/>
          <w:sz w:val="20"/>
        </w:rPr>
      </w:pPr>
      <w:r>
        <w:rPr>
          <w:rFonts w:ascii="Times New Roman" w:hAnsi="Times New Roman"/>
          <w:color w:val="000000"/>
          <w:sz w:val="18"/>
        </w:rPr>
        <w:t>In December 2020, the Company’s board of directors and stockholders approved the BioAtla, Inc. Employee Stock Purchase Plan (the “ESPP”). The ESPP permits participants to purchase common stock through payroll deductions of up to 15% of their eligible compensation. As of December 31, 2024 and 2023, a total of 2,281,600</w:t>
      </w:r>
      <w:r>
        <w:rPr>
          <w:rFonts w:ascii="Times New Roman" w:hAnsi="Times New Roman"/>
          <w:color w:val="000000"/>
          <w:sz w:val="20"/>
        </w:rPr>
        <w:t xml:space="preserve"> </w:t>
      </w:r>
      <w:r>
        <w:rPr>
          <w:rFonts w:ascii="Times New Roman" w:hAnsi="Times New Roman"/>
          <w:color w:val="000000"/>
          <w:sz w:val="18"/>
        </w:rPr>
        <w:t>and 1,737,098</w:t>
      </w:r>
      <w:r>
        <w:rPr>
          <w:rFonts w:ascii="Times New Roman" w:hAnsi="Times New Roman"/>
          <w:color w:val="000000"/>
          <w:sz w:val="20"/>
        </w:rPr>
        <w:t xml:space="preserve"> </w:t>
      </w:r>
      <w:r>
        <w:rPr>
          <w:rFonts w:ascii="Times New Roman" w:hAnsi="Times New Roman"/>
          <w:color w:val="000000"/>
          <w:sz w:val="18"/>
        </w:rPr>
        <w:t>shares, respectively, of common stock were authorized for issuance under the ESPP. The number of shares of common stock authorized for issuance will automatically increase on January 1 of each calendar year, from January 1, 2021 through January 1, 2030 by the least of (i) 1.0% of the total number of common shares of our common stock outstanding on December 31 of the preceding calendar year (calculated on a fully diluted basis), (ii) 929,658</w:t>
      </w:r>
      <w:r>
        <w:rPr>
          <w:rFonts w:ascii="Times New Roman" w:hAnsi="Times New Roman"/>
          <w:color w:val="000000"/>
          <w:sz w:val="20"/>
        </w:rPr>
        <w:t xml:space="preserve"> </w:t>
      </w:r>
      <w:r>
        <w:rPr>
          <w:rFonts w:ascii="Times New Roman" w:hAnsi="Times New Roman"/>
          <w:color w:val="000000"/>
          <w:sz w:val="18"/>
        </w:rPr>
        <w:t>common shares or (iii) a number determined by the Company’s board of directors that is less than (i) and (ii). During the years ended December 31, 2024 and 2023, the Company issued 265,412</w:t>
      </w:r>
      <w:r>
        <w:rPr>
          <w:rFonts w:ascii="Times New Roman" w:hAnsi="Times New Roman"/>
          <w:color w:val="000000"/>
          <w:sz w:val="20"/>
        </w:rPr>
        <w:t xml:space="preserve"> </w:t>
      </w:r>
      <w:r>
        <w:rPr>
          <w:rFonts w:ascii="Times New Roman" w:hAnsi="Times New Roman"/>
          <w:color w:val="000000"/>
          <w:sz w:val="18"/>
        </w:rPr>
        <w:t>and 165,550</w:t>
      </w:r>
      <w:r>
        <w:rPr>
          <w:rFonts w:ascii="Times New Roman" w:hAnsi="Times New Roman"/>
          <w:color w:val="000000"/>
          <w:sz w:val="20"/>
        </w:rPr>
        <w:t xml:space="preserve"> </w:t>
      </w:r>
      <w:r>
        <w:rPr>
          <w:rFonts w:ascii="Times New Roman" w:hAnsi="Times New Roman"/>
          <w:color w:val="000000"/>
          <w:sz w:val="18"/>
        </w:rPr>
        <w:t>shares of common stock under the ESPP, respectively. As of December 31, 2024, 1,691,892</w:t>
      </w:r>
      <w:r>
        <w:rPr>
          <w:rFonts w:ascii="Times New Roman" w:hAnsi="Times New Roman"/>
          <w:color w:val="000000"/>
          <w:sz w:val="20"/>
        </w:rPr>
        <w:t xml:space="preserve"> </w:t>
      </w:r>
      <w:r>
        <w:rPr>
          <w:rFonts w:ascii="Times New Roman" w:hAnsi="Times New Roman"/>
          <w:color w:val="000000"/>
          <w:sz w:val="18"/>
        </w:rPr>
        <w:t>shares of common stock remained available for issuance under the ESPP. Stock-based compensation expense related to the ESPP for the twelve months ended December 31, 2024 and 2023 was $0.2</w:t>
      </w:r>
      <w:r>
        <w:rPr>
          <w:rFonts w:ascii="Times New Roman" w:hAnsi="Times New Roman"/>
          <w:color w:val="000000"/>
          <w:sz w:val="20"/>
        </w:rPr>
        <w:t xml:space="preserve"> </w:t>
      </w:r>
      <w:r>
        <w:rPr>
          <w:rFonts w:ascii="Times New Roman" w:hAnsi="Times New Roman"/>
          <w:color w:val="000000"/>
          <w:sz w:val="18"/>
        </w:rPr>
        <w:t>million, respectively.</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Common Stock Reserved For Future Issuance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Common stock reserved for future issuance are as follows in common equivalent shares:</w:t>
      </w:r>
    </w:p>
    <w:p>
      <w:pPr>
        <w:pStyle w:val="Normal"/>
        <w:bidi w:val="0"/>
        <w:spacing w:before="0" w:after="0"/>
        <w:jc w:val="left"/>
        <w:rPr>
          <w:sz w:val="4"/>
          <w:szCs w:val="4"/>
        </w:rPr>
      </w:pPr>
      <w:r>
        <w:rPr>
          <w:sz w:val="4"/>
          <w:szCs w:val="4"/>
        </w:rPr>
      </w:r>
      <w:bookmarkStart w:id="30" w:name="bkmk_237"/>
      <w:bookmarkStart w:id="31" w:name="bkmk_237"/>
      <w:bookmarkEnd w:id="31"/>
    </w:p>
    <w:tbl>
      <w:tblPr>
        <w:tblW w:w="7315" w:type="dxa"/>
        <w:jc w:val="left"/>
        <w:tblInd w:w="0" w:type="dxa"/>
        <w:tblLayout w:type="fixed"/>
        <w:tblCellMar>
          <w:top w:w="28" w:type="dxa"/>
          <w:left w:w="28" w:type="dxa"/>
          <w:bottom w:w="28" w:type="dxa"/>
          <w:right w:w="28" w:type="dxa"/>
        </w:tblCellMar>
      </w:tblPr>
      <w:tblGrid>
        <w:gridCol w:w="5236"/>
        <w:gridCol w:w="146"/>
        <w:gridCol w:w="916"/>
        <w:gridCol w:w="146"/>
        <w:gridCol w:w="871"/>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December 31,</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Warrants for the 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9,679,158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Common stock options and restricted stock units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7,649,046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6,372,611</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Awards available for future issuance under the 2020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1,154,335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991,413</w:t>
            </w:r>
          </w:p>
        </w:tc>
      </w:tr>
      <w:tr>
        <w:trPr/>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Awards available for future issuance under the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1,691,892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1,412,802</w:t>
            </w:r>
          </w:p>
        </w:tc>
      </w:tr>
      <w:tr>
        <w:trPr/>
        <w:tc>
          <w:tcPr>
            <w:tcW w:w="5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common stock reserved for future issuance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20,174,431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7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8,776,826</w:t>
            </w:r>
          </w:p>
        </w:tc>
      </w:tr>
    </w:tbl>
    <w:p>
      <w:pPr>
        <w:pStyle w:val="TextBody"/>
        <w:bidi w:val="0"/>
        <w:jc w:val="left"/>
        <w:rPr/>
      </w:pPr>
      <w:r>
        <w:rPr/>
        <w:t> </w:t>
      </w:r>
    </w:p>
    <w:p>
      <w:pPr>
        <w:pStyle w:val="TextBody"/>
        <w:bidi w:val="0"/>
        <w:spacing w:before="100" w:after="283"/>
        <w:jc w:val="left"/>
        <w:rPr>
          <w:rFonts w:ascii="Times New Roman" w:hAnsi="Times New Roman"/>
          <w:b/>
          <w:color w:val="000000"/>
          <w:sz w:val="18"/>
        </w:rPr>
      </w:pPr>
      <w:r>
        <w:rPr>
          <w:rFonts w:ascii="Times New Roman" w:hAnsi="Times New Roman"/>
          <w:b/>
          <w:color w:val="000000"/>
          <w:sz w:val="18"/>
        </w:rPr>
        <w:t>7. Collaboration, License and Option Agreements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Global Co-Development and Collaboration Agreement with BeiGene</w:t>
      </w:r>
    </w:p>
    <w:p>
      <w:pPr>
        <w:pStyle w:val="TextBody"/>
        <w:bidi w:val="0"/>
        <w:spacing w:before="108" w:after="283"/>
        <w:jc w:val="left"/>
        <w:rPr>
          <w:rFonts w:ascii="Times New Roman" w:hAnsi="Times New Roman"/>
          <w:sz w:val="20"/>
        </w:rPr>
      </w:pPr>
      <w:r>
        <w:rPr>
          <w:rFonts w:ascii="Times New Roman" w:hAnsi="Times New Roman"/>
          <w:color w:val="000000"/>
          <w:sz w:val="18"/>
        </w:rPr>
        <w:t>In April 2019, the Company entered into a Global Co-Development and Collaboration agreement (the “BeiGene Collaboration”) with BeiGene, Ltd. and BeiGene Switzerland GmbH (collectively “BeiGene”), for the development, manufacturing and commercialization of the Company’s investigational CAB CTLA-4 antibody (evalstotug, BA3071). The BeiGene Collaboration was amended several times between 2019</w:t>
      </w:r>
      <w:r>
        <w:rPr>
          <w:rFonts w:ascii="Times New Roman" w:hAnsi="Times New Roman"/>
          <w:color w:val="000000"/>
          <w:sz w:val="20"/>
        </w:rPr>
        <w:t xml:space="preserve"> </w:t>
      </w:r>
      <w:r>
        <w:rPr>
          <w:rFonts w:ascii="Times New Roman" w:hAnsi="Times New Roman"/>
          <w:color w:val="000000"/>
          <w:sz w:val="18"/>
        </w:rPr>
        <w:t>and 2021</w:t>
      </w:r>
      <w:r>
        <w:rPr>
          <w:rFonts w:ascii="Times New Roman" w:hAnsi="Times New Roman"/>
          <w:color w:val="000000"/>
          <w:sz w:val="20"/>
        </w:rPr>
        <w:t xml:space="preserve"> </w:t>
      </w:r>
      <w:r>
        <w:rPr>
          <w:rFonts w:ascii="Times New Roman" w:hAnsi="Times New Roman"/>
          <w:color w:val="000000"/>
          <w:sz w:val="18"/>
        </w:rPr>
        <w:t>and the Company received a total of $25.0</w:t>
      </w:r>
      <w:r>
        <w:rPr>
          <w:rFonts w:ascii="Times New Roman" w:hAnsi="Times New Roman"/>
          <w:color w:val="000000"/>
          <w:sz w:val="20"/>
        </w:rPr>
        <w:t xml:space="preserve"> </w:t>
      </w:r>
      <w:r>
        <w:rPr>
          <w:rFonts w:ascii="Times New Roman" w:hAnsi="Times New Roman"/>
          <w:color w:val="000000"/>
          <w:sz w:val="18"/>
        </w:rPr>
        <w:t>million in non-refundable payments from BeiGene during that time.</w:t>
      </w:r>
    </w:p>
    <w:p>
      <w:pPr>
        <w:pStyle w:val="TextBody"/>
        <w:bidi w:val="0"/>
        <w:spacing w:before="216" w:after="283"/>
        <w:jc w:val="left"/>
        <w:rPr>
          <w:rFonts w:ascii="Times New Roman" w:hAnsi="Times New Roman"/>
          <w:sz w:val="20"/>
        </w:rPr>
      </w:pPr>
      <w:r>
        <w:rPr>
          <w:rFonts w:ascii="Times New Roman" w:hAnsi="Times New Roman"/>
          <w:color w:val="000000"/>
          <w:sz w:val="18"/>
        </w:rPr>
        <w:t>In November 2021, the BeiGene Collaboration was terminated, subject to survival of certain provisions, and BeiGene handed back rights to know-how and materials received under the amended BeiGene Collaboration. As a result, the Company is responsible for the global development and commercialization of evalstotug. As consideration for this amendment, the Company agreed to pay BeiGene mid-single digit royalties on</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sz w:val="20"/>
        </w:rPr>
      </w:pPr>
      <w:r>
        <w:rPr>
          <w:rFonts w:ascii="Times New Roman" w:hAnsi="Times New Roman"/>
          <w:color w:val="000000"/>
          <w:sz w:val="18"/>
        </w:rPr>
        <w:t>sales worldwide and on a limited basis will share in any upfront and milestone payments received through a sublicense of evalstotug. The Company reclassified its then remaining $19.8</w:t>
      </w:r>
      <w:r>
        <w:rPr>
          <w:rFonts w:ascii="Times New Roman" w:hAnsi="Times New Roman"/>
          <w:color w:val="000000"/>
          <w:sz w:val="20"/>
        </w:rPr>
        <w:t xml:space="preserve"> </w:t>
      </w:r>
      <w:r>
        <w:rPr>
          <w:rFonts w:ascii="Times New Roman" w:hAnsi="Times New Roman"/>
          <w:color w:val="000000"/>
          <w:sz w:val="18"/>
        </w:rPr>
        <w:t>million of deferred revenue as a long-term liability which is expected to settle as licensing payments are made to BeiGene in accordance with the resulting amendment. In the event the license is terminated, the liability will be extinguished with no further payment to BeiGene.</w:t>
      </w:r>
    </w:p>
    <w:p>
      <w:pPr>
        <w:pStyle w:val="TextBody"/>
        <w:bidi w:val="0"/>
        <w:spacing w:before="216" w:after="283"/>
        <w:jc w:val="left"/>
        <w:rPr>
          <w:rFonts w:ascii="Times New Roman" w:hAnsi="Times New Roman"/>
          <w:sz w:val="20"/>
        </w:rPr>
      </w:pPr>
      <w:r>
        <w:rPr>
          <w:rFonts w:ascii="Times New Roman" w:hAnsi="Times New Roman"/>
          <w:color w:val="000000"/>
          <w:sz w:val="18"/>
        </w:rPr>
        <w:t>The Company did not recognize any revenue related to the collaboration agreement with BeiGene for the years ended December 31, 2024 and 2023. The Company had a $19.8</w:t>
      </w:r>
      <w:r>
        <w:rPr>
          <w:rFonts w:ascii="Times New Roman" w:hAnsi="Times New Roman"/>
          <w:color w:val="000000"/>
          <w:sz w:val="20"/>
        </w:rPr>
        <w:t xml:space="preserve"> </w:t>
      </w:r>
      <w:r>
        <w:rPr>
          <w:rFonts w:ascii="Times New Roman" w:hAnsi="Times New Roman"/>
          <w:color w:val="000000"/>
          <w:sz w:val="18"/>
        </w:rPr>
        <w:t xml:space="preserve">million Liability to Licensor as of December 31, 2024 and 2023.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Collaboration and Supply Agreement with Bristol-Myers Squibb</w:t>
      </w:r>
    </w:p>
    <w:p>
      <w:pPr>
        <w:pStyle w:val="TextBody"/>
        <w:bidi w:val="0"/>
        <w:spacing w:before="108" w:after="283"/>
        <w:jc w:val="left"/>
        <w:rPr>
          <w:rFonts w:ascii="Times New Roman" w:hAnsi="Times New Roman"/>
          <w:sz w:val="20"/>
        </w:rPr>
      </w:pPr>
      <w:r>
        <w:rPr>
          <w:rFonts w:ascii="Times New Roman" w:hAnsi="Times New Roman"/>
          <w:color w:val="000000"/>
          <w:sz w:val="18"/>
        </w:rPr>
        <w:t>In January 2022, the Company and Bristol-Myers Squibb Company (“BMS”) entered into a clinical trial collaboration and supply agreement (the “BMS Agreement”). Under the terms of the BMS Agreement, BioAtla and BMS collaborate on clinical trials of separate combination therapies using two of BioAtla’s CAB ADCs, mecbotamab vedotin (BA3011) and ozuriftamab vedotin (BA3021), each in combination with Opdivo® (nivolumab), BMS’ proprietary anti-PD-1 monoclonal antibody product. The Company serves as the study sponsor of the scheduled studies and is responsible for costs associated with the trial execution. BMS provides Opdivo® clinical drug supply at no cost for the combination study trials. After the completion of the combination therapy trials, the Company is obligated to provide BMS with a final report of the data resulting from the trial. The BMS Agreement was amended in October 2022 to include additional territories for our mecbotamab vedotin and ozuriftamab vedotin combination study trials. There was no impact to the Company's financial results for the years ended December 31, 2024 or 2023 as a result of this agreement.</w:t>
      </w:r>
      <w:r>
        <w:rPr>
          <w:rFonts w:ascii="Times New Roman" w:hAnsi="Times New Roman"/>
          <w:color w:val="000000"/>
          <w:sz w:val="20"/>
        </w:rPr>
        <w:t xml:space="preserve"> </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License Agreement with Context Therapeutics Inc.</w:t>
      </w:r>
    </w:p>
    <w:p>
      <w:pPr>
        <w:pStyle w:val="TextBody"/>
        <w:bidi w:val="0"/>
        <w:spacing w:before="108" w:after="283"/>
        <w:jc w:val="left"/>
        <w:rPr>
          <w:rFonts w:ascii="Times New Roman" w:hAnsi="Times New Roman"/>
          <w:sz w:val="20"/>
        </w:rPr>
      </w:pPr>
      <w:r>
        <w:rPr>
          <w:rFonts w:ascii="Times New Roman" w:hAnsi="Times New Roman"/>
          <w:color w:val="000000"/>
          <w:sz w:val="18"/>
        </w:rPr>
        <w:t>In September 2024, the Company entered into a License Agreement (the “Context License Agreement”) with Context Therapeutics Inc. (“Context”). Under the terms of the Context License Agreement, BioAtla granted Context an exclusive, worldwide license to develop, manufacture and commercialize two licensed antibodies, including BA3362 (renamed by Context as CT-202), the Company’s Nectin-4 x CD3 T cell engaging (TCE) bispecific antibody (the “License”). The Company also transferred know-how, including any necessary materials Context would need to perform research and development. In exchange for the License, the Company is eligible to receive up to $133.5</w:t>
      </w:r>
      <w:r>
        <w:rPr>
          <w:rFonts w:ascii="Times New Roman" w:hAnsi="Times New Roman"/>
          <w:color w:val="000000"/>
          <w:sz w:val="20"/>
        </w:rPr>
        <w:t xml:space="preserve"> </w:t>
      </w:r>
      <w:r>
        <w:rPr>
          <w:rFonts w:ascii="Times New Roman" w:hAnsi="Times New Roman"/>
          <w:color w:val="000000"/>
          <w:sz w:val="18"/>
        </w:rPr>
        <w:t>million in aggregate payments, including an upfront cash payment and potential development, regulatory and commercial milestones, as well as tiered mid-single digit to low double-digit royalties on future net sales of the products. In connection with the execution of the Context License Agreement, the Company also entered into an agreement with Himalaya Therapeutics SECZ, a related party (See Note 8).</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single performance obligation was identified under the Context License Agreement comprised of BioAtla’s promise to transfer the License. Context is responsible for developing BA3362 and for global regulatory filings and commercialization. Context will bear all costs associated with the research, development, and commercialization of any products.</w:t>
      </w:r>
    </w:p>
    <w:p>
      <w:pPr>
        <w:pStyle w:val="TextBody"/>
        <w:bidi w:val="0"/>
        <w:spacing w:before="216" w:after="283"/>
        <w:jc w:val="left"/>
        <w:rPr>
          <w:rFonts w:ascii="Times New Roman" w:hAnsi="Times New Roman"/>
          <w:sz w:val="20"/>
        </w:rPr>
      </w:pPr>
      <w:r>
        <w:rPr>
          <w:rFonts w:ascii="Times New Roman" w:hAnsi="Times New Roman"/>
          <w:color w:val="000000"/>
          <w:sz w:val="18"/>
        </w:rPr>
        <w:t>In accordance with Topic 606, the Company determined the transaction price of the agreement was limited to the up-front payment received, and excluded the variable consideration of development and sale milestone payments and royalties as they are fully constrained. As part of the Company’s evaluation of the milestone constraints, the Company determined the achievement of such milestones are contingent upon success in future developments, regulatory approvals and commercial activities, which are not within its control and are uncertain at this stage. Variable consideration related to royalties will be recognized when the related sales occur. All variable consideration remains fully constrained as of December 31, 2024. Further, the Company determined that there were no significant financing components, noncash consideration, or amounts that may be refunded to the customer.</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Management determined that the transfer of the License did not meet any of the criteria for recognizing revenue over time, and therefore revenue was recognized at the point in time that the Context License Agreement was executed and the License was transferred to Context. Additional revenue will be recognized for development milestone payments, the sales milestone payments, and the royalty payments if and when the constraints are resolved.</w:t>
      </w:r>
    </w:p>
    <w:p>
      <w:pPr>
        <w:pStyle w:val="TextBody"/>
        <w:bidi w:val="0"/>
        <w:spacing w:before="216" w:after="283"/>
        <w:jc w:val="left"/>
        <w:rPr>
          <w:rFonts w:ascii="Times New Roman" w:hAnsi="Times New Roman"/>
          <w:sz w:val="20"/>
        </w:rPr>
      </w:pPr>
      <w:r>
        <w:rPr>
          <w:rFonts w:ascii="Times New Roman" w:hAnsi="Times New Roman"/>
          <w:color w:val="000000"/>
          <w:sz w:val="18"/>
        </w:rPr>
        <w:t>For the years ended December 31, 2024 and 2023, the Company recognized $11.0</w:t>
      </w:r>
      <w:r>
        <w:rPr>
          <w:rFonts w:ascii="Times New Roman" w:hAnsi="Times New Roman"/>
          <w:color w:val="000000"/>
          <w:sz w:val="20"/>
        </w:rPr>
        <w:t xml:space="preserve"> </w:t>
      </w:r>
      <w:r>
        <w:rPr>
          <w:rFonts w:ascii="Times New Roman" w:hAnsi="Times New Roman"/>
          <w:color w:val="000000"/>
          <w:sz w:val="18"/>
        </w:rPr>
        <w:t>million and $0, respectively, of revenue related to the Context License Agreement, included in Collaboration and Other Revenue.</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8. Related Party Transactions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Inversagen, LLC</w:t>
      </w:r>
    </w:p>
    <w:p>
      <w:pPr>
        <w:pStyle w:val="TextBody"/>
        <w:bidi w:val="0"/>
        <w:spacing w:before="108" w:after="283"/>
        <w:jc w:val="left"/>
        <w:rPr>
          <w:rFonts w:ascii="Times New Roman" w:hAnsi="Times New Roman"/>
          <w:sz w:val="20"/>
        </w:rPr>
      </w:pPr>
      <w:r>
        <w:rPr>
          <w:rFonts w:ascii="Times New Roman" w:hAnsi="Times New Roman"/>
          <w:color w:val="000000"/>
          <w:sz w:val="18"/>
        </w:rPr>
        <w:t>On March 15, 2019, the Company entered into an Exclusive License Agreement with Inversagen (the “Inversagen License”). Under the terms of the agreement, Inversagen acquired the rights to CAB-antibodies for the field of diseases associated with aging, outside of cancer, and an immuno-oncology antibody. The Company may perform development services under the agreement and will be reimbursed by Inversagen for its costs. Commencing on the first commercial sale of the CAB-antibodies and immuno-oncology antibody subject to the Inversagen License, Inversagen will pay the Company milestone payments and royalties, which represent a variable interest held by the Company. On July 7, 2020, the Company and Inversagen entered into the First Amendment to Exclusive License Agreement (“Amended Inversagen License”), which grants the Company an option for a period of 10 years</w:t>
      </w:r>
      <w:r>
        <w:rPr>
          <w:rFonts w:ascii="Times New Roman" w:hAnsi="Times New Roman"/>
          <w:color w:val="000000"/>
          <w:sz w:val="20"/>
        </w:rPr>
        <w:t xml:space="preserve"> </w:t>
      </w:r>
      <w:r>
        <w:rPr>
          <w:rFonts w:ascii="Times New Roman" w:hAnsi="Times New Roman"/>
          <w:color w:val="000000"/>
          <w:sz w:val="18"/>
        </w:rPr>
        <w:t>to acquire the immuno-oncology antibody in return for royalty payments in the low-single digits during the applicable royalty term. No</w:t>
      </w:r>
      <w:r>
        <w:rPr>
          <w:rFonts w:ascii="Times New Roman" w:hAnsi="Times New Roman"/>
          <w:color w:val="000000"/>
          <w:sz w:val="20"/>
        </w:rPr>
        <w:t xml:space="preserve"> </w:t>
      </w:r>
      <w:r>
        <w:rPr>
          <w:rFonts w:ascii="Times New Roman" w:hAnsi="Times New Roman"/>
          <w:color w:val="000000"/>
          <w:sz w:val="18"/>
        </w:rPr>
        <w:t>payments have been made to date.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has only nominal assets and liabilities and is a VIE as the entity lacks sufficient equity to finance its activities without additional subordinated financial support. The Company does not consolidate Inversagen as it is not the primary beneficiary; the Inversagen License and the Amended Inversagen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Inversagen, and no exposure to its losses. The Company has not provided any services to Inversagen, has not provided any support to Inversagen and has no obligation to do so, and Inversagen’s creditors have no recourse to the general credit of the Company. The Company does not have any assets or liabilities associated with its variable interest in Inversagen at December 31, 2024 and 2023.</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Inversagen is a related party of the Company. Dr. Jay Short and his spouse serve as managers of Inversagen.</w:t>
      </w:r>
    </w:p>
    <w:p>
      <w:pPr>
        <w:pStyle w:val="TextBody"/>
        <w:bidi w:val="0"/>
        <w:spacing w:before="324" w:after="283"/>
        <w:jc w:val="left"/>
        <w:rPr>
          <w:rFonts w:ascii="Times New Roman" w:hAnsi="Times New Roman"/>
          <w:b/>
          <w:i/>
          <w:color w:val="000000"/>
          <w:sz w:val="18"/>
        </w:rPr>
      </w:pPr>
      <w:r>
        <w:rPr>
          <w:rFonts w:ascii="Times New Roman" w:hAnsi="Times New Roman"/>
          <w:b/>
          <w:i/>
          <w:color w:val="000000"/>
          <w:sz w:val="18"/>
        </w:rPr>
        <w:t>BioAtla Holdings, LLC</w:t>
      </w:r>
    </w:p>
    <w:p>
      <w:pPr>
        <w:pStyle w:val="TextBody"/>
        <w:bidi w:val="0"/>
        <w:spacing w:before="108" w:after="283"/>
        <w:jc w:val="left"/>
        <w:rPr>
          <w:rFonts w:ascii="Times New Roman" w:hAnsi="Times New Roman"/>
          <w:sz w:val="20"/>
        </w:rPr>
      </w:pPr>
      <w:r>
        <w:rPr>
          <w:rFonts w:ascii="Times New Roman" w:hAnsi="Times New Roman"/>
          <w:color w:val="000000"/>
          <w:sz w:val="18"/>
        </w:rPr>
        <w:t>Effective January 1, 2020, the Company entered into an Exclusive License Agreement (the “BioAtla Holdings License”) with BioAtla Holdings, LLC. Under the terms of the agreement, BioAtla Holdings acquired the rights to CAB antibodies for certain targets in the field of Adoptive Cell Therapy (CAR-T format) in exchange for potential royalty payments on future net sales. On July 7, 2020, the Company and BioAtla Holdings entered into the First Amendment to Exclusive License Agreement (the “Amended BioAtla Holdings License”), which grants the Company an option for a period of 10</w:t>
      </w:r>
      <w:r>
        <w:rPr>
          <w:rFonts w:ascii="Times New Roman" w:hAnsi="Times New Roman"/>
          <w:color w:val="000000"/>
          <w:sz w:val="20"/>
        </w:rPr>
        <w:t xml:space="preserve"> </w:t>
      </w:r>
      <w:r>
        <w:rPr>
          <w:rFonts w:ascii="Times New Roman" w:hAnsi="Times New Roman"/>
          <w:color w:val="000000"/>
          <w:sz w:val="18"/>
        </w:rPr>
        <w:t>years to acquire the ACT Preparations and ACT Treatments in return for royalty payments in the low-single digits during the applicable royalty term. The Company has not exercised its option and no payments have been made to date under these agreements.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In addition, effective January 1, 2020, the Company entered into a Royalty Sharing Agreement whereby the Company agreed to share with BioAtla Holdings 50% of the royalties it receives from its Exclusive License Agreement with EXUMA Biotech Corp.</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is a variable interest entity as it does not have sufficient equity to finance its activities without additional subordinated financial support. The royalty payments and option to acquire assets represent variable interests held by the Company in BioAtla Holdings. The Company is not the primary beneficiary of BioAtla Holdings, however, as the BioAtla Holdings License and Amended BioAtla Holdings License did not and do not provide the Company with any decision-making power over the activities that are most significant to the entity’s economic success, such as the direction of its development efforts or the search for or terms of any future financing arrangements. The Company has no equity interest in BioAtla Holdings, and no exposure to its losses. BioAtla Holdings is currently inactive, and the Company has not provided any support to BioAtla Holdings and has no obligation to do so, and BioAtla Holdings’ creditors have no recourse to the general credit of the Company. The Company does not have any assets or liabilities associated with its variable interests in BioAtla Holdings at December 31, 2024 and 2023.</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BioAtla Holdings is a related party of the Company. Dr. Jay Short and his spouse serve as managers of BioAtla Holdings.</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Himalaya Therapeutics SEZC</w:t>
      </w:r>
    </w:p>
    <w:p>
      <w:pPr>
        <w:pStyle w:val="TextBody"/>
        <w:bidi w:val="0"/>
        <w:spacing w:before="108" w:after="283"/>
        <w:jc w:val="left"/>
        <w:rPr>
          <w:rFonts w:ascii="Times New Roman" w:hAnsi="Times New Roman"/>
          <w:i/>
          <w:color w:val="000000"/>
          <w:sz w:val="18"/>
        </w:rPr>
      </w:pPr>
      <w:r>
        <w:rPr>
          <w:rFonts w:ascii="Times New Roman" w:hAnsi="Times New Roman"/>
          <w:i/>
          <w:color w:val="000000"/>
          <w:sz w:val="18"/>
        </w:rPr>
        <w:t>Exclusive Rights Agreement</w:t>
      </w:r>
    </w:p>
    <w:p>
      <w:pPr>
        <w:pStyle w:val="TextBody"/>
        <w:bidi w:val="0"/>
        <w:spacing w:before="108" w:after="283"/>
        <w:jc w:val="left"/>
        <w:rPr>
          <w:rFonts w:ascii="Times New Roman" w:hAnsi="Times New Roman"/>
          <w:sz w:val="20"/>
        </w:rPr>
      </w:pPr>
      <w:r>
        <w:rPr>
          <w:rFonts w:ascii="Times New Roman" w:hAnsi="Times New Roman"/>
          <w:color w:val="000000"/>
          <w:sz w:val="18"/>
        </w:rPr>
        <w:t>On January 1, 2020, the Company entered into an Amended and Restated Exclusive Rights Agreement (the “Amended Rights Agreement”) with Himalaya Therapeutics SEZC. Under the terms of the Amended Rights Agreement, Himalaya Therapeutics SEZC acquired the rights to 10 CAB-antibodies for the territory of China, Macao, Hong Kong and Taiwan, global rights to a CAB-HER2-bispecific-antibody and global co-development rights with the Company to an IL-22 non-CAB-antibody. Payments to the Company may include upfront payments, milestone payments and double digit royalties, which represent a variable interest held by the Company, but no</w:t>
      </w:r>
      <w:r>
        <w:rPr>
          <w:rFonts w:ascii="Times New Roman" w:hAnsi="Times New Roman"/>
          <w:color w:val="000000"/>
          <w:sz w:val="20"/>
        </w:rPr>
        <w:t xml:space="preserve"> </w:t>
      </w:r>
      <w:r>
        <w:rPr>
          <w:rFonts w:ascii="Times New Roman" w:hAnsi="Times New Roman"/>
          <w:color w:val="000000"/>
          <w:sz w:val="18"/>
        </w:rPr>
        <w:t>payments have been made to the Company to date.</w:t>
      </w:r>
    </w:p>
    <w:p>
      <w:pPr>
        <w:pStyle w:val="TextBody"/>
        <w:bidi w:val="0"/>
        <w:spacing w:before="216" w:after="283"/>
        <w:jc w:val="left"/>
        <w:rPr>
          <w:rFonts w:ascii="Times New Roman" w:hAnsi="Times New Roman"/>
          <w:sz w:val="20"/>
        </w:rPr>
      </w:pPr>
      <w:r>
        <w:rPr>
          <w:rFonts w:ascii="Times New Roman" w:hAnsi="Times New Roman"/>
          <w:color w:val="000000"/>
          <w:sz w:val="18"/>
        </w:rPr>
        <w:t>Himalaya Therapeutics SEZC is a VIE as it does not have sufficient equity to finance its activities without additional subordinated financial support. The Company is not obligated to provide financial support to Himalaya Therapeutics SEZC. The Company is not the primary beneficiary of Himalaya Therapeutics SEZC, however, as the Amended Rights Agreement does not provide BioAtla, Inc. with the power to direct activities of a VIE that most significantly impact the VIE’s economic performance, such as decision-making power over the direction of its development efforts or the search for or terms of any future financing arrangements. The Company does not have any assets or liabilities recorded at December 31, 2024 associated with its variable interest in Himalaya Therapeutics SEZC, and has no exposure to Himalaya Therapeutics SEZC losses.</w:t>
      </w:r>
      <w:r>
        <w:rPr>
          <w:rFonts w:ascii="Times New Roman" w:hAnsi="Times New Roman"/>
          <w:color w:val="000000"/>
          <w:sz w:val="20"/>
        </w:rPr>
        <w:t xml:space="preserve">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Himalaya Therapeutics SEZC is a related party as Dr. Jay Short and his spouse serve as directors, and Dr. Short's spouse also serves as an officer of such entity.</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Clinical Trial Services Agreement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In January 2024, the Company entered into an amended Clinical Trial Services Agreement (as so amended, the “Clinical Trial Services Agreement”) with Himalaya Therapeutics SEZC (“Himalaya”). Under the Clinical Trial Services Agreement, BioAtla will pay Himalaya for the full-time use of two of its personnel and provide services related to the initiation of clinical trials for evalstotug in China for a period of 12 months. All payments have been made under this agreement as of December 31, 2024. </w:t>
      </w:r>
    </w:p>
    <w:p>
      <w:pPr>
        <w:pStyle w:val="TextBody"/>
        <w:bidi w:val="0"/>
        <w:spacing w:before="216" w:after="283"/>
        <w:jc w:val="left"/>
        <w:rPr>
          <w:rFonts w:ascii="Times New Roman" w:hAnsi="Times New Roman"/>
          <w:i/>
          <w:color w:val="000000"/>
          <w:sz w:val="18"/>
        </w:rPr>
      </w:pPr>
      <w:r>
        <w:rPr>
          <w:rFonts w:ascii="Times New Roman" w:hAnsi="Times New Roman"/>
          <w:i/>
          <w:color w:val="000000"/>
          <w:sz w:val="18"/>
        </w:rPr>
        <w:t>Global Transaction Agreement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In September 2024, the Company entered into a Global Transaction Agreement (the “Himalaya Agreement”) with Himalaya. BioAtla and Himalaya had previously entered into an Amended and Restated Exclusive Rights Agreement (the “Amended Rights Agreement”) in January of 2020. Pursuant to the Amended Rights Agreement, Himalaya controls rights to develop, manufacture and commercialize certain assets, including BA3362 which was licensed to Context (see Note 7), in certain territories as further specified in the Amended Rights Agreement. Pursuant to the Himalaya Agreement, Himalaya consented to BioAtla’s execution and performance of the Agreement, and granted to BioAtla an exclusive, worldwide, sublicensable license for those impacted products and intellectual property. Further, as set forth in the Amended Rights Agreement and further clarified in the Himalaya Agreement, BioAtla agreed to pay, subject to any applicable tax withholdings, to Himalaya (i) a mid-teens percentage of all upfront payments and development milestones received by BioAtla from Context under the Context License Agreement; and (ii) a specified percentage of any and all sales milestones and/or royalties based upon Net Sales (as defined in the Context License Agreement) in the People’s Republic of China and the Special Administrative Regions of Hong Kong, Macao and Taiwan that BioAtla receives from Context under the Context License Agreement.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is the principal in the Context License Agreement and in the Himalaya Agreement, and will record revenues and expenses on a gross basis given that the Company had full discretion in setting consideration pricing in the Context License Agreement, the Company will be primarily responsible for providing the License, and Himalaya has no obligation to be a part of any of the fulfillment activities.</w:t>
      </w:r>
    </w:p>
    <w:p>
      <w:pPr>
        <w:pStyle w:val="TextBody"/>
        <w:bidi w:val="0"/>
        <w:spacing w:before="216" w:after="283"/>
        <w:jc w:val="left"/>
        <w:rPr>
          <w:rFonts w:ascii="Times New Roman" w:hAnsi="Times New Roman"/>
          <w:sz w:val="20"/>
        </w:rPr>
      </w:pPr>
      <w:r>
        <w:rPr>
          <w:rFonts w:ascii="Times New Roman" w:hAnsi="Times New Roman"/>
          <w:color w:val="000000"/>
          <w:sz w:val="18"/>
        </w:rPr>
        <w:t>For the twelve months ended December 31, 2024 and 2023, the Company recognized $2.2</w:t>
      </w:r>
      <w:r>
        <w:rPr>
          <w:rFonts w:ascii="Times New Roman" w:hAnsi="Times New Roman"/>
          <w:color w:val="000000"/>
          <w:sz w:val="20"/>
        </w:rPr>
        <w:t xml:space="preserve"> </w:t>
      </w:r>
      <w:r>
        <w:rPr>
          <w:rFonts w:ascii="Times New Roman" w:hAnsi="Times New Roman"/>
          <w:color w:val="000000"/>
          <w:sz w:val="18"/>
        </w:rPr>
        <w:t>million and $0.1</w:t>
      </w:r>
      <w:r>
        <w:rPr>
          <w:rFonts w:ascii="Times New Roman" w:hAnsi="Times New Roman"/>
          <w:color w:val="000000"/>
          <w:sz w:val="20"/>
        </w:rPr>
        <w:t xml:space="preserve"> </w:t>
      </w:r>
      <w:r>
        <w:rPr>
          <w:rFonts w:ascii="Times New Roman" w:hAnsi="Times New Roman"/>
          <w:color w:val="000000"/>
          <w:sz w:val="18"/>
        </w:rPr>
        <w:t>million, respectively, in research and development expense related to the transactions with Himalaya. The Company did not have any amounts due from or due to Himalaya Therapeutics SEZC as of December 31, 2024 or 2023.</w:t>
      </w:r>
    </w:p>
    <w:p>
      <w:pPr>
        <w:pStyle w:val="TextBody"/>
        <w:bidi w:val="0"/>
        <w:spacing w:before="216" w:after="283"/>
        <w:jc w:val="left"/>
        <w:rPr>
          <w:rFonts w:ascii="Times New Roman" w:hAnsi="Times New Roman"/>
          <w:b/>
          <w:i/>
          <w:color w:val="000000"/>
          <w:sz w:val="18"/>
        </w:rPr>
      </w:pPr>
      <w:r>
        <w:rPr>
          <w:rFonts w:ascii="Times New Roman" w:hAnsi="Times New Roman"/>
          <w:b/>
          <w:i/>
          <w:color w:val="000000"/>
          <w:sz w:val="18"/>
        </w:rPr>
        <w:t>Himalaya Parent LLC</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Dr. Jay Short and his spouse serve as managers of Himalaya Parent LLC. The Company does not have a variable interest in Himalaya Parent LLC.</w:t>
      </w:r>
    </w:p>
    <w:p>
      <w:pPr>
        <w:pStyle w:val="TextBody"/>
        <w:bidi w:val="0"/>
        <w:spacing w:before="210" w:after="283"/>
        <w:jc w:val="left"/>
        <w:rPr>
          <w:rFonts w:ascii="Times New Roman" w:hAnsi="Times New Roman"/>
          <w:b/>
          <w:color w:val="000000"/>
          <w:sz w:val="18"/>
        </w:rPr>
      </w:pPr>
      <w:r>
        <w:rPr>
          <w:rFonts w:ascii="Times New Roman" w:hAnsi="Times New Roman"/>
          <w:b/>
          <w:color w:val="000000"/>
          <w:sz w:val="18"/>
        </w:rPr>
        <w:t>9. 401(k) Plan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Company maintains a defined contribution 401(k) plan available to eligible employees. Employee contributions are voluntary and are determined on an individual basis, limited to the maximum amount allowable under federal tax regulations. The Company, at its discretion, may make certain matching contributions to the 401(k) plan. To date, the Company has not made any matching contributions.</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10. Income Taxes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A reconciliation of income tax expense computed at the U.S. federal statutory income tax rate to the Company’s income tax expense is as follows (in thousands):</w:t>
      </w:r>
    </w:p>
    <w:p>
      <w:pPr>
        <w:pStyle w:val="TextBody"/>
        <w:bidi w:val="0"/>
        <w:jc w:val="left"/>
        <w:rPr/>
      </w:pPr>
      <w:r>
        <w:rPr/>
        <w:t> </w:t>
      </w:r>
    </w:p>
    <w:tbl>
      <w:tblPr>
        <w:tblW w:w="6279" w:type="dxa"/>
        <w:jc w:val="left"/>
        <w:tblInd w:w="0" w:type="dxa"/>
        <w:tblLayout w:type="fixed"/>
        <w:tblCellMar>
          <w:top w:w="28" w:type="dxa"/>
          <w:left w:w="28" w:type="dxa"/>
          <w:bottom w:w="28" w:type="dxa"/>
          <w:right w:w="28" w:type="dxa"/>
        </w:tblCellMar>
      </w:tblPr>
      <w:tblGrid>
        <w:gridCol w:w="3736"/>
        <w:gridCol w:w="146"/>
        <w:gridCol w:w="211"/>
        <w:gridCol w:w="714"/>
        <w:gridCol w:w="179"/>
        <w:gridCol w:w="157"/>
        <w:gridCol w:w="211"/>
        <w:gridCol w:w="714"/>
        <w:gridCol w:w="21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Tax computed at the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(14,653</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State income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Nondeductible executive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Research and development and orphan drug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Uncertain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17,013</w:t>
            </w:r>
          </w:p>
        </w:tc>
        <w:tc>
          <w:tcPr>
            <w:tcW w:w="1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28,936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97</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108" w:after="240"/>
        <w:jc w:val="left"/>
        <w:rPr>
          <w:rFonts w:ascii="Times New Roman" w:hAnsi="Times New Roman"/>
          <w:color w:val="000000"/>
          <w:sz w:val="18"/>
        </w:rPr>
      </w:pPr>
      <w:r>
        <w:rPr>
          <w:rFonts w:ascii="Times New Roman" w:hAnsi="Times New Roman"/>
          <w:color w:val="000000"/>
          <w:sz w:val="18"/>
        </w:rPr>
        <w:t>The Company’s net deferred tax assets (liabilities) are as follows (in thousands):</w:t>
      </w:r>
    </w:p>
    <w:tbl>
      <w:tblPr>
        <w:tblW w:w="5435" w:type="dxa"/>
        <w:jc w:val="left"/>
        <w:tblInd w:w="0" w:type="dxa"/>
        <w:tblLayout w:type="fixed"/>
        <w:tblCellMar>
          <w:top w:w="28" w:type="dxa"/>
          <w:left w:w="28" w:type="dxa"/>
          <w:bottom w:w="28" w:type="dxa"/>
          <w:right w:w="28" w:type="dxa"/>
        </w:tblCellMar>
      </w:tblPr>
      <w:tblGrid>
        <w:gridCol w:w="2691"/>
        <w:gridCol w:w="146"/>
        <w:gridCol w:w="202"/>
        <w:gridCol w:w="777"/>
        <w:gridCol w:w="171"/>
        <w:gridCol w:w="151"/>
        <w:gridCol w:w="202"/>
        <w:gridCol w:w="684"/>
        <w:gridCol w:w="411"/>
      </w:tblGrid>
      <w:tr>
        <w:trPr/>
        <w:tc>
          <w:tcPr>
            <w:tcW w:w="2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33,799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25,034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Liability to licensor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Research credit carryforwards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13,221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Section 174 cost capitalization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36,951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31,220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Section 59(e) cost capitalization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8,400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102,838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86,187</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(102,655</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(85,642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Operating lease right-of-use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A valuation allowance of approximately $102.7</w:t>
      </w:r>
      <w:r>
        <w:rPr>
          <w:rFonts w:ascii="Times New Roman" w:hAnsi="Times New Roman"/>
          <w:color w:val="000000"/>
          <w:sz w:val="20"/>
        </w:rPr>
        <w:t xml:space="preserve"> </w:t>
      </w:r>
      <w:r>
        <w:rPr>
          <w:rFonts w:ascii="Times New Roman" w:hAnsi="Times New Roman"/>
          <w:color w:val="000000"/>
          <w:sz w:val="18"/>
        </w:rPr>
        <w:t>million as of December 31, 2024</w:t>
      </w:r>
      <w:r>
        <w:rPr>
          <w:rFonts w:ascii="Times New Roman" w:hAnsi="Times New Roman"/>
          <w:color w:val="000000"/>
          <w:sz w:val="20"/>
        </w:rPr>
        <w:t xml:space="preserve"> </w:t>
      </w:r>
      <w:r>
        <w:rPr>
          <w:rFonts w:ascii="Times New Roman" w:hAnsi="Times New Roman"/>
          <w:color w:val="000000"/>
          <w:sz w:val="18"/>
        </w:rPr>
        <w:t>has been established to offset the deferred tax assets as the Company has determined that it is not more likely than not that these assets will be realized. The valuation allowance increased by approximately $17.0</w:t>
      </w:r>
      <w:r>
        <w:rPr>
          <w:rFonts w:ascii="Times New Roman" w:hAnsi="Times New Roman"/>
          <w:color w:val="000000"/>
          <w:sz w:val="20"/>
        </w:rPr>
        <w:t xml:space="preserve"> </w:t>
      </w:r>
      <w:r>
        <w:rPr>
          <w:rFonts w:ascii="Times New Roman" w:hAnsi="Times New Roman"/>
          <w:color w:val="000000"/>
          <w:sz w:val="18"/>
        </w:rPr>
        <w:t>million during 2024.</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2024, the Company had federal and state net operating loss carryforwards of approximately $160.6</w:t>
      </w:r>
      <w:r>
        <w:rPr>
          <w:rFonts w:ascii="Times New Roman" w:hAnsi="Times New Roman"/>
          <w:color w:val="000000"/>
          <w:sz w:val="20"/>
        </w:rPr>
        <w:t xml:space="preserve"> </w:t>
      </w:r>
      <w:r>
        <w:rPr>
          <w:rFonts w:ascii="Times New Roman" w:hAnsi="Times New Roman"/>
          <w:color w:val="000000"/>
          <w:sz w:val="18"/>
        </w:rPr>
        <w:t>million and $42.0</w:t>
      </w:r>
      <w:r>
        <w:rPr>
          <w:rFonts w:ascii="Times New Roman" w:hAnsi="Times New Roman"/>
          <w:color w:val="000000"/>
          <w:sz w:val="20"/>
        </w:rPr>
        <w:t xml:space="preserve"> </w:t>
      </w:r>
      <w:r>
        <w:rPr>
          <w:rFonts w:ascii="Times New Roman" w:hAnsi="Times New Roman"/>
          <w:color w:val="000000"/>
          <w:sz w:val="18"/>
        </w:rPr>
        <w:t>million, respectively. The federal and approximately $41.5 million of state net operating losses can be carried forward indefinitely, subject to an 80% limitation against taxable income. The remaining state net operating losses of approximately $0.4 million will begin to expire in 2042, unless previously utilized.</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2024, the Company had federal and California research and development credit carryforwards of approximately $10.1</w:t>
      </w:r>
      <w:r>
        <w:rPr>
          <w:rFonts w:ascii="Times New Roman" w:hAnsi="Times New Roman"/>
          <w:color w:val="000000"/>
          <w:sz w:val="20"/>
        </w:rPr>
        <w:t xml:space="preserve"> </w:t>
      </w:r>
      <w:r>
        <w:rPr>
          <w:rFonts w:ascii="Times New Roman" w:hAnsi="Times New Roman"/>
          <w:color w:val="000000"/>
          <w:sz w:val="18"/>
        </w:rPr>
        <w:t>million and $3.3</w:t>
      </w:r>
      <w:r>
        <w:rPr>
          <w:rFonts w:ascii="Times New Roman" w:hAnsi="Times New Roman"/>
          <w:color w:val="000000"/>
          <w:sz w:val="20"/>
        </w:rPr>
        <w:t xml:space="preserve"> </w:t>
      </w:r>
      <w:r>
        <w:rPr>
          <w:rFonts w:ascii="Times New Roman" w:hAnsi="Times New Roman"/>
          <w:color w:val="000000"/>
          <w:sz w:val="18"/>
        </w:rPr>
        <w:t>million, respectively. The federal credit carryforwards will begin to expire in 2040, unless previously utilized. The California credits will carry forward indefinitely.</w:t>
      </w:r>
    </w:p>
    <w:p>
      <w:pPr>
        <w:pStyle w:val="TextBody"/>
        <w:bidi w:val="0"/>
        <w:spacing w:before="216" w:after="283"/>
        <w:jc w:val="left"/>
        <w:rPr>
          <w:rFonts w:ascii="Times New Roman" w:hAnsi="Times New Roman"/>
          <w:sz w:val="20"/>
        </w:rPr>
      </w:pPr>
      <w:r>
        <w:rPr>
          <w:rFonts w:ascii="Times New Roman" w:hAnsi="Times New Roman"/>
          <w:color w:val="000000"/>
          <w:sz w:val="18"/>
        </w:rPr>
        <w:t>At December 31, 2024, the Company also had federal orphan drug credit carryforwards of approximately $4.9</w:t>
      </w:r>
      <w:r>
        <w:rPr>
          <w:rFonts w:ascii="Times New Roman" w:hAnsi="Times New Roman"/>
          <w:color w:val="000000"/>
          <w:sz w:val="20"/>
        </w:rPr>
        <w:t xml:space="preserve"> </w:t>
      </w:r>
      <w:r>
        <w:rPr>
          <w:rFonts w:ascii="Times New Roman" w:hAnsi="Times New Roman"/>
          <w:color w:val="000000"/>
          <w:sz w:val="18"/>
        </w:rPr>
        <w:t>million. The orphan drug credit carryforwards will begin to expire in 2041, unless previously utilized.</w:t>
      </w:r>
    </w:p>
    <w:p>
      <w:pPr>
        <w:pStyle w:val="TextBody"/>
        <w:bidi w:val="0"/>
        <w:spacing w:before="216" w:after="283"/>
        <w:jc w:val="left"/>
        <w:rPr>
          <w:rFonts w:ascii="Times New Roman" w:hAnsi="Times New Roman"/>
          <w:sz w:val="20"/>
        </w:rPr>
      </w:pPr>
      <w:r>
        <w:rPr>
          <w:rFonts w:ascii="Times New Roman" w:hAnsi="Times New Roman"/>
          <w:color w:val="000000"/>
          <w:sz w:val="18"/>
        </w:rPr>
        <w:t>Pursuant to Internal Revenue Code (“IRC”) Sections 382 and 383, annual use of the Company's net operating loss carryforwards may be limited in the event a cumulative change in ownership of more than 50% occurs within a three-year period.</w:t>
      </w:r>
      <w:r>
        <w:rPr>
          <w:rFonts w:ascii="Times New Roman" w:hAnsi="Times New Roman"/>
          <w:color w:val="000000"/>
          <w:sz w:val="20"/>
        </w:rPr>
        <w:t xml:space="preserve"> </w:t>
      </w:r>
      <w:r>
        <w:rPr>
          <w:rFonts w:ascii="Times New Roman" w:hAnsi="Times New Roman"/>
          <w:color w:val="000000"/>
          <w:sz w:val="18"/>
        </w:rPr>
        <w:t>The Company has not completed an ownership change analysis pursuant to IRC Section 382. If ownership changes within the meaning of IRC Section 382 are identified as having occurred, the amount of remaining tax attribute carryforwards available to offset future taxable income and income tax expense in future years may be significantly restricted or eliminated. Further, the Company's deferred tax assets associated with such tax attributes could be significantly reduced upon realization of an ownership change within the meaning of IRC Section 382.</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Under the FASB's accounting guidance related to income tax positions, among other things, the impact of an uncertain income tax position on the income tax return must be recognized at the largest amount that is more-likely-than-not to be sustained upon audit by the relevant taxing authority. An uncertain income tax position will not be recognized if it has less than a 50% likelihood of being sustained. Additionally, the guidance provides further clarification on derecognition, classification, interest and penalties, accounting in interim period, disclosure and transition. The Company regularly evaluates the likelihood of recognizing the benefit for income tax positions taken in various federal and state filings by considering all relevant facts, circumstances, and information available.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98</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6" w:after="240"/>
        <w:jc w:val="left"/>
        <w:rPr>
          <w:rFonts w:ascii="Times New Roman" w:hAnsi="Times New Roman"/>
          <w:color w:val="000000"/>
          <w:sz w:val="18"/>
        </w:rPr>
      </w:pPr>
      <w:r>
        <w:rPr>
          <w:rFonts w:ascii="Times New Roman" w:hAnsi="Times New Roman"/>
          <w:color w:val="000000"/>
          <w:sz w:val="18"/>
        </w:rPr>
        <w:t>A reconciliation of the beginning and ending unrecognized tax benefit amount is as follows (in thousands):</w:t>
      </w:r>
    </w:p>
    <w:tbl>
      <w:tblPr>
        <w:tblW w:w="6286" w:type="dxa"/>
        <w:jc w:val="left"/>
        <w:tblInd w:w="0" w:type="dxa"/>
        <w:tblLayout w:type="fixed"/>
        <w:tblCellMar>
          <w:top w:w="28" w:type="dxa"/>
          <w:left w:w="28" w:type="dxa"/>
          <w:bottom w:w="28" w:type="dxa"/>
          <w:right w:w="28" w:type="dxa"/>
        </w:tblCellMar>
      </w:tblPr>
      <w:tblGrid>
        <w:gridCol w:w="3561"/>
        <w:gridCol w:w="146"/>
        <w:gridCol w:w="251"/>
        <w:gridCol w:w="656"/>
        <w:gridCol w:w="187"/>
        <w:gridCol w:w="187"/>
        <w:gridCol w:w="251"/>
        <w:gridCol w:w="65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 beginning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increases - tax positions in prior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Gross increase – current-period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980</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Unrecognized tax benefits - ending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4,582</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16" w:after="283"/>
        <w:jc w:val="left"/>
        <w:rPr>
          <w:rFonts w:ascii="Times New Roman" w:hAnsi="Times New Roman"/>
          <w:sz w:val="20"/>
        </w:rPr>
      </w:pPr>
      <w:r>
        <w:rPr>
          <w:rFonts w:ascii="Times New Roman" w:hAnsi="Times New Roman"/>
          <w:color w:val="000000"/>
          <w:sz w:val="18"/>
        </w:rPr>
        <w:t>As of December 31, 2024, the Company had gross unrecognized tax benefits of approximately $4.6</w:t>
      </w:r>
      <w:r>
        <w:rPr>
          <w:rFonts w:ascii="Times New Roman" w:hAnsi="Times New Roman"/>
          <w:color w:val="000000"/>
          <w:sz w:val="20"/>
        </w:rPr>
        <w:t xml:space="preserve"> </w:t>
      </w:r>
      <w:r>
        <w:rPr>
          <w:rFonts w:ascii="Times New Roman" w:hAnsi="Times New Roman"/>
          <w:color w:val="000000"/>
          <w:sz w:val="18"/>
        </w:rPr>
        <w:t>million, none of which would affect the Company’s effective tax rate due to the existence of the valuation allowance. The Company’s policy is to recognize interest and penalties related to income tax matters in income tax expense. The Company had no accrual for interest or penalties on the Company’s balance sheet and has not recognized interest or penalties in the statements of operations and comprehensive income for the year ended December 31, 2024. The Company does not anticipate a significant change to its liability for unrecognized tax benefits within the next twelve months.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The Company is subject to taxation in the United States and various state jurisdictions. The Company is subject to examination by tax authorities in those jurisdictions since 2021 and 2020, respectively, and forward. However, to the extent allowed by law, the taxing authorities may have the right to examine periods where NOLs and research and development credits were generated and carried forward, and make adjustments to the amount of the NOL and research credits carryforward amount. The Company is not currently under examination by any jurisdiction.</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11. Segment Information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Operating segments are identified as components of an enterprise about which separate discrete financial information is available for evaluation by the chief operating decision-maker in making decisions regarding resource allocation and assessing performance. The Company is a clinical-stage biopharmaceutical company and has not generated any product revenue from its CAB antibody-based products. The Company’s operations are organized and reported as a single reportable segment, which includes all activities related to the discovery, development, and commercialization of its CAB products. The Company’s CODM, its chief executive officer, reviews operating results on an aggregate basis and manages the operations as a single operating segment. The measure of segment assets is reported on the balance sheets as total assets. The CODM evaluates performance and allocates resources based on consolidated net income or loss that also is reported on the statements of operations and comprehensive loss as net loss, and cash used in operations.</w:t>
      </w:r>
    </w:p>
    <w:p>
      <w:pPr>
        <w:pStyle w:val="TextBody"/>
        <w:bidi w:val="0"/>
        <w:spacing w:before="216" w:after="120"/>
        <w:jc w:val="left"/>
        <w:rPr>
          <w:rFonts w:ascii="Times New Roman" w:hAnsi="Times New Roman"/>
          <w:color w:val="000000"/>
          <w:sz w:val="18"/>
        </w:rPr>
      </w:pPr>
      <w:r>
        <w:rPr>
          <w:rFonts w:ascii="Times New Roman" w:hAnsi="Times New Roman"/>
          <w:color w:val="000000"/>
          <w:sz w:val="18"/>
        </w:rPr>
        <w:t>The following table provides R&amp;D expenses by program with a reconciliation to net loss for the periods indicated, which are regularly reviewed by the CODM:</w:t>
      </w:r>
    </w:p>
    <w:tbl>
      <w:tblPr>
        <w:tblW w:w="6559" w:type="dxa"/>
        <w:jc w:val="left"/>
        <w:tblInd w:w="0" w:type="dxa"/>
        <w:tblLayout w:type="fixed"/>
        <w:tblCellMar>
          <w:top w:w="28" w:type="dxa"/>
          <w:left w:w="28" w:type="dxa"/>
          <w:bottom w:w="28" w:type="dxa"/>
          <w:right w:w="28" w:type="dxa"/>
        </w:tblCellMar>
      </w:tblPr>
      <w:tblGrid>
        <w:gridCol w:w="3981"/>
        <w:gridCol w:w="202"/>
        <w:gridCol w:w="684"/>
        <w:gridCol w:w="171"/>
        <w:gridCol w:w="151"/>
        <w:gridCol w:w="202"/>
        <w:gridCol w:w="777"/>
        <w:gridCol w:w="391"/>
      </w:tblGrid>
      <w:tr>
        <w:trPr/>
        <w:tc>
          <w:tcPr>
            <w:tcW w:w="398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8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(in thousands)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Collaboration and other revenue</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Program expenses:</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Mecbotamab vedotin, BA3011 (CAB AXL-ADC)</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12,934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Ozuriftamab vedotin, BA3021 (CAB ROR2-ADC)</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8,962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13,530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Evalstotug, BA3071 (CAB CTLA-4)</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9,103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17,099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BA3182 (CAB EpCAM x CAB CD3)</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Other CAB Programs</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6,912</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22,159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program expenses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43,022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81,369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12,082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4,238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5,462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and other</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3,753</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4,348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research and development expenses</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63,095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Personnel and related</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7,213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Equity-based compensation</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18"/>
              </w:rPr>
            </w:pPr>
            <w:r>
              <w:rPr>
                <w:rFonts w:ascii="Times New Roman" w:hAnsi="Times New Roman"/>
                <w:color w:val="000000"/>
                <w:sz w:val="18"/>
              </w:rPr>
              <w:t>Facilities and other</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10,321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general and administrative expenses</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21,848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and other income/(expense)</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and comprehensive loss</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(69,776</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(123,462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spacing w:before="108" w:after="12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99</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12. Subsequent Events</w:t>
      </w:r>
    </w:p>
    <w:p>
      <w:pPr>
        <w:pStyle w:val="TextBody"/>
        <w:bidi w:val="0"/>
        <w:spacing w:before="108" w:after="283"/>
        <w:jc w:val="left"/>
        <w:rPr>
          <w:rFonts w:ascii="Times New Roman" w:hAnsi="Times New Roman"/>
          <w:sz w:val="20"/>
        </w:rPr>
      </w:pPr>
      <w:r>
        <w:rPr>
          <w:rFonts w:ascii="Times New Roman" w:hAnsi="Times New Roman"/>
          <w:color w:val="000000"/>
          <w:sz w:val="18"/>
        </w:rPr>
        <w:t>The Company has completed an evaluation of all subsequent events through March 27, 2025 for the financial statements as of and for the year ended December 31, 2024</w:t>
      </w:r>
      <w:r>
        <w:rPr>
          <w:rFonts w:ascii="Times New Roman" w:hAnsi="Times New Roman"/>
          <w:color w:val="000000"/>
          <w:sz w:val="20"/>
        </w:rPr>
        <w:t xml:space="preserve"> </w:t>
      </w:r>
      <w:r>
        <w:rPr>
          <w:rFonts w:ascii="Times New Roman" w:hAnsi="Times New Roman"/>
          <w:color w:val="000000"/>
          <w:sz w:val="18"/>
        </w:rPr>
        <w:t>to ensure these financial statements include appropriate disclosure of events both recognized in the financial statements and events which occurred but were not recognized in the financial statements. Except as described below or elsewhere in these financial statements, the Company has concluded that no subsequent event has occurred that requires disclosure.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100</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0" w:after="283"/>
        <w:jc w:val="left"/>
        <w:rPr>
          <w:rFonts w:ascii="Times New Roman" w:hAnsi="Times New Roman"/>
          <w:b/>
          <w:color w:val="000000"/>
          <w:sz w:val="18"/>
        </w:rPr>
      </w:pPr>
      <w:bookmarkStart w:id="32" w:name="item_9_changes_in_and_disagreements"/>
      <w:bookmarkEnd w:id="32"/>
      <w:r>
        <w:rPr>
          <w:rFonts w:ascii="Times New Roman" w:hAnsi="Times New Roman"/>
          <w:b/>
          <w:color w:val="000000"/>
          <w:sz w:val="18"/>
        </w:rPr>
        <w:t>ITEM 9. Changes in and Disagreements with Accountants on Accounting and Financial Disclosure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jc w:val="left"/>
        <w:rPr>
          <w:rFonts w:ascii="Times New Roman" w:hAnsi="Times New Roman"/>
          <w:b/>
          <w:color w:val="000000"/>
          <w:sz w:val="18"/>
        </w:rPr>
      </w:pPr>
      <w:bookmarkStart w:id="33" w:name="item_9a_controls_and_procedures"/>
      <w:bookmarkEnd w:id="33"/>
      <w:r>
        <w:rPr>
          <w:rFonts w:ascii="Times New Roman" w:hAnsi="Times New Roman"/>
          <w:b/>
          <w:color w:val="000000"/>
          <w:sz w:val="18"/>
        </w:rPr>
        <w:t>ITEM 9A. Controls and Procedures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Evaluation of Disclosure Controls and Procedures.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As required by Rules 13a-15(b) and 15d-15(b) of the Exchange Act, our management with the participation of our Chief Executive Officer and our Chief Financial Officer, evaluated the effectiveness of our disclosure controls and procedures as of December 31, 2024.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December 31, 2024, our Chief Executive Officer and our Chief Financial Officer concluded that, as of such date, our disclosure controls and procedures were effective at the reasonable assurance level.</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Management’s Annual Report on Internal Control over Financial Reporting.</w:t>
      </w:r>
    </w:p>
    <w:p>
      <w:pPr>
        <w:pStyle w:val="TextBody"/>
        <w:bidi w:val="0"/>
        <w:spacing w:before="108" w:after="283"/>
        <w:jc w:val="left"/>
        <w:rPr>
          <w:rFonts w:ascii="Times New Roman" w:hAnsi="Times New Roman"/>
          <w:sz w:val="20"/>
        </w:rPr>
      </w:pPr>
      <w:r>
        <w:rPr>
          <w:rFonts w:ascii="Times New Roman" w:hAnsi="Times New Roman"/>
          <w:color w:val="000000"/>
          <w:sz w:val="18"/>
        </w:rPr>
        <w:t>Our management is responsible for establishing and maintaining adequate internal control over financial reporting (as defined in Rule 13a-15(f) under the Exchange Act). Management conducted an assessment of the effectiveness of our internal control over financial reporting based on the criteria set forth in Internal Control—Integrated Framework issued by the Committee of Sponsoring Organizations of the Treadway Commission (2013 framework). Based on the assessment, management has concluded that its internal control over financial reporting was effective as of December 31, 2024, to provide reasonable assurance regarding the reliability of financial reporting and the preparation of financial statements in accordance with GAAP.</w:t>
      </w:r>
      <w:r>
        <w:rPr>
          <w:rFonts w:ascii="Times New Roman" w:hAnsi="Times New Roman"/>
          <w:color w:val="000000"/>
          <w:sz w:val="20"/>
        </w:rPr>
        <w:t xml:space="preserve"> </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Changes in Internal Control over Financial Reporting.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Under the supervision and with the participation of our management, including our Chief Executive Officer and Chief Financial Officer, we conducted an evaluation of any changes in our internal control over financial reporting (as such term is defined in Rules 13a-15(d) and 15d-15(d) under the Exchange Act) that occurred during our most recently completed fiscal quarter. Based on that evaluation, our principal executive officers and principal financial officer concluded that there has not been any material change in our internal control over financial reporting during the fourth quarter of fiscal 2024 that materially affected, or is reasonably likely to materially affect, our internal control over financial reporting.</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Limitations on Effectiveness of Controls and Procedures and Internal Control over Financial Reporting</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 xml:space="preserve">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 </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See Management’s Annual Report on Internal Control over Financial Reporting above.</w:t>
      </w:r>
    </w:p>
    <w:p>
      <w:pPr>
        <w:pStyle w:val="TextBody"/>
        <w:bidi w:val="0"/>
        <w:spacing w:before="216" w:after="283"/>
        <w:jc w:val="left"/>
        <w:rPr/>
      </w:pPr>
      <w:r>
        <w:rPr/>
        <w:t> </w:t>
      </w:r>
    </w:p>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101</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324" w:after="283"/>
        <w:jc w:val="left"/>
        <w:rPr>
          <w:rFonts w:ascii="Times New Roman" w:hAnsi="Times New Roman"/>
          <w:sz w:val="20"/>
        </w:rPr>
      </w:pPr>
      <w:bookmarkStart w:id="34" w:name="item_9b_other_information"/>
      <w:bookmarkEnd w:id="34"/>
      <w:r>
        <w:rPr>
          <w:rFonts w:ascii="Times New Roman" w:hAnsi="Times New Roman"/>
          <w:b/>
          <w:color w:val="000000"/>
          <w:sz w:val="18"/>
        </w:rPr>
        <w:t>ITEM 9B. Other</w:t>
      </w:r>
      <w:r>
        <w:rPr>
          <w:rFonts w:ascii="Times New Roman" w:hAnsi="Times New Roman"/>
          <w:color w:val="000000"/>
          <w:sz w:val="20"/>
        </w:rPr>
        <w:t xml:space="preserve"> </w:t>
      </w:r>
      <w:r>
        <w:rPr>
          <w:rFonts w:ascii="Times New Roman" w:hAnsi="Times New Roman"/>
          <w:b/>
          <w:color w:val="000000"/>
          <w:sz w:val="18"/>
        </w:rPr>
        <w:t>Information</w:t>
      </w:r>
    </w:p>
    <w:p>
      <w:pPr>
        <w:pStyle w:val="TextBody"/>
        <w:bidi w:val="0"/>
        <w:spacing w:before="108" w:after="283"/>
        <w:jc w:val="left"/>
        <w:rPr>
          <w:rFonts w:ascii="Times New Roman" w:hAnsi="Times New Roman"/>
          <w:sz w:val="20"/>
        </w:rPr>
      </w:pPr>
      <w:r>
        <w:rPr>
          <w:rFonts w:ascii="Times New Roman" w:hAnsi="Times New Roman"/>
          <w:color w:val="000000"/>
          <w:sz w:val="18"/>
        </w:rPr>
        <w:t>During the fiscal quarter ended December 31, 2024, no director or officer of the Company adopted</w:t>
      </w:r>
      <w:r>
        <w:rPr>
          <w:rFonts w:ascii="Times New Roman" w:hAnsi="Times New Roman"/>
          <w:color w:val="000000"/>
          <w:sz w:val="20"/>
        </w:rPr>
        <w:t xml:space="preserve"> </w:t>
      </w:r>
      <w:r>
        <w:rPr>
          <w:rFonts w:ascii="Times New Roman" w:hAnsi="Times New Roman"/>
          <w:color w:val="000000"/>
          <w:sz w:val="18"/>
        </w:rPr>
        <w:t>or terminated</w:t>
      </w:r>
      <w:r>
        <w:rPr>
          <w:rFonts w:ascii="Times New Roman" w:hAnsi="Times New Roman"/>
          <w:color w:val="000000"/>
          <w:sz w:val="20"/>
        </w:rPr>
        <w:t xml:space="preserve"> </w:t>
      </w:r>
      <w:r>
        <w:rPr>
          <w:rFonts w:ascii="Times New Roman" w:hAnsi="Times New Roman"/>
          <w:color w:val="000000"/>
          <w:sz w:val="18"/>
        </w:rPr>
        <w:t>a “Rule 10b5-1 trading arrangement” or “non-Rule 10b5-1 trading arrangement,” as each term is defined in Item 408(a) of Regulation S-K.</w:t>
      </w:r>
    </w:p>
    <w:p>
      <w:pPr>
        <w:pStyle w:val="TextBody"/>
        <w:bidi w:val="0"/>
        <w:spacing w:before="324" w:after="283"/>
        <w:jc w:val="left"/>
        <w:rPr>
          <w:rFonts w:ascii="Times New Roman" w:hAnsi="Times New Roman"/>
          <w:b/>
          <w:color w:val="000000"/>
          <w:sz w:val="18"/>
        </w:rPr>
      </w:pPr>
      <w:r>
        <w:rPr>
          <w:rFonts w:ascii="Times New Roman" w:hAnsi="Times New Roman"/>
          <w:b/>
          <w:color w:val="000000"/>
          <w:sz w:val="18"/>
        </w:rPr>
        <w:t>ITEM 9C. Disclosure Regarding Foreign Jurisdictions that Prevent Inspections</w:t>
      </w:r>
    </w:p>
    <w:p>
      <w:pPr>
        <w:pStyle w:val="TextBody"/>
        <w:bidi w:val="0"/>
        <w:spacing w:before="108" w:after="283"/>
        <w:jc w:val="left"/>
        <w:rPr>
          <w:rFonts w:ascii="Times New Roman" w:hAnsi="Times New Roman"/>
          <w:sz w:val="20"/>
        </w:rPr>
      </w:pPr>
      <w:r>
        <w:rPr>
          <w:rFonts w:ascii="Times New Roman" w:hAnsi="Times New Roman"/>
          <w:color w:val="000000"/>
          <w:sz w:val="18"/>
        </w:rPr>
        <w:t>Not applicable.</w:t>
      </w:r>
      <w:r>
        <w:rPr>
          <w:rFonts w:ascii="Times New Roman" w:hAnsi="Times New Roman"/>
          <w:color w:val="000000"/>
          <w:sz w:val="20"/>
        </w:rPr>
        <w:t xml:space="preserve">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102</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spacing w:before="210" w:after="283"/>
        <w:jc w:val="center"/>
        <w:rPr>
          <w:rFonts w:ascii="Times New Roman" w:hAnsi="Times New Roman"/>
          <w:b/>
          <w:color w:val="000000"/>
          <w:sz w:val="18"/>
        </w:rPr>
      </w:pPr>
      <w:bookmarkStart w:id="35" w:name="part_iii"/>
      <w:bookmarkEnd w:id="35"/>
      <w:r>
        <w:rPr>
          <w:rFonts w:ascii="Times New Roman" w:hAnsi="Times New Roman"/>
          <w:b/>
          <w:color w:val="000000"/>
          <w:sz w:val="18"/>
        </w:rPr>
        <w:t>PART III</w:t>
      </w:r>
    </w:p>
    <w:p>
      <w:pPr>
        <w:pStyle w:val="TextBody"/>
        <w:bidi w:val="0"/>
        <w:spacing w:before="120" w:after="283"/>
        <w:jc w:val="left"/>
        <w:rPr>
          <w:rFonts w:ascii="Times New Roman" w:hAnsi="Times New Roman"/>
          <w:b/>
          <w:color w:val="000000"/>
          <w:sz w:val="18"/>
        </w:rPr>
      </w:pPr>
      <w:bookmarkStart w:id="36" w:name="item_10"/>
      <w:bookmarkEnd w:id="36"/>
      <w:r>
        <w:rPr>
          <w:rFonts w:ascii="Times New Roman" w:hAnsi="Times New Roman"/>
          <w:b/>
          <w:color w:val="000000"/>
          <w:sz w:val="18"/>
        </w:rPr>
        <w:t>ITEM 10. Directors, Executive Officers and Corporate Governance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Except to the extent provided below, the information required by this Item 10 will be included under the captions “Board of Directors and Corporate Governance,” “Proposal One: Election of Directors,” “Executive Officers” and “Delinquent Section 16(a) Reports” in our Proxy Statement to be filed with the SEC and is incorporated herein by reference.</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We have adopted a Company Code of Business Conduct and Ethics that applies to all officers, directors and employees, including our principal executive officer, principal financial officer, principal accounting officer or controller, or person performing similar functions. A current copy of the Code of Business Conduct and Ethics is available on the Corporate Governance section of our website at www.bioatla.com. If we make any substantive amendments to the Code of Business Conduct and Ethics or grants any waiver from a provision of the Code of Business Conduct and Ethics to any executive officer or director that are required to be disclosed pursuant to SEC rules, we will promptly disclose the nature of the amendment or waiver on our website or in a current report on Form 8-K.</w:t>
      </w:r>
    </w:p>
    <w:p>
      <w:pPr>
        <w:pStyle w:val="TextBody"/>
        <w:bidi w:val="0"/>
        <w:jc w:val="left"/>
        <w:rPr/>
      </w:pPr>
      <w:r>
        <w:rPr/>
        <w:t> </w:t>
      </w:r>
    </w:p>
    <w:p>
      <w:pPr>
        <w:pStyle w:val="TextBody"/>
        <w:bidi w:val="0"/>
        <w:jc w:val="left"/>
        <w:rPr>
          <w:rFonts w:ascii="Times New Roman" w:hAnsi="Times New Roman"/>
          <w:b/>
          <w:color w:val="000000"/>
          <w:sz w:val="18"/>
        </w:rPr>
      </w:pPr>
      <w:bookmarkStart w:id="37" w:name="item_11"/>
      <w:bookmarkEnd w:id="37"/>
      <w:r>
        <w:rPr>
          <w:rFonts w:ascii="Times New Roman" w:hAnsi="Times New Roman"/>
          <w:b/>
          <w:color w:val="000000"/>
          <w:sz w:val="18"/>
        </w:rPr>
        <w:t>ITEM 11. Executive Compensation</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11 will be included under the captions “Board of Directors and Corporate Governance” and “Executive Compensation”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38" w:name="item_12"/>
      <w:bookmarkEnd w:id="38"/>
      <w:r>
        <w:rPr>
          <w:rFonts w:ascii="Times New Roman" w:hAnsi="Times New Roman"/>
          <w:b/>
          <w:color w:val="000000"/>
          <w:sz w:val="18"/>
        </w:rPr>
        <w:t>ITEM 12. Security Ownership of Certain Beneficial Owners and Management and Related Stockholder Matters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12 will be included under the captions “Equity Compensation Plan Information” and “Security Ownership of Certain Beneficial Owners and Management”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39" w:name="item_13"/>
      <w:bookmarkEnd w:id="39"/>
      <w:r>
        <w:rPr>
          <w:rFonts w:ascii="Times New Roman" w:hAnsi="Times New Roman"/>
          <w:b/>
          <w:color w:val="000000"/>
          <w:sz w:val="18"/>
        </w:rPr>
        <w:t>ITEM 13. Certain Relationships and Related Party Transactions, and Director Independence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13 will be included under the captions “Board of Directors and Corporate Governance” and “Certain Relationships and Related Party Transactions” in our Proxy Statement to be filed with the SEC and is incorporated herein by reference.</w:t>
      </w:r>
    </w:p>
    <w:p>
      <w:pPr>
        <w:pStyle w:val="TextBody"/>
        <w:bidi w:val="0"/>
        <w:jc w:val="left"/>
        <w:rPr/>
      </w:pPr>
      <w:r>
        <w:rPr/>
        <w:t> </w:t>
      </w:r>
    </w:p>
    <w:p>
      <w:pPr>
        <w:pStyle w:val="TextBody"/>
        <w:bidi w:val="0"/>
        <w:jc w:val="left"/>
        <w:rPr>
          <w:rFonts w:ascii="Times New Roman" w:hAnsi="Times New Roman"/>
          <w:b/>
          <w:color w:val="000000"/>
          <w:sz w:val="18"/>
        </w:rPr>
      </w:pPr>
      <w:bookmarkStart w:id="40" w:name="item_14"/>
      <w:bookmarkEnd w:id="40"/>
      <w:r>
        <w:rPr>
          <w:rFonts w:ascii="Times New Roman" w:hAnsi="Times New Roman"/>
          <w:b/>
          <w:color w:val="000000"/>
          <w:sz w:val="18"/>
        </w:rPr>
        <w:t>ITEM 14. Principal Accountant Fees and Services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information required by this Item 14 will be included under the caption “Proposal Two: Ratification of Appointment of Independent Registered Public Accounting Firm” in our Proxy Statement to be filed with the SEC and is incorporated herein by reference.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103</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41" w:name="part_iv"/>
      <w:bookmarkEnd w:id="41"/>
      <w:r>
        <w:rPr>
          <w:rFonts w:ascii="Times New Roman" w:hAnsi="Times New Roman"/>
          <w:b/>
          <w:color w:val="000000"/>
          <w:sz w:val="18"/>
        </w:rPr>
        <w:t>PART IV</w:t>
      </w:r>
    </w:p>
    <w:p>
      <w:pPr>
        <w:pStyle w:val="TextBody"/>
        <w:bidi w:val="0"/>
        <w:spacing w:before="320" w:after="283"/>
        <w:jc w:val="left"/>
        <w:rPr>
          <w:rFonts w:ascii="Times New Roman" w:hAnsi="Times New Roman"/>
          <w:b/>
          <w:color w:val="000000"/>
          <w:sz w:val="18"/>
        </w:rPr>
      </w:pPr>
      <w:bookmarkStart w:id="42" w:name="item_15_exhibits_and_financial"/>
      <w:bookmarkEnd w:id="42"/>
      <w:r>
        <w:rPr>
          <w:rFonts w:ascii="Times New Roman" w:hAnsi="Times New Roman"/>
          <w:b/>
          <w:color w:val="000000"/>
          <w:sz w:val="18"/>
        </w:rPr>
        <w:t>ITEM 15. Exhibits and Financial Statement Schedules</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(a) Documents files as part of this Annual Report on Form 10-K:</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(1) Financial Statements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response to this portion of Item 15 is set forth under Item 8 hereof.</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(2) Financial Statement Schedules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All financial statement schedules have been omitted because they are not applicable, not required, or the information required is shown in the financial statements or the notes thereto.</w:t>
      </w:r>
    </w:p>
    <w:p>
      <w:pPr>
        <w:pStyle w:val="TextBody"/>
        <w:bidi w:val="0"/>
        <w:spacing w:before="108" w:after="283"/>
        <w:jc w:val="left"/>
        <w:rPr>
          <w:rFonts w:ascii="Times New Roman" w:hAnsi="Times New Roman"/>
          <w:b/>
          <w:color w:val="000000"/>
          <w:sz w:val="18"/>
        </w:rPr>
      </w:pPr>
      <w:r>
        <w:rPr>
          <w:rFonts w:ascii="Times New Roman" w:hAnsi="Times New Roman"/>
          <w:b/>
          <w:color w:val="000000"/>
          <w:sz w:val="18"/>
        </w:rPr>
        <w:t>(3) Exhibits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exhibits required by Item 601 of Regulation S-K and Item 15(b) of this Annual Report on Form 10-K are listed in the Exhibit Index immediately preceding the signature page of this Annual Report on Form 10-K. The exhibits listed in the Exhibit Index are incorporated by reference herein.</w:t>
      </w:r>
    </w:p>
    <w:p>
      <w:pPr>
        <w:pStyle w:val="TextBody"/>
        <w:bidi w:val="0"/>
        <w:spacing w:before="320" w:after="283"/>
        <w:jc w:val="left"/>
        <w:rPr>
          <w:rFonts w:ascii="Times New Roman" w:hAnsi="Times New Roman"/>
          <w:b/>
          <w:color w:val="000000"/>
          <w:sz w:val="18"/>
        </w:rPr>
      </w:pPr>
      <w:bookmarkStart w:id="43" w:name="item_16_form_10_k_summary"/>
      <w:bookmarkEnd w:id="43"/>
      <w:r>
        <w:rPr>
          <w:rFonts w:ascii="Times New Roman" w:hAnsi="Times New Roman"/>
          <w:b/>
          <w:color w:val="000000"/>
          <w:sz w:val="18"/>
        </w:rPr>
        <w:t>ITEM 16. Form 10-K Summary</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None.</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104</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left"/>
        <w:rPr>
          <w:rFonts w:ascii="Times New Roman" w:hAnsi="Times New Roman"/>
          <w:b/>
          <w:color w:val="000000"/>
          <w:sz w:val="18"/>
        </w:rPr>
      </w:pPr>
      <w:r>
        <w:rPr>
          <w:rFonts w:ascii="Times New Roman" w:hAnsi="Times New Roman"/>
          <w:b/>
          <w:color w:val="000000"/>
          <w:sz w:val="18"/>
        </w:rPr>
        <w:t>Exhibit Index</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The following exhibits, if not filed or furnished herewith, are incorporated herein by reference to this Annual Report on form 10-K:</w:t>
      </w:r>
    </w:p>
    <w:p>
      <w:pPr>
        <w:pStyle w:val="TextBody"/>
        <w:bidi w:val="0"/>
        <w:spacing w:before="108" w:after="283"/>
        <w:jc w:val="left"/>
        <w:rPr/>
      </w:pPr>
      <w:r>
        <w:rPr/>
        <w:t> </w:t>
      </w:r>
    </w:p>
    <w:tbl>
      <w:tblPr>
        <w:tblW w:w="10205" w:type="dxa"/>
        <w:jc w:val="left"/>
        <w:tblInd w:w="0" w:type="dxa"/>
        <w:tblLayout w:type="fixed"/>
        <w:tblCellMar>
          <w:top w:w="28" w:type="dxa"/>
          <w:left w:w="28" w:type="dxa"/>
          <w:bottom w:w="28" w:type="dxa"/>
          <w:right w:w="28" w:type="dxa"/>
        </w:tblCellMar>
      </w:tblPr>
      <w:tblGrid>
        <w:gridCol w:w="597"/>
        <w:gridCol w:w="146"/>
        <w:gridCol w:w="5341"/>
        <w:gridCol w:w="146"/>
        <w:gridCol w:w="450"/>
        <w:gridCol w:w="146"/>
        <w:gridCol w:w="727"/>
        <w:gridCol w:w="146"/>
        <w:gridCol w:w="571"/>
        <w:gridCol w:w="146"/>
        <w:gridCol w:w="666"/>
        <w:gridCol w:w="146"/>
        <w:gridCol w:w="977"/>
      </w:tblGrid>
      <w:tr>
        <w:trPr/>
        <w:tc>
          <w:tcPr>
            <w:tcW w:w="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r>
      <w:tr>
        <w:trPr/>
        <w:tc>
          <w:tcPr>
            <w:tcW w:w="597"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3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5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2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7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597" w:type="dxa"/>
            <w:tcBorders/>
            <w:tcMar>
              <w:top w:w="0" w:type="dxa"/>
              <w:left w:w="0" w:type="dxa"/>
              <w:bottom w:w="0" w:type="dxa"/>
              <w:right w:w="0" w:type="dxa"/>
            </w:tcMar>
            <w:vAlign w:val="center"/>
          </w:tcPr>
          <w:p>
            <w:pPr>
              <w:pStyle w:val="TableContents"/>
              <w:bidi w:val="0"/>
              <w:spacing w:before="110" w:after="110"/>
              <w:jc w:val="left"/>
              <w:rPr>
                <w:color w:val="000000"/>
              </w:rPr>
            </w:pPr>
            <w:r>
              <w:rPr>
                <w:color w:val="000000"/>
              </w:rPr>
              <w:t> </w:t>
            </w: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11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110" w:after="110"/>
              <w:jc w:val="left"/>
              <w:rPr/>
            </w:pPr>
            <w:hyperlink r:id="rId3">
              <w:r>
                <w:rPr>
                  <w:rStyle w:val="InternetLink"/>
                  <w:rFonts w:ascii="Times New Roman" w:hAnsi="Times New Roman"/>
                  <w:color w:val="0000FF"/>
                  <w:sz w:val="18"/>
                  <w:u w:val="single"/>
                </w:rPr>
                <w:t>Amended and Restated Certificate of Incorporation of BioAtla, Inc.</w:t>
              </w:r>
            </w:hyperlink>
          </w:p>
        </w:tc>
        <w:tc>
          <w:tcPr>
            <w:tcW w:w="146" w:type="dxa"/>
            <w:tcBorders/>
            <w:tcMar>
              <w:top w:w="0" w:type="dxa"/>
              <w:left w:w="0" w:type="dxa"/>
              <w:bottom w:w="0" w:type="dxa"/>
              <w:right w:w="0" w:type="dxa"/>
            </w:tcMar>
            <w:vAlign w:val="center"/>
          </w:tcPr>
          <w:p>
            <w:pPr>
              <w:pStyle w:val="TableContents"/>
              <w:bidi w:val="0"/>
              <w:spacing w:before="110" w:after="110"/>
              <w:jc w:val="left"/>
              <w:rPr/>
            </w:pPr>
            <w:r>
              <w:rPr/>
              <w:t> </w:t>
            </w:r>
          </w:p>
        </w:tc>
        <w:tc>
          <w:tcPr>
            <w:tcW w:w="450"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110" w:after="110"/>
              <w:jc w:val="left"/>
              <w:rPr/>
            </w:pPr>
            <w:r>
              <w:rPr/>
              <w:t> </w:t>
            </w:r>
          </w:p>
        </w:tc>
        <w:tc>
          <w:tcPr>
            <w:tcW w:w="727"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110" w:after="110"/>
              <w:jc w:val="left"/>
              <w:rPr/>
            </w:pPr>
            <w:r>
              <w:rPr/>
              <w:t> </w:t>
            </w:r>
          </w:p>
        </w:tc>
        <w:tc>
          <w:tcPr>
            <w:tcW w:w="571"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110" w:after="110"/>
              <w:jc w:val="left"/>
              <w:rPr/>
            </w:pPr>
            <w:r>
              <w:rPr/>
              <w:t> </w:t>
            </w:r>
          </w:p>
        </w:tc>
        <w:tc>
          <w:tcPr>
            <w:tcW w:w="666"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tcMar>
              <w:top w:w="0" w:type="dxa"/>
              <w:left w:w="0" w:type="dxa"/>
              <w:bottom w:w="0" w:type="dxa"/>
              <w:right w:w="0" w:type="dxa"/>
            </w:tcMar>
            <w:vAlign w:val="center"/>
          </w:tcPr>
          <w:p>
            <w:pPr>
              <w:pStyle w:val="TableContents"/>
              <w:bidi w:val="0"/>
              <w:spacing w:before="11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3.2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4">
              <w:r>
                <w:rPr>
                  <w:rStyle w:val="InternetLink"/>
                  <w:rFonts w:ascii="Times New Roman" w:hAnsi="Times New Roman"/>
                  <w:color w:val="0000FF"/>
                  <w:sz w:val="18"/>
                  <w:u w:val="single"/>
                </w:rPr>
                <w:t>Amended and Restated Bylaws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04-24-2024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5">
              <w:r>
                <w:rPr>
                  <w:rStyle w:val="InternetLink"/>
                  <w:rFonts w:ascii="Times New Roman" w:hAnsi="Times New Roman"/>
                  <w:color w:val="0000FF"/>
                  <w:sz w:val="18"/>
                  <w:u w:val="single"/>
                </w:rPr>
                <w:t>Specimen Common Stock Certificate evidencing the shares of common stock</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6">
              <w:r>
                <w:rPr>
                  <w:rStyle w:val="InternetLink"/>
                  <w:rFonts w:ascii="Times New Roman" w:hAnsi="Times New Roman"/>
                  <w:color w:val="0000FF"/>
                  <w:sz w:val="18"/>
                  <w:u w:val="single"/>
                </w:rPr>
                <w:t>Investors’ Rights Agreement, dated July 13,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w:anchor="bcab-ex4_3.htm">
              <w:r>
                <w:rPr>
                  <w:rStyle w:val="InternetLink"/>
                  <w:rFonts w:ascii="Times New Roman" w:hAnsi="Times New Roman"/>
                  <w:color w:val="0000FF"/>
                  <w:sz w:val="18"/>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59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4.4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7">
              <w:r>
                <w:rPr>
                  <w:rStyle w:val="InternetLink"/>
                  <w:rFonts w:ascii="Times New Roman" w:hAnsi="Times New Roman"/>
                  <w:color w:val="0000FF"/>
                  <w:sz w:val="18"/>
                  <w:u w:val="single"/>
                </w:rPr>
                <w:t>Form of Warrant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12-20-2024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8">
              <w:r>
                <w:rPr>
                  <w:rStyle w:val="InternetLink"/>
                  <w:rFonts w:ascii="Times New Roman" w:hAnsi="Times New Roman"/>
                  <w:color w:val="0000FF"/>
                  <w:sz w:val="18"/>
                  <w:u w:val="single"/>
                </w:rPr>
                <w:t>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9">
              <w:r>
                <w:rPr>
                  <w:rStyle w:val="InternetLink"/>
                  <w:rFonts w:ascii="Times New Roman" w:hAnsi="Times New Roman"/>
                  <w:color w:val="0000FF"/>
                  <w:sz w:val="18"/>
                  <w:u w:val="single"/>
                </w:rPr>
                <w:t>Amendment No. 1 to 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333-251520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99.2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12-18-2020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0">
              <w:r>
                <w:rPr>
                  <w:rStyle w:val="InternetLink"/>
                  <w:rFonts w:ascii="Times New Roman" w:hAnsi="Times New Roman"/>
                  <w:color w:val="0000FF"/>
                  <w:sz w:val="18"/>
                  <w:u w:val="single"/>
                </w:rPr>
                <w:t>Amendment No. 2 to 2020 Equity Incentive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1">
              <w:r>
                <w:rPr>
                  <w:rStyle w:val="InternetLink"/>
                  <w:rFonts w:ascii="Times New Roman" w:hAnsi="Times New Roman"/>
                  <w:color w:val="0000FF"/>
                  <w:sz w:val="18"/>
                  <w:u w:val="single"/>
                </w:rPr>
                <w:t>2020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2">
              <w:r>
                <w:rPr>
                  <w:rStyle w:val="InternetLink"/>
                  <w:rFonts w:ascii="Times New Roman" w:hAnsi="Times New Roman"/>
                  <w:color w:val="0000FF"/>
                  <w:sz w:val="18"/>
                  <w:u w:val="single"/>
                </w:rPr>
                <w:t>Amendment No. 1 to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3">
              <w:r>
                <w:rPr>
                  <w:rStyle w:val="InternetLink"/>
                  <w:rFonts w:ascii="Times New Roman" w:hAnsi="Times New Roman"/>
                  <w:color w:val="0000FF"/>
                  <w:sz w:val="18"/>
                  <w:u w:val="single"/>
                </w:rPr>
                <w:t>Exclusive Rights Agreement with Himalaya SEZC, dated January 1,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4">
              <w:r>
                <w:rPr>
                  <w:rStyle w:val="InternetLink"/>
                  <w:rFonts w:ascii="Times New Roman" w:hAnsi="Times New Roman"/>
                  <w:color w:val="0000FF"/>
                  <w:sz w:val="18"/>
                  <w:u w:val="single"/>
                </w:rPr>
                <w:t>Global Co-Development and Collaboration Agreement with BeiGene, Ltd. and BeiGene Switzerland GmbH, dated April 8, 2019, as amended by First Amendment, dated December 24, 2019 and as amended by Second Amendment, October 5, 2020</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11-13-2020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5">
              <w:r>
                <w:rPr>
                  <w:rStyle w:val="InternetLink"/>
                  <w:rFonts w:ascii="Times New Roman" w:hAnsi="Times New Roman"/>
                  <w:color w:val="0000FF"/>
                  <w:sz w:val="18"/>
                  <w:u w:val="single"/>
                </w:rPr>
                <w:t>Amendment No. 3 to Global Co-Development and Collaboration Agreement among BeiGene, Ltd., BeiGene Switzerland GmbH and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6">
              <w:r>
                <w:rPr>
                  <w:rStyle w:val="InternetLink"/>
                  <w:rFonts w:ascii="Times New Roman" w:hAnsi="Times New Roman"/>
                  <w:color w:val="0000FF"/>
                  <w:sz w:val="18"/>
                  <w:u w:val="single"/>
                </w:rPr>
                <w:t>Employment Letter Agreement between BioAtla, LLC and Jay Short, as amended by the Letter Amendment dated October 1, 2011</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7">
              <w:r>
                <w:rPr>
                  <w:rStyle w:val="InternetLink"/>
                  <w:rFonts w:ascii="Times New Roman" w:hAnsi="Times New Roman"/>
                  <w:color w:val="0000FF"/>
                  <w:sz w:val="18"/>
                  <w:u w:val="single"/>
                </w:rPr>
                <w:t>Severance Agreement between BioAtla, LLC and Jay Short, dated July 1, 2018</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8">
              <w:r>
                <w:rPr>
                  <w:rStyle w:val="InternetLink"/>
                  <w:rFonts w:ascii="Times New Roman" w:hAnsi="Times New Roman"/>
                  <w:color w:val="0000FF"/>
                  <w:sz w:val="18"/>
                  <w:u w:val="single"/>
                </w:rPr>
                <w:t>Offer Letter between BioAtla, LLC and Richard Waldron, dated October 23, 2013</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color w:val="000000"/>
              </w:rPr>
            </w:pPr>
            <w:r>
              <w:rPr>
                <w:color w:val="000000"/>
              </w:rPr>
              <w:t> </w:t>
            </w: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19">
              <w:r>
                <w:rPr>
                  <w:rStyle w:val="InternetLink"/>
                  <w:rFonts w:ascii="Times New Roman" w:hAnsi="Times New Roman"/>
                  <w:color w:val="0000FF"/>
                  <w:sz w:val="18"/>
                  <w:u w:val="single"/>
                </w:rPr>
                <w:t>Severance Agreement between BioAtla, LLC and Richard Waldron, dated July 1, 2018</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11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110" w:after="110"/>
              <w:jc w:val="left"/>
              <w:rPr/>
            </w:pPr>
            <w:hyperlink r:id="rId20">
              <w:r>
                <w:rPr>
                  <w:rStyle w:val="InternetLink"/>
                  <w:rFonts w:ascii="Times New Roman" w:hAnsi="Times New Roman"/>
                  <w:color w:val="0000FF"/>
                  <w:sz w:val="18"/>
                  <w:u w:val="single"/>
                </w:rPr>
                <w:t>Offer Letter between BioAtla, LLC and Eric Sievers, dated June 17, 2019</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1">
              <w:r>
                <w:rPr>
                  <w:rStyle w:val="InternetLink"/>
                  <w:rFonts w:ascii="Times New Roman" w:hAnsi="Times New Roman"/>
                  <w:color w:val="0000FF"/>
                  <w:sz w:val="18"/>
                  <w:u w:val="single"/>
                </w:rPr>
                <w:t>Offer Letter between BioAtla, LLC and Christian Vasquez, dated October 22, 2015</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110" w:after="110"/>
              <w:jc w:val="left"/>
              <w:rPr>
                <w:rFonts w:ascii="Times New Roman" w:hAnsi="Times New Roman"/>
                <w:color w:val="000000"/>
                <w:sz w:val="18"/>
              </w:rPr>
            </w:pPr>
            <w:r>
              <w:rPr>
                <w:rFonts w:ascii="Times New Roman" w:hAnsi="Times New Roman"/>
                <w:color w:val="000000"/>
                <w:sz w:val="18"/>
              </w:rPr>
              <w:t>02-28-2022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2">
              <w:r>
                <w:rPr>
                  <w:rStyle w:val="InternetLink"/>
                  <w:rFonts w:ascii="Times New Roman" w:hAnsi="Times New Roman"/>
                  <w:color w:val="0000FF"/>
                  <w:sz w:val="18"/>
                  <w:u w:val="single"/>
                </w:rPr>
                <w:t>Form of Indemnification Agreement between the Registrant and each of its executive officers or directors</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r>
        <w:trPr/>
        <w:tc>
          <w:tcPr>
            <w:tcW w:w="59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341" w:type="dxa"/>
            <w:tcBorders/>
            <w:tcMar>
              <w:top w:w="0" w:type="dxa"/>
              <w:left w:w="0" w:type="dxa"/>
              <w:bottom w:w="0" w:type="dxa"/>
              <w:right w:w="0" w:type="dxa"/>
            </w:tcMar>
            <w:vAlign w:val="center"/>
          </w:tcPr>
          <w:p>
            <w:pPr>
              <w:pStyle w:val="TableContents"/>
              <w:bidi w:val="0"/>
              <w:spacing w:before="0" w:after="110"/>
              <w:jc w:val="left"/>
              <w:rPr/>
            </w:pPr>
            <w:hyperlink r:id="rId23">
              <w:r>
                <w:rPr>
                  <w:rStyle w:val="InternetLink"/>
                  <w:rFonts w:ascii="Times New Roman" w:hAnsi="Times New Roman"/>
                  <w:color w:val="0000FF"/>
                  <w:sz w:val="18"/>
                  <w:u w:val="single"/>
                </w:rPr>
                <w:t>Lease Agreement with HCP Torreyana, LLC, dated June 2, 2017</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50"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S-1/A</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727"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333-250093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71"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6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12-08-2020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977" w:type="dxa"/>
            <w:tcBorders/>
            <w:tcMar>
              <w:top w:w="0" w:type="dxa"/>
              <w:left w:w="0" w:type="dxa"/>
              <w:bottom w:w="0" w:type="dxa"/>
              <w:right w:w="0" w:type="dxa"/>
            </w:tcMar>
            <w:vAlign w:val="center"/>
          </w:tcPr>
          <w:p>
            <w:pPr>
              <w:pStyle w:val="TableContents"/>
              <w:bidi w:val="0"/>
              <w:spacing w:before="0" w:after="110"/>
              <w:jc w:val="right"/>
              <w:rPr/>
            </w:pPr>
            <w:r>
              <w:rPr/>
              <w:t> </w:t>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105</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9"/>
        <w:gridCol w:w="146"/>
        <w:gridCol w:w="5233"/>
        <w:gridCol w:w="146"/>
        <w:gridCol w:w="442"/>
        <w:gridCol w:w="146"/>
        <w:gridCol w:w="672"/>
        <w:gridCol w:w="146"/>
        <w:gridCol w:w="556"/>
        <w:gridCol w:w="146"/>
        <w:gridCol w:w="693"/>
        <w:gridCol w:w="146"/>
        <w:gridCol w:w="1074"/>
      </w:tblGrid>
      <w:tr>
        <w:trPr/>
        <w:tc>
          <w:tcPr>
            <w:tcW w:w="6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65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2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 Description</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4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67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No.</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5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Exhibit</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693"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Exhibit</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Filing Date</w:t>
            </w:r>
          </w:p>
        </w:tc>
        <w:tc>
          <w:tcPr>
            <w:tcW w:w="146" w:type="dxa"/>
            <w:tcBorders>
              <w:bottom w:val="single" w:sz="4" w:space="0" w:color="000000"/>
            </w:tcBorders>
            <w:tcMar>
              <w:top w:w="0" w:type="dxa"/>
              <w:left w:w="0" w:type="dxa"/>
              <w:right w:w="0" w:type="dxa"/>
            </w:tcMar>
            <w:vAlign w:val="center"/>
          </w:tcPr>
          <w:p>
            <w:pPr>
              <w:pStyle w:val="TableContents"/>
              <w:bidi w:val="0"/>
              <w:spacing w:before="0" w:after="110"/>
              <w:jc w:val="center"/>
              <w:rPr/>
            </w:pPr>
            <w:r>
              <w:rPr/>
              <w:t> </w:t>
            </w:r>
          </w:p>
        </w:tc>
        <w:tc>
          <w:tcPr>
            <w:tcW w:w="107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Filed/Furnished Herewith</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24">
              <w:r>
                <w:rPr>
                  <w:rStyle w:val="InternetLink"/>
                  <w:rFonts w:ascii="Times New Roman" w:hAnsi="Times New Roman"/>
                  <w:color w:val="0000FF"/>
                  <w:sz w:val="18"/>
                  <w:u w:val="single"/>
                </w:rPr>
                <w:t>First Amendment to Lease with HCP Torreyana, dated January 16, 2019</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25">
              <w:r>
                <w:rPr>
                  <w:rStyle w:val="InternetLink"/>
                  <w:rFonts w:ascii="Times New Roman" w:hAnsi="Times New Roman"/>
                  <w:color w:val="0000FF"/>
                  <w:sz w:val="18"/>
                  <w:u w:val="single"/>
                </w:rPr>
                <w:t>Master Clinical Trial Collaboration Agreement, dated January 5, 2022, by and between BioAtla, Inc. and Bristol-Myers Squibb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11-04-2022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26">
              <w:r>
                <w:rPr>
                  <w:rStyle w:val="InternetLink"/>
                  <w:rFonts w:ascii="Times New Roman" w:hAnsi="Times New Roman"/>
                  <w:color w:val="0000FF"/>
                  <w:sz w:val="18"/>
                  <w:u w:val="single"/>
                </w:rPr>
                <w:t>First Amendment to Master Clinical Trial Agreement between BioAtla, Inc. and Bristol-Myers Squibb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03-23-2023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27">
              <w:r>
                <w:rPr>
                  <w:rStyle w:val="InternetLink"/>
                  <w:rFonts w:ascii="Times New Roman" w:hAnsi="Times New Roman"/>
                  <w:color w:val="0000FF"/>
                  <w:sz w:val="18"/>
                  <w:u w:val="single"/>
                </w:rPr>
                <w:t>China Clinical Trial Services Agreement, dated April 8, 2022, by and between BioAtla, Inc. and Himalaya Therapeutics Limited Company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08-09-2022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28">
              <w:r>
                <w:rPr>
                  <w:rStyle w:val="InternetLink"/>
                  <w:rFonts w:ascii="Times New Roman" w:hAnsi="Times New Roman"/>
                  <w:color w:val="0000FF"/>
                  <w:sz w:val="18"/>
                  <w:u w:val="single"/>
                </w:rPr>
                <w:t>Form of Non-Employee Director Stock Option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29">
              <w:r>
                <w:rPr>
                  <w:rStyle w:val="InternetLink"/>
                  <w:rFonts w:ascii="Times New Roman" w:hAnsi="Times New Roman"/>
                  <w:color w:val="0000FF"/>
                  <w:sz w:val="18"/>
                  <w:u w:val="single"/>
                </w:rPr>
                <w:t>Form of Employee Stock Option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0">
              <w:r>
                <w:rPr>
                  <w:rStyle w:val="InternetLink"/>
                  <w:rFonts w:ascii="Times New Roman" w:hAnsi="Times New Roman"/>
                  <w:color w:val="0000FF"/>
                  <w:sz w:val="18"/>
                  <w:u w:val="single"/>
                </w:rPr>
                <w:t>Amended and Restated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08-08-2024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1">
              <w:r>
                <w:rPr>
                  <w:rStyle w:val="InternetLink"/>
                  <w:rFonts w:ascii="Times New Roman" w:hAnsi="Times New Roman"/>
                  <w:color w:val="0000FF"/>
                  <w:sz w:val="18"/>
                  <w:u w:val="single"/>
                </w:rPr>
                <w:t>BioAtla, Inc. Management Change of Control Severance Plan</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09-21-2022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10.25</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2">
              <w:r>
                <w:rPr>
                  <w:rStyle w:val="InternetLink"/>
                  <w:rFonts w:ascii="Times New Roman" w:hAnsi="Times New Roman"/>
                  <w:color w:val="0000FF"/>
                  <w:sz w:val="18"/>
                  <w:u w:val="single"/>
                </w:rPr>
                <w:t>Open Market Sale Agreement</w:t>
              </w:r>
            </w:hyperlink>
            <w:hyperlink r:id="rId33">
              <w:r>
                <w:rPr>
                  <w:rStyle w:val="InternetLink"/>
                  <w:rFonts w:ascii="Times New Roman" w:hAnsi="Times New Roman"/>
                  <w:color w:val="0000FF"/>
                  <w:sz w:val="12"/>
                  <w:u w:val="single"/>
                </w:rPr>
                <w:t>SM</w:t>
              </w:r>
            </w:hyperlink>
            <w:hyperlink r:id="rId34">
              <w:r>
                <w:rPr>
                  <w:rStyle w:val="InternetLink"/>
                  <w:rFonts w:ascii="Times New Roman" w:hAnsi="Times New Roman"/>
                  <w:color w:val="0000FF"/>
                  <w:sz w:val="18"/>
                  <w:u w:val="single"/>
                </w:rPr>
                <w:t xml:space="preserve"> dated as of January 6, 2023, between BioAtla, Inc. and Jefferies LLC</w:t>
              </w:r>
            </w:hyperlink>
            <w:r>
              <w:rPr>
                <w:rFonts w:ascii="Times New Roman" w:hAnsi="Times New Roman"/>
                <w:color w:val="000000"/>
                <w:sz w:val="18"/>
              </w:rPr>
              <w:t xml:space="preserve">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01-06-2023</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10.26</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5">
              <w:r>
                <w:rPr>
                  <w:rStyle w:val="InternetLink"/>
                  <w:rFonts w:ascii="Times New Roman" w:hAnsi="Times New Roman"/>
                  <w:color w:val="0000FF"/>
                  <w:sz w:val="18"/>
                  <w:u w:val="single"/>
                </w:rPr>
                <w:t>Form of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05-14-2024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6">
              <w:r>
                <w:rPr>
                  <w:rStyle w:val="InternetLink"/>
                  <w:rFonts w:ascii="Times New Roman" w:hAnsi="Times New Roman"/>
                  <w:color w:val="0000FF"/>
                  <w:sz w:val="18"/>
                  <w:u w:val="single"/>
                </w:rPr>
                <w:t>Form of Non-Employee Director Restricted Stock Unit Agreement</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10-Q</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08-08-2024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10.28*</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7">
              <w:r>
                <w:rPr>
                  <w:rStyle w:val="InternetLink"/>
                  <w:rFonts w:ascii="Times New Roman" w:hAnsi="Times New Roman"/>
                  <w:color w:val="0000FF"/>
                  <w:sz w:val="18"/>
                  <w:u w:val="single"/>
                </w:rPr>
                <w:t>License Agreement between BioAtla, Inc. and Context Therapeutics Inc., dated as of September 23, 2024</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09-23-2024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10.29*</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38">
              <w:r>
                <w:rPr>
                  <w:rStyle w:val="InternetLink"/>
                  <w:rFonts w:ascii="Times New Roman" w:hAnsi="Times New Roman"/>
                  <w:color w:val="0000FF"/>
                  <w:sz w:val="18"/>
                  <w:u w:val="single"/>
                </w:rPr>
                <w:t>Global Transaction Agreement between BioAtla, Inc. and Himalaya Therapeutics SEZC, dated as of September 23, 2024</w:t>
              </w:r>
            </w:hyperlink>
            <w:hyperlink r:id="rId39">
              <w:r>
                <w:rPr>
                  <w:rStyle w:val="InternetLink"/>
                  <w:rFonts w:ascii="Times New Roman" w:hAnsi="Times New Roman"/>
                  <w:color w:val="0000FF"/>
                  <w:sz w:val="18"/>
                </w:rPr>
                <w:t xml:space="preserve"> </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09-23-2024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10.30</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40">
              <w:r>
                <w:rPr>
                  <w:rStyle w:val="InternetLink"/>
                  <w:rFonts w:ascii="Times New Roman" w:hAnsi="Times New Roman"/>
                  <w:color w:val="0000FF"/>
                  <w:sz w:val="18"/>
                  <w:u w:val="single"/>
                </w:rPr>
                <w:t>Form of Securities Purchase Agreement, dated as of December 19, 2024</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8-K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12-20-2024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19.1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w:anchor="bcab-ex19_1.htm">
              <w:r>
                <w:rPr>
                  <w:rStyle w:val="InternetLink"/>
                  <w:rFonts w:ascii="Times New Roman" w:hAnsi="Times New Roman"/>
                  <w:color w:val="0000FF"/>
                  <w:sz w:val="18"/>
                  <w:u w:val="single"/>
                </w:rPr>
                <w:t>Insider Trading Policy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pPr>
            <w:r>
              <w:rPr/>
              <w: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23.1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w:anchor="bcab-ex23_1.htm">
              <w:r>
                <w:rPr>
                  <w:rStyle w:val="InternetLink"/>
                  <w:rFonts w:ascii="Times New Roman" w:hAnsi="Times New Roman"/>
                  <w:color w:val="0000FF"/>
                  <w:sz w:val="18"/>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24.1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w:anchor="signatures">
              <w:r>
                <w:rPr>
                  <w:rStyle w:val="InternetLink"/>
                  <w:rFonts w:ascii="Times New Roman" w:hAnsi="Times New Roman"/>
                  <w:color w:val="0000FF"/>
                  <w:sz w:val="18"/>
                  <w:u w:val="single"/>
                </w:rPr>
                <w:t>Power of Attorney (included on signature page)</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w:anchor="bcab-ex31_1.htm">
              <w:r>
                <w:rPr>
                  <w:rStyle w:val="InternetLink"/>
                  <w:rFonts w:ascii="Times New Roman" w:hAnsi="Times New Roman"/>
                  <w:color w:val="0000FF"/>
                  <w:sz w:val="18"/>
                  <w:u w:val="single"/>
                </w:rPr>
                <w:t>Certification of Chief Executive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31.2</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w:anchor="bcab-ex31_2.htm">
              <w:r>
                <w:rPr>
                  <w:rStyle w:val="InternetLink"/>
                  <w:rFonts w:ascii="Times New Roman" w:hAnsi="Times New Roman"/>
                  <w:color w:val="0000FF"/>
                  <w:sz w:val="18"/>
                  <w:u w:val="single"/>
                </w:rPr>
                <w:t>Certification of Chief Financial Officer pursuant to Rule 13a-14(a) and 15d-14(a),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32.1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w:anchor="bcab-ex32_1.htm">
              <w:r>
                <w:rPr>
                  <w:rStyle w:val="InternetLink"/>
                  <w:rFonts w:ascii="Times New Roman" w:hAnsi="Times New Roman"/>
                  <w:color w:val="0000FF"/>
                  <w:sz w:val="18"/>
                  <w:u w:val="single"/>
                </w:rPr>
                <w:t>Certification of Chief Executive Officer and Chief Financial Officer pursuant to 18.U.S.C. Section 1350, as adopted pursuant to Section 906 of the Sarbanes Oxley Act of 2002.</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pPr>
            <w:hyperlink r:id="rId41">
              <w:r>
                <w:rPr>
                  <w:rStyle w:val="InternetLink"/>
                  <w:rFonts w:ascii="Times New Roman" w:hAnsi="Times New Roman"/>
                  <w:color w:val="0000FF"/>
                  <w:sz w:val="18"/>
                  <w:u w:val="single"/>
                </w:rPr>
                <w:t>Compensation Recovery Policy of BioAtla, Inc.</w:t>
              </w:r>
            </w:hyperlink>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10-K</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001-39787</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97.1</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03-26-2024</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pPr>
            <w:r>
              <w:rPr/>
              <w:t> </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101.INS</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 xml:space="preserve">Inline XBRL Instance Document - the instance document does not appear in the Interactive Data File because its XBRL tags are embedded within the Inline XBRL document. </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101.SCH</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233" w:type="dxa"/>
            <w:tcBorders/>
            <w:tcMar>
              <w:top w:w="0" w:type="dxa"/>
              <w:left w:w="0" w:type="dxa"/>
              <w:bottom w:w="0" w:type="dxa"/>
              <w:right w:w="0" w:type="dxa"/>
            </w:tcMar>
            <w:vAlign w:val="center"/>
          </w:tcPr>
          <w:p>
            <w:pPr>
              <w:pStyle w:val="TableContents"/>
              <w:bidi w:val="0"/>
              <w:spacing w:before="0" w:after="110"/>
              <w:jc w:val="left"/>
              <w:rPr>
                <w:rFonts w:ascii="Times New Roman" w:hAnsi="Times New Roman"/>
                <w:color w:val="000000"/>
                <w:sz w:val="18"/>
              </w:rPr>
            </w:pPr>
            <w:r>
              <w:rPr>
                <w:rFonts w:ascii="Times New Roman" w:hAnsi="Times New Roman"/>
                <w:color w:val="000000"/>
                <w:sz w:val="18"/>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110"/>
              <w:jc w:val="left"/>
              <w:rPr/>
            </w:pPr>
            <w:r>
              <w:rPr/>
              <w:t> </w:t>
            </w:r>
          </w:p>
        </w:tc>
        <w:tc>
          <w:tcPr>
            <w:tcW w:w="1074" w:type="dxa"/>
            <w:tcBorders/>
            <w:tcMar>
              <w:top w:w="0" w:type="dxa"/>
              <w:left w:w="0" w:type="dxa"/>
              <w:bottom w:w="0" w:type="dxa"/>
              <w:right w:w="0" w:type="dxa"/>
            </w:tcMar>
            <w:vAlign w:val="center"/>
          </w:tcPr>
          <w:p>
            <w:pPr>
              <w:pStyle w:val="TableContents"/>
              <w:bidi w:val="0"/>
              <w:spacing w:before="0" w:after="110"/>
              <w:jc w:val="center"/>
              <w:rPr>
                <w:rFonts w:ascii="Times New Roman" w:hAnsi="Times New Roman"/>
                <w:color w:val="000000"/>
                <w:sz w:val="18"/>
              </w:rPr>
            </w:pPr>
            <w:r>
              <w:rPr>
                <w:rFonts w:ascii="Times New Roman" w:hAnsi="Times New Roman"/>
                <w:color w:val="000000"/>
                <w:sz w:val="18"/>
              </w:rPr>
              <w:t>X</w:t>
            </w:r>
          </w:p>
        </w:tc>
      </w:tr>
      <w:tr>
        <w:trPr/>
        <w:tc>
          <w:tcPr>
            <w:tcW w:w="65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23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Cover Page Interactive Data File (formatted in iXBRL and contained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7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9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r>
    </w:tbl>
    <w:tbl>
      <w:tblPr>
        <w:tblW w:w="7577" w:type="dxa"/>
        <w:jc w:val="left"/>
        <w:tblInd w:w="0" w:type="dxa"/>
        <w:tblLayout w:type="fixed"/>
        <w:tblCellMar>
          <w:top w:w="28" w:type="dxa"/>
          <w:left w:w="28" w:type="dxa"/>
          <w:bottom w:w="28" w:type="dxa"/>
          <w:right w:w="28" w:type="dxa"/>
        </w:tblCellMar>
      </w:tblPr>
      <w:tblGrid>
        <w:gridCol w:w="226"/>
        <w:gridCol w:w="7351"/>
      </w:tblGrid>
      <w:tr>
        <w:trPr/>
        <w:tc>
          <w:tcPr>
            <w:tcW w:w="226"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Furnished and not filed.</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Indicates management contract or compensatory plan.</w:t>
            </w:r>
          </w:p>
        </w:tc>
      </w:tr>
      <w:tr>
        <w:trPr/>
        <w:tc>
          <w:tcPr>
            <w:tcW w:w="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Portions of this exhibit have been redacted in accordance with Item 601(b)(10)(iv) of Regulation S-K.</w:t>
            </w:r>
          </w:p>
        </w:tc>
      </w:tr>
    </w:tbl>
    <w:p>
      <w:pPr>
        <w:pStyle w:val="TextBody"/>
        <w:bidi w:val="0"/>
        <w:jc w:val="left"/>
        <w:rPr/>
      </w:pPr>
      <w:r>
        <w:rPr/>
        <w:t> </w:t>
      </w:r>
    </w:p>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106</w:t>
      </w:r>
    </w:p>
    <w:p>
      <w:pPr>
        <w:pStyle w:val="HorizontalLine"/>
        <w:pBdr>
          <w:bottom w:val="double" w:sz="2" w:space="0" w:color="808080"/>
        </w:pBdr>
        <w:bidi w:val="0"/>
        <w:spacing w:before="0" w:after="283"/>
        <w:jc w:val="left"/>
        <w:rPr/>
      </w:pPr>
      <w:r>
        <w:rPr/>
      </w:r>
    </w:p>
    <w:p>
      <w:pPr>
        <w:pStyle w:val="TextBody"/>
        <w:bidi w:val="0"/>
        <w:spacing w:before="0" w:after="180"/>
        <w:jc w:val="left"/>
        <w:rPr/>
      </w:pPr>
      <w:hyperlink w:anchor="toc">
        <w:r>
          <w:rPr>
            <w:rStyle w:val="InternetLink"/>
            <w:rFonts w:ascii="Times New Roman" w:hAnsi="Times New Roman"/>
            <w:b/>
            <w:color w:val="000000"/>
            <w:sz w:val="18"/>
            <w:u w:val="single"/>
          </w:rPr>
          <w:t>Table of Contents</w:t>
        </w:r>
      </w:hyperlink>
    </w:p>
    <w:p>
      <w:pPr>
        <w:pStyle w:val="TextBody"/>
        <w:bidi w:val="0"/>
        <w:jc w:val="center"/>
        <w:rPr>
          <w:rFonts w:ascii="Times New Roman" w:hAnsi="Times New Roman"/>
          <w:b/>
          <w:color w:val="000000"/>
          <w:sz w:val="18"/>
        </w:rPr>
      </w:pPr>
      <w:bookmarkStart w:id="44" w:name="signatures"/>
      <w:bookmarkEnd w:id="44"/>
      <w:r>
        <w:rPr>
          <w:rFonts w:ascii="Times New Roman" w:hAnsi="Times New Roman"/>
          <w:b/>
          <w:color w:val="000000"/>
          <w:sz w:val="18"/>
        </w:rPr>
        <w:t>SIGNATURES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Pursuant to the requirements of Section 13 or 15(d) of the Securities Exchange Act of 1934, the Registrant has duly caused this report to be signed on its behalf by the undersigned, thereunto duly authorized.</w:t>
      </w:r>
    </w:p>
    <w:tbl>
      <w:tblPr>
        <w:tblW w:w="6812" w:type="dxa"/>
        <w:jc w:val="left"/>
        <w:tblInd w:w="0" w:type="dxa"/>
        <w:tblLayout w:type="fixed"/>
        <w:tblCellMar>
          <w:top w:w="28" w:type="dxa"/>
          <w:left w:w="28" w:type="dxa"/>
          <w:bottom w:w="28" w:type="dxa"/>
          <w:right w:w="28" w:type="dxa"/>
        </w:tblCellMar>
      </w:tblPr>
      <w:tblGrid>
        <w:gridCol w:w="1681"/>
        <w:gridCol w:w="146"/>
        <w:gridCol w:w="146"/>
        <w:gridCol w:w="266"/>
        <w:gridCol w:w="361"/>
        <w:gridCol w:w="146"/>
        <w:gridCol w:w="4066"/>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6" w:type="dxa"/>
            <w:tcBorders/>
            <w:vAlign w:val="center"/>
          </w:tcPr>
          <w:p>
            <w:pPr>
              <w:pStyle w:val="TableContents"/>
              <w:bidi w:val="0"/>
              <w:spacing w:before="0" w:after="283"/>
              <w:jc w:val="left"/>
              <w:rPr>
                <w:sz w:val="4"/>
                <w:szCs w:val="4"/>
              </w:rPr>
            </w:pPr>
            <w:r>
              <w:rPr>
                <w:sz w:val="4"/>
                <w:szCs w:val="4"/>
              </w:rPr>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4573" w:type="dxa"/>
            <w:gridSpan w:val="3"/>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b/>
                <w:color w:val="000000"/>
                <w:sz w:val="18"/>
              </w:rPr>
            </w:pPr>
            <w:r>
              <w:rPr>
                <w:rFonts w:ascii="Times New Roman" w:hAnsi="Times New Roman"/>
                <w:b/>
                <w:color w:val="000000"/>
                <w:sz w:val="18"/>
              </w:rPr>
              <w:t>BioAtla, Inc.</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29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62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21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March 27,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146" w:type="dxa"/>
            <w:tcBorders>
              <w:bottom w:val="single" w:sz="5"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66" w:type="dxa"/>
            <w:tcBorders>
              <w:bottom w:val="single" w:sz="5"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 Jay M. Short, Ph.D.</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Jay M. Short, Ph.D.</w:t>
            </w:r>
          </w:p>
        </w:tc>
      </w:tr>
      <w:tr>
        <w:trPr/>
        <w:tc>
          <w:tcPr>
            <w:tcW w:w="16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(Principal Executive Officer and Authorized Signatory)</w:t>
            </w:r>
          </w:p>
        </w:tc>
      </w:tr>
    </w:tbl>
    <w:p>
      <w:pPr>
        <w:pStyle w:val="TextBody"/>
        <w:bidi w:val="0"/>
        <w:spacing w:before="198" w:after="283"/>
        <w:jc w:val="left"/>
        <w:rPr>
          <w:rFonts w:ascii="Times New Roman" w:hAnsi="Times New Roman"/>
          <w:color w:val="000000"/>
          <w:sz w:val="18"/>
        </w:rPr>
      </w:pPr>
      <w:r>
        <w:rPr>
          <w:rFonts w:ascii="Times New Roman" w:hAnsi="Times New Roman"/>
          <w:color w:val="000000"/>
          <w:sz w:val="18"/>
        </w:rPr>
        <w:t>KNOW ALL PERSONS BY THESE PRESENTS, that each person whose signature appears below constitutes and appoints Jay M. Short, Ph.D. and Richard A. Waldron as his or her true and lawful attorneys-in-fact, and each of them, with full power of substitution, for him or her in any and all capacities, to sign any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either of them, or his or their substitute or substitutes may do or cause to be done by virtue hereof.</w:t>
      </w:r>
    </w:p>
    <w:p>
      <w:pPr>
        <w:pStyle w:val="TextBody"/>
        <w:bidi w:val="0"/>
        <w:spacing w:before="198" w:after="283"/>
        <w:jc w:val="left"/>
        <w:rPr>
          <w:rFonts w:ascii="Times New Roman" w:hAnsi="Times New Roman"/>
          <w:color w:val="000000"/>
          <w:sz w:val="18"/>
        </w:rPr>
      </w:pPr>
      <w:r>
        <w:rPr>
          <w:rFonts w:ascii="Times New Roman" w:hAnsi="Times New Roman"/>
          <w:color w:val="000000"/>
          <w:sz w:val="18"/>
        </w:rPr>
        <w:t>Pursuant to the requirements of the Securities Exchange Act of 1934, this Annual Report on Form 10-K has been signed below by the following persons on behalf of the registrant and in the capacities and on the dates indicated.</w:t>
      </w:r>
    </w:p>
    <w:tbl>
      <w:tblPr>
        <w:tblW w:w="7450" w:type="dxa"/>
        <w:jc w:val="left"/>
        <w:tblInd w:w="0" w:type="dxa"/>
        <w:tblLayout w:type="fixed"/>
        <w:tblCellMar>
          <w:top w:w="28" w:type="dxa"/>
          <w:left w:w="28" w:type="dxa"/>
          <w:bottom w:w="28" w:type="dxa"/>
          <w:right w:w="28" w:type="dxa"/>
        </w:tblCellMar>
      </w:tblPr>
      <w:tblGrid>
        <w:gridCol w:w="2206"/>
        <w:gridCol w:w="326"/>
        <w:gridCol w:w="3481"/>
        <w:gridCol w:w="146"/>
        <w:gridCol w:w="1291"/>
      </w:tblGrid>
      <w:tr>
        <w:trPr/>
        <w:tc>
          <w:tcPr>
            <w:tcW w:w="220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348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SIGNATURE</w:t>
            </w:r>
          </w:p>
        </w:tc>
        <w:tc>
          <w:tcPr>
            <w:tcW w:w="32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8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w:t>
            </w:r>
          </w:p>
        </w:tc>
        <w:tc>
          <w:tcPr>
            <w:tcW w:w="146" w:type="dxa"/>
            <w:tcBorders>
              <w:bottom w:val="single" w:sz="7"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tcBorders>
              <w:bottom w:val="single" w:sz="7"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DATE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Jay M. Short, Ph.D.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Jay M. Short, Ph.D.</w:t>
            </w:r>
          </w:p>
        </w:tc>
        <w:tc>
          <w:tcPr>
            <w:tcW w:w="3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18"/>
              </w:rPr>
            </w:pPr>
            <w:r>
              <w:rPr>
                <w:rFonts w:ascii="Times New Roman" w:hAnsi="Times New Roman"/>
                <w:color w:val="000000"/>
                <w:sz w:val="18"/>
              </w:rPr>
              <w:t>Chief Executive Officer and Director</w:t>
            </w:r>
          </w:p>
          <w:p>
            <w:pPr>
              <w:pStyle w:val="TableContents"/>
              <w:bidi w:val="0"/>
              <w:spacing w:before="0" w:after="283"/>
              <w:jc w:val="left"/>
              <w:rPr>
                <w:rFonts w:ascii="Times New Roman" w:hAnsi="Times New Roman"/>
                <w:i/>
                <w:color w:val="000000"/>
                <w:sz w:val="18"/>
              </w:rPr>
            </w:pPr>
            <w:r>
              <w:rPr>
                <w:rFonts w:ascii="Times New Roman" w:hAnsi="Times New Roman"/>
                <w:i/>
                <w:color w:val="000000"/>
                <w:sz w:val="18"/>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Richard A. Waldron</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Richard A. Waldron</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pBdr/>
              <w:bidi w:val="0"/>
              <w:ind w:left="0" w:right="0" w:hanging="180"/>
              <w:jc w:val="left"/>
              <w:rPr>
                <w:rFonts w:ascii="Times New Roman" w:hAnsi="Times New Roman"/>
                <w:color w:val="000000"/>
                <w:sz w:val="18"/>
              </w:rPr>
            </w:pPr>
            <w:r>
              <w:rPr>
                <w:rFonts w:ascii="Times New Roman" w:hAnsi="Times New Roman"/>
                <w:color w:val="000000"/>
                <w:sz w:val="18"/>
              </w:rPr>
              <w:t>Chief Financial Officer</w:t>
            </w:r>
          </w:p>
          <w:p>
            <w:pPr>
              <w:pStyle w:val="TableContents"/>
              <w:bidi w:val="0"/>
              <w:spacing w:before="0" w:after="283"/>
              <w:ind w:left="0" w:right="0" w:firstLine="180"/>
              <w:jc w:val="left"/>
              <w:rPr>
                <w:rFonts w:ascii="Times New Roman" w:hAnsi="Times New Roman"/>
                <w:i/>
                <w:color w:val="000000"/>
                <w:sz w:val="18"/>
              </w:rPr>
            </w:pPr>
            <w:r>
              <w:rPr>
                <w:rFonts w:ascii="Times New Roman" w:hAnsi="Times New Roman"/>
                <w:i/>
                <w:color w:val="000000"/>
                <w:sz w:val="18"/>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Scott Smith</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Scott Smith</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Lawrence Steinman, M.D.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Lawrence Steinman, M.D.</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Mary Ann Gray, Ph.D.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Mary Ann Gray, Ph.D.</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80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3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Susan Moran, M.D.</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Susan Moran, M.D.</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jc w:val="center"/>
              <w:rPr>
                <w:rFonts w:ascii="Times New Roman" w:hAnsi="Times New Roman"/>
                <w:color w:val="000000"/>
                <w:sz w:val="18"/>
              </w:rPr>
            </w:pPr>
            <w:r>
              <w:rPr>
                <w:rFonts w:ascii="Times New Roman" w:hAnsi="Times New Roman"/>
                <w:color w:val="000000"/>
                <w:sz w:val="18"/>
              </w:rPr>
              <w:t>/s/ Sylvia McBrinn</w:t>
            </w:r>
          </w:p>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Sylvia McBrinn</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tcBorders/>
            <w:tcMar>
              <w:top w:w="0" w:type="dxa"/>
              <w:left w:w="0" w:type="dxa"/>
              <w:bottom w:w="0" w:type="dxa"/>
              <w:right w:w="0" w:type="dxa"/>
            </w:tcMar>
            <w:vAlign w:val="center"/>
          </w:tcPr>
          <w:p>
            <w:pPr>
              <w:pStyle w:val="TableContents"/>
              <w:pBdr/>
              <w:bidi w:val="0"/>
              <w:spacing w:before="0" w:after="283"/>
              <w:ind w:left="0" w:right="0" w:hanging="18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20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18"/>
              </w:rPr>
            </w:pPr>
            <w:r>
              <w:rPr>
                <w:rFonts w:ascii="Times New Roman" w:hAnsi="Times New Roman"/>
                <w:color w:val="000000"/>
                <w:sz w:val="18"/>
              </w:rPr>
              <w:t>/s/ Edward Williams</w:t>
            </w:r>
          </w:p>
        </w:tc>
        <w:tc>
          <w:tcPr>
            <w:tcW w:w="326" w:type="dxa"/>
            <w:vMerge w:val="restart"/>
            <w:tcBorders/>
            <w:tcMar>
              <w:top w:w="0" w:type="dxa"/>
              <w:left w:w="0" w:type="dxa"/>
              <w:bottom w:w="0" w:type="dxa"/>
              <w:right w:w="0" w:type="dxa"/>
            </w:tcMar>
            <w:vAlign w:val="center"/>
          </w:tcPr>
          <w:p>
            <w:pPr>
              <w:pStyle w:val="TableContents"/>
              <w:bidi w:val="0"/>
              <w:spacing w:before="0" w:after="283"/>
              <w:ind w:left="0" w:right="0" w:firstLine="180"/>
              <w:jc w:val="left"/>
              <w:rPr/>
            </w:pPr>
            <w:r>
              <w:rPr/>
              <w:t> </w:t>
            </w:r>
          </w:p>
        </w:tc>
        <w:tc>
          <w:tcPr>
            <w:tcW w:w="3481" w:type="dxa"/>
            <w:vMerge w:val="restart"/>
            <w:tcBorders/>
            <w:tcMar>
              <w:top w:w="0" w:type="dxa"/>
              <w:left w:w="0" w:type="dxa"/>
              <w:bottom w:w="0" w:type="dxa"/>
              <w:right w:w="0" w:type="dxa"/>
            </w:tcMar>
            <w:vAlign w:val="center"/>
          </w:tcPr>
          <w:p>
            <w:pPr>
              <w:pStyle w:val="TableContents"/>
              <w:pBdr/>
              <w:bidi w:val="0"/>
              <w:spacing w:before="0" w:after="283"/>
              <w:ind w:left="0" w:right="0" w:hanging="180"/>
              <w:jc w:val="left"/>
              <w:rPr>
                <w:rFonts w:ascii="Times New Roman" w:hAnsi="Times New Roman"/>
                <w:color w:val="000000"/>
                <w:sz w:val="18"/>
              </w:rPr>
            </w:pPr>
            <w:r>
              <w:rPr>
                <w:rFonts w:ascii="Times New Roman" w:hAnsi="Times New Roman"/>
                <w:color w:val="000000"/>
                <w:sz w:val="18"/>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March 27, 2025</w:t>
            </w:r>
          </w:p>
        </w:tc>
      </w:tr>
      <w:tr>
        <w:trPr/>
        <w:tc>
          <w:tcPr>
            <w:tcW w:w="2206" w:type="dxa"/>
            <w:tcBorders/>
            <w:tcMar>
              <w:top w:w="0" w:type="dxa"/>
              <w:left w:w="0" w:type="dxa"/>
              <w:bottom w:w="0" w:type="dxa"/>
              <w:right w:w="0" w:type="dxa"/>
            </w:tcMar>
            <w:vAlign w:val="center"/>
          </w:tcPr>
          <w:p>
            <w:pPr>
              <w:pStyle w:val="TableContents"/>
              <w:bidi w:val="0"/>
              <w:spacing w:before="13" w:after="283"/>
              <w:jc w:val="center"/>
              <w:rPr>
                <w:rFonts w:ascii="Times New Roman" w:hAnsi="Times New Roman"/>
                <w:color w:val="000000"/>
                <w:sz w:val="18"/>
              </w:rPr>
            </w:pPr>
            <w:r>
              <w:rPr>
                <w:rFonts w:ascii="Times New Roman" w:hAnsi="Times New Roman"/>
                <w:color w:val="000000"/>
                <w:sz w:val="18"/>
              </w:rPr>
              <w:t>Edward Williams</w:t>
            </w:r>
          </w:p>
        </w:tc>
        <w:tc>
          <w:tcPr>
            <w:tcW w:w="326" w:type="dxa"/>
            <w:vMerge w:val="continue"/>
            <w:tcBorders/>
            <w:tcMar>
              <w:top w:w="0" w:type="dxa"/>
              <w:left w:w="0" w:type="dxa"/>
              <w:bottom w:w="0" w:type="dxa"/>
              <w:right w:w="0" w:type="dxa"/>
            </w:tcMar>
            <w:vAlign w:val="center"/>
          </w:tcPr>
          <w:p>
            <w:pPr>
              <w:pStyle w:val="Normal"/>
              <w:bidi w:val="0"/>
              <w:jc w:val="left"/>
              <w:rPr/>
            </w:pPr>
            <w:r>
              <w:rPr/>
            </w:r>
          </w:p>
        </w:tc>
        <w:tc>
          <w:tcPr>
            <w:tcW w:w="348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spacing w:before="180" w:after="283"/>
        <w:jc w:val="center"/>
        <w:rPr>
          <w:rFonts w:ascii="Times New Roman" w:hAnsi="Times New Roman"/>
          <w:color w:val="000000"/>
          <w:sz w:val="18"/>
        </w:rPr>
      </w:pPr>
      <w:r>
        <w:rPr>
          <w:rFonts w:ascii="Times New Roman" w:hAnsi="Times New Roman"/>
          <w:color w:val="000000"/>
          <w:sz w:val="18"/>
        </w:rPr>
        <w:t>107</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bcab-ex4_3.htm"/>
      <w:bookmarkStart w:id="46" w:name="ksbcabex4_3"/>
      <w:bookmarkEnd w:id="45"/>
      <w:bookmarkEnd w:id="46"/>
      <w:r>
        <w:rPr>
          <w:rFonts w:ascii="Times New Roman" w:hAnsi="Times New Roman"/>
          <w:b/>
          <w:color w:val="000000"/>
          <w:sz w:val="20"/>
        </w:rPr>
        <w:t>Exhibit 4.3</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DESCRIPTION OF THE REGISTRANT’S SECURITIES</w:t>
      </w:r>
    </w:p>
    <w:p>
      <w:pPr>
        <w:pStyle w:val="TextBody"/>
        <w:bidi w:val="0"/>
        <w:jc w:val="center"/>
        <w:rPr>
          <w:rFonts w:ascii="Times New Roman" w:hAnsi="Times New Roman"/>
          <w:b/>
          <w:color w:val="000000"/>
          <w:sz w:val="20"/>
        </w:rPr>
      </w:pPr>
      <w:r>
        <w:rPr>
          <w:rFonts w:ascii="Times New Roman" w:hAnsi="Times New Roman"/>
          <w:b/>
          <w:color w:val="000000"/>
          <w:sz w:val="20"/>
        </w:rPr>
        <w:t>REGISTERED PURSUANT TO SECTION 12 OF THE SECURITIES</w:t>
      </w:r>
    </w:p>
    <w:p>
      <w:pPr>
        <w:pStyle w:val="TextBody"/>
        <w:bidi w:val="0"/>
        <w:jc w:val="center"/>
        <w:rPr>
          <w:rFonts w:ascii="Times New Roman" w:hAnsi="Times New Roman"/>
          <w:b/>
          <w:color w:val="000000"/>
          <w:sz w:val="20"/>
        </w:rPr>
      </w:pPr>
      <w:r>
        <w:rPr>
          <w:rFonts w:ascii="Times New Roman" w:hAnsi="Times New Roman"/>
          <w:b/>
          <w:color w:val="000000"/>
          <w:sz w:val="20"/>
        </w:rPr>
        <w:t>EXCHANGE ACT OF 1934</w:t>
      </w:r>
    </w:p>
    <w:p>
      <w:pPr>
        <w:pStyle w:val="TextBody"/>
        <w:bidi w:val="0"/>
        <w:spacing w:before="216" w:after="283"/>
        <w:jc w:val="left"/>
        <w:rPr>
          <w:rFonts w:ascii="Times New Roman" w:hAnsi="Times New Roman"/>
          <w:i/>
          <w:color w:val="000000"/>
          <w:sz w:val="20"/>
        </w:rPr>
      </w:pPr>
      <w:r>
        <w:rPr>
          <w:rFonts w:ascii="Times New Roman" w:hAnsi="Times New Roman"/>
          <w:i/>
          <w:color w:val="000000"/>
          <w:sz w:val="20"/>
        </w:rPr>
        <w:t>BioAtla, Inc. (“we,” “our,” “us,” or the “Company”) has one class of securities registered under Section 12 of the Securities Exchange Act of 1934, as amended: our common stock. The following summary of the terms of our common stock is based upon our restated certificate of incorporation and our restated bylaws. This summary does not purport to be complete and is subject to, and is qualified in its entirety by express reference to, the applicable provisions of our amended and restated certificate of incorporation and our amended and restated bylaws, which are filed as exhibits to our Annual Report on Form 10-K and are incorporated by reference herein. We encourage you to read our amended and restated certificate of incorporation, our amended and restated bylaws and the applicable provisions of the Delaware General Corporation Law for more information.</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Common stock and class B common stock</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We are authorized to issue up to a total of 350,000,000 shares of common stock, par value $0.0001 per share and up to a total of 15,368,569 shares of Class B common stock, par value $0.0001 per share. No Class B common stock is outstanding as of December 31, 2024. The holders of our common stock and Class B common stock have identical rights, provided that (i) except as otherwise expressly provided in our amended and restated certificate of incorporation or as required by applicable law, on any matter that is submitted to a vote by our stockholders, holders of our common stock are entitled to one vote per share of common stock, and holders of our Class B common stock are not entitled to any votes per share of Class B common stock, including for the election of directors and (ii) holders of our common stock have no conversion rights, while holders of our Class B common stock shall have the right to convert each share of our Class B common stock into one share of common stock at such holder’s election, provided that as a result of such conversion, such holder would not beneficially own in excess of 4.99% of any class of our securities registered under the Exchange Act, unless otherwise as expressly provided for in our amended and restated certificate of incorporation. However, this ownership limitation may be increased or decreased to any other percentage designated by such holder of Class B common stock upon 61 days’ notice to us.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common stock and Class B common stock have no preemptive rights or other subscription rights or redemption or sinking fund provisions. Upon our liquidation, dissolution or winding-up, holders of our common stock and Class B common stock are entitled to share ratably in all assets remaining after payment of all liabilities and the liquidation preferences of any of our outstanding shares of preferred stock. Subject to preferences that may be applicable to any outstanding shares of preferred stock, holders of our common stock and Class B common stock are entitled to receive dividends only if declared from time to time by our board of directors out of assets which are legally available.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Preferred stock</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Under our amended and restated certificate of incorporation, our board of directors has the authority, without further action by the stockholders, to issue up to 200,000,000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pStyle w:val="TextBody"/>
        <w:bidi w:val="0"/>
        <w:jc w:val="left"/>
        <w:rPr/>
      </w:pPr>
      <w:r>
        <w:rPr/>
        <w:t> </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Warrants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In December 2024, the Company closed on an offering of 9,679,158 shares of common stock at a price of $0.9520 per share with accompanying warrants to purchase up to 9,679,158 shares of common stock, which Warrants have an exercise price of $1.19 per share (the “Warrants”). The Warrants will become exercisable on June 20, 2025, and will expire five years from the date of initial exercisability. Accordingly, there were 9,679,158 common stock warrants outstanding but not yet exercisable as of December 31, 2024.</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 xml:space="preserve">The Warrants include certain rights upon “fundamental transactions” as described in the Warrants, including the right of the holders thereof to receive from the Company or a successor entity the same type or form of consideration (and in the same proportion) that is being offered and paid to the holders of common stock in such fundamental transaction in the amount of the Black Scholes value (as described in such Warrants) of the unexercised portion of the applicable Warrants on the date of the consummation of such fundamental transaction. The Warrants must be exercised by means of cash unless, at the time of such exercise, there is no effective registration statement registering, or no current prospectus available for, the issuance of the Warrants to the Purchaser whereby they may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8" w:after="283"/>
        <w:jc w:val="left"/>
        <w:rPr>
          <w:color w:val="000000"/>
        </w:rPr>
      </w:pPr>
      <w:r>
        <w:rPr>
          <w:color w:val="000000"/>
        </w:rPr>
        <w:t>“</w:t>
      </w:r>
      <w:r>
        <w:rPr>
          <w:rFonts w:ascii="Times New Roman" w:hAnsi="Times New Roman"/>
          <w:color w:val="000000"/>
          <w:sz w:val="20"/>
        </w:rPr>
        <w:t>cashless exercise.” The exercise price is subject to adjustment in the event of stock dividends, stock splits, rights offerings or other distributions to holders of common stock, reorganizations or similar events affecting the common stock and the exercise price.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Registration rights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Upon the completion of the initial public offering and subject to the lock-up agreements entered into in connection with such offering and federal securities laws, certain holders of shares of our common stock are initially be entitled to certain rights with respect to registration of such shares under the Securities Act. These shares are referred to as registrable securities.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registration described below.</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Generally, in an underwritten offering, the managing underwriter, if any, has the right, subject to specified conditions and limitations, to limit the number of shares the holders may include. The piggyback registration rights described below will terminate upon the earliest of (i) with respect to each stockholder, such date, on or after the completion of our initial public offering, on which all registrable shares held by such stockholder may immediately be sold during any three month period pursuant to Rule 144, (ii) the occurrence of a deemed liquidation event, as defined in our certificate of incorporation, as currently in effect and (iii) the fifth anniversary of the completion of our initial public offering.</w:t>
      </w:r>
    </w:p>
    <w:p>
      <w:pPr>
        <w:pStyle w:val="TextBody"/>
        <w:bidi w:val="0"/>
        <w:jc w:val="left"/>
        <w:rPr/>
      </w:pPr>
      <w:r>
        <w:rPr/>
        <w:t> </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Piggyback registration rights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As of December 31, 2024, certain holders of our common stock are entitled to their rights to notice of public offerings and to include their shares of registrable securities in public offerings. In the event that we propose to register any of our securities under the Securities Act in an offering, either for our own account or for the account of other security holders, the holders of registrable securities will be entitled to certain “piggyback” registration rights allowing them to include their shares in such registration, subject to specified conditions and limitations.</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Anti-takeover effects of provisions of our certificate of incorporation, our bylaws and Delaware law</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Certain provisions of Delaware law and certain provisions included in our amended and restated certificate of incorporation and amended and restated bylaws, summarized below, may be deemed to have an anti-takeover effect and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Delaware anti-takeover law</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We are subject to Section 203 of the Delaware General Corporation Law, or Section 203. Section 203 generally prohibits a public Delaware corporation from engaging in a “business combination” with an “interested stockholder” for a period of three years after the date of the transaction in which the person became an interested stockholder, unless:</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prior to the date of the transaction, the board of directors of the corporation approved either the business combination or the transaction which resulted in the stockholder becoming an interested stockholder;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interested stockholder owned at least 85% of the voting stock of the corporation outstanding upon consummation of the transaction, excluding for purposes of determining the number of shares outstanding</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081"/>
      </w:tblGrid>
      <w:tr>
        <w:trPr/>
        <w:tc>
          <w:tcPr>
            <w:tcW w:w="124" w:type="dxa"/>
            <w:tcBorders/>
            <w:vAlign w:val="center"/>
          </w:tcPr>
          <w:p>
            <w:pPr>
              <w:pStyle w:val="TableContents"/>
              <w:bidi w:val="0"/>
              <w:spacing w:before="0" w:after="283"/>
              <w:jc w:val="left"/>
              <w:rPr>
                <w:sz w:val="4"/>
                <w:szCs w:val="4"/>
              </w:rPr>
            </w:pPr>
            <w:r>
              <w:rPr>
                <w:sz w:val="4"/>
                <w:szCs w:val="4"/>
              </w:rPr>
            </w:r>
          </w:p>
        </w:tc>
        <w:tc>
          <w:tcPr>
            <w:tcW w:w="1008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 shares owned by persons who are directors and also officers and (b) shares owned by employee stock plans in which employee participants do not have the right to determine confidentially whether shares held subject to the plan will be tendered in a tender or exchange offer; or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 or subsequent to the consummation of the transaction, the business combination is approved by the board and authorized at an annual or special meeting of stockholders, and not by written consent, by the affirmative vote of at least 66 2/3% of the outstanding voting stock which is not owned by the interested stockholder.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Section 203 defines a business combination to include:</w:t>
      </w:r>
    </w:p>
    <w:tbl>
      <w:tblPr>
        <w:tblW w:w="7468" w:type="dxa"/>
        <w:jc w:val="left"/>
        <w:tblInd w:w="0" w:type="dxa"/>
        <w:tblLayout w:type="fixed"/>
        <w:tblCellMar>
          <w:top w:w="28" w:type="dxa"/>
          <w:left w:w="28" w:type="dxa"/>
          <w:bottom w:w="28" w:type="dxa"/>
          <w:right w:w="28" w:type="dxa"/>
        </w:tblCellMar>
      </w:tblPr>
      <w:tblGrid>
        <w:gridCol w:w="124"/>
        <w:gridCol w:w="109"/>
        <w:gridCol w:w="109"/>
        <w:gridCol w:w="71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merger or consolidation involving the corporation and the interested stockholder;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sale, transfer, pledge or other disposition involving the interested stockholder of 10% or more of the assets of the corporation;</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subject to exceptions, any transaction involving the corporation that has the effect of increasing the proportionate share of the stock of any class or series of the corporation beneficially owned by the interested stockholder;</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subject to exceptions, any transaction that results in the issuance or transfer by the corporation of any stock of the corporation to the interested stockholder; and</w:t>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986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63"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receipt by the interested stockholder of the benefit of any loans, advances, guarantees, pledges or other financial benefits provided by or through the corporation.</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Preferred stock</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Classified board</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our board of directors is divided into three classes, designated Class I, Class II and Class III. Each class will be an equal number of directors, as nearly as possible, consisting of one third of the total number of directors constituting the entire board of directors.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Removal of directors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stockholders may only remove a director for cause by a vote of at least 66 2/3% of the voting power of all of our then outstanding common stock and that the authorized number of directors may be changed only by resolution adopted by a majority of the board of directors.</w:t>
      </w:r>
    </w:p>
    <w:p>
      <w:pPr>
        <w:pStyle w:val="TextBody"/>
        <w:bidi w:val="0"/>
        <w:jc w:val="left"/>
        <w:rPr/>
      </w:pPr>
      <w:r>
        <w:rPr/>
        <w:t>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Director vacancies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Special meetings of stockholders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and our amended and restated bylaws provide that, except as otherwise required by law, special meetings of our stockholders may be called only by the chairman of the board, our Chief Executive Officer or by the board of directors pursuant to a resolution adopted by a majority of the total number of authorized directors (whether or not there exists any vacancies).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Advance notice procedures for director nominations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provide that stockholders seeking to nominate candidates for election as directors at an annual or special meeting of stockholders must provide timely notice thereof in writing and also specify requirements as to the form and content of a stockholder’s notice.</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Action by written consent</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and amended and restated bylaws require that any action to be taken by our stockholders must be effected at a duly called annual or special meeting of stockholders and not be taken by written consent.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Cumulative voting</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for cumulative voting rights (therefore allowing the holders of a majority of the shares of common stock entitled to vote in any election of directors to elect all of the directors standing for election, if they should so choose).</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Amending our certificate of incorporation and bylaws</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amendment of any of the provisions in our amended and restated certificate of incorporation, with the exception of the ability of our board of directors to issue shares of preferred stock and designate any rights, preferences and privileges thereto, would require the affirmative vote of the holders of at least 66 2/3% of the voting power of all of our then outstanding common stock. Additionally, our amended and restated certificate of incorporation provides that our bylaws may be amended, altered or repealed by the board of directors.</w:t>
      </w:r>
    </w:p>
    <w:p>
      <w:pPr>
        <w:pStyle w:val="TextBody"/>
        <w:bidi w:val="0"/>
        <w:spacing w:before="324" w:after="283"/>
        <w:jc w:val="left"/>
        <w:rPr>
          <w:rFonts w:ascii="Times New Roman" w:hAnsi="Times New Roman"/>
          <w:b/>
          <w:i/>
          <w:color w:val="000000"/>
          <w:sz w:val="20"/>
        </w:rPr>
      </w:pPr>
      <w:r>
        <w:rPr>
          <w:rFonts w:ascii="Times New Roman" w:hAnsi="Times New Roman"/>
          <w:b/>
          <w:i/>
          <w:color w:val="000000"/>
          <w:sz w:val="20"/>
        </w:rPr>
        <w:t>Exclusive forum provision</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amended and restated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shall be the sole and exclusive forum for the following types of proceedings: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General Corporation Law of the State of Delaware or as to which the General Corporation Law of the State of Delaware confers jurisdiction on the Court of Chancery of the State of Delaware or (iv) any action asserting a claim arising pursuant to any provision of our amended and restated certificate of incorporation or amended and restated bylaws (in each case, as they may be amended from time to time) or governed by the internal affairs doctrine. This provision would not apply to suits brought to enforce a duty or liability created by the Exchange Act or any other claim for which the U.S. federal courts have exclusive jurisdiction. Furthermore, Section 22 of the Securities Act creates concurrent jurisdiction for federal and state courts over all such Securities Act actions. Accordingly, both state and federal courts have jurisdiction to entertain such claims. Our amended and restated bylaws further provide that the federal district courts of the United States of America will be the exclusive forum to the fullest extent permitted by law, for resolving any complaint asserting a cause of action arising under the Securities Act.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and amended and restated bylaws inapplicable to, or unenforceable in respect of, one or more of the specified types of actions or proceedings, we may incur additional costs associated with resolving such matters in other jurisdictions, which could adversely affect our business and financial condition. Any person or entity purchasing or otherwise acquiring any interest in shares of our capital stock shall be deemed to have notice of and to have consented to the provisions of our amended and restated certificate of incorporation and amended and restated bylaws described above.</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Nasdaq Global Market</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Our common stock is listed on The Nasdaq Global Market under the symbol “BCAB.”</w:t>
      </w:r>
    </w:p>
    <w:p>
      <w:pPr>
        <w:pStyle w:val="TextBody"/>
        <w:bidi w:val="0"/>
        <w:spacing w:before="324" w:after="283"/>
        <w:jc w:val="left"/>
        <w:rPr>
          <w:rFonts w:ascii="Times New Roman" w:hAnsi="Times New Roman"/>
          <w:b/>
          <w:color w:val="000000"/>
          <w:sz w:val="20"/>
        </w:rPr>
      </w:pPr>
      <w:r>
        <w:rPr>
          <w:rFonts w:ascii="Times New Roman" w:hAnsi="Times New Roman"/>
          <w:b/>
          <w:color w:val="000000"/>
          <w:sz w:val="20"/>
        </w:rPr>
        <w:t>Transfer agent and registrar</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transfer agent and registrar for our common stock and Class B common stock is Pacific Stock Transfer, Inc. The transfer agent and registrar’s address is 6725 Via Austi Pkwy, Suite 300, Las Vegas, NV 89119.</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1" w:after="283"/>
        <w:jc w:val="right"/>
        <w:rPr>
          <w:rFonts w:ascii="Times New Roman" w:hAnsi="Times New Roman"/>
          <w:b/>
          <w:color w:val="000000"/>
          <w:sz w:val="22"/>
        </w:rPr>
      </w:pPr>
      <w:bookmarkStart w:id="47" w:name="bcab-ex19_1.htm"/>
      <w:bookmarkStart w:id="48" w:name="ksbcabex19_1"/>
      <w:bookmarkEnd w:id="47"/>
      <w:bookmarkEnd w:id="48"/>
      <w:r>
        <w:rPr>
          <w:rFonts w:ascii="Times New Roman" w:hAnsi="Times New Roman"/>
          <w:b/>
          <w:color w:val="000000"/>
          <w:sz w:val="22"/>
        </w:rPr>
        <w:t>Exhibit 19.1</w:t>
      </w:r>
      <w:r>
        <w:br w:type="page"/>
      </w:r>
    </w:p>
    <w:p>
      <w:pPr>
        <w:pStyle w:val="TextBody"/>
        <w:bidi w:val="0"/>
        <w:spacing w:before="21" w:after="283"/>
        <w:jc w:val="right"/>
        <w:rPr/>
      </w:pPr>
      <w:r>
        <w:rPr/>
        <w:t> </w:t>
      </w:r>
    </w:p>
    <w:p>
      <w:pPr>
        <w:pStyle w:val="TextBody"/>
        <w:bidi w:val="0"/>
        <w:spacing w:before="21" w:after="283"/>
        <w:jc w:val="center"/>
        <w:rPr>
          <w:rFonts w:ascii="Times New Roman" w:hAnsi="Times New Roman"/>
          <w:b/>
          <w:color w:val="000000"/>
          <w:sz w:val="24"/>
        </w:rPr>
      </w:pPr>
      <w:r>
        <w:rPr>
          <w:rFonts w:ascii="Times New Roman" w:hAnsi="Times New Roman"/>
          <w:b/>
          <w:color w:val="000000"/>
          <w:sz w:val="24"/>
        </w:rPr>
        <w:t>BioAtla, Inc.</w:t>
      </w:r>
    </w:p>
    <w:p>
      <w:pPr>
        <w:pStyle w:val="TextBody"/>
        <w:bidi w:val="0"/>
        <w:spacing w:before="247" w:after="283"/>
        <w:jc w:val="center"/>
        <w:rPr>
          <w:rFonts w:ascii="Times New Roman" w:hAnsi="Times New Roman"/>
          <w:sz w:val="20"/>
        </w:rPr>
      </w:pPr>
      <w:r>
        <w:rPr>
          <w:rFonts w:ascii="Times New Roman" w:hAnsi="Times New Roman"/>
          <w:b/>
          <w:color w:val="000000"/>
          <w:sz w:val="24"/>
          <w:u w:val="single"/>
        </w:rPr>
        <w:t>Insider Trading Policy</w:t>
      </w:r>
      <w:r>
        <w:rPr>
          <w:rFonts w:ascii="Times New Roman" w:hAnsi="Times New Roman"/>
          <w:color w:val="000000"/>
          <w:sz w:val="20"/>
        </w:rPr>
        <w:t xml:space="preserve"> </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Federal and state securities laws prohibit the purchase or sale of a company’s securities by persons who are aware of material information about that company that is not generally known or available to the public. These laws also prohibit persons who are aware of such material nonpublic information from disclosing this information to others who may trade. Companies and their controlling persons are also subject to liability if they fail to take reasonable steps to prevent insider trading by company personnel.</w:t>
      </w:r>
    </w:p>
    <w:p>
      <w:pPr>
        <w:pStyle w:val="TextBody"/>
        <w:bidi w:val="0"/>
        <w:spacing w:before="243" w:after="283"/>
        <w:jc w:val="both"/>
        <w:rPr>
          <w:rFonts w:ascii="Times New Roman" w:hAnsi="Times New Roman"/>
          <w:sz w:val="20"/>
        </w:rPr>
      </w:pPr>
      <w:r>
        <w:rPr>
          <w:rFonts w:ascii="Times New Roman" w:hAnsi="Times New Roman"/>
          <w:color w:val="000000"/>
          <w:sz w:val="24"/>
        </w:rPr>
        <w:t>It is important that you understand the breadth of activities that constitute illegal insider trading and their potentially severe consequences. Both the Securities and Exchange Commission (the “</w:t>
      </w:r>
      <w:r>
        <w:rPr>
          <w:rFonts w:ascii="Times New Roman" w:hAnsi="Times New Roman"/>
          <w:color w:val="000000"/>
          <w:sz w:val="24"/>
          <w:u w:val="single"/>
        </w:rPr>
        <w:t>SEC</w:t>
      </w:r>
      <w:r>
        <w:rPr>
          <w:rFonts w:ascii="Times New Roman" w:hAnsi="Times New Roman"/>
          <w:color w:val="000000"/>
          <w:sz w:val="20"/>
        </w:rPr>
        <w:t>”</w:t>
      </w:r>
      <w:r>
        <w:rPr>
          <w:rFonts w:ascii="Times New Roman" w:hAnsi="Times New Roman"/>
          <w:color w:val="000000"/>
          <w:sz w:val="24"/>
        </w:rPr>
        <w:t>) and the Financial Industry Regulatory Authority (“</w:t>
      </w:r>
      <w:r>
        <w:rPr>
          <w:rFonts w:ascii="Times New Roman" w:hAnsi="Times New Roman"/>
          <w:color w:val="000000"/>
          <w:sz w:val="24"/>
          <w:u w:val="single"/>
        </w:rPr>
        <w:t>FINRA</w:t>
      </w:r>
      <w:r>
        <w:rPr>
          <w:rFonts w:ascii="Times New Roman" w:hAnsi="Times New Roman"/>
          <w:color w:val="000000"/>
          <w:sz w:val="20"/>
        </w:rPr>
        <w:t>”</w:t>
      </w:r>
      <w:r>
        <w:rPr>
          <w:rFonts w:ascii="Times New Roman" w:hAnsi="Times New Roman"/>
          <w:color w:val="000000"/>
          <w:sz w:val="24"/>
        </w:rPr>
        <w:t>) investigate and are very effective at detecting insider trading. The SEC, together with the US Attorneys, pursue insider-trading violations vigorously. Cases have been successfully prosecuted against trading by employees through foreign accounts, trading by family members and friends, and trading involving only a small number of shares.</w:t>
      </w:r>
    </w:p>
    <w:p>
      <w:pPr>
        <w:pStyle w:val="TextBody"/>
        <w:bidi w:val="0"/>
        <w:spacing w:before="241" w:after="283"/>
        <w:jc w:val="both"/>
        <w:rPr>
          <w:rFonts w:ascii="Times New Roman" w:hAnsi="Times New Roman"/>
          <w:sz w:val="20"/>
        </w:rPr>
      </w:pPr>
      <w:r>
        <w:rPr>
          <w:rFonts w:ascii="Times New Roman" w:hAnsi="Times New Roman"/>
          <w:color w:val="000000"/>
          <w:sz w:val="24"/>
        </w:rPr>
        <w:t>This Policy provides guidelines with respect to transactions in the securities of BioAtla,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p>
    <w:p>
      <w:pPr>
        <w:pStyle w:val="TextBody"/>
        <w:bidi w:val="0"/>
        <w:spacing w:before="244" w:after="283"/>
        <w:jc w:val="center"/>
        <w:rPr>
          <w:rFonts w:ascii="Times New Roman" w:hAnsi="Times New Roman"/>
          <w:b/>
          <w:color w:val="000000"/>
          <w:sz w:val="24"/>
        </w:rPr>
      </w:pPr>
      <w:r>
        <w:rPr>
          <w:rFonts w:ascii="Times New Roman" w:hAnsi="Times New Roman"/>
          <w:b/>
          <w:color w:val="000000"/>
          <w:sz w:val="24"/>
        </w:rPr>
        <w:t>APPLICABILITY OF POLICY</w:t>
      </w:r>
    </w:p>
    <w:p>
      <w:pPr>
        <w:pStyle w:val="TextBody"/>
        <w:bidi w:val="0"/>
        <w:spacing w:before="241" w:after="283"/>
        <w:jc w:val="left"/>
        <w:rPr>
          <w:rFonts w:ascii="Times New Roman" w:hAnsi="Times New Roman"/>
          <w:b/>
          <w:i/>
          <w:color w:val="000000"/>
          <w:sz w:val="24"/>
        </w:rPr>
      </w:pPr>
      <w:r>
        <w:rPr>
          <w:rFonts w:ascii="Times New Roman" w:hAnsi="Times New Roman"/>
          <w:b/>
          <w:i/>
          <w:color w:val="000000"/>
          <w:sz w:val="24"/>
        </w:rPr>
        <w:t>Who is covered by this Policy?</w:t>
      </w:r>
    </w:p>
    <w:p>
      <w:pPr>
        <w:pStyle w:val="TextBody"/>
        <w:bidi w:val="0"/>
        <w:spacing w:before="237" w:after="283"/>
        <w:jc w:val="left"/>
        <w:rPr>
          <w:rFonts w:ascii="Times New Roman" w:hAnsi="Times New Roman"/>
          <w:sz w:val="20"/>
        </w:rPr>
      </w:pPr>
      <w:r>
        <w:rPr>
          <w:rFonts w:ascii="Times New Roman" w:hAnsi="Times New Roman"/>
          <w:color w:val="000000"/>
          <w:sz w:val="24"/>
        </w:rPr>
        <w:t>This Policy applies to you if you are an “</w:t>
      </w:r>
      <w:r>
        <w:rPr>
          <w:rFonts w:ascii="Times New Roman" w:hAnsi="Times New Roman"/>
          <w:color w:val="000000"/>
          <w:sz w:val="24"/>
          <w:u w:val="single"/>
        </w:rPr>
        <w:t>Insider</w:t>
      </w:r>
      <w:r>
        <w:rPr>
          <w:rFonts w:ascii="Times New Roman" w:hAnsi="Times New Roman"/>
          <w:color w:val="000000"/>
          <w:sz w:val="20"/>
        </w:rPr>
        <w:t xml:space="preserve">” </w:t>
      </w:r>
      <w:r>
        <w:rPr>
          <w:rFonts w:ascii="Times New Roman" w:hAnsi="Times New Roman"/>
          <w:color w:val="000000"/>
          <w:sz w:val="24"/>
        </w:rPr>
        <w:t>to the Company, which is defined as:</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an officer or employee of the Company;</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a member of the Board of Directors or similar governing body of the Company; or·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a consultant, contractor or designated agent of the Company who receives or has access to Material Nonpublic Information (as defined below) regarding the Company.</w:t>
      </w:r>
    </w:p>
    <w:p>
      <w:pPr>
        <w:pStyle w:val="TextBody"/>
        <w:bidi w:val="0"/>
        <w:spacing w:before="240" w:after="240"/>
        <w:jc w:val="both"/>
        <w:rPr>
          <w:rFonts w:ascii="Times New Roman" w:hAnsi="Times New Roman"/>
          <w:color w:val="000000"/>
          <w:sz w:val="24"/>
        </w:rPr>
      </w:pPr>
      <w:r>
        <w:rPr>
          <w:rFonts w:ascii="Times New Roman" w:hAnsi="Times New Roman"/>
          <w:color w:val="000000"/>
          <w:sz w:val="24"/>
        </w:rPr>
        <w:t>Insiders are also responsible for making sure that the purchase or sale of any security covered by this Policy by any of the following persons or entities also complies with this Policy: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any family member or other person who lives in the same household as the Insider;</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w:t>
      </w:r>
    </w:p>
    <w:p>
      <w:pPr>
        <w:pStyle w:val="TextBody"/>
        <w:bidi w:val="0"/>
        <w:jc w:val="both"/>
        <w:rPr>
          <w:rFonts w:ascii="Times New Roman" w:hAnsi="Times New Roman"/>
          <w:color w:val="000000"/>
          <w:sz w:val="24"/>
        </w:rPr>
      </w:pPr>
      <w:r>
        <w:rPr>
          <w:rFonts w:ascii="Times New Roman" w:hAnsi="Times New Roman"/>
          <w:color w:val="000000"/>
          <w:sz w:val="24"/>
        </w:rPr>
        <w:t>any family member of the Insider who does not share the same household as the Insider but whose transactions in Company securities are directed by the Insider or are subject to their influence or control (such as parents, siblings or children who consult with the Insider before they trade in Company securities);</w:t>
      </w:r>
    </w:p>
    <w:p>
      <w:pPr>
        <w:pStyle w:val="TextBody"/>
        <w:bidi w:val="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4"/>
        </w:rPr>
      </w:pPr>
      <w:r>
        <w:rPr>
          <w:rFonts w:ascii="Times New Roman" w:hAnsi="Times New Roman"/>
          <w:color w:val="000000"/>
          <w:sz w:val="24"/>
        </w:rPr>
        <w:t xml:space="preserve">any entity whose transactions in securities the Insider influences, directs or controls </w:t>
      </w:r>
    </w:p>
    <w:p>
      <w:pPr>
        <w:pStyle w:val="TextBody"/>
        <w:bidi w:val="0"/>
        <w:jc w:val="both"/>
        <w:rPr>
          <w:rFonts w:ascii="Times New Roman" w:hAnsi="Times New Roman"/>
          <w:color w:val="000000"/>
          <w:sz w:val="24"/>
        </w:rPr>
      </w:pPr>
      <w:r>
        <w:rPr>
          <w:rFonts w:ascii="Times New Roman" w:hAnsi="Times New Roman"/>
          <w:color w:val="000000"/>
          <w:sz w:val="24"/>
        </w:rPr>
        <w:t>(including, e.g., a company or a venture or other investment fund if the Insider influences, directs or controls transactions by the fund); and any person who, directly or indirectly receives Material Nonpublic Information from the Insider.</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Policy continues to apply to your transactions in Company securities even after you have terminated your status as an Insider if you are aware of Material Nonpublic Information at the time your employment or other relationship terminates until that information has become public or is no longer material.</w:t>
      </w:r>
    </w:p>
    <w:p>
      <w:pPr>
        <w:pStyle w:val="TextBody"/>
        <w:bidi w:val="0"/>
        <w:spacing w:before="246" w:after="283"/>
        <w:jc w:val="left"/>
        <w:rPr>
          <w:rFonts w:ascii="Times New Roman" w:hAnsi="Times New Roman"/>
          <w:b/>
          <w:i/>
          <w:color w:val="000000"/>
          <w:sz w:val="24"/>
        </w:rPr>
      </w:pPr>
      <w:r>
        <w:rPr>
          <w:rFonts w:ascii="Times New Roman" w:hAnsi="Times New Roman"/>
          <w:b/>
          <w:i/>
          <w:color w:val="000000"/>
          <w:sz w:val="24"/>
        </w:rPr>
        <w:t>What transactions are covered by this Policy?</w:t>
      </w:r>
    </w:p>
    <w:p>
      <w:pPr>
        <w:pStyle w:val="TextBody"/>
        <w:bidi w:val="0"/>
        <w:spacing w:before="236" w:after="283"/>
        <w:jc w:val="both"/>
        <w:rPr>
          <w:rFonts w:ascii="Times New Roman" w:hAnsi="Times New Roman"/>
          <w:sz w:val="20"/>
        </w:rPr>
      </w:pPr>
      <w:r>
        <w:rPr>
          <w:rFonts w:ascii="Times New Roman" w:hAnsi="Times New Roman"/>
          <w:i/>
          <w:color w:val="000000"/>
          <w:sz w:val="24"/>
        </w:rPr>
        <w:t xml:space="preserve">Transactions in Company Securities. </w:t>
      </w:r>
      <w:r>
        <w:rPr>
          <w:rFonts w:ascii="Times New Roman" w:hAnsi="Times New Roman"/>
          <w:color w:val="000000"/>
          <w:sz w:val="24"/>
        </w:rPr>
        <w:t>This Policy generally applies to all transactions in securities of the Company, including common stock, options for common stock and any other securities the Company may issue from time to time, such as preferred stock, restricted stock units, warrants and convertible debentures, as well as to derivative securities relating to the Company’s stock, whether or not issued by the Company, such as exchange-traded put and call options.</w:t>
      </w:r>
    </w:p>
    <w:p>
      <w:pPr>
        <w:pStyle w:val="TextBody"/>
        <w:bidi w:val="0"/>
        <w:spacing w:before="238" w:after="283"/>
        <w:jc w:val="both"/>
        <w:rPr>
          <w:rFonts w:ascii="Times New Roman" w:hAnsi="Times New Roman"/>
          <w:sz w:val="20"/>
        </w:rPr>
      </w:pPr>
      <w:r>
        <w:rPr>
          <w:rFonts w:ascii="Times New Roman" w:hAnsi="Times New Roman"/>
          <w:i/>
          <w:color w:val="000000"/>
          <w:sz w:val="24"/>
        </w:rPr>
        <w:t xml:space="preserve">Exception for Exercise of Stock Options, Warrants, and Certain Other Securities. </w:t>
      </w:r>
      <w:r>
        <w:rPr>
          <w:rFonts w:ascii="Times New Roman" w:hAnsi="Times New Roman"/>
          <w:color w:val="000000"/>
          <w:sz w:val="24"/>
        </w:rPr>
        <w:t>This Policy’s trading restrictions generally do not apply to the exercise of a stock option or warrant or the conversion of a convertible security. The trading restrictions do apply, however, to any sale of the underlying stock or to a cashless exercise of the option or warrant through a broker, as this entails selling a portion of the underlying stock to cover the costs of exercise. Additionally, this Policy’s trading restrictions generally do not apply to purchases of the Company’s shares under the Company’s Employee Stock Purchase Plan (“</w:t>
      </w:r>
      <w:r>
        <w:rPr>
          <w:rFonts w:ascii="Times New Roman" w:hAnsi="Times New Roman"/>
          <w:color w:val="000000"/>
          <w:sz w:val="24"/>
          <w:u w:val="single"/>
        </w:rPr>
        <w:t>ESPP</w:t>
      </w:r>
      <w:r>
        <w:rPr>
          <w:rFonts w:ascii="Times New Roman" w:hAnsi="Times New Roman"/>
          <w:color w:val="000000"/>
          <w:sz w:val="20"/>
        </w:rPr>
        <w:t>”</w:t>
      </w:r>
      <w:r>
        <w:rPr>
          <w:rFonts w:ascii="Times New Roman" w:hAnsi="Times New Roman"/>
          <w:color w:val="000000"/>
          <w:sz w:val="24"/>
        </w:rPr>
        <w:t>), along with immediate sales of such shares through the ESPP Quick Sale program. However, sales of Company shares acquired through the ESPP, outside of the Quick Sale program, are restricted under this Policy. Shares sold to satisfy tax withholding obligations upon the settlement of restricted stock unit awards shall also be exempt from the trading restrictions in this Policy.</w:t>
      </w:r>
    </w:p>
    <w:p>
      <w:pPr>
        <w:pStyle w:val="TextBody"/>
        <w:bidi w:val="0"/>
        <w:spacing w:before="238" w:after="283"/>
        <w:jc w:val="both"/>
        <w:rPr>
          <w:rFonts w:ascii="Times New Roman" w:hAnsi="Times New Roman"/>
          <w:sz w:val="20"/>
        </w:rPr>
      </w:pPr>
      <w:r>
        <w:rPr>
          <w:rFonts w:ascii="Times New Roman" w:hAnsi="Times New Roman"/>
          <w:i/>
          <w:color w:val="000000"/>
          <w:sz w:val="24"/>
        </w:rPr>
        <w:t>Exception for Bona Fide Gifts</w:t>
      </w:r>
      <w:r>
        <w:rPr>
          <w:rFonts w:ascii="Times New Roman" w:hAnsi="Times New Roman"/>
          <w:color w:val="000000"/>
          <w:sz w:val="24"/>
        </w:rPr>
        <w:t>. This Policy’s trading restrictions generally do not apply to the giving of bona fide gifts of the Company’s securities, unless the gift giver has reason to believe that the recipient intends to transact in the Company’s securities while the gift giver is aware of Material Nonpublic Information about the Company, or there is currently no Trading Window available and the gift giver has reason to believe that the recipient intends to transact in the Company’s securities during such period in which there is no Trading Window available.</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Transactions in Other Companies’ Securities. </w:t>
      </w:r>
      <w:r>
        <w:rPr>
          <w:rFonts w:ascii="Times New Roman" w:hAnsi="Times New Roman"/>
          <w:color w:val="000000"/>
          <w:sz w:val="24"/>
        </w:rPr>
        <w:t>This Policy and the guidelines described herein also apply to Material Nonpublic Information relating to other companies, including the Company’s customers, vendors or suppliers (“</w:t>
      </w:r>
      <w:r>
        <w:rPr>
          <w:rFonts w:ascii="Times New Roman" w:hAnsi="Times New Roman"/>
          <w:color w:val="000000"/>
          <w:sz w:val="24"/>
          <w:u w:val="single"/>
        </w:rPr>
        <w:t>business partners”</w:t>
      </w:r>
      <w:r>
        <w:rPr>
          <w:rFonts w:ascii="Times New Roman" w:hAnsi="Times New Roman"/>
          <w:color w:val="000000"/>
          <w:sz w:val="24"/>
        </w:rPr>
        <w:t>), when that information is obtained in the course of employment with, or other services performed on behalf of, the Company. Civil and criminal penalties, and termination of employment, may result from trading on inside information regarding the Company’s business partners. All employees should treat Material Nonpublic Information about the Company’s business partners with the same care required with respect to information related directly to the Company. You should keep in mind that information that is not material to the Company may nevertheless be material to one of the Company’s business partners.</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5" w:after="283"/>
        <w:jc w:val="center"/>
        <w:rPr>
          <w:rFonts w:ascii="Times New Roman" w:hAnsi="Times New Roman"/>
          <w:b/>
          <w:color w:val="000000"/>
          <w:sz w:val="24"/>
        </w:rPr>
      </w:pPr>
      <w:r>
        <w:rPr>
          <w:rFonts w:ascii="Times New Roman" w:hAnsi="Times New Roman"/>
          <w:b/>
          <w:color w:val="000000"/>
          <w:sz w:val="24"/>
        </w:rPr>
        <w:t>STATEMENT OF POLICY</w:t>
      </w:r>
    </w:p>
    <w:p>
      <w:pPr>
        <w:pStyle w:val="TextBody"/>
        <w:bidi w:val="0"/>
        <w:spacing w:before="237" w:after="283"/>
        <w:jc w:val="both"/>
        <w:rPr>
          <w:rFonts w:ascii="Times New Roman" w:hAnsi="Times New Roman"/>
          <w:sz w:val="20"/>
        </w:rPr>
      </w:pPr>
      <w:r>
        <w:rPr>
          <w:rFonts w:ascii="Times New Roman" w:hAnsi="Times New Roman"/>
          <w:b/>
          <w:i/>
          <w:color w:val="000000"/>
          <w:sz w:val="24"/>
        </w:rPr>
        <w:t>What is the Company’s general policy on insider trading and disclosure of nonpublic information</w:t>
      </w:r>
      <w:r>
        <w:rPr>
          <w:rFonts w:ascii="Times New Roman" w:hAnsi="Times New Roman"/>
          <w:i/>
          <w:color w:val="000000"/>
          <w:sz w:val="24"/>
        </w:rPr>
        <w:t>?</w:t>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It is the policy of the Company to oppose the unauthorized disclosure of any nonpublic information acquired in the work place and the misuse of Material Nonpublic Information in securities trading.</w:t>
      </w:r>
    </w:p>
    <w:p>
      <w:pPr>
        <w:pStyle w:val="TextBody"/>
        <w:bidi w:val="0"/>
        <w:spacing w:before="245" w:after="283"/>
        <w:jc w:val="left"/>
        <w:rPr>
          <w:rFonts w:ascii="Times New Roman" w:hAnsi="Times New Roman"/>
          <w:b/>
          <w:i/>
          <w:color w:val="000000"/>
          <w:sz w:val="24"/>
        </w:rPr>
      </w:pPr>
      <w:r>
        <w:rPr>
          <w:rFonts w:ascii="Times New Roman" w:hAnsi="Times New Roman"/>
          <w:b/>
          <w:i/>
          <w:color w:val="000000"/>
          <w:sz w:val="24"/>
        </w:rPr>
        <w:t>What policies am I required to adhere to before trading in securities?</w:t>
      </w:r>
    </w:p>
    <w:p>
      <w:pPr>
        <w:pStyle w:val="TextBody"/>
        <w:bidi w:val="0"/>
        <w:spacing w:before="234" w:after="283"/>
        <w:jc w:val="both"/>
        <w:rPr>
          <w:rFonts w:ascii="Times New Roman" w:hAnsi="Times New Roman"/>
          <w:sz w:val="20"/>
        </w:rPr>
      </w:pPr>
      <w:r>
        <w:rPr>
          <w:rFonts w:ascii="Times New Roman" w:hAnsi="Times New Roman"/>
          <w:i/>
          <w:color w:val="000000"/>
          <w:sz w:val="24"/>
        </w:rPr>
        <w:t xml:space="preserve">Trading on Material Nonpublic Information is Prohibited. </w:t>
      </w:r>
      <w:r>
        <w:rPr>
          <w:rFonts w:ascii="Times New Roman" w:hAnsi="Times New Roman"/>
          <w:color w:val="000000"/>
          <w:sz w:val="24"/>
        </w:rPr>
        <w:t>You may not engage in any transaction involving a purchase or sale of the Company’s securities, including any offer to purchase or offer to sell, directly or through family members or other persons or entities, if you are aware of Material Nonpublic Information relating to the Company. Similarly, you may not trade in the securities of any other company if you are aware of Material Nonpublic Information about that company which you obtained in the course of your employment with, or provision of services to, the Company. Such prohibition against trading shall remain in effect until the close of business on the second Trading Day following the date of public disclosure of that information, or at such time as such nonpublic information is no longer material. As used herein, the term “</w:t>
      </w:r>
      <w:r>
        <w:rPr>
          <w:rFonts w:ascii="Times New Roman" w:hAnsi="Times New Roman"/>
          <w:color w:val="000000"/>
          <w:sz w:val="24"/>
          <w:u w:val="single"/>
        </w:rPr>
        <w:t>Trading Day</w:t>
      </w:r>
      <w:r>
        <w:rPr>
          <w:rFonts w:ascii="Times New Roman" w:hAnsi="Times New Roman"/>
          <w:color w:val="000000"/>
          <w:sz w:val="20"/>
        </w:rPr>
        <w:t xml:space="preserve">” </w:t>
      </w:r>
      <w:r>
        <w:rPr>
          <w:rFonts w:ascii="Times New Roman" w:hAnsi="Times New Roman"/>
          <w:color w:val="000000"/>
          <w:sz w:val="24"/>
        </w:rPr>
        <w:t>means a day on which national stock exchanges are open for trading.</w:t>
      </w:r>
    </w:p>
    <w:p>
      <w:pPr>
        <w:pStyle w:val="TextBody"/>
        <w:bidi w:val="0"/>
        <w:spacing w:before="238" w:after="283"/>
        <w:jc w:val="both"/>
        <w:rPr>
          <w:rFonts w:ascii="Times New Roman" w:hAnsi="Times New Roman"/>
          <w:sz w:val="20"/>
        </w:rPr>
      </w:pPr>
      <w:r>
        <w:rPr>
          <w:rFonts w:ascii="Times New Roman" w:hAnsi="Times New Roman"/>
          <w:i/>
          <w:color w:val="000000"/>
          <w:sz w:val="24"/>
        </w:rPr>
        <w:t>Mandatory Trading Window Provisions Preclearance of Trades</w:t>
      </w:r>
      <w:r>
        <w:rPr>
          <w:rFonts w:ascii="Times New Roman" w:hAnsi="Times New Roman"/>
          <w:color w:val="000000"/>
          <w:sz w:val="24"/>
        </w:rPr>
        <w:t>. All Insiders must refrain from trading in the Company’s securities other than during the Trading Window. As used herein, the term “</w:t>
      </w:r>
      <w:r>
        <w:rPr>
          <w:rFonts w:ascii="Times New Roman" w:hAnsi="Times New Roman"/>
          <w:color w:val="000000"/>
          <w:sz w:val="24"/>
          <w:u w:val="single"/>
        </w:rPr>
        <w:t>Trading Window</w:t>
      </w:r>
      <w:r>
        <w:rPr>
          <w:rFonts w:ascii="Times New Roman" w:hAnsi="Times New Roman"/>
          <w:color w:val="000000"/>
          <w:sz w:val="20"/>
        </w:rPr>
        <w:t xml:space="preserve">” </w:t>
      </w:r>
      <w:r>
        <w:rPr>
          <w:rFonts w:ascii="Times New Roman" w:hAnsi="Times New Roman"/>
          <w:color w:val="000000"/>
          <w:sz w:val="24"/>
        </w:rPr>
        <w:t>means the period in any fiscal quarter:</w:t>
      </w:r>
    </w:p>
    <w:p>
      <w:pPr>
        <w:pStyle w:val="TextBody"/>
        <w:bidi w:val="0"/>
        <w:spacing w:before="237" w:after="283"/>
        <w:jc w:val="left"/>
        <w:rPr>
          <w:color w:val="000000"/>
        </w:rPr>
      </w:pPr>
      <w:r>
        <w:rPr>
          <w:color w:val="000000"/>
        </w:rPr>
        <w:t>•</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beginning at the opening of business on the third (3rd) full Trading Day following the date of public disclosure of the financial results for the prior fiscal quarter or year; and</w:t>
      </w:r>
    </w:p>
    <w:p>
      <w:pPr>
        <w:pStyle w:val="TextBody"/>
        <w:bidi w:val="0"/>
        <w:spacing w:before="242" w:after="283"/>
        <w:jc w:val="left"/>
        <w:rPr>
          <w:color w:val="000000"/>
        </w:rPr>
      </w:pPr>
      <w:r>
        <w:rPr>
          <w:color w:val="000000"/>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ending at the close of business on the last day of each fiscal quarter.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Even during the Trading Window, Insiders must first comply with the Company’s “preclearance” process. Each Insider should contact the Compliance Officer, or in the absence of the Compliance Officer, the Controller, prior to commencing any trade in the Company’s securities.</w:t>
      </w:r>
    </w:p>
    <w:p>
      <w:pPr>
        <w:pStyle w:val="TextBody"/>
        <w:bidi w:val="0"/>
        <w:spacing w:before="239" w:after="283"/>
        <w:jc w:val="both"/>
        <w:rPr>
          <w:rFonts w:ascii="Times New Roman" w:hAnsi="Times New Roman"/>
          <w:sz w:val="20"/>
        </w:rPr>
      </w:pPr>
      <w:r>
        <w:rPr>
          <w:rFonts w:ascii="Times New Roman" w:hAnsi="Times New Roman"/>
          <w:i/>
          <w:color w:val="000000"/>
          <w:sz w:val="24"/>
        </w:rPr>
        <w:t>No Exception for Hardship</w:t>
      </w:r>
      <w:r>
        <w:rPr>
          <w:rFonts w:ascii="Times New Roman" w:hAnsi="Times New Roman"/>
          <w:color w:val="000000"/>
          <w:sz w:val="24"/>
        </w:rPr>
        <w:t>. Every Insider has individual responsibility to comply with this Policy against insider trading, regardless of whether the Company has recommended a trading window to that Insider or any other Insiders of the Company. The guidelines set forth in this Policy are guidelines only, and appropriate judgment should be exercised in connection with any trade in the Company’s securities. An Insider may, from time to time, have to forego a proposed transaction in the Company’s securities even if he or she planned to make the transaction before learning of the Material Nonpublic Information and even though the Insider believes he or she may suffer an economic loss or forego anticipated profit by waiting. The existence of a personal financial emergency does not excuse you from compliance with this policy.</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6" w:after="283"/>
        <w:jc w:val="both"/>
        <w:rPr>
          <w:rFonts w:ascii="Times New Roman" w:hAnsi="Times New Roman"/>
          <w:b/>
          <w:i/>
          <w:color w:val="000000"/>
          <w:sz w:val="24"/>
        </w:rPr>
      </w:pPr>
      <w:r>
        <w:rPr>
          <w:rFonts w:ascii="Times New Roman" w:hAnsi="Times New Roman"/>
          <w:b/>
          <w:i/>
          <w:color w:val="000000"/>
          <w:sz w:val="24"/>
        </w:rPr>
        <w:t>If I receive Material Nonpublic Information about the Company or any of its business partners, may I disclose that information to others?</w:t>
      </w:r>
    </w:p>
    <w:p>
      <w:pPr>
        <w:pStyle w:val="TextBody"/>
        <w:bidi w:val="0"/>
        <w:spacing w:before="238" w:after="283"/>
        <w:jc w:val="both"/>
        <w:rPr>
          <w:rFonts w:ascii="Times New Roman" w:hAnsi="Times New Roman"/>
          <w:sz w:val="20"/>
        </w:rPr>
      </w:pPr>
      <w:r>
        <w:rPr>
          <w:rFonts w:ascii="Times New Roman" w:hAnsi="Times New Roman"/>
          <w:i/>
          <w:color w:val="000000"/>
          <w:sz w:val="24"/>
        </w:rPr>
        <w:t>Maintaining the Confidentiality of Nonpublic Information</w:t>
      </w:r>
      <w:r>
        <w:rPr>
          <w:rFonts w:ascii="Times New Roman" w:hAnsi="Times New Roman"/>
          <w:color w:val="000000"/>
          <w:sz w:val="24"/>
        </w:rPr>
        <w:t>. Nonpublic information relating to the Company or its business partners is the property of the Company, and the unauthorized disclosure of such information is forbidden.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Maintaining the confidentiality of Company information is essential for competitive, security and other business reasons, as well as to comply with applicable securities laws. You should treat all information you learn about the Company or its business plans in connection with your employment as confidential and proprietary to the Company. Inadvertent disclosure of confidential or inside information may expose the Company and you to significant risk of investigation and litigation.</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The timing and nature of the Company’s disclosure of material information to outsiders is subject to legal rules, the breach of which could result in substantial liability to you, the Company and its management. Accordingly, it is important that responses to inquiries about the Company by the press, investment analysts or others in the financial community be made on the Company’s behalf only through authorized individuals.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If you receive inquiries about the Company from securities analysts, reporters, or others, decline comment and direct them to the Chief Financial Officer or the Controller.</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As a precaution, keep all memoranda, correspondence and other documents that reflect nonpublic information in a secure place, such as a locked office or a locked file cabinet, so that they cannot be seen by third persons.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Prohibition Against Disclosing Material Nonpublic Information to Others that Might Trade on the Basis of that Information. </w:t>
      </w:r>
      <w:r>
        <w:rPr>
          <w:rFonts w:ascii="Times New Roman" w:hAnsi="Times New Roman"/>
          <w:color w:val="000000"/>
          <w:sz w:val="24"/>
        </w:rPr>
        <w:t>You must not disclose (“tip”) Material Nonpublic Information to any other person (including family members) where such information may be used by such person to his or her profit by trading in the securities of companies to which such information relates, nor are you permitted to make recommendations or express opinions on the basis of Material Nonpublic Information as to trading in the Company’s securities. Even if you are not in possession of Material Nonpublic Information, do not recommend to any other person that they buy or sell securities of the Company. (Remember that “tipping” Material Nonpublic Information is always prohibited, and that your recommendation could be imputed to the Company and may be misleading if you do not have all relevant information).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Do not discuss Material Nonpublic Information where it may be overheard, such as in restaurants, elevators, restrooms, and other public places. Remember that cellular phone conversations are often overheard and that persons other than their intended recipients may retrieve voicemail and e-mail messages.</w:t>
      </w:r>
    </w:p>
    <w:p>
      <w:pPr>
        <w:pStyle w:val="TextBody"/>
        <w:bidi w:val="0"/>
        <w:spacing w:before="246" w:after="283"/>
        <w:jc w:val="left"/>
        <w:rPr>
          <w:rFonts w:ascii="Times New Roman" w:hAnsi="Times New Roman"/>
          <w:b/>
          <w:i/>
          <w:color w:val="000000"/>
          <w:sz w:val="24"/>
        </w:rPr>
      </w:pPr>
      <w:r>
        <w:rPr>
          <w:rFonts w:ascii="Times New Roman" w:hAnsi="Times New Roman"/>
          <w:b/>
          <w:i/>
          <w:color w:val="000000"/>
          <w:sz w:val="24"/>
        </w:rPr>
        <w:t>May I trade in Company derivative securities or short sell Company securities?</w:t>
      </w:r>
    </w:p>
    <w:p>
      <w:pPr>
        <w:pStyle w:val="TextBody"/>
        <w:bidi w:val="0"/>
        <w:spacing w:before="237" w:after="283"/>
        <w:jc w:val="both"/>
        <w:rPr>
          <w:rFonts w:ascii="Times New Roman" w:hAnsi="Times New Roman"/>
          <w:sz w:val="20"/>
        </w:rPr>
      </w:pPr>
      <w:r>
        <w:rPr>
          <w:rFonts w:ascii="Times New Roman" w:hAnsi="Times New Roman"/>
          <w:color w:val="000000"/>
          <w:sz w:val="24"/>
        </w:rPr>
        <w:t>The Company considers it improper and inappropriate for Insiders to engage in short-term or speculative transactions in the Company’s securities or in other transactions in the Company’s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37" w:after="283"/>
        <w:jc w:val="both"/>
        <w:rPr>
          <w:rFonts w:ascii="Times New Roman" w:hAnsi="Times New Roman"/>
          <w:color w:val="000000"/>
          <w:sz w:val="24"/>
        </w:rPr>
      </w:pPr>
      <w:r>
        <w:rPr>
          <w:rFonts w:ascii="Times New Roman" w:hAnsi="Times New Roman"/>
          <w:color w:val="000000"/>
          <w:sz w:val="24"/>
        </w:rPr>
        <w:t>securities because those transactions may not be in alignment with the interests of the Company’s shareholders and may lead to inadvertent violations of insider trading laws. Accordingly, your trading in Company securities is subject to the following restrictions:</w:t>
      </w:r>
    </w:p>
    <w:p>
      <w:pPr>
        <w:pStyle w:val="TextBody"/>
        <w:bidi w:val="0"/>
        <w:spacing w:before="235" w:after="283"/>
        <w:jc w:val="both"/>
        <w:rPr>
          <w:rFonts w:ascii="Times New Roman" w:hAnsi="Times New Roman"/>
          <w:sz w:val="20"/>
        </w:rPr>
      </w:pPr>
      <w:r>
        <w:rPr>
          <w:rFonts w:ascii="Times New Roman" w:hAnsi="Times New Roman"/>
          <w:i/>
          <w:color w:val="000000"/>
          <w:sz w:val="24"/>
        </w:rPr>
        <w:t xml:space="preserve">Short Sales and Hedging Transactions. </w:t>
      </w:r>
      <w:r>
        <w:rPr>
          <w:rFonts w:ascii="Times New Roman" w:hAnsi="Times New Roman"/>
          <w:color w:val="000000"/>
          <w:sz w:val="24"/>
        </w:rPr>
        <w:t>You may not engage in short sales of the Company’s securities (sales of securities that are not then owned), including a “sale against the box” (a sale with delayed delivery) or other hedging or monetization transactions with respect to the Company’s securities, including, but not limited to, through the use of financial instruments such as exchange funds, prepaid variable forwards, equity swaps, puts, calls, collars, forwards and other derivative instruments.</w:t>
      </w:r>
    </w:p>
    <w:p>
      <w:pPr>
        <w:pStyle w:val="TextBody"/>
        <w:bidi w:val="0"/>
        <w:spacing w:before="243" w:after="283"/>
        <w:jc w:val="both"/>
        <w:rPr>
          <w:rFonts w:ascii="Times New Roman" w:hAnsi="Times New Roman"/>
          <w:sz w:val="20"/>
        </w:rPr>
      </w:pPr>
      <w:r>
        <w:rPr>
          <w:rFonts w:ascii="Times New Roman" w:hAnsi="Times New Roman"/>
          <w:i/>
          <w:color w:val="000000"/>
          <w:sz w:val="24"/>
        </w:rPr>
        <w:t xml:space="preserve">Publicly Traded Options. </w:t>
      </w:r>
      <w:r>
        <w:rPr>
          <w:rFonts w:ascii="Times New Roman" w:hAnsi="Times New Roman"/>
          <w:color w:val="000000"/>
          <w:sz w:val="24"/>
        </w:rPr>
        <w:t>You may not engage in transactions in publicly traded options, such as puts, calls and other derivative securities, on an exchange or in any other organized market on Company securities.</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Standing Orders. </w:t>
      </w:r>
      <w:r>
        <w:rPr>
          <w:rFonts w:ascii="Times New Roman" w:hAnsi="Times New Roman"/>
          <w:color w:val="000000"/>
          <w:sz w:val="24"/>
        </w:rPr>
        <w:t>Except under a Rule 10b5-1 plan meeting the requirements of this Policy and the Guidelines, standing orders should be used only for a very brief period of time and only during an open Trading Window. A standing order placed with a broker to sell or purchase securities at a specified price leaves you with no control over the timing of the transaction. A standing order transaction executed by the broker when you are aware of Material Nonpublic Information may result in unlawful insider trading. Should you have an open standing order, you must cancel the order prior to the start of a closed trading period or as soon as you become aware of Material Nonpublic Information.</w:t>
      </w:r>
    </w:p>
    <w:p>
      <w:pPr>
        <w:pStyle w:val="TextBody"/>
        <w:bidi w:val="0"/>
        <w:spacing w:before="240" w:after="283"/>
        <w:jc w:val="both"/>
        <w:rPr>
          <w:rFonts w:ascii="Times New Roman" w:hAnsi="Times New Roman"/>
          <w:sz w:val="20"/>
        </w:rPr>
      </w:pPr>
      <w:r>
        <w:rPr>
          <w:rFonts w:ascii="Times New Roman" w:hAnsi="Times New Roman"/>
          <w:i/>
          <w:color w:val="000000"/>
          <w:sz w:val="24"/>
        </w:rPr>
        <w:t xml:space="preserve">Margin Accounts and Pledges. </w:t>
      </w:r>
      <w:r>
        <w:rPr>
          <w:rFonts w:ascii="Times New Roman" w:hAnsi="Times New Roman"/>
          <w:color w:val="000000"/>
          <w:sz w:val="24"/>
        </w:rPr>
        <w:t>Securities held in a margin account or pledged as collateral for a loan may be sold without your consent by the broker if you fail to meet a margin call or by the lender in foreclosure if you default on the loan. Because a margin or foreclosure sale may occur at a time when you are aware of Material Nonpublic Information or otherwise are not permitted to trade in Company securities, you are prohibited from holding Company securities in a margin account or pledging Company securities as collateral for a loan.</w:t>
      </w:r>
    </w:p>
    <w:p>
      <w:pPr>
        <w:pStyle w:val="TextBody"/>
        <w:bidi w:val="0"/>
        <w:spacing w:before="244" w:after="283"/>
        <w:jc w:val="both"/>
        <w:rPr>
          <w:rFonts w:ascii="Times New Roman" w:hAnsi="Times New Roman"/>
          <w:b/>
          <w:i/>
          <w:color w:val="000000"/>
          <w:sz w:val="24"/>
        </w:rPr>
      </w:pPr>
      <w:r>
        <w:rPr>
          <w:rFonts w:ascii="Times New Roman" w:hAnsi="Times New Roman"/>
          <w:b/>
          <w:i/>
          <w:color w:val="000000"/>
          <w:sz w:val="24"/>
        </w:rPr>
        <w:t>May I pre-establish a time for the purchase or sale of Company securities at a time that I am not aware of Material Nonpublic Information?</w:t>
      </w:r>
    </w:p>
    <w:p>
      <w:pPr>
        <w:pStyle w:val="TextBody"/>
        <w:bidi w:val="0"/>
        <w:spacing w:before="236" w:after="283"/>
        <w:jc w:val="both"/>
        <w:rPr>
          <w:rFonts w:ascii="Times New Roman" w:hAnsi="Times New Roman"/>
          <w:sz w:val="20"/>
        </w:rPr>
      </w:pPr>
      <w:r>
        <w:rPr>
          <w:rFonts w:ascii="Times New Roman" w:hAnsi="Times New Roman"/>
          <w:color w:val="000000"/>
          <w:sz w:val="24"/>
        </w:rPr>
        <w:t>Pursuant to Rule 10b5-1 under the Securities Exchange Act of 1934, as amended (the “</w:t>
      </w:r>
      <w:r>
        <w:rPr>
          <w:rFonts w:ascii="Times New Roman" w:hAnsi="Times New Roman"/>
          <w:color w:val="000000"/>
          <w:sz w:val="24"/>
          <w:u w:val="single"/>
        </w:rPr>
        <w:t>Exchange Act</w:t>
      </w:r>
      <w:r>
        <w:rPr>
          <w:rFonts w:ascii="Times New Roman" w:hAnsi="Times New Roman"/>
          <w:color w:val="000000"/>
          <w:sz w:val="20"/>
        </w:rPr>
        <w:t>”</w:t>
      </w:r>
      <w:r>
        <w:rPr>
          <w:rFonts w:ascii="Times New Roman" w:hAnsi="Times New Roman"/>
          <w:color w:val="000000"/>
          <w:sz w:val="24"/>
        </w:rPr>
        <w:t>), directors, officers and employees of the Company may establish written programs which permit (i) automatic trading of the Company’s securities through a third-party broker or (ii) trading of the Company’s securities by an independent person (e.g., an investment banker) who is not aware of Material Nonpublic Information at the time of a trade. All programs shall be pre-approved by the Company and the programs shall be updated from time to time to conform with any changes to Rule 10b5-1or the practices thereunder. Once a program is implemented in accordance with Rule 10b5-1, trades pursuant to such program shall not be subject to the limitations and restrictions set forth in other sections of this Insider Trading Policy. Trading pursuant to a program may occur even at a time outside of the Company’s Trading Window or when the person on whose behalf such trade is made is aware of Material Nonpublic Information. Each program (or the form of program established by an investment bank or other third party) must be reviewed by the Compliance Officer or, in the absence of the Compliance Officer,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Controller prior to establishment, to confirm compliance with this policy and the applicable securities laws.</w:t>
      </w:r>
    </w:p>
    <w:p>
      <w:pPr>
        <w:pStyle w:val="TextBody"/>
        <w:bidi w:val="0"/>
        <w:spacing w:before="241" w:after="283"/>
        <w:jc w:val="left"/>
        <w:rPr>
          <w:rFonts w:ascii="Times New Roman" w:hAnsi="Times New Roman"/>
          <w:b/>
          <w:color w:val="000000"/>
          <w:sz w:val="24"/>
        </w:rPr>
      </w:pPr>
      <w:r>
        <w:rPr>
          <w:rFonts w:ascii="Times New Roman" w:hAnsi="Times New Roman"/>
          <w:b/>
          <w:color w:val="000000"/>
          <w:sz w:val="24"/>
        </w:rPr>
        <w:t>POTENTIAL CRIMINAL AND CIVIL LIABILITY AND/OR DISCIPLINARY ACTION</w:t>
      </w:r>
    </w:p>
    <w:p>
      <w:pPr>
        <w:pStyle w:val="TextBody"/>
        <w:bidi w:val="0"/>
        <w:spacing w:before="239" w:after="283"/>
        <w:jc w:val="both"/>
        <w:rPr>
          <w:rFonts w:ascii="Times New Roman" w:hAnsi="Times New Roman"/>
          <w:b/>
          <w:i/>
          <w:color w:val="000000"/>
          <w:sz w:val="24"/>
        </w:rPr>
      </w:pPr>
      <w:r>
        <w:rPr>
          <w:rFonts w:ascii="Times New Roman" w:hAnsi="Times New Roman"/>
          <w:b/>
          <w:i/>
          <w:color w:val="000000"/>
          <w:sz w:val="24"/>
        </w:rPr>
        <w:t>What legal liability may I be subject to if I engage in securities transactions on the basis of Material Nonpublic Information?</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Insiders that engage in securities transactions at a time when they have knowledge of Material Nonpublic Information may be subject to penalties that include:</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imprisonment for up to 20 years;</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criminal fines of up to $5 million; and</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7" w:after="283"/>
        <w:jc w:val="left"/>
        <w:rPr>
          <w:rFonts w:ascii="Times New Roman" w:hAnsi="Times New Roman"/>
          <w:color w:val="000000"/>
          <w:sz w:val="24"/>
        </w:rPr>
      </w:pPr>
      <w:r>
        <w:rPr>
          <w:rFonts w:ascii="Times New Roman" w:hAnsi="Times New Roman"/>
          <w:color w:val="000000"/>
          <w:sz w:val="24"/>
        </w:rPr>
        <w:t>civil fines of up to three times the profit gained or loss avoided.</w:t>
      </w:r>
    </w:p>
    <w:p>
      <w:pPr>
        <w:pStyle w:val="TextBody"/>
        <w:bidi w:val="0"/>
        <w:spacing w:before="244" w:after="283"/>
        <w:jc w:val="both"/>
        <w:rPr>
          <w:rFonts w:ascii="Times New Roman" w:hAnsi="Times New Roman"/>
          <w:b/>
          <w:i/>
          <w:color w:val="000000"/>
          <w:sz w:val="24"/>
        </w:rPr>
      </w:pPr>
      <w:r>
        <w:rPr>
          <w:rFonts w:ascii="Times New Roman" w:hAnsi="Times New Roman"/>
          <w:b/>
          <w:i/>
          <w:color w:val="000000"/>
          <w:sz w:val="24"/>
        </w:rPr>
        <w:t>What legal liability may I be subject to if I disclose Material Nonpublic Information to others who engage in securities transactions?</w:t>
      </w:r>
    </w:p>
    <w:p>
      <w:pPr>
        <w:pStyle w:val="TextBody"/>
        <w:bidi w:val="0"/>
        <w:spacing w:before="237" w:after="374"/>
        <w:jc w:val="both"/>
        <w:rPr>
          <w:rFonts w:ascii="Times New Roman" w:hAnsi="Times New Roman"/>
          <w:color w:val="000000"/>
          <w:sz w:val="24"/>
        </w:rPr>
      </w:pPr>
      <w:r>
        <w:rPr>
          <w:rFonts w:ascii="Times New Roman" w:hAnsi="Times New Roman"/>
          <w:color w:val="000000"/>
          <w:sz w:val="24"/>
        </w:rPr>
        <w:t>Insiders may be liable for improper transactions by any person (commonly referred to as a “tippee”) to whom they have disclosed Material Nonpublic Information regarding the Company or to whom they have made recommendations or expressed opinions on the basis of such information as to trading in the Company’s securities. The SEC has imposed large penalties even when the disclosing person did not profit from the trading. The SEC, the stock exchanges and FINRA use sophisticated electronic surveillance techniques to uncover insider trading.</w:t>
      </w:r>
    </w:p>
    <w:p>
      <w:pPr>
        <w:pStyle w:val="TextBody"/>
        <w:bidi w:val="0"/>
        <w:spacing w:before="239" w:after="283"/>
        <w:jc w:val="both"/>
        <w:rPr>
          <w:rFonts w:ascii="Times New Roman" w:hAnsi="Times New Roman"/>
          <w:b/>
          <w:i/>
          <w:color w:val="000000"/>
          <w:sz w:val="24"/>
        </w:rPr>
      </w:pPr>
      <w:r>
        <w:rPr>
          <w:rFonts w:ascii="Times New Roman" w:hAnsi="Times New Roman"/>
          <w:b/>
          <w:i/>
          <w:color w:val="000000"/>
          <w:sz w:val="24"/>
        </w:rPr>
        <w:t>Could the Company incur liability for my actions if I engage in securities transactions at a time that I have Material Nonpublic Information?</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the Company fails to take appropriate steps to prevent illegal insider trading, the Company may have “controlling person” liability for a trading violation, with civil penalties of up to the greater of $1 million and three times the profit gained or loss avoided, as well as a criminal penalty of up to $25 million. The civil penalties can extend personal liability to the Company’s directors, officers and other supervisory personnel if they fail to take appropriate steps to prevent insider trading.</w:t>
      </w:r>
    </w:p>
    <w:p>
      <w:pPr>
        <w:pStyle w:val="TextBody"/>
        <w:bidi w:val="0"/>
        <w:spacing w:before="245" w:after="283"/>
        <w:jc w:val="left"/>
        <w:rPr>
          <w:rFonts w:ascii="Times New Roman" w:hAnsi="Times New Roman"/>
          <w:b/>
          <w:i/>
          <w:color w:val="000000"/>
          <w:sz w:val="24"/>
        </w:rPr>
      </w:pPr>
      <w:r>
        <w:rPr>
          <w:rFonts w:ascii="Times New Roman" w:hAnsi="Times New Roman"/>
          <w:b/>
          <w:i/>
          <w:color w:val="000000"/>
          <w:sz w:val="24"/>
        </w:rPr>
        <w:t>What disciplinary actions may the Company take for violations of this Policy?</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Insiders who violate this Policy will be subject to disciplinary action by the Company. This disciplinary action may include ineligibility for future participation in the Company’s equity incentive plans, other Company imposed sanctions, suspension or termination of employment.</w:t>
      </w:r>
    </w:p>
    <w:p>
      <w:pPr>
        <w:pStyle w:val="TextBody"/>
        <w:bidi w:val="0"/>
        <w:spacing w:before="245" w:after="283"/>
        <w:jc w:val="center"/>
        <w:rPr>
          <w:rFonts w:ascii="Times New Roman" w:hAnsi="Times New Roman"/>
          <w:b/>
          <w:color w:val="000000"/>
          <w:sz w:val="24"/>
        </w:rPr>
      </w:pPr>
      <w:r>
        <w:rPr>
          <w:rFonts w:ascii="Times New Roman" w:hAnsi="Times New Roman"/>
          <w:b/>
          <w:color w:val="000000"/>
          <w:sz w:val="24"/>
        </w:rPr>
        <w:t>DEFINITION OF MATERIAL NONPUBLIC INFORMATION</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Note that inside information has two important elements - materiality and public availability.</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6" w:after="283"/>
        <w:jc w:val="left"/>
        <w:rPr>
          <w:rFonts w:ascii="Times New Roman" w:hAnsi="Times New Roman"/>
          <w:b/>
          <w:i/>
          <w:color w:val="000000"/>
          <w:sz w:val="24"/>
        </w:rPr>
      </w:pPr>
      <w:r>
        <w:rPr>
          <w:rFonts w:ascii="Times New Roman" w:hAnsi="Times New Roman"/>
          <w:b/>
          <w:i/>
          <w:color w:val="000000"/>
          <w:sz w:val="24"/>
        </w:rPr>
        <w:t>What information is material?</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It is not possible to define all categories of material information. However, information should be regarded as material if there is a reasonable likelihood that it would be considered important to an investor in making an investment decision (i.e., a decision to buy, hold or sell a security), or if it would significantly alter the total mix of information available to investors. While it may be difficult under this standard to determine whether particular information is material, there are various categories of information that are particularly sensitive and, as a general rule, should always be considered material. Examples of such information include:</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Financial results;</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Projections of future earnings or losses;</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News of a pending or proposed merger;</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News of the disposition of a subsidiary or significant assets;</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4" w:after="283"/>
        <w:jc w:val="left"/>
        <w:rPr>
          <w:rFonts w:ascii="Times New Roman" w:hAnsi="Times New Roman"/>
          <w:color w:val="000000"/>
          <w:sz w:val="24"/>
        </w:rPr>
      </w:pPr>
      <w:r>
        <w:rPr>
          <w:rFonts w:ascii="Times New Roman" w:hAnsi="Times New Roman"/>
          <w:color w:val="000000"/>
          <w:sz w:val="24"/>
        </w:rPr>
        <w:t>Impending bankruptcy or financial liquidity problems;</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Gain or loss of a substantial customer or supplier;</w:t>
      </w:r>
    </w:p>
    <w:p>
      <w:pPr>
        <w:pStyle w:val="TextBody"/>
        <w:bidi w:val="0"/>
        <w:spacing w:before="6" w:after="283"/>
        <w:jc w:val="left"/>
        <w:rPr/>
      </w:pPr>
      <w:r>
        <w:rPr/>
        <w:t> </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6" w:after="283"/>
        <w:jc w:val="left"/>
        <w:rPr>
          <w:rFonts w:ascii="Times New Roman" w:hAnsi="Times New Roman"/>
          <w:color w:val="000000"/>
          <w:sz w:val="24"/>
        </w:rPr>
      </w:pPr>
      <w:r>
        <w:rPr>
          <w:rFonts w:ascii="Times New Roman" w:hAnsi="Times New Roman"/>
          <w:color w:val="000000"/>
          <w:sz w:val="24"/>
        </w:rPr>
        <w:t>Changes in a dividend policy;</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New project developments or announcements of a significant nature;</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Stock splits;</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42" w:after="283"/>
        <w:jc w:val="left"/>
        <w:rPr>
          <w:rFonts w:ascii="Times New Roman" w:hAnsi="Times New Roman"/>
          <w:color w:val="000000"/>
          <w:sz w:val="24"/>
        </w:rPr>
      </w:pPr>
      <w:r>
        <w:rPr>
          <w:rFonts w:ascii="Times New Roman" w:hAnsi="Times New Roman"/>
          <w:color w:val="000000"/>
          <w:sz w:val="24"/>
        </w:rPr>
        <w:t>New equity or debt offerings;</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w:t>
      </w:r>
    </w:p>
    <w:p>
      <w:pPr>
        <w:pStyle w:val="TextBody"/>
        <w:bidi w:val="0"/>
        <w:spacing w:before="238" w:after="283"/>
        <w:jc w:val="left"/>
        <w:rPr>
          <w:rFonts w:ascii="Times New Roman" w:hAnsi="Times New Roman"/>
          <w:color w:val="000000"/>
          <w:sz w:val="24"/>
        </w:rPr>
      </w:pPr>
      <w:r>
        <w:rPr>
          <w:rFonts w:ascii="Times New Roman" w:hAnsi="Times New Roman"/>
          <w:color w:val="000000"/>
          <w:sz w:val="24"/>
        </w:rPr>
        <w:t>Mergers or acquisitions;</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Significant litigation exposure due to actual or threatened litigation or developments in existing litigation;</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Major changes in senior management; and</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Information as to the success, failure or even the unchanging status of particular aspects of the Company’s business, including with respect to its clinical trials.</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Both positive and negative information may be material. Because trading that receives scrutiny will be evaluated after the fact with the benefit of hindsight, questions concerning the materiality of particular information should be resolved in favor of materiality, and trading should be avoided.</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7" w:after="283"/>
        <w:jc w:val="left"/>
        <w:rPr>
          <w:rFonts w:ascii="Times New Roman" w:hAnsi="Times New Roman"/>
          <w:b/>
          <w:i/>
          <w:color w:val="000000"/>
          <w:sz w:val="24"/>
        </w:rPr>
      </w:pPr>
      <w:r>
        <w:rPr>
          <w:rFonts w:ascii="Times New Roman" w:hAnsi="Times New Roman"/>
          <w:b/>
          <w:i/>
          <w:color w:val="000000"/>
          <w:sz w:val="24"/>
        </w:rPr>
        <w:t>What constitutes non-public information?</w:t>
      </w:r>
    </w:p>
    <w:p>
      <w:pPr>
        <w:pStyle w:val="TextBody"/>
        <w:bidi w:val="0"/>
        <w:spacing w:before="234" w:after="720"/>
        <w:jc w:val="both"/>
        <w:rPr>
          <w:rFonts w:ascii="Times New Roman" w:hAnsi="Times New Roman"/>
          <w:color w:val="000000"/>
          <w:sz w:val="24"/>
        </w:rPr>
      </w:pPr>
      <w:r>
        <w:rPr>
          <w:rFonts w:ascii="Times New Roman" w:hAnsi="Times New Roman"/>
          <w:color w:val="000000"/>
          <w:sz w:val="24"/>
        </w:rPr>
        <w:t>Nonpublic information is information that has not been previously disclosed to the general public and is otherwise not available to the general public. One common misconception is that material information loses its “nonpublic” status as soon as a press release is issued disclosing the information. In fact, information is considered to be available to the public only when it has been released broadly to the marketplace (such as by a press release or an SEC filing) and the investing public has had time to absorb the information fully. As a general rule, information is considered nonpublic until after the second full Trading Day following the date when the information is released. For example, if the Company announces financial earnings before trading begins on a Tuesday, the first time you can buy or sell Company securities is the opening of the market on Thursday (assuming you are not aware of other Material Nonpublic Information at that time). However, if the Company announces earnings after trading begins on that Tuesday, the first time you can buy or sell Company securities is the opening of the market on Friday.</w:t>
      </w:r>
    </w:p>
    <w:p>
      <w:pPr>
        <w:pStyle w:val="TextBody"/>
        <w:bidi w:val="0"/>
        <w:spacing w:before="234" w:after="72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 w:after="239"/>
        <w:jc w:val="center"/>
        <w:rPr>
          <w:rFonts w:ascii="Times New Roman" w:hAnsi="Times New Roman"/>
          <w:b/>
          <w:color w:val="000000"/>
          <w:sz w:val="24"/>
        </w:rPr>
      </w:pPr>
      <w:r>
        <w:rPr>
          <w:rFonts w:ascii="Times New Roman" w:hAnsi="Times New Roman"/>
          <w:b/>
          <w:color w:val="000000"/>
          <w:sz w:val="24"/>
        </w:rPr>
        <w:t>ADDITIONAL INFORMATION- DIRECTORS AND OFFICERS</w:t>
      </w:r>
    </w:p>
    <w:p>
      <w:pPr>
        <w:pStyle w:val="TextBody"/>
        <w:bidi w:val="0"/>
        <w:spacing w:before="3" w:after="283"/>
        <w:jc w:val="both"/>
        <w:rPr>
          <w:rFonts w:ascii="Times New Roman" w:hAnsi="Times New Roman"/>
          <w:sz w:val="20"/>
        </w:rPr>
      </w:pPr>
      <w:r>
        <w:rPr>
          <w:rFonts w:ascii="Times New Roman" w:hAnsi="Times New Roman"/>
          <w:color w:val="000000"/>
          <w:sz w:val="24"/>
        </w:rPr>
        <w:t>Directors and officers (as defined in SEC Rule 16a-1(f)) (“officers”)</w:t>
      </w:r>
      <w:r>
        <w:rPr>
          <w:rFonts w:ascii="Times New Roman" w:hAnsi="Times New Roman"/>
          <w:color w:val="000000"/>
          <w:sz w:val="16"/>
        </w:rPr>
        <w:t>1</w:t>
      </w:r>
      <w:r>
        <w:rPr>
          <w:rFonts w:ascii="Times New Roman" w:hAnsi="Times New Roman"/>
          <w:color w:val="000000"/>
          <w:sz w:val="20"/>
        </w:rPr>
        <w:t xml:space="preserve"> </w:t>
      </w:r>
      <w:r>
        <w:rPr>
          <w:rFonts w:ascii="Times New Roman" w:hAnsi="Times New Roman"/>
          <w:color w:val="000000"/>
          <w:sz w:val="24"/>
        </w:rPr>
        <w:t>of the Company must also comply with the reporting obligations and limitations on short-swing transactions set forth in Section 16 of the Exchange Act. The practical effect of these provisions is that officers and directors who purchase and sell the Company</w:t>
      </w:r>
      <w:r>
        <w:rPr>
          <w:rFonts w:ascii="Times New Roman" w:hAnsi="Times New Roman"/>
          <w:color w:val="000000"/>
          <w:sz w:val="20"/>
        </w:rPr>
        <w:t>’</w:t>
      </w:r>
      <w:r>
        <w:rPr>
          <w:rFonts w:ascii="Times New Roman" w:hAnsi="Times New Roman"/>
          <w:color w:val="000000"/>
          <w:sz w:val="24"/>
        </w:rPr>
        <w:t>s securities within a six-month period must disgorge all profits to the Company whether or not they had knowledge of any Material Nonpublic Information. Under these provisions, and so long as certain other criteria are met, neither the receipt of an option under the Company</w:t>
      </w:r>
      <w:r>
        <w:rPr>
          <w:rFonts w:ascii="Times New Roman" w:hAnsi="Times New Roman"/>
          <w:color w:val="000000"/>
          <w:sz w:val="20"/>
        </w:rPr>
        <w:t>’</w:t>
      </w:r>
      <w:r>
        <w:rPr>
          <w:rFonts w:ascii="Times New Roman" w:hAnsi="Times New Roman"/>
          <w:color w:val="000000"/>
          <w:sz w:val="24"/>
        </w:rPr>
        <w:t>s option plans, nor the exercise of that option nor the receipt of stock under the Company</w:t>
      </w:r>
      <w:r>
        <w:rPr>
          <w:rFonts w:ascii="Times New Roman" w:hAnsi="Times New Roman"/>
          <w:color w:val="000000"/>
          <w:sz w:val="20"/>
        </w:rPr>
        <w:t>’</w:t>
      </w:r>
      <w:r>
        <w:rPr>
          <w:rFonts w:ascii="Times New Roman" w:hAnsi="Times New Roman"/>
          <w:color w:val="000000"/>
          <w:sz w:val="24"/>
        </w:rPr>
        <w:t>s ESPP is deemed a purchase under Section 16; however, the sale of any such shares is a sale under Section 16. Moreover, no officer or director may ever make a short sale of the Company</w:t>
      </w:r>
      <w:r>
        <w:rPr>
          <w:rFonts w:ascii="Times New Roman" w:hAnsi="Times New Roman"/>
          <w:color w:val="000000"/>
          <w:sz w:val="20"/>
        </w:rPr>
        <w:t>’</w:t>
      </w:r>
      <w:r>
        <w:rPr>
          <w:rFonts w:ascii="Times New Roman" w:hAnsi="Times New Roman"/>
          <w:color w:val="000000"/>
          <w:sz w:val="24"/>
        </w:rPr>
        <w:t>s securities.</w:t>
      </w:r>
    </w:p>
    <w:p>
      <w:pPr>
        <w:pStyle w:val="TextBody"/>
        <w:bidi w:val="0"/>
        <w:spacing w:before="3" w:after="283"/>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INQUIRIES ABOUT THIS POLICY</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Please direct your questions as to any of the matters discussed in this Policy to the Compliance Officer.</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color w:val="000000"/>
          <w:sz w:val="11"/>
        </w:rPr>
        <w:t>1</w:t>
      </w:r>
      <w:r>
        <w:rPr>
          <w:rFonts w:ascii="Times New Roman" w:hAnsi="Times New Roman"/>
          <w:color w:val="000000"/>
          <w:sz w:val="20"/>
        </w:rPr>
        <w:t xml:space="preserve"> </w:t>
      </w:r>
      <w:r>
        <w:rPr>
          <w:rFonts w:ascii="Times New Roman" w:hAnsi="Times New Roman"/>
          <w:color w:val="000000"/>
          <w:sz w:val="16"/>
        </w:rPr>
        <w:t>SEC Rule 16a-1(f) defines this term to “mean an issuer’s president, principal financial officer, or principal accounting officer (or, if there is no such accounting officer, the controller), any vice-president of the issuer in charge of a principal business unit, division or function (such as sales, administration or finance), any other officer who performs a policy-making function, or any other person who performs similar policy-making functions for the issuer. Officers of the issuer’s parent(s) or subsidiaries shall be deemed officers of the issuer if they perform such policy-making functions for the issuer.”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9" w:name="bcab-ex23_1.htm"/>
      <w:bookmarkStart w:id="50" w:name="ksbcabex23_1"/>
      <w:bookmarkEnd w:id="49"/>
      <w:bookmarkEnd w:id="50"/>
      <w:r>
        <w:rPr>
          <w:rFonts w:ascii="Times New Roman" w:hAnsi="Times New Roman"/>
          <w:b/>
          <w:color w:val="000000"/>
          <w:sz w:val="20"/>
        </w:rPr>
        <w:t>Exhibit 23.1</w:t>
      </w:r>
      <w:r>
        <w:br w:type="page"/>
      </w:r>
    </w:p>
    <w:p>
      <w:pPr>
        <w:pStyle w:val="TextBody"/>
        <w:bidi w:val="0"/>
        <w:jc w:val="right"/>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Consent of Independent Registered Public Accounting Firm</w:t>
      </w:r>
    </w:p>
    <w:p>
      <w:pPr>
        <w:pStyle w:val="TextBody"/>
        <w:bidi w:val="0"/>
        <w:jc w:val="left"/>
        <w:rPr>
          <w:rFonts w:ascii="Times New Roman" w:hAnsi="Times New Roman"/>
          <w:color w:val="000000"/>
          <w:sz w:val="18"/>
        </w:rPr>
      </w:pPr>
      <w:r>
        <w:rPr>
          <w:rFonts w:ascii="Times New Roman" w:hAnsi="Times New Roman"/>
          <w:color w:val="000000"/>
          <w:sz w:val="18"/>
        </w:rPr>
        <w:t>We consent to the incorporation by reference in the following Registration Statements: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Registration Statement (Form S-3 Nos. 333-262528 and 333-269148) of BioAtla, Inc., and</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 xml:space="preserve">Registration Statement (Form S-8 Nos. 333-263120, 333-254673, 333-251520, 333-270802 and 333-278247) pertaining to the 2020 Equity Incentive Plan and Employee Stock Purchase Plan of BioAtla, Inc.; </w:t>
      </w:r>
    </w:p>
    <w:p>
      <w:pPr>
        <w:pStyle w:val="TextBody"/>
        <w:bidi w:val="0"/>
        <w:jc w:val="left"/>
        <w:rPr>
          <w:rFonts w:ascii="Times New Roman" w:hAnsi="Times New Roman"/>
          <w:color w:val="000000"/>
          <w:sz w:val="18"/>
        </w:rPr>
      </w:pPr>
      <w:r>
        <w:rPr>
          <w:rFonts w:ascii="Times New Roman" w:hAnsi="Times New Roman"/>
          <w:color w:val="000000"/>
          <w:sz w:val="18"/>
        </w:rPr>
        <w:t>of our report dated March 27, 2025, with respect to the financial statements of BioAtla, Inc. included in this Annual Report (Form 10-K) of BioAtla, Inc. for the year ended December 31, 2024.</w:t>
      </w:r>
    </w:p>
    <w:p>
      <w:pPr>
        <w:pStyle w:val="TextBody"/>
        <w:bidi w:val="0"/>
        <w:jc w:val="left"/>
        <w:rPr>
          <w:rFonts w:ascii="Times New Roman" w:hAnsi="Times New Roman"/>
          <w:color w:val="000000"/>
          <w:sz w:val="18"/>
        </w:rPr>
      </w:pPr>
      <w:r>
        <w:rPr>
          <w:rFonts w:ascii="Times New Roman" w:hAnsi="Times New Roman"/>
          <w:color w:val="000000"/>
          <w:sz w:val="18"/>
        </w:rPr>
        <w:t>/s/ Ernst &amp; Young LLP</w:t>
      </w:r>
    </w:p>
    <w:p>
      <w:pPr>
        <w:pStyle w:val="TextBody"/>
        <w:bidi w:val="0"/>
        <w:jc w:val="left"/>
        <w:rPr>
          <w:rFonts w:ascii="Times New Roman" w:hAnsi="Times New Roman"/>
          <w:sz w:val="20"/>
        </w:rPr>
      </w:pPr>
      <w:r>
        <w:rPr>
          <w:rFonts w:ascii="Times New Roman" w:hAnsi="Times New Roman"/>
          <w:color w:val="000000"/>
          <w:sz w:val="18"/>
        </w:rPr>
        <w:t>San Diego, California</w:t>
      </w:r>
      <w:r>
        <w:rPr>
          <w:rFonts w:ascii="Times New Roman" w:hAnsi="Times New Roman"/>
          <w:color w:val="000000"/>
          <w:sz w:val="20"/>
        </w:rPr>
        <w:t xml:space="preserve"> </w:t>
      </w:r>
    </w:p>
    <w:p>
      <w:pPr>
        <w:pStyle w:val="TextBody"/>
        <w:bidi w:val="0"/>
        <w:jc w:val="left"/>
        <w:rPr>
          <w:rFonts w:ascii="Times New Roman" w:hAnsi="Times New Roman"/>
          <w:color w:val="000000"/>
          <w:sz w:val="18"/>
        </w:rPr>
      </w:pPr>
      <w:r>
        <w:rPr>
          <w:rFonts w:ascii="Times New Roman" w:hAnsi="Times New Roman"/>
          <w:color w:val="000000"/>
          <w:sz w:val="18"/>
        </w:rPr>
        <w:t>March 27, 2025</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1" w:name="bcab-ex31_1.htm"/>
      <w:bookmarkStart w:id="52" w:name="ksbcabex31_1"/>
      <w:bookmarkEnd w:id="51"/>
      <w:bookmarkEnd w:id="52"/>
      <w:r>
        <w:rPr>
          <w:rFonts w:ascii="Times New Roman" w:hAnsi="Times New Roman"/>
          <w:b/>
          <w:color w:val="000000"/>
          <w:sz w:val="20"/>
        </w:rPr>
        <w:t>Exhibit 31.1</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CHIEF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Jay M. Short, Ph.D.,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2024 of BioAtla, Inc.;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31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March 27,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3" w:name="bcab-ex31_2.htm"/>
      <w:bookmarkStart w:id="54" w:name="ksbcabex31_2"/>
      <w:bookmarkEnd w:id="53"/>
      <w:bookmarkEnd w:id="54"/>
      <w:r>
        <w:rPr>
          <w:rFonts w:ascii="Times New Roman" w:hAnsi="Times New Roman"/>
          <w:b/>
          <w:color w:val="000000"/>
          <w:sz w:val="20"/>
        </w:rPr>
        <w:t>Exhibit 31.2</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OF THE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302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 Richard A. Waldron, certify that:</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I have reviewed this Annual Report on Form 10-K for the fiscal year ended December 31, 2024 of BioAtla, Inc.;</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3.</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4.</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c)</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d)</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5.</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a)</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16" w:after="283"/>
        <w:jc w:val="left"/>
        <w:rPr>
          <w:rFonts w:ascii="Times New Roman" w:hAnsi="Times New Roman"/>
          <w:color w:val="000000"/>
          <w:sz w:val="18"/>
        </w:rPr>
      </w:pPr>
      <w:r>
        <w:rPr>
          <w:rFonts w:ascii="Times New Roman" w:hAnsi="Times New Roman"/>
          <w:color w:val="000000"/>
          <w:sz w:val="18"/>
        </w:rPr>
        <w:t>b)</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Richard A. Waldron</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Date: March 27,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5" w:name="bcab-ex32_1.htm"/>
      <w:bookmarkStart w:id="56" w:name="ksbcabex32_1"/>
      <w:bookmarkEnd w:id="55"/>
      <w:bookmarkEnd w:id="56"/>
      <w:r>
        <w:rPr>
          <w:rFonts w:ascii="Times New Roman" w:hAnsi="Times New Roman"/>
          <w:b/>
          <w:color w:val="000000"/>
          <w:sz w:val="20"/>
        </w:rPr>
        <w:t>Exhibit 32.1</w:t>
      </w:r>
      <w:r>
        <w:br w:type="page"/>
      </w:r>
    </w:p>
    <w:p>
      <w:pPr>
        <w:pStyle w:val="TextBody"/>
        <w:bidi w:val="0"/>
        <w:spacing w:before="216"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PURSURANT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In connection with the Annual Report on Form 10-K of BioAtla, Inc. (the “Company”) for the period ended December 31, 2024, to which this Certification is attached, as filed with the Securities and Exchange Commission on the date hereof (the “Report”), each of the undersigned officers of the Company herby certifies, pursuant to 18 U.S.C. Section 1350, as adopted pursuant to Section 906 of the Sarbanes-Oxley Act of 2002, that to their respective knowledge:</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08" w:after="283"/>
        <w:jc w:val="left"/>
        <w:rPr>
          <w:rFonts w:ascii="Times New Roman" w:hAnsi="Times New Roman"/>
          <w:color w:val="000000"/>
          <w:sz w:val="18"/>
        </w:rPr>
      </w:pPr>
      <w:r>
        <w:rPr>
          <w:rFonts w:ascii="Times New Roman" w:hAnsi="Times New Roman"/>
          <w:color w:val="000000"/>
          <w:sz w:val="18"/>
        </w:rPr>
        <w:t>2.</w:t>
      </w:r>
    </w:p>
    <w:p>
      <w:pPr>
        <w:pStyle w:val="TextBody"/>
        <w:bidi w:val="0"/>
        <w:spacing w:before="108"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undersigned have executed this Certification effective as of March 27, 2025</w:t>
      </w:r>
    </w:p>
    <w:tbl>
      <w:tblPr>
        <w:tblW w:w="3886" w:type="dxa"/>
        <w:jc w:val="left"/>
        <w:tblInd w:w="0" w:type="dxa"/>
        <w:tblLayout w:type="fixed"/>
        <w:tblCellMar>
          <w:top w:w="28" w:type="dxa"/>
          <w:left w:w="28" w:type="dxa"/>
          <w:bottom w:w="28" w:type="dxa"/>
          <w:right w:w="28" w:type="dxa"/>
        </w:tblCellMar>
      </w:tblPr>
      <w:tblGrid>
        <w:gridCol w:w="3886"/>
      </w:tblGrid>
      <w:tr>
        <w:trPr/>
        <w:tc>
          <w:tcPr>
            <w:tcW w:w="3886" w:type="dxa"/>
            <w:tcBorders/>
            <w:vAlign w:val="center"/>
          </w:tcPr>
          <w:p>
            <w:pPr>
              <w:pStyle w:val="TableContents"/>
              <w:bidi w:val="0"/>
              <w:spacing w:before="0" w:after="283"/>
              <w:jc w:val="left"/>
              <w:rPr>
                <w:sz w:val="4"/>
                <w:szCs w:val="4"/>
              </w:rPr>
            </w:pPr>
            <w:r>
              <w:rPr>
                <w:sz w:val="4"/>
                <w:szCs w:val="4"/>
              </w:rPr>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Jay M. Short, Ph.D.</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Jay M. Short, Ph.D.</w:t>
            </w:r>
          </w:p>
          <w:p>
            <w:pPr>
              <w:pStyle w:val="TableContents"/>
              <w:bidi w:val="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r>
      <w:tr>
        <w:trPr/>
        <w:tc>
          <w:tcPr>
            <w:tcW w:w="38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886" w:type="dxa"/>
            <w:tcBorders/>
            <w:tcMar>
              <w:top w:w="0" w:type="dxa"/>
              <w:left w:w="0" w:type="dxa"/>
              <w:bottom w:w="0" w:type="dxa"/>
              <w:right w:w="0" w:type="dxa"/>
            </w:tcMar>
            <w:vAlign w:val="center"/>
          </w:tcPr>
          <w:p>
            <w:pPr>
              <w:pStyle w:val="TableContents"/>
              <w:pBdr>
                <w:bottom w:val="single" w:sz="5" w:space="1" w:color="000000"/>
              </w:pBdr>
              <w:bidi w:val="0"/>
              <w:spacing w:before="0" w:after="283"/>
              <w:jc w:val="center"/>
              <w:rPr>
                <w:rFonts w:ascii="Times New Roman" w:hAnsi="Times New Roman"/>
                <w:color w:val="000000"/>
                <w:sz w:val="20"/>
              </w:rPr>
            </w:pPr>
            <w:r>
              <w:rPr>
                <w:rFonts w:ascii="Times New Roman" w:hAnsi="Times New Roman"/>
                <w:color w:val="000000"/>
                <w:sz w:val="20"/>
              </w:rPr>
              <w:t>/s/ Richard A. Waldron</w:t>
            </w:r>
          </w:p>
        </w:tc>
      </w:tr>
      <w:tr>
        <w:trPr/>
        <w:tc>
          <w:tcPr>
            <w:tcW w:w="388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Richard A. Waldron</w:t>
            </w:r>
          </w:p>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216" w:after="283"/>
        <w:jc w:val="left"/>
        <w:rPr>
          <w:rFonts w:ascii="Times New Roman" w:hAnsi="Times New Roman"/>
          <w:color w:val="000000"/>
          <w:sz w:val="20"/>
        </w:rPr>
      </w:pPr>
      <w:r>
        <w:rPr>
          <w:rFonts w:ascii="Times New Roman" w:hAnsi="Times New Roman"/>
          <w:color w:val="000000"/>
          <w:sz w:val="20"/>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6892/000119312520321571/d89083dex31.htm" TargetMode="External"/><Relationship Id="rId4" Type="http://schemas.openxmlformats.org/officeDocument/2006/relationships/hyperlink" Target="https://www.sec.gov/Archives/edgar/data/1826892/000119312524004539/d689996dex31.htm" TargetMode="External"/><Relationship Id="rId5" Type="http://schemas.openxmlformats.org/officeDocument/2006/relationships/hyperlink" Target="https://www.sec.gov/Archives/edgar/data/1826892/000119312520312311/d258427dex41.htm" TargetMode="External"/><Relationship Id="rId6" Type="http://schemas.openxmlformats.org/officeDocument/2006/relationships/hyperlink" Target="https://www.sec.gov/Archives/edgar/data/1826892/000119312520312311/d258427dex42.htm" TargetMode="External"/><Relationship Id="rId7" Type="http://schemas.openxmlformats.org/officeDocument/2006/relationships/hyperlink" Target="https://www.sec.gov/Archives/edgar/data/1826892/000119312524283212/d823541dex41.htm" TargetMode="External"/><Relationship Id="rId8" Type="http://schemas.openxmlformats.org/officeDocument/2006/relationships/hyperlink" Target="https://www.sec.gov/Archives/edgar/data/1826892/000119312520312311/d258427dex101.htm" TargetMode="External"/><Relationship Id="rId9" Type="http://schemas.openxmlformats.org/officeDocument/2006/relationships/hyperlink" Target="https://www.sec.gov/Archives/edgar/data/1826892/000119312520321696/d56161dex992.htm" TargetMode="External"/><Relationship Id="rId10" Type="http://schemas.openxmlformats.org/officeDocument/2006/relationships/hyperlink" Target="https://www.sec.gov/Archives/edgar/data/1826892/000095017022002303/bcab-ex10_26.htm" TargetMode="External"/><Relationship Id="rId11" Type="http://schemas.openxmlformats.org/officeDocument/2006/relationships/hyperlink" Target="https://www.sec.gov/Archives/edgar/data/1826892/000119312520312311/d258427dex103.htm" TargetMode="External"/><Relationship Id="rId12" Type="http://schemas.openxmlformats.org/officeDocument/2006/relationships/hyperlink" Target="https://www.sec.gov/Archives/edgar/data/1826892/000095017022002303/bcab-ex10_27.htm" TargetMode="External"/><Relationship Id="rId13" Type="http://schemas.openxmlformats.org/officeDocument/2006/relationships/hyperlink" Target="https://www.sec.gov/Archives/edgar/data/0001826892/000119312520293235/d258427dex104.htm" TargetMode="External"/><Relationship Id="rId14" Type="http://schemas.openxmlformats.org/officeDocument/2006/relationships/hyperlink" Target="https://www.sec.gov/Archives/edgar/data/0001826892/000119312520293235/d258427dex108.htm" TargetMode="External"/><Relationship Id="rId15" Type="http://schemas.openxmlformats.org/officeDocument/2006/relationships/hyperlink" Target="https://www.sec.gov/Archives/edgar/data/1826892/000095017022002303/bcab-ex10_28.htm" TargetMode="External"/><Relationship Id="rId16" Type="http://schemas.openxmlformats.org/officeDocument/2006/relationships/hyperlink" Target="https://www.sec.gov/Archives/edgar/data/1826892/000119312520312311/d258427dex1011.htm" TargetMode="External"/><Relationship Id="rId17" Type="http://schemas.openxmlformats.org/officeDocument/2006/relationships/hyperlink" Target="https://www.sec.gov/Archives/edgar/data/1826892/000119312520312311/d258427dex1013.htm" TargetMode="External"/><Relationship Id="rId18" Type="http://schemas.openxmlformats.org/officeDocument/2006/relationships/hyperlink" Target="https://www.sec.gov/Archives/edgar/data/1826892/000095017022002303/bcab-ex10_19.htm" TargetMode="External"/><Relationship Id="rId19" Type="http://schemas.openxmlformats.org/officeDocument/2006/relationships/hyperlink" Target="https://www.sec.gov/Archives/edgar/data/1826892/000095017022002303/bcab-ex10_20.htm" TargetMode="External"/><Relationship Id="rId20" Type="http://schemas.openxmlformats.org/officeDocument/2006/relationships/hyperlink" Target="https://www.sec.gov/Archives/edgar/data/1826892/000095017022002303/bcab-ex10_21.htm" TargetMode="External"/><Relationship Id="rId21" Type="http://schemas.openxmlformats.org/officeDocument/2006/relationships/hyperlink" Target="https://www.sec.gov/Archives/edgar/data/1826892/000095017022002303/bcab-ex10_22.htm" TargetMode="External"/><Relationship Id="rId22" Type="http://schemas.openxmlformats.org/officeDocument/2006/relationships/hyperlink" Target="https://www.sec.gov/Archives/edgar/data/1826892/000119312520312311/d258427dex1018.htm" TargetMode="External"/><Relationship Id="rId23" Type="http://schemas.openxmlformats.org/officeDocument/2006/relationships/hyperlink" Target="https://www.sec.gov/Archives/edgar/data/1826892/000119312520312311/d258427dex1019.htm" TargetMode="External"/><Relationship Id="rId24" Type="http://schemas.openxmlformats.org/officeDocument/2006/relationships/hyperlink" Target="https://www.sec.gov/Archives/edgar/data/1826892/000095017024036548/bcab-ex10_17.htm" TargetMode="External"/><Relationship Id="rId25" Type="http://schemas.openxmlformats.org/officeDocument/2006/relationships/hyperlink" Target="https://www.sec.gov/Archives/edgar/data/1826892/000095017022022036/bcab-ex10_2.htm" TargetMode="External"/><Relationship Id="rId26" Type="http://schemas.openxmlformats.org/officeDocument/2006/relationships/hyperlink" Target="https://www.sec.gov/Archives/edgar/data/1826892/000095017023009551/bcab-ex10_24.htm" TargetMode="External"/><Relationship Id="rId27" Type="http://schemas.openxmlformats.org/officeDocument/2006/relationships/hyperlink" Target="https://www.sec.gov/Archives/edgar/data/1826892/000095017022016149/bcab-ex10_1.htm" TargetMode="External"/><Relationship Id="rId28" Type="http://schemas.openxmlformats.org/officeDocument/2006/relationships/hyperlink" Target="https://www.sec.gov/Archives/edgar/data/1826892/000095017024036548/bcab-ex10_24.htm" TargetMode="External"/><Relationship Id="rId29" Type="http://schemas.openxmlformats.org/officeDocument/2006/relationships/hyperlink" Target="https://www.sec.gov/Archives/edgar/data/1826892/000095017024036548/bcab-ex10_25.htm" TargetMode="External"/><Relationship Id="rId30" Type="http://schemas.openxmlformats.org/officeDocument/2006/relationships/hyperlink" Target="https://www.sec.gov/Archives/edgar/data/1826892/000095017024094164/bcab-ex10_1.htm" TargetMode="External"/><Relationship Id="rId31" Type="http://schemas.openxmlformats.org/officeDocument/2006/relationships/hyperlink" Target="https://www.sec.gov/Archives/edgar/data/1826892/000095017022018700/bcab-20220915.htm" TargetMode="External"/><Relationship Id="rId32" Type="http://schemas.openxmlformats.org/officeDocument/2006/relationships/hyperlink" Target="https://www.sec.gov/Archives/edgar/data/1826892/000119312523003550/d437048dex11.htm" TargetMode="External"/><Relationship Id="rId33" Type="http://schemas.openxmlformats.org/officeDocument/2006/relationships/hyperlink" Target="https://www.sec.gov/Archives/edgar/data/1826892/000119312523003550/d437048dex11.htm" TargetMode="External"/><Relationship Id="rId34" Type="http://schemas.openxmlformats.org/officeDocument/2006/relationships/hyperlink" Target="https://www.sec.gov/Archives/edgar/data/1826892/000119312523003550/d437048dex11.htm" TargetMode="External"/><Relationship Id="rId35" Type="http://schemas.openxmlformats.org/officeDocument/2006/relationships/hyperlink" Target="https://www.sec.gov/Archives/edgar/data/1826892/000095017024059757/bcab-ex10_2.htm" TargetMode="External"/><Relationship Id="rId36" Type="http://schemas.openxmlformats.org/officeDocument/2006/relationships/hyperlink" Target="https://www.sec.gov/Archives/edgar/data/1826892/000095017024094164/bcab-ex10_2.htm" TargetMode="External"/><Relationship Id="rId37" Type="http://schemas.openxmlformats.org/officeDocument/2006/relationships/hyperlink" Target="https://www.sec.gov/Archives/edgar/data/1826892/000119312524223282/d845616dex101.htm" TargetMode="External"/><Relationship Id="rId38" Type="http://schemas.openxmlformats.org/officeDocument/2006/relationships/hyperlink" Target="https://www.sec.gov/Archives/edgar/data/1826892/000119312524223282/d845616dex102.htm" TargetMode="External"/><Relationship Id="rId39" Type="http://schemas.openxmlformats.org/officeDocument/2006/relationships/hyperlink" Target="https://www.sec.gov/Archives/edgar/data/1826892/000119312524223282/d845616dex102.htm" TargetMode="External"/><Relationship Id="rId40" Type="http://schemas.openxmlformats.org/officeDocument/2006/relationships/hyperlink" Target="https://www.sec.gov/Archives/edgar/data/1826892/000119312524283212/d823541dex101.htm" TargetMode="External"/><Relationship Id="rId41" Type="http://schemas.openxmlformats.org/officeDocument/2006/relationships/hyperlink" Target="https://www.sec.gov/Archives/edgar/data/1826892/000095017024036548/bcab-ex97_1.htm" TargetMode="Externa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95486</Words>
  <Characters>534061</Characters>
  <CharactersWithSpaces>628648</CharactersWithSpaces>
  <Paragraphs>5918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