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438"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BIOATLA,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84"/>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(I.R.S. Employer</w:t>
            </w:r>
          </w:p>
        </w:tc>
      </w:tr>
      <w:tr>
        <w:trPr>
          <w:trHeight w:val="178"/>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86"/>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18"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20" w:firstLine="599"/>
        <w:spacing w:after="0" w:line="293" w:lineRule="auto"/>
        <w:rPr>
          <w:sz w:val="20"/>
          <w:szCs w:val="20"/>
          <w:color w:val="auto"/>
        </w:rPr>
      </w:pPr>
      <w:r>
        <w:rPr>
          <w:rFonts w:ascii="Arial" w:cs="Arial" w:eastAsia="Arial" w:hAnsi="Arial"/>
          <w:sz w:val="16"/>
          <w:szCs w:val="16"/>
          <w:color w:val="auto"/>
        </w:rPr>
        <w:t>As of August 13, 2021, the number of shares of the registrant’s common stock outstanding was 32,315,301 and the number of shares of the registrant’s Class B common stock outstanding was 1,492,059.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820" w:type="dxa"/>
            <w:vAlign w:val="bottom"/>
            <w:gridSpan w:val="2"/>
            <w:vMerge w:val="continue"/>
          </w:tcPr>
          <w:p>
            <w:pPr>
              <w:spacing w:after="0"/>
              <w:rPr>
                <w:sz w:val="13"/>
                <w:szCs w:val="13"/>
                <w:color w:val="auto"/>
              </w:rPr>
            </w:pPr>
          </w:p>
        </w:tc>
        <w:tc>
          <w:tcPr>
            <w:tcW w:w="9760" w:type="dxa"/>
            <w:vAlign w:val="bottom"/>
            <w:gridSpan w:val="24"/>
          </w:tcPr>
          <w:p>
            <w:pPr>
              <w:spacing w:after="0" w:line="155" w:lineRule="exact"/>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40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Financial Statements:</w:t>
              </w:r>
            </w:hyperlink>
          </w:p>
        </w:tc>
        <w:tc>
          <w:tcPr>
            <w:tcW w:w="20" w:type="dxa"/>
            <w:vAlign w:val="bottom"/>
            <w:tcBorders>
              <w:top w:val="single" w:sz="8" w:color="0000FF"/>
              <w:bottom w:val="single" w:sz="8" w:color="0000EE"/>
            </w:tcBorders>
          </w:tcPr>
          <w:p>
            <w:pPr>
              <w:spacing w:after="0"/>
              <w:rPr>
                <w:sz w:val="18"/>
                <w:szCs w:val="18"/>
                <w:color w:val="auto"/>
              </w:rPr>
            </w:pPr>
          </w:p>
        </w:tc>
        <w:tc>
          <w:tcPr>
            <w:tcW w:w="600" w:type="dxa"/>
            <w:vAlign w:val="bottom"/>
            <w:tcBorders>
              <w:top w:val="single" w:sz="8" w:color="0000FF"/>
            </w:tcBorders>
            <w:gridSpan w:val="4"/>
          </w:tcPr>
          <w:p>
            <w:pPr>
              <w:spacing w:after="0"/>
              <w:rPr>
                <w:sz w:val="18"/>
                <w:szCs w:val="18"/>
                <w:color w:val="auto"/>
              </w:rPr>
            </w:pPr>
          </w:p>
        </w:tc>
        <w:tc>
          <w:tcPr>
            <w:tcW w:w="7740" w:type="dxa"/>
            <w:vAlign w:val="bottom"/>
            <w:gridSpan w:val="11"/>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80" w:type="dxa"/>
            <w:vAlign w:val="bottom"/>
            <w:gridSpan w:val="22"/>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June 30, 2021 (unaudited) and December 31, 2020</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20" w:type="dxa"/>
            <w:vAlign w:val="bottom"/>
            <w:gridSpan w:val="21"/>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Condensed Consolidated Statements of Operations and Comprehensive Loss (unaudited) for the three and six months ended June 30, 2021 and</w:t>
              </w:r>
            </w:hyperlink>
          </w:p>
        </w:tc>
        <w:tc>
          <w:tcPr>
            <w:tcW w:w="260" w:type="dxa"/>
            <w:vAlign w:val="bottom"/>
            <w:vMerge w:val="restart"/>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gridSpan w:val="3"/>
          </w:tcPr>
          <w:p>
            <w:pPr>
              <w:ind w:left="240"/>
              <w:spacing w:after="0" w:line="183" w:lineRule="exact"/>
              <w:rPr>
                <w:rFonts w:ascii="Arial" w:cs="Arial" w:eastAsia="Arial" w:hAnsi="Arial"/>
                <w:sz w:val="16"/>
                <w:szCs w:val="16"/>
                <w:color w:val="0000FF"/>
                <w:w w:val="78"/>
              </w:rPr>
            </w:pPr>
            <w:hyperlink w:anchor="page4">
              <w:r>
                <w:rPr>
                  <w:rFonts w:ascii="Arial" w:cs="Arial" w:eastAsia="Arial" w:hAnsi="Arial"/>
                  <w:sz w:val="16"/>
                  <w:szCs w:val="16"/>
                  <w:color w:val="0000FF"/>
                  <w:w w:val="78"/>
                </w:rPr>
                <w:t>2020</w:t>
              </w:r>
            </w:hyperlink>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60" w:type="dxa"/>
            <w:vAlign w:val="bottom"/>
            <w:tcBorders>
              <w:bottom w:val="single" w:sz="8" w:color="0000FF"/>
            </w:tcBorders>
            <w:gridSpan w:val="20"/>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Condensed Consolidated Statements of Stockholders’ Equity (unaudited) for the three and six months ended June 30, 2021 and 2020</w:t>
              </w:r>
            </w:hyperlink>
          </w:p>
        </w:tc>
        <w:tc>
          <w:tcPr>
            <w:tcW w:w="920" w:type="dxa"/>
            <w:vAlign w:val="bottom"/>
            <w:gridSpan w:val="2"/>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80" w:type="dxa"/>
            <w:vAlign w:val="bottom"/>
            <w:gridSpan w:val="2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Cash Flows (unaudited) for the six months ended June 30, 2021 and 2020</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40" w:type="dxa"/>
            <w:vAlign w:val="bottom"/>
            <w:tcBorders>
              <w:top w:val="single" w:sz="8" w:color="0000FF"/>
              <w:bottom w:val="single" w:sz="8" w:color="0000FF"/>
            </w:tcBorders>
            <w:gridSpan w:val="15"/>
          </w:tcPr>
          <w:p>
            <w:pP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Notes to Condensed Consolidated Financial Statements (unaudited)</w:t>
              </w:r>
            </w:hyperlink>
          </w:p>
        </w:tc>
        <w:tc>
          <w:tcPr>
            <w:tcW w:w="20" w:type="dxa"/>
            <w:vAlign w:val="bottom"/>
            <w:tcBorders>
              <w:top w:val="single" w:sz="8" w:color="0000FF"/>
              <w:bottom w:val="single" w:sz="8" w:color="0000EE"/>
            </w:tcBorders>
          </w:tcPr>
          <w:p>
            <w:pPr>
              <w:spacing w:after="0"/>
              <w:rPr>
                <w:sz w:val="19"/>
                <w:szCs w:val="19"/>
                <w:color w:val="auto"/>
              </w:rPr>
            </w:pPr>
          </w:p>
        </w:tc>
        <w:tc>
          <w:tcPr>
            <w:tcW w:w="2940" w:type="dxa"/>
            <w:vAlign w:val="bottom"/>
            <w:tcBorders>
              <w:top w:val="single" w:sz="8" w:color="0000FF"/>
            </w:tcBorders>
            <w:gridSpan w:val="3"/>
          </w:tcPr>
          <w:p>
            <w:pPr>
              <w:spacing w:after="0"/>
              <w:rPr>
                <w:sz w:val="19"/>
                <w:szCs w:val="19"/>
                <w:color w:val="auto"/>
              </w:rPr>
            </w:pPr>
          </w:p>
        </w:tc>
        <w:tc>
          <w:tcPr>
            <w:tcW w:w="2180" w:type="dxa"/>
            <w:vAlign w:val="bottom"/>
            <w:gridSpan w:val="3"/>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19"/>
          </w:tcPr>
          <w:p>
            <w:pPr>
              <w:spacing w:after="0"/>
              <w:rPr>
                <w:rFonts w:ascii="Arial" w:cs="Arial" w:eastAsia="Arial" w:hAnsi="Arial"/>
                <w:sz w:val="16"/>
                <w:szCs w:val="16"/>
                <w:color w:val="0000FF"/>
                <w:w w:val="92"/>
              </w:rPr>
            </w:pPr>
            <w:hyperlink w:anchor="page17">
              <w:r>
                <w:rPr>
                  <w:rFonts w:ascii="Arial" w:cs="Arial" w:eastAsia="Arial" w:hAnsi="Arial"/>
                  <w:sz w:val="16"/>
                  <w:szCs w:val="16"/>
                  <w:color w:val="0000FF"/>
                  <w:w w:val="92"/>
                </w:rPr>
                <w:t>Management’s Discussion and Analysis of Financial Condition and Results of Operations</w:t>
              </w:r>
            </w:hyperlink>
          </w:p>
        </w:tc>
        <w:tc>
          <w:tcPr>
            <w:tcW w:w="3940" w:type="dxa"/>
            <w:vAlign w:val="bottom"/>
            <w:gridSpan w:val="5"/>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6"/>
          </w:tcPr>
          <w:p>
            <w:pPr>
              <w:spacing w:after="0"/>
              <w:rPr>
                <w:rFonts w:ascii="Arial" w:cs="Arial" w:eastAsia="Arial" w:hAnsi="Arial"/>
                <w:sz w:val="16"/>
                <w:szCs w:val="16"/>
                <w:color w:val="0000FF"/>
                <w:w w:val="93"/>
              </w:rPr>
            </w:pPr>
            <w:hyperlink w:anchor="page26">
              <w:r>
                <w:rPr>
                  <w:rFonts w:ascii="Arial" w:cs="Arial" w:eastAsia="Arial" w:hAnsi="Arial"/>
                  <w:sz w:val="16"/>
                  <w:szCs w:val="16"/>
                  <w:color w:val="0000FF"/>
                  <w:w w:val="93"/>
                </w:rPr>
                <w:t>Quantitative and Qualitative Disclosures About Market Risk</w:t>
              </w:r>
            </w:hyperlink>
          </w:p>
        </w:tc>
        <w:tc>
          <w:tcPr>
            <w:tcW w:w="5820" w:type="dxa"/>
            <w:vAlign w:val="bottom"/>
            <w:gridSpan w:val="8"/>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Controls and Procedures</w:t>
              </w:r>
            </w:hyperlink>
          </w:p>
        </w:tc>
        <w:tc>
          <w:tcPr>
            <w:tcW w:w="20" w:type="dxa"/>
            <w:vAlign w:val="bottom"/>
            <w:tcBorders>
              <w:bottom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584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w:t>
            </w:r>
          </w:p>
        </w:tc>
        <w:tc>
          <w:tcPr>
            <w:tcW w:w="1700" w:type="dxa"/>
            <w:vAlign w:val="bottom"/>
            <w:tcBorders>
              <w:bottom w:val="single" w:sz="8" w:color="0000FF"/>
            </w:tcBorders>
            <w:gridSpan w:val="12"/>
          </w:tcPr>
          <w:p>
            <w:pPr>
              <w:spacing w:after="0"/>
              <w:rPr>
                <w:rFonts w:ascii="Arial" w:cs="Arial" w:eastAsia="Arial" w:hAnsi="Arial"/>
                <w:sz w:val="16"/>
                <w:szCs w:val="16"/>
                <w:color w:val="0000FF"/>
                <w:w w:val="97"/>
              </w:rPr>
            </w:pPr>
            <w:hyperlink w:anchor="page27">
              <w:r>
                <w:rPr>
                  <w:rFonts w:ascii="Arial" w:cs="Arial" w:eastAsia="Arial" w:hAnsi="Arial"/>
                  <w:sz w:val="16"/>
                  <w:szCs w:val="16"/>
                  <w:color w:val="0000FF"/>
                  <w:w w:val="97"/>
                </w:rPr>
                <w:t>OTHER INFORMATION</w:t>
              </w:r>
            </w:hyperlink>
          </w:p>
        </w:tc>
        <w:tc>
          <w:tcPr>
            <w:tcW w:w="8060" w:type="dxa"/>
            <w:vAlign w:val="bottom"/>
            <w:gridSpan w:val="12"/>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7"/>
          </w:tcPr>
          <w:p>
            <w:pPr>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Legal Proceedings</w:t>
              </w:r>
            </w:hyperlink>
          </w:p>
        </w:tc>
        <w:tc>
          <w:tcPr>
            <w:tcW w:w="8560" w:type="dxa"/>
            <w:vAlign w:val="bottom"/>
            <w:gridSpan w:val="17"/>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FF"/>
            </w:tcBorders>
            <w:gridSpan w:val="4"/>
          </w:tcPr>
          <w:p>
            <w:pPr>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Risk Factors</w:t>
              </w:r>
            </w:hyperlink>
          </w:p>
        </w:tc>
        <w:tc>
          <w:tcPr>
            <w:tcW w:w="20" w:type="dxa"/>
            <w:vAlign w:val="bottom"/>
            <w:tcBorders>
              <w:bottom w:val="single" w:sz="8" w:color="0000EE"/>
            </w:tcBorders>
          </w:tcPr>
          <w:p>
            <w:pPr>
              <w:spacing w:after="0"/>
              <w:rPr>
                <w:sz w:val="19"/>
                <w:szCs w:val="19"/>
                <w:color w:val="auto"/>
              </w:rPr>
            </w:pPr>
          </w:p>
        </w:tc>
        <w:tc>
          <w:tcPr>
            <w:tcW w:w="8920" w:type="dxa"/>
            <w:vAlign w:val="bottom"/>
            <w:gridSpan w:val="19"/>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15"/>
          </w:tcPr>
          <w:p>
            <w:pPr>
              <w:spacing w:after="0"/>
              <w:rPr>
                <w:rFonts w:ascii="Arial" w:cs="Arial" w:eastAsia="Arial" w:hAnsi="Arial"/>
                <w:sz w:val="16"/>
                <w:szCs w:val="16"/>
                <w:color w:val="0000FF"/>
                <w:w w:val="90"/>
              </w:rPr>
            </w:pPr>
            <w:hyperlink w:anchor="page71">
              <w:r>
                <w:rPr>
                  <w:rFonts w:ascii="Arial" w:cs="Arial" w:eastAsia="Arial" w:hAnsi="Arial"/>
                  <w:sz w:val="16"/>
                  <w:szCs w:val="16"/>
                  <w:color w:val="0000FF"/>
                  <w:w w:val="90"/>
                </w:rPr>
                <w:t>Unregistered Sales of Equity Securities and Use of Proceeds</w:t>
              </w:r>
            </w:hyperlink>
          </w:p>
        </w:tc>
        <w:tc>
          <w:tcPr>
            <w:tcW w:w="5840" w:type="dxa"/>
            <w:vAlign w:val="bottom"/>
            <w:gridSpan w:val="9"/>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2100" w:type="dxa"/>
            <w:vAlign w:val="bottom"/>
            <w:tcBorders>
              <w:bottom w:val="single" w:sz="8" w:color="0000FF"/>
            </w:tcBorders>
            <w:gridSpan w:val="14"/>
          </w:tcPr>
          <w:p>
            <w:pPr>
              <w:spacing w:after="0"/>
              <w:rPr>
                <w:rFonts w:ascii="Arial" w:cs="Arial" w:eastAsia="Arial" w:hAnsi="Arial"/>
                <w:sz w:val="16"/>
                <w:szCs w:val="16"/>
                <w:color w:val="0000FF"/>
                <w:w w:val="91"/>
              </w:rPr>
            </w:pPr>
            <w:hyperlink w:anchor="page71">
              <w:r>
                <w:rPr>
                  <w:rFonts w:ascii="Arial" w:cs="Arial" w:eastAsia="Arial" w:hAnsi="Arial"/>
                  <w:sz w:val="16"/>
                  <w:szCs w:val="16"/>
                  <w:color w:val="0000FF"/>
                  <w:w w:val="91"/>
                </w:rPr>
                <w:t>Defaults Upon Senior Securities</w:t>
              </w:r>
            </w:hyperlink>
          </w:p>
        </w:tc>
        <w:tc>
          <w:tcPr>
            <w:tcW w:w="7660" w:type="dxa"/>
            <w:vAlign w:val="bottom"/>
            <w:gridSpan w:val="10"/>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71">
              <w:r>
                <w:rPr>
                  <w:rFonts w:ascii="Arial" w:cs="Arial" w:eastAsia="Arial" w:hAnsi="Arial"/>
                  <w:sz w:val="16"/>
                  <w:szCs w:val="16"/>
                  <w:color w:val="0000FF"/>
                  <w:w w:val="92"/>
                </w:rPr>
                <w:t>Mine Safety Disclosures</w:t>
              </w:r>
            </w:hyperlink>
          </w:p>
        </w:tc>
        <w:tc>
          <w:tcPr>
            <w:tcW w:w="8160" w:type="dxa"/>
            <w:vAlign w:val="bottom"/>
            <w:gridSpan w:val="14"/>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5.</w:t>
            </w:r>
          </w:p>
        </w:tc>
        <w:tc>
          <w:tcPr>
            <w:tcW w:w="9760" w:type="dxa"/>
            <w:vAlign w:val="bottom"/>
            <w:gridSpan w:val="24"/>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Other Information</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6.</w:t>
            </w:r>
          </w:p>
        </w:tc>
        <w:tc>
          <w:tcPr>
            <w:tcW w:w="56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2"/>
              </w:rPr>
            </w:pPr>
            <w:hyperlink w:anchor="page72">
              <w:r>
                <w:rPr>
                  <w:rFonts w:ascii="Arial" w:cs="Arial" w:eastAsia="Arial" w:hAnsi="Arial"/>
                  <w:sz w:val="16"/>
                  <w:szCs w:val="16"/>
                  <w:color w:val="0000FF"/>
                  <w:w w:val="92"/>
                </w:rPr>
                <w:t>Exhibits</w:t>
              </w:r>
            </w:hyperlink>
          </w:p>
        </w:tc>
        <w:tc>
          <w:tcPr>
            <w:tcW w:w="620" w:type="dxa"/>
            <w:vAlign w:val="bottom"/>
            <w:tcBorders>
              <w:top w:val="single" w:sz="8" w:color="0000FF"/>
            </w:tcBorders>
            <w:gridSpan w:val="3"/>
          </w:tcPr>
          <w:p>
            <w:pPr>
              <w:spacing w:after="0"/>
              <w:rPr>
                <w:sz w:val="19"/>
                <w:szCs w:val="19"/>
                <w:color w:val="auto"/>
              </w:rPr>
            </w:pPr>
          </w:p>
        </w:tc>
        <w:tc>
          <w:tcPr>
            <w:tcW w:w="8580" w:type="dxa"/>
            <w:vAlign w:val="bottom"/>
            <w:gridSpan w:val="18"/>
          </w:tcPr>
          <w:p>
            <w:pPr>
              <w:spacing w:after="0"/>
              <w:rPr>
                <w:sz w:val="19"/>
                <w:szCs w:val="19"/>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10580" w:type="dxa"/>
            <w:vAlign w:val="bottom"/>
            <w:gridSpan w:val="26"/>
          </w:tcPr>
          <w:p>
            <w:pPr>
              <w:ind w:left="20"/>
              <w:spacing w:after="0"/>
              <w:rPr>
                <w:rFonts w:ascii="Arial" w:cs="Arial" w:eastAsia="Arial" w:hAnsi="Arial"/>
                <w:sz w:val="16"/>
                <w:szCs w:val="16"/>
                <w:color w:val="0000FF"/>
              </w:rPr>
            </w:pPr>
            <w:hyperlink w:anchor="page73">
              <w:r>
                <w:rPr>
                  <w:rFonts w:ascii="Arial" w:cs="Arial" w:eastAsia="Arial" w:hAnsi="Arial"/>
                  <w:sz w:val="16"/>
                  <w:szCs w:val="16"/>
                  <w:color w:val="0000FF"/>
                </w:rPr>
                <w:t>SIGNATURES</w:t>
              </w:r>
            </w:hyperlink>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851"/>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207,609</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238,605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212,331</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240,681</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216,708</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Current portion of deferred rent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36,156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32,261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accrued interest</w:t>
            </w: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Deferred rent, less current portion</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debt</w:t>
            </w:r>
          </w:p>
        </w:tc>
        <w:tc>
          <w:tcPr>
            <w:tcW w:w="28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38,685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Preferred stock, $0.0001 par value; 200,000,000 shares authorized at June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30, 2021 and December 31, 2020; 0 shares issued and outstanding</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at June 30, 2021 and December 31, 2020</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720" w:type="dxa"/>
            <w:vAlign w:val="bottom"/>
          </w:tcPr>
          <w:p>
            <w:pPr>
              <w:ind w:left="280"/>
              <w:spacing w:after="0"/>
              <w:rPr>
                <w:sz w:val="20"/>
                <w:szCs w:val="20"/>
                <w:color w:val="auto"/>
              </w:rPr>
            </w:pPr>
            <w:r>
              <w:rPr>
                <w:rFonts w:ascii="Arial" w:cs="Arial" w:eastAsia="Arial" w:hAnsi="Arial"/>
                <w:sz w:val="18"/>
                <w:szCs w:val="18"/>
                <w:color w:val="auto"/>
              </w:rPr>
              <w:t>Common stock, $0.0001 par value; 350,000,000 shares authorized at June 30, 2021</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720" w:type="dxa"/>
            <w:vAlign w:val="bottom"/>
          </w:tcPr>
          <w:p>
            <w:pPr>
              <w:ind w:left="400"/>
              <w:spacing w:after="0"/>
              <w:rPr>
                <w:sz w:val="20"/>
                <w:szCs w:val="20"/>
                <w:color w:val="auto"/>
              </w:rPr>
            </w:pPr>
            <w:r>
              <w:rPr>
                <w:rFonts w:ascii="Arial" w:cs="Arial" w:eastAsia="Arial" w:hAnsi="Arial"/>
                <w:sz w:val="18"/>
                <w:szCs w:val="18"/>
                <w:color w:val="auto"/>
              </w:rPr>
              <w:t>and December 31, 2020; 32,315,301 and 32,171,560 shares issued and outstanding</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20" w:type="dxa"/>
            <w:vAlign w:val="bottom"/>
          </w:tcPr>
          <w:p>
            <w:pPr>
              <w:ind w:left="400"/>
              <w:spacing w:after="0"/>
              <w:rPr>
                <w:sz w:val="20"/>
                <w:szCs w:val="20"/>
                <w:color w:val="auto"/>
              </w:rPr>
            </w:pPr>
            <w:r>
              <w:rPr>
                <w:rFonts w:ascii="Arial" w:cs="Arial" w:eastAsia="Arial" w:hAnsi="Arial"/>
                <w:sz w:val="18"/>
                <w:szCs w:val="18"/>
                <w:color w:val="auto"/>
              </w:rPr>
              <w:t>at June 30, 2021 and December 31, 2020,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June 30, 2021 and December 31, 2020; 1,492,059 shares issued and</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at June 30, 2021 and December 31, 2020</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318,019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300,888</w:t>
            </w: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(139,999 )</w:t>
            </w:r>
          </w:p>
        </w:tc>
        <w:tc>
          <w:tcPr>
            <w:tcW w:w="2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(90,917 )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178,023</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209,974</w:t>
            </w:r>
          </w:p>
        </w:tc>
        <w:tc>
          <w:tcPr>
            <w:tcW w:w="100" w:type="dxa"/>
            <w:vAlign w:val="bottom"/>
            <w:tcBorders>
              <w:top w:val="single" w:sz="8" w:color="CFF0FC"/>
            </w:tcBorders>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216,708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-4222750</wp:posOffset>
            </wp:positionV>
            <wp:extent cx="1885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-4222750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-3211195</wp:posOffset>
            </wp:positionV>
            <wp:extent cx="188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-3211195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-2550795</wp:posOffset>
            </wp:positionV>
            <wp:extent cx="1885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-365125</wp:posOffset>
            </wp:positionV>
            <wp:extent cx="18859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1885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188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6"/>
                <w:szCs w:val="16"/>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and other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(30,460 )</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(4,520 )</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(49,257 )</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(5,629 )</w:t>
            </w: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4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2"/>
              </w:rPr>
              <w:t>Interest expense (includes related party amounts of $0 for the three and six</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months ended June 30, 2021 and $79 and $138 for the three and six</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months ended June 30, 2020, respectively)</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(754 )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(1,301 )</w:t>
            </w: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(775 )</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(728 )</w:t>
            </w:r>
          </w:p>
        </w:tc>
      </w:tr>
      <w:tr>
        <w:trPr>
          <w:trHeight w:val="256"/>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Extinguishment of convertible debt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(174 )</w:t>
            </w:r>
          </w:p>
        </w:tc>
        <w:tc>
          <w:tcPr>
            <w:tcW w:w="2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(174 )</w:t>
            </w: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(1,702 )</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(2,197 )</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net loss and comprehensive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(30,381 )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(6,222 )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(49,082 )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(7,826 )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44"/>
        </w:trPr>
        <w:tc>
          <w:tcPr>
            <w:tcW w:w="58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Net loss per common share, basic and diluted </w:t>
            </w:r>
            <w:r>
              <w:rPr>
                <w:rFonts w:ascii="Arial" w:cs="Arial" w:eastAsia="Arial" w:hAnsi="Arial"/>
                <w:sz w:val="24"/>
                <w:szCs w:val="24"/>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(0.90 )</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(1.46 )</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820" w:type="dxa"/>
            <w:vAlign w:val="bottom"/>
            <w:tcBorders>
              <w:bottom w:val="single" w:sz="8" w:color="CFF0FC"/>
            </w:tcBorders>
            <w:shd w:val="clear" w:color="auto" w:fill="CFF0FC"/>
          </w:tcPr>
          <w:p>
            <w:pPr>
              <w:ind w:left="20"/>
              <w:spacing w:after="0" w:line="237" w:lineRule="exact"/>
              <w:rPr>
                <w:sz w:val="20"/>
                <w:szCs w:val="20"/>
                <w:color w:val="auto"/>
              </w:rPr>
            </w:pPr>
            <w:r>
              <w:rPr>
                <w:rFonts w:ascii="Arial" w:cs="Arial" w:eastAsia="Arial" w:hAnsi="Arial"/>
                <w:sz w:val="18"/>
                <w:szCs w:val="18"/>
                <w:color w:val="auto"/>
                <w:w w:val="94"/>
              </w:rPr>
              <w:t xml:space="preserve">Weighted-average shares of common stock outstanding, basic and diluted </w:t>
            </w:r>
            <w:r>
              <w:rPr>
                <w:rFonts w:ascii="Arial" w:cs="Arial" w:eastAsia="Arial" w:hAnsi="Arial"/>
                <w:sz w:val="24"/>
                <w:szCs w:val="24"/>
                <w:color w:val="auto"/>
                <w:w w:val="94"/>
                <w:vertAlign w:val="superscript"/>
              </w:rPr>
              <w:t>(1)</w:t>
            </w:r>
          </w:p>
        </w:tc>
        <w:tc>
          <w:tcPr>
            <w:tcW w:w="2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33,678,893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33,671,298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-2019300</wp:posOffset>
            </wp:positionV>
            <wp:extent cx="171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-2019300</wp:posOffset>
            </wp:positionV>
            <wp:extent cx="1543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-2019300</wp:posOffset>
            </wp:positionV>
            <wp:extent cx="1543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-2019300</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-742315</wp:posOffset>
            </wp:positionV>
            <wp:extent cx="171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-742315</wp:posOffset>
            </wp:positionV>
            <wp:extent cx="1543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-742315</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-742315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-402590</wp:posOffset>
            </wp:positionV>
            <wp:extent cx="171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-385445</wp:posOffset>
            </wp:positionV>
            <wp:extent cx="171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-402590</wp:posOffset>
            </wp:positionV>
            <wp:extent cx="1543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-402590</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171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171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154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40" w:lineRule="exact"/>
        <w:rPr>
          <w:sz w:val="20"/>
          <w:szCs w:val="20"/>
          <w:color w:val="auto"/>
        </w:rPr>
      </w:pPr>
    </w:p>
    <w:p>
      <w:pPr>
        <w:ind w:left="200" w:right="200" w:hanging="192"/>
        <w:spacing w:after="0" w:line="261" w:lineRule="auto"/>
        <w:tabs>
          <w:tab w:leader="none" w:pos="17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For the three and six months ended June 30, 2020, the Company determined that the attribution of pre-Corporate Reorganization net losses based on the post-Corporate Reorganization capital structure would not meaningfully represent the economic rights of the unit holders. As a result, the Company presents net loss per share information only for the period subsequent to the Corporate Reorganization. (see Note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12"/>
          </w:tcPr>
          <w:p>
            <w:pPr>
              <w:jc w:val="right"/>
              <w:ind w:right="340"/>
              <w:spacing w:after="0"/>
              <w:rPr>
                <w:sz w:val="20"/>
                <w:szCs w:val="20"/>
                <w:color w:val="auto"/>
              </w:rPr>
            </w:pPr>
            <w:r>
              <w:rPr>
                <w:rFonts w:ascii="Arial" w:cs="Arial" w:eastAsia="Arial" w:hAnsi="Arial"/>
                <w:sz w:val="14"/>
                <w:szCs w:val="14"/>
                <w:b w:val="1"/>
                <w:bCs w:val="1"/>
                <w:color w:val="auto"/>
                <w:w w:val="98"/>
              </w:rPr>
              <w:t>Three Months Ended June 30, 2021</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gridSpan w:val="5"/>
            <w:vMerge w:val="restart"/>
          </w:tcPr>
          <w:p>
            <w:pPr>
              <w:jc w:val="center"/>
              <w:ind w:right="352"/>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Additiona</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Accumulate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auto"/>
            </w:tcBorders>
            <w:gridSpan w:val="6"/>
          </w:tcPr>
          <w:p>
            <w:pPr>
              <w:jc w:val="center"/>
              <w:ind w:left="97"/>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71"/>
        </w:trPr>
        <w:tc>
          <w:tcPr>
            <w:tcW w:w="4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gridSpan w:val="2"/>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March 31, 2021</w:t>
            </w: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1,492,05</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305,53</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(109,61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32,171,560</w:t>
            </w:r>
          </w:p>
        </w:tc>
        <w:tc>
          <w:tcPr>
            <w:tcW w:w="500" w:type="dxa"/>
            <w:vAlign w:val="bottom"/>
            <w:gridSpan w:val="3"/>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3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$ 195,916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12,298</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under equity incentive</w:t>
            </w: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plans</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138,461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for Employee Stock</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Purchase Plan</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7"/>
              </w:rPr>
              <w:t>(30,381 )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(30,381 )</w:t>
            </w:r>
          </w:p>
        </w:tc>
        <w:tc>
          <w:tcPr>
            <w:tcW w:w="0" w:type="dxa"/>
            <w:vAlign w:val="bottom"/>
          </w:tcPr>
          <w:p>
            <w:pPr>
              <w:spacing w:after="0"/>
              <w:rPr>
                <w:sz w:val="1"/>
                <w:szCs w:val="1"/>
                <w:color w:val="auto"/>
              </w:rPr>
            </w:pPr>
          </w:p>
        </w:tc>
      </w:tr>
      <w:tr>
        <w:trPr>
          <w:trHeight w:val="242"/>
        </w:trPr>
        <w:tc>
          <w:tcPr>
            <w:tcW w:w="40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Balance at June 30, 2021</w:t>
            </w:r>
          </w:p>
        </w:tc>
        <w:tc>
          <w:tcPr>
            <w:tcW w:w="8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gridSpan w:val="2"/>
          </w:tcPr>
          <w:p>
            <w:pPr>
              <w:spacing w:after="0"/>
              <w:rPr>
                <w:sz w:val="21"/>
                <w:szCs w:val="21"/>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1,492,05</w:t>
            </w: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318,01</w:t>
            </w:r>
          </w:p>
        </w:tc>
        <w:tc>
          <w:tcPr>
            <w:tcW w:w="16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(139,99</w:t>
            </w:r>
          </w:p>
        </w:tc>
        <w:tc>
          <w:tcPr>
            <w:tcW w:w="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32,315,301</w:t>
            </w:r>
          </w:p>
        </w:tc>
        <w:tc>
          <w:tcPr>
            <w:tcW w:w="240" w:type="dxa"/>
            <w:vAlign w:val="bottom"/>
            <w:gridSpan w:val="2"/>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9 )</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$ 178,023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Accumulate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d</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71"/>
        </w:trPr>
        <w:tc>
          <w:tcPr>
            <w:tcW w:w="40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32,171,56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1,492,05</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300,888</w:t>
            </w:r>
          </w:p>
        </w:tc>
        <w:tc>
          <w:tcPr>
            <w:tcW w:w="4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7"/>
              </w:rPr>
              <w:t>(90,917 )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$ 209,974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16,941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under equity incentive</w:t>
            </w: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plans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138,461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for Employee Stock</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Purchase Plan</w:t>
            </w:r>
          </w:p>
        </w:tc>
        <w:tc>
          <w:tcPr>
            <w:tcW w:w="860" w:type="dxa"/>
            <w:vAlign w:val="bottom"/>
          </w:tcPr>
          <w:p>
            <w:pPr>
              <w:jc w:val="right"/>
              <w:spacing w:after="0"/>
              <w:rPr>
                <w:sz w:val="20"/>
                <w:szCs w:val="20"/>
                <w:color w:val="auto"/>
              </w:rPr>
            </w:pPr>
            <w:r>
              <w:rPr>
                <w:rFonts w:ascii="Arial" w:cs="Arial" w:eastAsia="Arial" w:hAnsi="Arial"/>
                <w:sz w:val="18"/>
                <w:szCs w:val="18"/>
                <w:color w:val="auto"/>
              </w:rPr>
              <w:t>5,280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5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7"/>
              </w:rPr>
              <w:t>(49,082 )</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(49,082 )</w:t>
            </w:r>
          </w:p>
        </w:tc>
        <w:tc>
          <w:tcPr>
            <w:tcW w:w="0" w:type="dxa"/>
            <w:vAlign w:val="bottom"/>
          </w:tcPr>
          <w:p>
            <w:pPr>
              <w:spacing w:after="0"/>
              <w:rPr>
                <w:sz w:val="1"/>
                <w:szCs w:val="1"/>
                <w:color w:val="auto"/>
              </w:rPr>
            </w:pPr>
          </w:p>
        </w:tc>
      </w:tr>
      <w:tr>
        <w:trPr>
          <w:trHeight w:val="242"/>
        </w:trPr>
        <w:tc>
          <w:tcPr>
            <w:tcW w:w="40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30, 2021</w:t>
            </w:r>
          </w:p>
        </w:tc>
        <w:tc>
          <w:tcPr>
            <w:tcW w:w="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32,315,30</w:t>
            </w:r>
          </w:p>
        </w:tc>
        <w:tc>
          <w:tcPr>
            <w:tcW w:w="16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1,492,05</w:t>
            </w:r>
          </w:p>
        </w:tc>
        <w:tc>
          <w:tcPr>
            <w:tcW w:w="18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318,019</w:t>
            </w:r>
          </w:p>
        </w:tc>
        <w:tc>
          <w:tcPr>
            <w:tcW w:w="40" w:type="dxa"/>
            <w:vAlign w:val="bottom"/>
          </w:tcPr>
          <w:p>
            <w:pPr>
              <w:spacing w:after="0"/>
              <w:rPr>
                <w:sz w:val="20"/>
                <w:szCs w:val="20"/>
                <w:color w:val="auto"/>
              </w:rPr>
            </w:pPr>
          </w:p>
        </w:tc>
        <w:tc>
          <w:tcPr>
            <w:tcW w:w="1200" w:type="dxa"/>
            <w:vAlign w:val="bottom"/>
            <w:gridSpan w:val="6"/>
          </w:tcPr>
          <w:p>
            <w:pPr>
              <w:jc w:val="right"/>
              <w:ind w:right="140"/>
              <w:spacing w:after="0"/>
              <w:rPr>
                <w:sz w:val="20"/>
                <w:szCs w:val="20"/>
                <w:color w:val="auto"/>
              </w:rPr>
            </w:pPr>
            <w:r>
              <w:rPr>
                <w:rFonts w:ascii="Arial" w:cs="Arial" w:eastAsia="Arial" w:hAnsi="Arial"/>
                <w:sz w:val="18"/>
                <w:szCs w:val="18"/>
                <w:color w:val="auto"/>
              </w:rPr>
              <w:t>$ (139,999 )</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$ 178,023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-2807970</wp:posOffset>
            </wp:positionV>
            <wp:extent cx="1543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-2807970</wp:posOffset>
            </wp:positionV>
            <wp:extent cx="15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-2807970</wp:posOffset>
            </wp:positionV>
            <wp:extent cx="1371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-2807970</wp:posOffset>
            </wp:positionV>
            <wp:extent cx="1371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-2807970</wp:posOffset>
            </wp:positionV>
            <wp:extent cx="1371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-2807970</wp:posOffset>
            </wp:positionV>
            <wp:extent cx="1371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-2807970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-339090</wp:posOffset>
            </wp:positionV>
            <wp:extent cx="1543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-339090</wp:posOffset>
            </wp:positionV>
            <wp:extent cx="1460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-339090</wp:posOffset>
            </wp:positionV>
            <wp:extent cx="1371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-339090</wp:posOffset>
            </wp:positionV>
            <wp:extent cx="12827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-339090</wp:posOffset>
            </wp:positionV>
            <wp:extent cx="1289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-339090</wp:posOffset>
            </wp:positionV>
            <wp:extent cx="1289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-339090</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26"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(49,082 )</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(7,826 )</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96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fair value of profits interest liability</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6"/>
              </w:rPr>
              <w:t>(7,601 )</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16,941</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Non-cash interest</w:t>
            </w:r>
          </w:p>
        </w:tc>
        <w:tc>
          <w:tcPr>
            <w:tcW w:w="96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interest</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Deferred rent</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(111 )</w:t>
            </w:r>
          </w:p>
        </w:tc>
        <w:tc>
          <w:tcPr>
            <w:tcW w:w="9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(2,646 )</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(279 )</w:t>
            </w: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(28,539 )</w:t>
            </w: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6"/>
              </w:rPr>
              <w:t>(6,866 )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(736 )</w:t>
            </w: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(736 )</w:t>
            </w:r>
          </w:p>
        </w:tc>
        <w:tc>
          <w:tcPr>
            <w:tcW w:w="9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Proceeds from issuance of convertible debt</w:t>
            </w:r>
          </w:p>
        </w:tc>
        <w:tc>
          <w:tcPr>
            <w:tcW w:w="96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PPP loan</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Payment of initial public offering costs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(1,911 )</w:t>
            </w:r>
          </w:p>
        </w:tc>
        <w:tc>
          <w:tcPr>
            <w:tcW w:w="98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(1,721 )</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1"/>
              </w:rPr>
              <w:t>(30,996 )</w:t>
            </w:r>
          </w:p>
        </w:tc>
        <w:tc>
          <w:tcPr>
            <w:tcW w:w="98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6"/>
              </w:rPr>
              <w:t>(3,520 )</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238,605</w:t>
            </w:r>
          </w:p>
        </w:tc>
        <w:tc>
          <w:tcPr>
            <w:tcW w:w="3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207,609</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Unpaid deferred financing costs</w:t>
            </w: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4"/>
                <w:szCs w:val="24"/>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-2225040</wp:posOffset>
            </wp:positionV>
            <wp:extent cx="18859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-2225040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-1239520</wp:posOffset>
            </wp:positionV>
            <wp:extent cx="18859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-1239520</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188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1885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-213995</wp:posOffset>
            </wp:positionV>
            <wp:extent cx="1885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-196215</wp:posOffset>
            </wp:positionV>
            <wp:extent cx="188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31" w:lineRule="exact"/>
        <w:rPr>
          <w:sz w:val="20"/>
          <w:szCs w:val="20"/>
          <w:color w:val="auto"/>
        </w:rPr>
      </w:pPr>
    </w:p>
    <w:p>
      <w:pPr>
        <w:ind w:right="60" w:firstLine="441"/>
        <w:spacing w:after="0" w:line="272" w:lineRule="auto"/>
        <w:rPr>
          <w:sz w:val="20"/>
          <w:szCs w:val="20"/>
          <w:color w:val="auto"/>
        </w:rPr>
      </w:pPr>
      <w:r>
        <w:rPr>
          <w:rFonts w:ascii="Arial" w:cs="Arial" w:eastAsia="Arial" w:hAnsi="Arial"/>
          <w:sz w:val="18"/>
          <w:szCs w:val="18"/>
          <w:color w:val="auto"/>
        </w:rPr>
        <w:t>BioAtla, LLC was formed in Delaware in March 2007 and converted to a Delaware corporation in July 2020 as part of the Corporate Reorganization defined and described below,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Reorganization and Series D Financing</w:t>
      </w:r>
    </w:p>
    <w:p>
      <w:pPr>
        <w:spacing w:after="0" w:line="131" w:lineRule="exact"/>
        <w:rPr>
          <w:sz w:val="20"/>
          <w:szCs w:val="20"/>
          <w:color w:val="auto"/>
        </w:rPr>
      </w:pPr>
    </w:p>
    <w:p>
      <w:pPr>
        <w:ind w:firstLine="441"/>
        <w:spacing w:after="0" w:line="299" w:lineRule="auto"/>
        <w:rPr>
          <w:sz w:val="20"/>
          <w:szCs w:val="20"/>
          <w:color w:val="auto"/>
        </w:rPr>
      </w:pPr>
      <w:r>
        <w:rPr>
          <w:rFonts w:ascii="Arial" w:cs="Arial" w:eastAsia="Arial" w:hAnsi="Arial"/>
          <w:sz w:val="16"/>
          <w:szCs w:val="16"/>
          <w:color w:val="auto"/>
        </w:rPr>
        <w:t>In July 2020, BioAtla, LLC completed a series of transactions (the “Corporate Reorganization”) in connection with the conversion from a limited liability company into a Delaware corporation, the spin-off of Himalaya Therapeutics SEZC, and the completion of a Series D convertible preferred stock financing. The Corporate Reorganization involved the formation of Himalaya Parent LLC as a wholly owned subsidiary of BioAtla, LLC and the formation of BioAtla MergerSub LLC, as a wholly owned subsidiary of Himalaya Parent LLC. Under the Agreement and Plan of Merger (the “Merger Agreement”), BioAtla, LLC was merged into and with BioAtla MergerSub LLC, with BioAtla, LLC surviving, and the members of BioAtla, LLC immediately prior to the effective time of the Merger Agreement received membership interests, on a one-for-one basis, of Himalaya Parent LLC as consideration, and the then-outstanding warrants to purchase equity of BioAtla, LLC were converted into warrants to purchase common shares of common stock of BioAtla, Inc. (see Note 6). The Himalaya Parent LLC operating agreement provided identical equity rights for the then outstanding units of BioAtla, LLC. In addition: (i) the membership interests of BioAtla, LLC held by Himalaya Parent LLC were exchanged for 6,220,050 shares of BioAtla, Inc. common stock, (ii) BioAtla, Inc. issued an aggregate of 59,164,808 shares of Series D convertible preferred stock to Himalaya Parent LLC and Himalaya Parent LLC issued an aggregate of 59,164,808 Class D units to the holders of convertible notes of BioAtla, LLC in connection with the conversion of their convertible notes into Class D units of Himalaya Parent LLC (see Note 4), (iii) BioAtla, LLC distributed to Himalaya Parent LLC its equity interests in Himalaya Therapeutics SEZC, a then majority-owned subsidiary which is engaged in the development of a set of antibodies in the field of oncology primarily in Greater China,</w:t>
      </w:r>
    </w:p>
    <w:p>
      <w:pPr>
        <w:spacing w:after="0" w:line="5" w:lineRule="exact"/>
        <w:rPr>
          <w:sz w:val="20"/>
          <w:szCs w:val="20"/>
          <w:color w:val="auto"/>
        </w:rPr>
      </w:pPr>
    </w:p>
    <w:p>
      <w:pPr>
        <w:ind w:firstLine="8"/>
        <w:spacing w:after="0" w:line="299"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Himalaya Parent LLC assumed the profits interest liability of BioAtla, LLC (see Note 7) and (v) BioAtla, LLC converted into a Delaware corporation pursuant to a statutory conversion and changed its name to BioAtla, Inc. Following the Corporate Reorganization, Himalaya Parent LLC owned 59,164,808 shares of BioAtla, Inc. Series D convertible preferred stock and 6,220,050 shares of BioAtla, Inc. common stock, all of which were subsequently distributed (the "Distribution") to the members of Himalaya Parent LLC. As a result of the sale of 140,626,711 shares of Series D convertible preferred stock to new investors in July 2020 (see Note 6), BioAtla, Inc. was not controlled by Himalaya Parent LLC and BioAtla, Inc. does not control Himalaya Parent LLC subsequent to the distribution (see further discussion in “Principles of consolidation and deconsolidation” below). All pre-</w:t>
      </w:r>
    </w:p>
    <w:p>
      <w:pPr>
        <w:spacing w:after="0" w:line="1" w:lineRule="exact"/>
        <w:rPr>
          <w:rFonts w:ascii="Arial" w:cs="Arial" w:eastAsia="Arial" w:hAnsi="Arial"/>
          <w:sz w:val="16"/>
          <w:szCs w:val="16"/>
          <w:color w:val="auto"/>
        </w:rPr>
      </w:pPr>
    </w:p>
    <w:p>
      <w:pPr>
        <w:ind w:right="120"/>
        <w:spacing w:after="0" w:line="279" w:lineRule="auto"/>
        <w:rPr>
          <w:rFonts w:ascii="Arial" w:cs="Arial" w:eastAsia="Arial" w:hAnsi="Arial"/>
          <w:sz w:val="16"/>
          <w:szCs w:val="16"/>
          <w:color w:val="auto"/>
        </w:rPr>
      </w:pPr>
      <w:r>
        <w:rPr>
          <w:rFonts w:ascii="Arial" w:cs="Arial" w:eastAsia="Arial" w:hAnsi="Arial"/>
          <w:sz w:val="18"/>
          <w:szCs w:val="18"/>
          <w:color w:val="auto"/>
        </w:rPr>
        <w:t>Corporate Reorganization operations, employees, property, assets and obligations of BioAtla, LLC (exclusive of the profits interest liability and Himalaya Therapeutics SEZC now held by Himalaya Parent LLC) are held by BioAtla, Inc. Shares of Series D convertible preferred stock were subsequently converted into common stock as part of the Company's initial public offering ("IPO") in December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Deconsolidation</w:t>
      </w:r>
    </w:p>
    <w:p>
      <w:pPr>
        <w:spacing w:after="0" w:line="131" w:lineRule="exact"/>
        <w:rPr>
          <w:sz w:val="20"/>
          <w:szCs w:val="20"/>
          <w:color w:val="auto"/>
        </w:rPr>
      </w:pPr>
    </w:p>
    <w:p>
      <w:pPr>
        <w:ind w:right="40" w:firstLine="441"/>
        <w:spacing w:after="0" w:line="288" w:lineRule="auto"/>
        <w:rPr>
          <w:sz w:val="20"/>
          <w:szCs w:val="20"/>
          <w:color w:val="auto"/>
        </w:rPr>
      </w:pPr>
      <w:r>
        <w:rPr>
          <w:rFonts w:ascii="Arial" w:cs="Arial" w:eastAsia="Arial" w:hAnsi="Arial"/>
          <w:sz w:val="17"/>
          <w:szCs w:val="17"/>
          <w:color w:val="auto"/>
        </w:rPr>
        <w:t>Prior to the Corporate Reorganization in July 2020,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and subsequent to the Distribution as defined and described above, Himalaya Parent LLC does not control, is not under common control with, and is not consolidated by BioAtla, Inc. and BioAtla, Inc. is a single legal entity with no consolidated variable interest entities ("VIEs") or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31"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June 30, 2021, the Company had an accumulated deficit of $140.0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ind w:right="440"/>
        <w:spacing w:after="0" w:line="293" w:lineRule="auto"/>
        <w:rPr>
          <w:sz w:val="20"/>
          <w:szCs w:val="20"/>
          <w:color w:val="auto"/>
        </w:rPr>
      </w:pPr>
      <w:r>
        <w:rPr>
          <w:rFonts w:ascii="Arial" w:cs="Arial" w:eastAsia="Arial" w:hAnsi="Arial"/>
          <w:sz w:val="18"/>
          <w:szCs w:val="18"/>
          <w:color w:val="auto"/>
        </w:rPr>
        <w:t>payment terms with suppliers, liquidate assets where possible, or suspend or curtail planned programs. Any of these actions could materially harm the Company’s business, results of operations and future prospects.</w:t>
      </w:r>
    </w:p>
    <w:p>
      <w:pPr>
        <w:spacing w:after="0" w:line="170" w:lineRule="exact"/>
        <w:rPr>
          <w:sz w:val="20"/>
          <w:szCs w:val="20"/>
          <w:color w:val="auto"/>
        </w:rPr>
      </w:pPr>
    </w:p>
    <w:p>
      <w:pPr>
        <w:ind w:right="240" w:firstLine="441"/>
        <w:spacing w:after="0" w:line="290"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ind w:firstLine="441"/>
        <w:spacing w:after="0" w:line="287" w:lineRule="auto"/>
        <w:rPr>
          <w:sz w:val="20"/>
          <w:szCs w:val="20"/>
          <w:color w:val="auto"/>
        </w:rPr>
      </w:pPr>
      <w:r>
        <w:rPr>
          <w:rFonts w:ascii="Arial" w:cs="Arial" w:eastAsia="Arial" w:hAnsi="Arial"/>
          <w:sz w:val="17"/>
          <w:szCs w:val="17"/>
          <w:color w:val="auto"/>
        </w:rPr>
        <w:t>The unaudited condensed consolidated financial statements as of June 30, 2021, and for the three and six months ended June 30, 2021 and 2020,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2020, included in its Annual Report on Form 10-K filed with the SEC on March 24,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40" w:firstLine="441"/>
        <w:spacing w:after="0" w:line="287" w:lineRule="auto"/>
        <w:rPr>
          <w:sz w:val="20"/>
          <w:szCs w:val="20"/>
          <w:color w:val="auto"/>
        </w:rPr>
      </w:pPr>
      <w:r>
        <w:rPr>
          <w:rFonts w:ascii="Arial" w:cs="Arial" w:eastAsia="Arial" w:hAnsi="Arial"/>
          <w:sz w:val="17"/>
          <w:szCs w:val="17"/>
          <w:color w:val="auto"/>
        </w:rPr>
        <w:t>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31" w:lineRule="exact"/>
        <w:rPr>
          <w:sz w:val="20"/>
          <w:szCs w:val="20"/>
          <w:color w:val="auto"/>
        </w:rPr>
      </w:pPr>
    </w:p>
    <w:p>
      <w:pPr>
        <w:ind w:right="40" w:firstLine="441"/>
        <w:spacing w:after="0" w:line="275"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ind w:right="400" w:firstLine="441"/>
        <w:spacing w:after="0" w:line="303" w:lineRule="auto"/>
        <w:rPr>
          <w:sz w:val="20"/>
          <w:szCs w:val="20"/>
          <w:color w:val="auto"/>
        </w:rPr>
      </w:pPr>
      <w:r>
        <w:rPr>
          <w:rFonts w:ascii="Arial" w:cs="Arial" w:eastAsia="Arial" w:hAnsi="Arial"/>
          <w:sz w:val="17"/>
          <w:szCs w:val="17"/>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 corporate tax provisions included within the bill are not expected to have a material impact on the Company.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w:t>
      </w:r>
    </w:p>
    <w:p>
      <w:pPr>
        <w:spacing w:after="0" w:line="2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owner sources. There have been no items qualifying as other comprehensive loss and, therefore, for all periods presented, the Company’s comprehensive loss was the same as its reported net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1" w:lineRule="exact"/>
        <w:rPr>
          <w:sz w:val="20"/>
          <w:szCs w:val="20"/>
          <w:color w:val="auto"/>
        </w:rPr>
      </w:pPr>
    </w:p>
    <w:p>
      <w:pPr>
        <w:ind w:right="60" w:firstLine="441"/>
        <w:spacing w:after="0" w:line="319" w:lineRule="auto"/>
        <w:rPr>
          <w:sz w:val="20"/>
          <w:szCs w:val="20"/>
          <w:color w:val="auto"/>
        </w:rPr>
      </w:pPr>
      <w:r>
        <w:rPr>
          <w:rFonts w:ascii="Arial" w:cs="Arial" w:eastAsia="Arial" w:hAnsi="Arial"/>
          <w:sz w:val="16"/>
          <w:szCs w:val="16"/>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and common stock options outstanding under the Company’s stock option plan.</w:t>
      </w:r>
    </w:p>
    <w:p>
      <w:pPr>
        <w:spacing w:after="0" w:line="156" w:lineRule="exact"/>
        <w:rPr>
          <w:sz w:val="20"/>
          <w:szCs w:val="20"/>
          <w:color w:val="auto"/>
        </w:rPr>
      </w:pPr>
    </w:p>
    <w:p>
      <w:pPr>
        <w:ind w:firstLine="441"/>
        <w:spacing w:after="0" w:line="279" w:lineRule="auto"/>
        <w:rPr>
          <w:sz w:val="20"/>
          <w:szCs w:val="20"/>
          <w:color w:val="auto"/>
        </w:rPr>
      </w:pPr>
      <w:r>
        <w:rPr>
          <w:rFonts w:ascii="Arial" w:cs="Arial" w:eastAsia="Arial" w:hAnsi="Arial"/>
          <w:sz w:val="18"/>
          <w:szCs w:val="18"/>
          <w:color w:val="auto"/>
        </w:rPr>
        <w:t>For the three and six months ended June 30, 2020, the Company determined that the attribution of pre-Corporate Reorganization net loss based on the post-Corporate Reorganization capital structure would not meaningfully represent the economic rights of the unit holders. As a result, the Company presents net loss per share information only for the period subsequent to the Corporate Reorganization.</w:t>
      </w:r>
    </w:p>
    <w:p>
      <w:pPr>
        <w:spacing w:after="0" w:line="183" w:lineRule="exact"/>
        <w:rPr>
          <w:sz w:val="20"/>
          <w:szCs w:val="20"/>
          <w:color w:val="auto"/>
        </w:rPr>
      </w:pPr>
    </w:p>
    <w:p>
      <w:pPr>
        <w:ind w:right="280" w:firstLine="441"/>
        <w:spacing w:after="0" w:line="293"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380" w:type="dxa"/>
            <w:vAlign w:val="bottom"/>
          </w:tcPr>
          <w:p>
            <w:pPr>
              <w:spacing w:after="0"/>
              <w:rPr>
                <w:sz w:val="15"/>
                <w:szCs w:val="15"/>
                <w:color w:val="auto"/>
              </w:rPr>
            </w:pPr>
          </w:p>
        </w:tc>
        <w:tc>
          <w:tcPr>
            <w:tcW w:w="152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5"/>
                <w:szCs w:val="15"/>
                <w:color w:val="auto"/>
              </w:rPr>
            </w:pPr>
          </w:p>
        </w:tc>
      </w:tr>
      <w:tr>
        <w:trPr>
          <w:trHeight w:val="192"/>
        </w:trPr>
        <w:tc>
          <w:tcPr>
            <w:tcW w:w="7380" w:type="dxa"/>
            <w:vAlign w:val="bottom"/>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5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22"/>
                <w:szCs w:val="22"/>
                <w:color w:val="auto"/>
              </w:rPr>
            </w:pP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Common stock options</w:t>
            </w:r>
          </w:p>
        </w:tc>
        <w:tc>
          <w:tcPr>
            <w:tcW w:w="1520" w:type="dxa"/>
            <w:vAlign w:val="bottom"/>
          </w:tcPr>
          <w:p>
            <w:pPr>
              <w:jc w:val="right"/>
              <w:spacing w:after="0"/>
              <w:rPr>
                <w:sz w:val="20"/>
                <w:szCs w:val="20"/>
                <w:color w:val="auto"/>
              </w:rPr>
            </w:pPr>
            <w:r>
              <w:rPr>
                <w:rFonts w:ascii="Arial" w:cs="Arial" w:eastAsia="Arial" w:hAnsi="Arial"/>
                <w:sz w:val="18"/>
                <w:szCs w:val="18"/>
                <w:color w:val="auto"/>
              </w:rPr>
              <w:t>850,149</w:t>
            </w:r>
          </w:p>
        </w:tc>
        <w:tc>
          <w:tcPr>
            <w:tcW w:w="80" w:type="dxa"/>
            <w:vAlign w:val="bottom"/>
          </w:tcPr>
          <w:p>
            <w:pPr>
              <w:spacing w:after="0"/>
              <w:rPr>
                <w:sz w:val="21"/>
                <w:szCs w:val="21"/>
                <w:color w:val="auto"/>
              </w:rPr>
            </w:pPr>
          </w:p>
        </w:tc>
      </w:tr>
      <w:tr>
        <w:trPr>
          <w:trHeight w:val="257"/>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1,781,576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3,349,399</w:t>
            </w:r>
          </w:p>
        </w:tc>
        <w:tc>
          <w:tcPr>
            <w:tcW w:w="80" w:type="dxa"/>
            <w:vAlign w:val="bottom"/>
          </w:tcPr>
          <w:p>
            <w:pPr>
              <w:spacing w:after="0"/>
              <w:rPr>
                <w:sz w:val="21"/>
                <w:szCs w:val="21"/>
                <w:color w:val="auto"/>
              </w:rPr>
            </w:pPr>
          </w:p>
        </w:tc>
      </w:tr>
      <w:tr>
        <w:trPr>
          <w:trHeight w:val="20"/>
        </w:trPr>
        <w:tc>
          <w:tcPr>
            <w:tcW w:w="7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80" w:firstLine="441"/>
        <w:spacing w:after="0" w:line="287"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model and requires a lessee to recognize on the balance sheet a right-of-use asset and corresponding lease liability for all leases with terms longer than 12 months. Leases will be classified as either finance or operating, with classification affecting the pattern of expense recognition in the income statement. ASU No. 2016-02 is effective for annual periods beginning after December 15, 2021, and interim periods within fiscal years beginning after December 15, 2022 and early adoption is permitted. While management is currently assessing the impact this new standard will have, the expected primary impact to its consolidated financial position upon adoption will be the recognition, on a discounted basis, of its minimum commitments under noncancelable operating leases on its consolidated balance sheets resulting in the recording of right of use assets and lease liabilities. The Company’s current minimum commitments under its noncancelable operating leases are disclosed in Note 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2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Prepaid insurance</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Other prepaid expenses and current assets</w:t>
            </w:r>
          </w:p>
        </w:tc>
        <w:tc>
          <w:tcPr>
            <w:tcW w:w="19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4,722</w:t>
            </w:r>
          </w:p>
        </w:tc>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80" w:type="dxa"/>
            <w:vAlign w:val="bottom"/>
            <w:vMerge w:val="restart"/>
          </w:tcPr>
          <w:p>
            <w:pPr>
              <w:jc w:val="right"/>
              <w:ind w:right="139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-553720</wp:posOffset>
            </wp:positionV>
            <wp:extent cx="1371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-553720</wp:posOffset>
            </wp:positionV>
            <wp:extent cx="431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57"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Useful life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760" w:type="dxa"/>
            <w:vAlign w:val="bottom"/>
          </w:tcPr>
          <w:p>
            <w:pPr>
              <w:spacing w:after="0"/>
              <w:rPr>
                <w:sz w:val="22"/>
                <w:szCs w:val="22"/>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920" w:type="dxa"/>
            <w:vAlign w:val="bottom"/>
            <w:gridSpan w:val="2"/>
            <w:shd w:val="clear" w:color="auto" w:fill="CFF0FC"/>
          </w:tcPr>
          <w:p>
            <w:pPr>
              <w:jc w:val="center"/>
              <w:ind w:left="155"/>
              <w:spacing w:after="0"/>
              <w:rPr>
                <w:sz w:val="20"/>
                <w:szCs w:val="20"/>
                <w:color w:val="auto"/>
              </w:rPr>
            </w:pPr>
            <w:r>
              <w:rPr>
                <w:rFonts w:ascii="Arial" w:cs="Arial" w:eastAsia="Arial" w:hAnsi="Arial"/>
                <w:sz w:val="18"/>
                <w:szCs w:val="18"/>
                <w:color w:val="auto"/>
                <w:w w:val="88"/>
              </w:rPr>
              <w:t>3 - 7</w:t>
            </w:r>
          </w:p>
        </w:tc>
        <w:tc>
          <w:tcPr>
            <w:tcW w:w="860" w:type="dxa"/>
            <w:vAlign w:val="bottom"/>
            <w:gridSpan w:val="3"/>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Borders>
              <w:right w:val="single" w:sz="8" w:color="CFF0FC"/>
            </w:tcBorders>
            <w:shd w:val="clear" w:color="auto" w:fill="CFF0FC"/>
          </w:tcPr>
          <w:p>
            <w:pPr>
              <w:spacing w:after="0"/>
              <w:rPr>
                <w:sz w:val="22"/>
                <w:szCs w:val="22"/>
                <w:color w:val="auto"/>
              </w:rPr>
            </w:pP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80" w:type="dxa"/>
            <w:vAlign w:val="bottom"/>
            <w:shd w:val="clear" w:color="auto" w:fill="CFF0FC"/>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660" w:type="dxa"/>
            <w:vAlign w:val="bottom"/>
          </w:tcPr>
          <w:p>
            <w:pPr>
              <w:jc w:val="center"/>
              <w:ind w:left="415"/>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21"/>
                <w:szCs w:val="21"/>
                <w:color w:val="auto"/>
              </w:rPr>
            </w:pPr>
          </w:p>
        </w:tc>
      </w:tr>
      <w:tr>
        <w:trPr>
          <w:trHeight w:val="263"/>
        </w:trPr>
        <w:tc>
          <w:tcPr>
            <w:tcW w:w="760" w:type="dxa"/>
            <w:vAlign w:val="bottom"/>
          </w:tcPr>
          <w:p>
            <w:pPr>
              <w:spacing w:after="0"/>
              <w:rPr>
                <w:sz w:val="22"/>
                <w:szCs w:val="22"/>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gridSpan w:val="2"/>
            <w:shd w:val="clear" w:color="auto" w:fill="CFF0FC"/>
          </w:tcPr>
          <w:p>
            <w:pPr>
              <w:jc w:val="center"/>
              <w:ind w:left="155"/>
              <w:spacing w:after="0"/>
              <w:rPr>
                <w:sz w:val="20"/>
                <w:szCs w:val="20"/>
                <w:color w:val="auto"/>
              </w:rPr>
            </w:pPr>
            <w:r>
              <w:rPr>
                <w:rFonts w:ascii="Arial" w:cs="Arial" w:eastAsia="Arial" w:hAnsi="Arial"/>
                <w:sz w:val="18"/>
                <w:szCs w:val="18"/>
                <w:color w:val="auto"/>
                <w:w w:val="88"/>
              </w:rPr>
              <w:t>2 - 3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200" w:type="dxa"/>
            <w:vAlign w:val="bottom"/>
            <w:tcBorders>
              <w:right w:val="single" w:sz="8" w:color="CFF0FC"/>
            </w:tcBorders>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80" w:type="dxa"/>
            <w:vAlign w:val="bottom"/>
            <w:shd w:val="clear" w:color="auto" w:fill="CFF0FC"/>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47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7,919</w:t>
            </w:r>
          </w:p>
        </w:tc>
        <w:tc>
          <w:tcPr>
            <w:tcW w:w="200" w:type="dxa"/>
            <w:vAlign w:val="bottom"/>
            <w:tcBorders>
              <w:right w:val="single" w:sz="8" w:color="CFF0FC"/>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7,172</w:t>
            </w:r>
          </w:p>
        </w:tc>
        <w:tc>
          <w:tcPr>
            <w:tcW w:w="80" w:type="dxa"/>
            <w:vAlign w:val="bottom"/>
            <w:shd w:val="clear" w:color="auto" w:fill="CFF0FC"/>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(3,696 )</w:t>
            </w:r>
          </w:p>
        </w:tc>
        <w:tc>
          <w:tcPr>
            <w:tcW w:w="50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0"/>
              </w:rPr>
              <w:t>(3,070 )</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760" w:type="dxa"/>
            <w:vAlign w:val="bottom"/>
          </w:tcPr>
          <w:p>
            <w:pPr>
              <w:spacing w:after="0"/>
              <w:rPr>
                <w:sz w:val="23"/>
                <w:szCs w:val="23"/>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60" w:type="dxa"/>
            <w:vAlign w:val="bottom"/>
            <w:gridSpan w:val="3"/>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200" w:type="dxa"/>
            <w:vAlign w:val="bottom"/>
            <w:tcBorders>
              <w:right w:val="single" w:sz="8" w:color="CFF0FC"/>
            </w:tcBorders>
            <w:shd w:val="clear" w:color="auto" w:fill="CFF0FC"/>
          </w:tcPr>
          <w:p>
            <w:pPr>
              <w:spacing w:after="0"/>
              <w:rPr>
                <w:sz w:val="23"/>
                <w:szCs w:val="23"/>
                <w:color w:val="auto"/>
              </w:rPr>
            </w:pP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4,102</w:t>
            </w:r>
          </w:p>
        </w:tc>
        <w:tc>
          <w:tcPr>
            <w:tcW w:w="80" w:type="dxa"/>
            <w:vAlign w:val="bottom"/>
            <w:shd w:val="clear" w:color="auto" w:fill="CFF0FC"/>
          </w:tcPr>
          <w:p>
            <w:pPr>
              <w:spacing w:after="0"/>
              <w:rPr>
                <w:sz w:val="23"/>
                <w:szCs w:val="23"/>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7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473"/>
        </w:trPr>
        <w:tc>
          <w:tcPr>
            <w:tcW w:w="6040" w:type="dxa"/>
            <w:vAlign w:val="bottom"/>
            <w:gridSpan w:val="3"/>
          </w:tcPr>
          <w:p>
            <w:pPr>
              <w:spacing w:after="0"/>
              <w:rPr>
                <w:sz w:val="20"/>
                <w:szCs w:val="20"/>
                <w:color w:val="auto"/>
              </w:rPr>
            </w:pPr>
            <w:r>
              <w:rPr>
                <w:rFonts w:ascii="Arial" w:cs="Arial" w:eastAsia="Arial" w:hAnsi="Arial"/>
                <w:sz w:val="18"/>
                <w:szCs w:val="18"/>
                <w:color w:val="auto"/>
                <w:w w:val="94"/>
              </w:rPr>
              <w:t>Accounts payable and accrued expenses consist of the following (in thousands):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6"/>
        </w:trPr>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5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80" w:type="dxa"/>
            <w:vAlign w:val="bottom"/>
            <w:shd w:val="clear" w:color="auto" w:fill="CFF0FC"/>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compensation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11,743</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FF0FC"/>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equity issuance costs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6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right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FF0FC"/>
            </w:tcBorders>
            <w:shd w:val="clear" w:color="auto" w:fill="CFF0FC"/>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15,898</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12,068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-1739900</wp:posOffset>
            </wp:positionV>
            <wp:extent cx="128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-1722120</wp:posOffset>
            </wp:positionV>
            <wp:extent cx="1282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-1739900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-1722120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-193675</wp:posOffset>
            </wp:positionV>
            <wp:extent cx="1371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35" w:lineRule="exact"/>
        <w:rPr>
          <w:sz w:val="20"/>
          <w:szCs w:val="20"/>
          <w:color w:val="auto"/>
        </w:rPr>
      </w:pPr>
    </w:p>
    <w:p>
      <w:pPr>
        <w:ind w:right="40" w:firstLine="441"/>
        <w:spacing w:after="0" w:line="279"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June 30, 2021 and December 31, 2020, the Company had no financial assets or liabilities measured at fair value on a recurring basis.</w:t>
      </w:r>
    </w:p>
    <w:p>
      <w:pPr>
        <w:spacing w:after="0" w:line="183" w:lineRule="exact"/>
        <w:rPr>
          <w:sz w:val="20"/>
          <w:szCs w:val="20"/>
          <w:color w:val="auto"/>
        </w:rPr>
      </w:pPr>
    </w:p>
    <w:p>
      <w:pPr>
        <w:jc w:val="both"/>
        <w:ind w:right="40" w:firstLine="441"/>
        <w:spacing w:after="0" w:line="314"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50" w:lineRule="exact"/>
        <w:rPr>
          <w:sz w:val="20"/>
          <w:szCs w:val="20"/>
          <w:color w:val="auto"/>
        </w:rPr>
      </w:pPr>
    </w:p>
    <w:p>
      <w:pPr>
        <w:ind w:right="460" w:firstLine="441"/>
        <w:spacing w:after="0" w:line="293"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and Other Debt</w:t>
      </w:r>
    </w:p>
    <w:p>
      <w:pPr>
        <w:spacing w:after="0" w:line="135" w:lineRule="exact"/>
        <w:rPr>
          <w:sz w:val="20"/>
          <w:szCs w:val="20"/>
          <w:color w:val="auto"/>
        </w:rPr>
      </w:pPr>
    </w:p>
    <w:p>
      <w:pPr>
        <w:ind w:firstLine="441"/>
        <w:spacing w:after="0" w:line="299" w:lineRule="auto"/>
        <w:rPr>
          <w:sz w:val="20"/>
          <w:szCs w:val="20"/>
          <w:color w:val="auto"/>
        </w:rPr>
      </w:pPr>
      <w:r>
        <w:rPr>
          <w:rFonts w:ascii="Arial" w:cs="Arial" w:eastAsia="Arial" w:hAnsi="Arial"/>
          <w:sz w:val="16"/>
          <w:szCs w:val="16"/>
          <w:color w:val="auto"/>
        </w:rPr>
        <w:t>The Company issued convertible promissory notes between December 2015 and May 2020 totaling $21.8 million, of which $2.0 million was with related parties. The convertible promissory notes accrued interest at 8% per annum with maturity dates of five years after issuance. The convertible promissory notes were settled in connection with the Company’s Series D financing in July 2020. As of June 30, 2021, the Company had $0.7 million outstanding under a promissory note issued pursuant to the Paycheck Protection Program (“PPP”) of the CARES Act. On July 2, 2021, the Company received notice from its lender that the U.S. Small Business Administration ("SBA") had approved the Company's application for forgiveness and that there was no remaining balance on the PPP Loan. The Company expects to record the forgiveness as other income in July 2021. For the three and six months ended June 30, 2021, the Company recognized interest expense related to its outstanding debt of $1,000 and $3,000, respectively. For the three and six months ended June 30, 2020, the Company recognized interest expense related to its outstanding debt of $0.8 million and $1.3 million, respectively.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31" w:lineRule="exact"/>
        <w:rPr>
          <w:sz w:val="20"/>
          <w:szCs w:val="20"/>
          <w:color w:val="auto"/>
        </w:rPr>
      </w:pPr>
    </w:p>
    <w:p>
      <w:pPr>
        <w:ind w:right="60" w:firstLine="441"/>
        <w:spacing w:after="0" w:line="290" w:lineRule="auto"/>
        <w:rPr>
          <w:sz w:val="20"/>
          <w:szCs w:val="20"/>
          <w:color w:val="auto"/>
        </w:rPr>
      </w:pPr>
      <w:r>
        <w:rPr>
          <w:rFonts w:ascii="Arial" w:cs="Arial" w:eastAsia="Arial" w:hAnsi="Arial"/>
          <w:sz w:val="17"/>
          <w:szCs w:val="17"/>
          <w:color w:val="auto"/>
        </w:rPr>
        <w:t>In June 2017, as amended in January 2019, the Company entered into a non-cancellable operating lease for its corporate headquarters and laboratory space in San Diego, California. The lease commenced in January 2018, the period the Company gained access to the leased space and began recognizing rent expense. The lease expires in July 2025 and the Company has an option to extend the term of the lease for an additional five years. The lease includes certain rent abatement, rent escalations, tenant improvement allowances and additional charges for common area maintenance and other costs. Rent expense for the three and six months ended June 30, 2021 was $0.4 million and $0.8 million, respectively. Rent expense for the three and six months ended June 30, 2020 was $0.5 million and $0.9 million, respectively.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minimum payments under the non-cancelable operating lease as of June 30, 2021 are as follows (in thousands):</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rPr>
              <w:t>Operating</w:t>
            </w:r>
          </w:p>
        </w:tc>
        <w:tc>
          <w:tcPr>
            <w:tcW w:w="60" w:type="dxa"/>
            <w:vAlign w:val="bottom"/>
          </w:tcPr>
          <w:p>
            <w:pPr>
              <w:spacing w:after="0"/>
              <w:rPr>
                <w:sz w:val="15"/>
                <w:szCs w:val="15"/>
                <w:color w:val="auto"/>
              </w:rPr>
            </w:pPr>
          </w:p>
        </w:tc>
      </w:tr>
      <w:tr>
        <w:trPr>
          <w:trHeight w:val="17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60" w:type="dxa"/>
            <w:vAlign w:val="bottom"/>
          </w:tcPr>
          <w:p>
            <w:pPr>
              <w:spacing w:after="0"/>
              <w:rPr>
                <w:sz w:val="14"/>
                <w:szCs w:val="14"/>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4"/>
                <w:szCs w:val="14"/>
                <w:color w:val="auto"/>
              </w:rPr>
            </w:pPr>
          </w:p>
        </w:tc>
      </w:tr>
      <w:tr>
        <w:trPr>
          <w:trHeight w:val="20"/>
        </w:trPr>
        <w:tc>
          <w:tcPr>
            <w:tcW w:w="170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(6 months)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FF0FC"/>
          </w:tcPr>
          <w:p>
            <w:pPr>
              <w:spacing w:after="0"/>
              <w:rPr>
                <w:sz w:val="20"/>
                <w:szCs w:val="20"/>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1,555</w:t>
            </w:r>
          </w:p>
        </w:tc>
        <w:tc>
          <w:tcPr>
            <w:tcW w:w="60" w:type="dxa"/>
            <w:vAlign w:val="bottom"/>
          </w:tcPr>
          <w:p>
            <w:pPr>
              <w:spacing w:after="0"/>
              <w:rPr>
                <w:sz w:val="21"/>
                <w:szCs w:val="21"/>
                <w:color w:val="auto"/>
              </w:rPr>
            </w:pPr>
          </w:p>
        </w:tc>
      </w:tr>
      <w:tr>
        <w:trPr>
          <w:trHeight w:val="263"/>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8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60" w:type="dxa"/>
            <w:vAlign w:val="bottom"/>
            <w:shd w:val="clear" w:color="auto" w:fill="CFF0FC"/>
          </w:tcPr>
          <w:p>
            <w:pPr>
              <w:spacing w:after="0"/>
              <w:rPr>
                <w:sz w:val="22"/>
                <w:szCs w:val="22"/>
                <w:color w:val="auto"/>
              </w:rPr>
            </w:pPr>
          </w:p>
        </w:tc>
      </w:tr>
      <w:tr>
        <w:trPr>
          <w:trHeight w:val="250"/>
        </w:trPr>
        <w:tc>
          <w:tcPr>
            <w:tcW w:w="1700" w:type="dxa"/>
            <w:vAlign w:val="bottom"/>
          </w:tcPr>
          <w:p>
            <w:pPr>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w:t>
            </w:r>
          </w:p>
        </w:tc>
        <w:tc>
          <w:tcPr>
            <w:tcW w:w="60" w:type="dxa"/>
            <w:vAlign w:val="bottom"/>
          </w:tcPr>
          <w:p>
            <w:pPr>
              <w:spacing w:after="0"/>
              <w:rPr>
                <w:sz w:val="21"/>
                <w:szCs w:val="21"/>
                <w:color w:val="auto"/>
              </w:rPr>
            </w:pPr>
          </w:p>
        </w:tc>
      </w:tr>
      <w:tr>
        <w:trPr>
          <w:trHeight w:val="257"/>
        </w:trPr>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w:t>
            </w:r>
          </w:p>
        </w:tc>
        <w:tc>
          <w:tcPr>
            <w:tcW w:w="6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-193675</wp:posOffset>
            </wp:positionV>
            <wp:extent cx="431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3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Stockholders’/Members' Equity (Deficit)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statement of members' deficit for the three months ended June 30, 2020 is as follows (in thousands, except unit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920" w:type="dxa"/>
            <w:vAlign w:val="bottom"/>
            <w:gridSpan w:val="4"/>
            <w:vMerge w:val="restart"/>
          </w:tcPr>
          <w:p>
            <w:pPr>
              <w:jc w:val="right"/>
              <w:ind w:right="257"/>
              <w:spacing w:after="0"/>
              <w:rPr>
                <w:sz w:val="20"/>
                <w:szCs w:val="20"/>
                <w:color w:val="auto"/>
              </w:rPr>
            </w:pPr>
            <w:r>
              <w:rPr>
                <w:rFonts w:ascii="Arial" w:cs="Arial" w:eastAsia="Arial" w:hAnsi="Arial"/>
                <w:sz w:val="13"/>
                <w:szCs w:val="13"/>
                <w:b w:val="1"/>
                <w:bCs w:val="1"/>
                <w:color w:val="auto"/>
              </w:rPr>
              <w:t>Class C Preferred Units</w:t>
            </w:r>
          </w:p>
        </w:tc>
        <w:tc>
          <w:tcPr>
            <w:tcW w:w="24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Class A Units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Members’</w:t>
            </w: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Units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2020</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(149,958 )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(57,615 )</w:t>
            </w:r>
          </w:p>
        </w:tc>
        <w:tc>
          <w:tcPr>
            <w:tcW w:w="0" w:type="dxa"/>
            <w:vAlign w:val="bottom"/>
          </w:tcPr>
          <w:p>
            <w:pPr>
              <w:spacing w:after="0"/>
              <w:rPr>
                <w:sz w:val="1"/>
                <w:szCs w:val="1"/>
                <w:color w:val="auto"/>
              </w:rPr>
            </w:pPr>
          </w:p>
        </w:tc>
      </w:tr>
      <w:tr>
        <w:trPr>
          <w:trHeight w:val="181"/>
        </w:trPr>
        <w:tc>
          <w:tcPr>
            <w:tcW w:w="2220" w:type="dxa"/>
            <w:vAlign w:val="bottom"/>
          </w:tcPr>
          <w:p>
            <w:pPr>
              <w:ind w:left="120"/>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(6,222 )</w:t>
            </w:r>
          </w:p>
        </w:tc>
        <w:tc>
          <w:tcPr>
            <w:tcW w:w="1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(6,222 )</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(156,180 )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(63,837 )</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-25400</wp:posOffset>
            </wp:positionV>
            <wp:extent cx="1543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-8255</wp:posOffset>
            </wp:positionV>
            <wp:extent cx="1543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-25400</wp:posOffset>
            </wp:positionV>
            <wp:extent cx="1543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154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137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37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137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statement of members' deficit for the six months ended June 30, 2020 is as follows (in thousands, except unit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920" w:type="dxa"/>
            <w:vAlign w:val="bottom"/>
            <w:gridSpan w:val="4"/>
            <w:vMerge w:val="restart"/>
          </w:tcPr>
          <w:p>
            <w:pPr>
              <w:jc w:val="right"/>
              <w:ind w:right="257"/>
              <w:spacing w:after="0"/>
              <w:rPr>
                <w:sz w:val="20"/>
                <w:szCs w:val="20"/>
                <w:color w:val="auto"/>
              </w:rPr>
            </w:pPr>
            <w:r>
              <w:rPr>
                <w:rFonts w:ascii="Arial" w:cs="Arial" w:eastAsia="Arial" w:hAnsi="Arial"/>
                <w:sz w:val="13"/>
                <w:szCs w:val="13"/>
                <w:b w:val="1"/>
                <w:bCs w:val="1"/>
                <w:color w:val="auto"/>
              </w:rPr>
              <w:t>Class C Preferred Units</w:t>
            </w:r>
          </w:p>
        </w:tc>
        <w:tc>
          <w:tcPr>
            <w:tcW w:w="24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Class A Units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200" w:type="dxa"/>
            <w:vAlign w:val="bottom"/>
          </w:tcPr>
          <w:p>
            <w:pPr>
              <w:spacing w:after="0"/>
              <w:rPr>
                <w:sz w:val="14"/>
                <w:szCs w:val="14"/>
                <w:color w:val="auto"/>
              </w:rPr>
            </w:pPr>
          </w:p>
        </w:tc>
        <w:tc>
          <w:tcPr>
            <w:tcW w:w="192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Members’</w:t>
            </w:r>
          </w:p>
        </w:tc>
        <w:tc>
          <w:tcPr>
            <w:tcW w:w="0" w:type="dxa"/>
            <w:vAlign w:val="bottom"/>
          </w:tcPr>
          <w:p>
            <w:pPr>
              <w:spacing w:after="0"/>
              <w:rPr>
                <w:sz w:val="1"/>
                <w:szCs w:val="1"/>
                <w:color w:val="auto"/>
              </w:rPr>
            </w:pPr>
          </w:p>
        </w:tc>
      </w:tr>
      <w:tr>
        <w:trPr>
          <w:trHeight w:val="177"/>
        </w:trPr>
        <w:tc>
          <w:tcPr>
            <w:tcW w:w="2200" w:type="dxa"/>
            <w:vAlign w:val="bottom"/>
          </w:tcPr>
          <w:p>
            <w:pPr>
              <w:spacing w:after="0"/>
              <w:rPr>
                <w:sz w:val="15"/>
                <w:szCs w:val="15"/>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Units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Amount</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Units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2019</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(148,354 )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(56,011 )</w:t>
            </w:r>
          </w:p>
        </w:tc>
        <w:tc>
          <w:tcPr>
            <w:tcW w:w="0" w:type="dxa"/>
            <w:vAlign w:val="bottom"/>
          </w:tcPr>
          <w:p>
            <w:pPr>
              <w:spacing w:after="0"/>
              <w:rPr>
                <w:sz w:val="1"/>
                <w:szCs w:val="1"/>
                <w:color w:val="auto"/>
              </w:rPr>
            </w:pPr>
          </w:p>
        </w:tc>
      </w:tr>
      <w:tr>
        <w:trPr>
          <w:trHeight w:val="181"/>
        </w:trPr>
        <w:tc>
          <w:tcPr>
            <w:tcW w:w="2200" w:type="dxa"/>
            <w:vAlign w:val="bottom"/>
          </w:tcPr>
          <w:p>
            <w:pPr>
              <w:ind w:left="120"/>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(7,826 )</w:t>
            </w: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(7,826 )</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2020</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23,968,178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89,345</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54,600,000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(156,180 )</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(47 )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(63,837 )</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-24765</wp:posOffset>
            </wp:positionV>
            <wp:extent cx="1543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-7620</wp:posOffset>
            </wp:positionV>
            <wp:extent cx="154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-24765</wp:posOffset>
            </wp:positionV>
            <wp:extent cx="1543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154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31" w:lineRule="exact"/>
        <w:rPr>
          <w:sz w:val="20"/>
          <w:szCs w:val="20"/>
          <w:color w:val="auto"/>
        </w:rPr>
      </w:pPr>
    </w:p>
    <w:p>
      <w:pPr>
        <w:ind w:right="40" w:firstLine="441"/>
        <w:spacing w:after="0" w:line="275" w:lineRule="auto"/>
        <w:rPr>
          <w:sz w:val="20"/>
          <w:szCs w:val="20"/>
          <w:color w:val="auto"/>
        </w:rPr>
      </w:pPr>
      <w:r>
        <w:rPr>
          <w:rFonts w:ascii="Arial" w:cs="Arial" w:eastAsia="Arial" w:hAnsi="Arial"/>
          <w:sz w:val="18"/>
          <w:szCs w:val="18"/>
          <w:color w:val="auto"/>
        </w:rPr>
        <w:t>In December 2020, the Company completed its IPO selling 12,075,000 shares of its common stock at $18.00 per share. Proceeds from the Company’s IPO, net of underwriting discounts and commissions and other offering costs, were $198.3 million. In connection with the IPO, all 199,791,519 shares of convertible preferred stock outstanding at the time of the IPO converted into 13,876,510 shares of the Company’s common stock and 1,492,059 shares of the Company’s Class B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31"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right="140"/>
        <w:spacing w:after="0" w:line="288" w:lineRule="auto"/>
        <w:rPr>
          <w:sz w:val="20"/>
          <w:szCs w:val="20"/>
          <w:color w:val="auto"/>
        </w:rPr>
      </w:pPr>
      <w:r>
        <w:rPr>
          <w:rFonts w:ascii="Arial" w:cs="Arial" w:eastAsia="Arial" w:hAnsi="Arial"/>
          <w:sz w:val="17"/>
          <w:szCs w:val="17"/>
          <w:color w:val="auto"/>
        </w:rPr>
        <w:t>awards, restricted stock unit awards, performance stock awards, performance stock unit awards and other stock-based awards. As of June 30, 2021 and December 31, 2020, the total number of common shares authorized for issuance under the 2020 Plan was 6,226,540 and 4,939,678,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1" w:lineRule="exact"/>
        <w:rPr>
          <w:sz w:val="20"/>
          <w:szCs w:val="20"/>
          <w:color w:val="auto"/>
        </w:rPr>
      </w:pPr>
    </w:p>
    <w:p>
      <w:pPr>
        <w:jc w:val="both"/>
        <w:ind w:right="260" w:firstLine="441"/>
        <w:spacing w:after="0" w:line="279" w:lineRule="auto"/>
        <w:rPr>
          <w:sz w:val="20"/>
          <w:szCs w:val="20"/>
          <w:color w:val="auto"/>
        </w:rPr>
      </w:pPr>
      <w:r>
        <w:rPr>
          <w:rFonts w:ascii="Arial" w:cs="Arial" w:eastAsia="Arial" w:hAnsi="Arial"/>
          <w:sz w:val="18"/>
          <w:szCs w:val="18"/>
          <w:color w:val="auto"/>
        </w:rPr>
        <w:t>There was no stock-based compensation expense reported for the three and six months ended June 30, 2020 as the 2020 Plan was not yet adopted. Stock-based compensation expense for the three and six months ended June 30, 2021 has been reported in the consolidated statements of operations and comprehensive loss as follows (in thousands):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15"/>
                <w:szCs w:val="15"/>
                <w:color w:val="auto"/>
              </w:rPr>
            </w:pPr>
          </w:p>
        </w:tc>
      </w:tr>
      <w:tr>
        <w:trPr>
          <w:trHeight w:val="175"/>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5"/>
                <w:szCs w:val="15"/>
                <w:color w:val="auto"/>
              </w:rPr>
            </w:pPr>
          </w:p>
        </w:tc>
      </w:t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5"/>
                <w:szCs w:val="15"/>
                <w:color w:val="auto"/>
              </w:rPr>
            </w:pPr>
          </w:p>
        </w:tc>
      </w:tr>
      <w:tr>
        <w:trPr>
          <w:trHeight w:val="192"/>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r>
      <w:tr>
        <w:trPr>
          <w:trHeight w:val="25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80" w:type="dxa"/>
            <w:vAlign w:val="bottom"/>
          </w:tcPr>
          <w:p>
            <w:pPr>
              <w:spacing w:after="0"/>
              <w:rPr>
                <w:sz w:val="21"/>
                <w:szCs w:val="21"/>
                <w:color w:val="auto"/>
              </w:rPr>
            </w:pPr>
          </w:p>
        </w:tc>
      </w:tr>
      <w:tr>
        <w:trPr>
          <w:trHeight w:val="29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RSU activity under the 2020 Plan for the six months ended June 30, 2021:</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Weighted -</w:t>
            </w:r>
          </w:p>
        </w:tc>
        <w:tc>
          <w:tcPr>
            <w:tcW w:w="80" w:type="dxa"/>
            <w:vAlign w:val="bottom"/>
          </w:tcPr>
          <w:p>
            <w:pPr>
              <w:spacing w:after="0"/>
              <w:rPr>
                <w:sz w:val="15"/>
                <w:szCs w:val="15"/>
                <w:color w:val="auto"/>
              </w:rPr>
            </w:pPr>
          </w:p>
        </w:tc>
      </w:t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5"/>
                <w:szCs w:val="15"/>
                <w:color w:val="auto"/>
              </w:rPr>
            </w:pPr>
          </w:p>
        </w:tc>
      </w:tr>
      <w:tr>
        <w:trPr>
          <w:trHeight w:val="176"/>
        </w:trPr>
        <w:tc>
          <w:tcPr>
            <w:tcW w:w="536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5"/>
                <w:szCs w:val="15"/>
                <w:color w:val="auto"/>
              </w:rPr>
            </w:pPr>
          </w:p>
        </w:tc>
      </w:tr>
      <w:tr>
        <w:trPr>
          <w:trHeight w:val="192"/>
        </w:trPr>
        <w:tc>
          <w:tcPr>
            <w:tcW w:w="536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6"/>
                <w:szCs w:val="16"/>
                <w:color w:val="auto"/>
              </w:rPr>
            </w:pPr>
          </w:p>
        </w:tc>
      </w:tr>
      <w:tr>
        <w:trPr>
          <w:trHeight w:val="25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1,920,037</w:t>
            </w: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FF0FC"/>
          </w:tcPr>
          <w:p>
            <w:pPr>
              <w:spacing w:after="0"/>
              <w:rPr>
                <w:sz w:val="22"/>
                <w:szCs w:val="22"/>
                <w:color w:val="auto"/>
              </w:rPr>
            </w:pPr>
          </w:p>
        </w:tc>
      </w:tr>
      <w:tr>
        <w:trPr>
          <w:trHeight w:val="256"/>
        </w:trPr>
        <w:tc>
          <w:tcPr>
            <w:tcW w:w="5360" w:type="dxa"/>
            <w:vAlign w:val="bottom"/>
          </w:tcPr>
          <w:p>
            <w:pPr>
              <w:ind w:left="260"/>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(138,461 )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2"/>
                <w:szCs w:val="22"/>
                <w:color w:val="auto"/>
              </w:rPr>
            </w:pPr>
          </w:p>
        </w:tc>
      </w:tr>
      <w:tr>
        <w:trPr>
          <w:trHeight w:val="29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1,781,576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jc w:val="both"/>
        <w:ind w:right="140" w:firstLine="441"/>
        <w:spacing w:after="0" w:line="279" w:lineRule="auto"/>
        <w:rPr>
          <w:sz w:val="20"/>
          <w:szCs w:val="20"/>
          <w:color w:val="auto"/>
        </w:rPr>
      </w:pPr>
      <w:r>
        <w:rPr>
          <w:rFonts w:ascii="Arial" w:cs="Arial" w:eastAsia="Arial" w:hAnsi="Arial"/>
          <w:sz w:val="18"/>
          <w:szCs w:val="18"/>
          <w:color w:val="auto"/>
        </w:rPr>
        <w:t>As of June 30, 2021, total unrecognized stock-based compensation expense for RSUs was $23.0 million, which is expected to be recognized over a remaining weighted-average period of approximately 2.7 years. During the six months ended June 30, 2021, the Company modified 138,461 RSU's under the Transition Agreement (See Note 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firstLine="441"/>
        <w:spacing w:after="0" w:line="293" w:lineRule="auto"/>
        <w:rPr>
          <w:sz w:val="20"/>
          <w:szCs w:val="20"/>
          <w:color w:val="auto"/>
        </w:rPr>
      </w:pPr>
      <w:r>
        <w:rPr>
          <w:rFonts w:ascii="Arial" w:cs="Arial" w:eastAsia="Arial" w:hAnsi="Arial"/>
          <w:sz w:val="18"/>
          <w:szCs w:val="18"/>
          <w:color w:val="auto"/>
        </w:rPr>
        <w:t>The following table summarizes stock option activity under the 2020 Plan for the six months ended June 30, 2021 (in thousands, except share and per share data and years):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Weighted -</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5220" w:type="dxa"/>
            <w:vAlign w:val="bottom"/>
          </w:tcPr>
          <w:p>
            <w:pPr>
              <w:spacing w:after="0"/>
              <w:rPr>
                <w:sz w:val="15"/>
                <w:szCs w:val="15"/>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Price Per</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92"/>
        </w:trPr>
        <w:tc>
          <w:tcPr>
            <w:tcW w:w="5220" w:type="dxa"/>
            <w:vAlign w:val="bottom"/>
          </w:tcPr>
          <w:p>
            <w:pPr>
              <w:spacing w:after="0"/>
              <w:rPr>
                <w:sz w:val="16"/>
                <w:szCs w:val="16"/>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25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615,106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CFF0FC"/>
          </w:tcPr>
          <w:p>
            <w:pPr>
              <w:spacing w:after="0"/>
              <w:rPr>
                <w:sz w:val="22"/>
                <w:szCs w:val="22"/>
                <w:color w:val="auto"/>
              </w:rPr>
            </w:pPr>
          </w:p>
        </w:tc>
      </w:tr>
      <w:tr>
        <w:trPr>
          <w:trHeight w:val="256"/>
        </w:trPr>
        <w:tc>
          <w:tcPr>
            <w:tcW w:w="52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44.57</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850,149</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Vested and expected to vest at June 30,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850,149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30, 2021</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3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-401955</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-384810</wp:posOffset>
            </wp:positionV>
            <wp:extent cx="154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154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49"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As of June 30, 2021, total unrecognized stock-based compensation cost for unvested common stock options was $12.6 million, which is expected to be recognized over a remaining weighted-average period of approximately 3.4 years. The weighted- average grant date fair value of stock options granted during the six months ended June 30, 2021 was $28.91 per share. During the six months ended June 30, 2021, the Company modified 7,747 stock options under the Transition Agreement (See Note 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r>
      <w:tr>
        <w:trPr>
          <w:trHeight w:val="175"/>
        </w:trPr>
        <w:tc>
          <w:tcPr>
            <w:tcW w:w="7000" w:type="dxa"/>
            <w:vAlign w:val="bottom"/>
          </w:tcPr>
          <w:p>
            <w:pPr>
              <w:spacing w:after="0"/>
              <w:rPr>
                <w:sz w:val="15"/>
                <w:szCs w:val="15"/>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76"/>
        </w:trPr>
        <w:tc>
          <w:tcPr>
            <w:tcW w:w="700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70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r>
      <w:tr>
        <w:trPr>
          <w:trHeight w:val="25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74.76 %</w:t>
            </w:r>
          </w:p>
        </w:tc>
      </w:tr>
      <w:tr>
        <w:trPr>
          <w:trHeight w:val="250"/>
        </w:trPr>
        <w:tc>
          <w:tcPr>
            <w:tcW w:w="7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0.98 %</w:t>
            </w:r>
          </w:p>
        </w:tc>
      </w:tr>
      <w:tr>
        <w:trPr>
          <w:trHeight w:val="26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0.0 %</w:t>
            </w: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Expected term</w:t>
            </w: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w w:val="85"/>
              </w:rPr>
              <w:t>5.94 years</w:t>
            </w:r>
          </w:p>
        </w:tc>
      </w:tr>
    </w:tbl>
    <w:p>
      <w:pPr>
        <w:spacing w:after="0" w:line="283" w:lineRule="exact"/>
        <w:rPr>
          <w:sz w:val="20"/>
          <w:szCs w:val="20"/>
          <w:color w:val="auto"/>
        </w:rPr>
      </w:pPr>
    </w:p>
    <w:p>
      <w:pPr>
        <w:jc w:val="both"/>
        <w:ind w:right="500" w:firstLine="441"/>
        <w:spacing w:after="0" w:line="27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3" w:lineRule="exact"/>
        <w:rPr>
          <w:sz w:val="20"/>
          <w:szCs w:val="20"/>
          <w:color w:val="auto"/>
        </w:rPr>
      </w:pPr>
    </w:p>
    <w:p>
      <w:pPr>
        <w:ind w:right="260" w:firstLine="441"/>
        <w:spacing w:after="0" w:line="293"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360" w:firstLine="441"/>
        <w:spacing w:after="0" w:line="293"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right="20" w:firstLine="441"/>
        <w:spacing w:after="0" w:line="30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20" w:firstLine="441"/>
        <w:spacing w:after="0" w:line="306" w:lineRule="auto"/>
        <w:rPr>
          <w:sz w:val="20"/>
          <w:szCs w:val="20"/>
          <w:color w:val="auto"/>
        </w:rPr>
      </w:pPr>
      <w:r>
        <w:rPr>
          <w:rFonts w:ascii="Arial" w:cs="Arial" w:eastAsia="Arial" w:hAnsi="Arial"/>
          <w:sz w:val="16"/>
          <w:szCs w:val="16"/>
          <w:color w:val="auto"/>
        </w:rPr>
        <w:t>In December 2020, the Company’s board of directors and stockholders approved the BioAtla, Inc. Employee Stock Purchase Plan (the “ESPP”). The ESPP permits participants to purchase common stock through payroll deductions of up to 15% of their eligible compensation. As of June 30, 2021 and December 31, 2020, a total of 833,993 shares and 464,829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The Company's first ESPP purchase transaction occurred on June 30, 2021. During the six months ended June 30, 2021, the Company issued 5,280 shares of common stock under the ESPP. As of June 30, 2021, 828,713 shares of common stock remained available for issuance under the ESPP. Stock-based compensation expense related to the ESPP for the three and six months ended June 30, 2021 was immaterial.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1" w:lineRule="exact"/>
        <w:rPr>
          <w:sz w:val="20"/>
          <w:szCs w:val="20"/>
          <w:color w:val="auto"/>
        </w:rPr>
      </w:pPr>
    </w:p>
    <w:p>
      <w:pPr>
        <w:jc w:val="both"/>
        <w:ind w:right="40" w:firstLine="441"/>
        <w:spacing w:after="0" w:line="279" w:lineRule="auto"/>
        <w:rPr>
          <w:sz w:val="20"/>
          <w:szCs w:val="20"/>
          <w:color w:val="auto"/>
        </w:rPr>
      </w:pPr>
      <w:r>
        <w:rPr>
          <w:rFonts w:ascii="Arial" w:cs="Arial" w:eastAsia="Arial" w:hAnsi="Arial"/>
          <w:sz w:val="18"/>
          <w:szCs w:val="18"/>
          <w:color w:val="auto"/>
        </w:rPr>
        <w:t>Upon adoption of ASU No. 2018-07 on October 1, 2020, the measurement date of the warrants described below became fixed in accordance with the guidance, and such fair value was nominal since the warrants were deeply out-of-the-money. As of June 30, 2021 all the common stock warrants below are exercisable and expire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Exercise Price</w:t>
            </w: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92"/>
        </w:trPr>
        <w:tc>
          <w:tcPr>
            <w:tcW w:w="226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2"/>
              </w:rPr>
              <w:t>per Share</w:t>
            </w:r>
          </w:p>
        </w:tc>
        <w:tc>
          <w:tcPr>
            <w:tcW w:w="280" w:type="dxa"/>
            <w:vAlign w:val="bottom"/>
          </w:tcPr>
          <w:p>
            <w:pPr>
              <w:spacing w:after="0"/>
              <w:rPr>
                <w:sz w:val="16"/>
                <w:szCs w:val="16"/>
                <w:color w:val="auto"/>
              </w:rPr>
            </w:pPr>
          </w:p>
        </w:tc>
        <w:tc>
          <w:tcPr>
            <w:tcW w:w="2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Expiration Date</w:t>
            </w:r>
          </w:p>
        </w:tc>
        <w:tc>
          <w:tcPr>
            <w:tcW w:w="2240" w:type="dxa"/>
            <w:vAlign w:val="bottom"/>
          </w:tcPr>
          <w:p>
            <w:pPr>
              <w:spacing w:after="0"/>
              <w:rPr>
                <w:sz w:val="16"/>
                <w:szCs w:val="16"/>
                <w:color w:val="auto"/>
              </w:rPr>
            </w:pPr>
          </w:p>
        </w:tc>
      </w:tr>
      <w:tr>
        <w:trPr>
          <w:trHeight w:val="256"/>
        </w:trPr>
        <w:tc>
          <w:tcPr>
            <w:tcW w:w="2260" w:type="dxa"/>
            <w:vAlign w:val="bottom"/>
          </w:tcPr>
          <w:p>
            <w:pPr>
              <w:spacing w:after="0"/>
              <w:rPr>
                <w:sz w:val="22"/>
                <w:szCs w:val="22"/>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566,586</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280" w:type="dxa"/>
            <w:vAlign w:val="bottom"/>
            <w:shd w:val="clear" w:color="auto" w:fill="CFF0FC"/>
          </w:tcPr>
          <w:p>
            <w:pPr>
              <w:spacing w:after="0"/>
              <w:rPr>
                <w:sz w:val="22"/>
                <w:szCs w:val="22"/>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17, 2021</w:t>
            </w:r>
          </w:p>
        </w:tc>
        <w:tc>
          <w:tcPr>
            <w:tcW w:w="2240" w:type="dxa"/>
            <w:vAlign w:val="bottom"/>
          </w:tcPr>
          <w:p>
            <w:pPr>
              <w:spacing w:after="0"/>
              <w:rPr>
                <w:sz w:val="22"/>
                <w:szCs w:val="22"/>
                <w:color w:val="auto"/>
              </w:rPr>
            </w:pPr>
          </w:p>
        </w:tc>
      </w:tr>
      <w:tr>
        <w:trPr>
          <w:trHeight w:val="257"/>
        </w:trPr>
        <w:tc>
          <w:tcPr>
            <w:tcW w:w="2260" w:type="dxa"/>
            <w:vAlign w:val="bottom"/>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151,088</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132.37</w:t>
            </w:r>
          </w:p>
        </w:tc>
        <w:tc>
          <w:tcPr>
            <w:tcW w:w="2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March 12, 2022</w:t>
            </w:r>
          </w:p>
        </w:tc>
        <w:tc>
          <w:tcPr>
            <w:tcW w:w="2240" w:type="dxa"/>
            <w:vAlign w:val="bottom"/>
          </w:tcPr>
          <w:p>
            <w:pPr>
              <w:spacing w:after="0"/>
              <w:rPr>
                <w:sz w:val="22"/>
                <w:szCs w:val="22"/>
                <w:color w:val="auto"/>
              </w:rPr>
            </w:pPr>
          </w:p>
        </w:tc>
      </w:tr>
      <w:tr>
        <w:trPr>
          <w:trHeight w:val="283"/>
        </w:trPr>
        <w:tc>
          <w:tcPr>
            <w:tcW w:w="2260" w:type="dxa"/>
            <w:vAlign w:val="bottom"/>
          </w:tcPr>
          <w:p>
            <w:pPr>
              <w:spacing w:after="0"/>
              <w:rPr>
                <w:sz w:val="24"/>
                <w:szCs w:val="24"/>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100" w:type="dxa"/>
            <w:vAlign w:val="bottom"/>
            <w:tcBorders>
              <w:bottom w:val="single" w:sz="8" w:color="CFF0FC"/>
            </w:tcBorders>
            <w:shd w:val="clear" w:color="auto" w:fill="CFF0FC"/>
          </w:tcPr>
          <w:p>
            <w:pPr>
              <w:spacing w:after="0"/>
              <w:rPr>
                <w:sz w:val="24"/>
                <w:szCs w:val="24"/>
                <w:color w:val="auto"/>
              </w:rPr>
            </w:pPr>
          </w:p>
        </w:tc>
        <w:tc>
          <w:tcPr>
            <w:tcW w:w="2240" w:type="dxa"/>
            <w:vAlign w:val="bottom"/>
          </w:tcPr>
          <w:p>
            <w:pPr>
              <w:spacing w:after="0"/>
              <w:rPr>
                <w:sz w:val="24"/>
                <w:szCs w:val="24"/>
                <w:color w:val="auto"/>
              </w:rPr>
            </w:pPr>
          </w:p>
        </w:tc>
      </w:tr>
      <w:tr>
        <w:trPr>
          <w:trHeight w:val="446"/>
        </w:trPr>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center"/>
              <w:ind w:right="217"/>
              <w:spacing w:after="0"/>
              <w:rPr>
                <w:sz w:val="20"/>
                <w:szCs w:val="20"/>
                <w:color w:val="auto"/>
              </w:rPr>
            </w:pPr>
            <w:r>
              <w:rPr>
                <w:rFonts w:ascii="Arial" w:cs="Arial" w:eastAsia="Arial" w:hAnsi="Arial"/>
                <w:sz w:val="18"/>
                <w:szCs w:val="18"/>
                <w:color w:val="auto"/>
                <w:w w:val="89"/>
              </w:rPr>
              <w:t>11</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8"/>
        </w:trPr>
        <w:tc>
          <w:tcPr>
            <w:tcW w:w="226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-385445</wp:posOffset>
            </wp:positionV>
            <wp:extent cx="1885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-367665</wp:posOffset>
            </wp:positionV>
            <wp:extent cx="1885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1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r>
      <w:tr>
        <w:trPr>
          <w:trHeight w:val="192"/>
        </w:trPr>
        <w:tc>
          <w:tcPr>
            <w:tcW w:w="536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5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Warrants for the purchase of common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717,674</w:t>
            </w:r>
          </w:p>
        </w:tc>
        <w:tc>
          <w:tcPr>
            <w:tcW w:w="80" w:type="dxa"/>
            <w:vAlign w:val="bottom"/>
            <w:shd w:val="clear" w:color="auto" w:fill="CFF0FC"/>
          </w:tcPr>
          <w:p>
            <w:pPr>
              <w:spacing w:after="0"/>
              <w:rPr>
                <w:sz w:val="22"/>
                <w:szCs w:val="22"/>
                <w:color w:val="auto"/>
              </w:rPr>
            </w:pPr>
          </w:p>
        </w:tc>
      </w:tr>
      <w:tr>
        <w:trPr>
          <w:trHeight w:val="242"/>
        </w:trPr>
        <w:tc>
          <w:tcPr>
            <w:tcW w:w="5360" w:type="dxa"/>
            <w:vAlign w:val="bottom"/>
          </w:tcPr>
          <w:p>
            <w:pPr>
              <w:spacing w:after="0"/>
              <w:rPr>
                <w:sz w:val="20"/>
                <w:szCs w:val="20"/>
                <w:color w:val="auto"/>
              </w:rPr>
            </w:pPr>
            <w:r>
              <w:rPr>
                <w:rFonts w:ascii="Arial" w:cs="Arial" w:eastAsia="Arial" w:hAnsi="Arial"/>
                <w:sz w:val="18"/>
                <w:szCs w:val="18"/>
                <w:color w:val="auto"/>
              </w:rPr>
              <w:t>Common stock options and restricted stock units issued and</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3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2,631,725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2,535,143</w:t>
            </w:r>
          </w:p>
        </w:tc>
        <w:tc>
          <w:tcPr>
            <w:tcW w:w="80" w:type="dxa"/>
            <w:vAlign w:val="bottom"/>
          </w:tcPr>
          <w:p>
            <w:pPr>
              <w:spacing w:after="0"/>
              <w:rPr>
                <w:sz w:val="20"/>
                <w:szCs w:val="20"/>
                <w:color w:val="auto"/>
              </w:rPr>
            </w:pPr>
          </w:p>
        </w:tc>
      </w:tr>
      <w:tr>
        <w:trPr>
          <w:trHeight w:val="26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future issuance under the 2020 Plan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3,456,354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2,404,535</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Awards available for future issuance under the ESPP</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828,713</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464,829</w:t>
            </w:r>
          </w:p>
        </w:tc>
        <w:tc>
          <w:tcPr>
            <w:tcW w:w="80" w:type="dxa"/>
            <w:vAlign w:val="bottom"/>
          </w:tcPr>
          <w:p>
            <w:pPr>
              <w:spacing w:after="0"/>
              <w:rPr>
                <w:sz w:val="21"/>
                <w:szCs w:val="21"/>
                <w:color w:val="auto"/>
              </w:rPr>
            </w:pPr>
          </w:p>
        </w:tc>
      </w:tr>
      <w:tr>
        <w:trPr>
          <w:trHeight w:val="29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common stock reserved for future issuance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7,634,466</w:t>
            </w: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6,122,181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Profits Interest Incentive Plan</w:t>
      </w:r>
    </w:p>
    <w:p>
      <w:pPr>
        <w:spacing w:after="0" w:line="135" w:lineRule="exact"/>
        <w:rPr>
          <w:sz w:val="20"/>
          <w:szCs w:val="20"/>
          <w:color w:val="auto"/>
        </w:rPr>
      </w:pPr>
    </w:p>
    <w:p>
      <w:pPr>
        <w:ind w:right="20" w:firstLine="441"/>
        <w:spacing w:after="0" w:line="308" w:lineRule="auto"/>
        <w:rPr>
          <w:sz w:val="20"/>
          <w:szCs w:val="20"/>
          <w:color w:val="auto"/>
        </w:rPr>
      </w:pPr>
      <w:r>
        <w:rPr>
          <w:rFonts w:ascii="Arial" w:cs="Arial" w:eastAsia="Arial" w:hAnsi="Arial"/>
          <w:sz w:val="16"/>
          <w:szCs w:val="16"/>
          <w:color w:val="auto"/>
        </w:rPr>
        <w:t>Prior to the Corporate Reorganization in July 2020, the Company maintained a Profits Interest Incentive Plan (the “Plan”) for selected employees, consultants and other service providers. The Class B units generally vested over four years, were subject to continued service requirements, and only provide the participants with benefits (in the form of distributions) if the distributions from BioAtla exceed specified threshold values. Generally, upon termination of services, all unvested Class B units were forfeited to the Company and the Company had the right, but not the obligation, to repurchase the vested Class B units within two years at the termination date fair value. The Class B unit repurchase would be settled in cash, at all times at the option of the Company, and the holder did not have the right to put the Class B units to the Company under any condition. Vested Class B units that are neither repurchased by the Company nor forfeited remained subject to the terms of the Company’s operating agreement. The Class B units were not subject to sale, assignment, transfer, pledge, or allowed to be otherwise encumbered or disposed of without prior written consent of the Company.</w:t>
      </w:r>
    </w:p>
    <w:p>
      <w:pPr>
        <w:spacing w:after="0" w:line="163" w:lineRule="exact"/>
        <w:rPr>
          <w:sz w:val="20"/>
          <w:szCs w:val="20"/>
          <w:color w:val="auto"/>
        </w:rPr>
      </w:pPr>
    </w:p>
    <w:p>
      <w:pPr>
        <w:ind w:right="60" w:firstLine="441"/>
        <w:spacing w:after="0" w:line="272" w:lineRule="auto"/>
        <w:rPr>
          <w:sz w:val="20"/>
          <w:szCs w:val="20"/>
          <w:color w:val="auto"/>
        </w:rPr>
      </w:pPr>
      <w:r>
        <w:rPr>
          <w:rFonts w:ascii="Arial" w:cs="Arial" w:eastAsia="Arial" w:hAnsi="Arial"/>
          <w:sz w:val="18"/>
          <w:szCs w:val="18"/>
          <w:color w:val="auto"/>
        </w:rPr>
        <w:t>The Class B units were liability awards pursuant to authoritative guidance, which required the Company to record a liability based on the fair value of the Class B units as of each reporting period. Through the date of the Corporate Reorganization, the fair value of the liability awards was determined based on the Company’s estimated enterprise value, which was allocated based on a hybrid model that, in addition to the option pricing model, considering the Company’s expected IPO. Under the option pricing method, units were valued by creating a series of call options with exercise prices based on the liquidation preferences and conversion terms of each unit class.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allocation of equity-based compensation for all Class B units is as follows (in thousands):</w:t>
      </w:r>
    </w:p>
    <w:p>
      <w:pPr>
        <w:spacing w:after="0" w:line="257" w:lineRule="exact"/>
        <w:rPr>
          <w:sz w:val="20"/>
          <w:szCs w:val="20"/>
          <w:color w:val="auto"/>
        </w:rPr>
      </w:pPr>
    </w:p>
    <w:tbl>
      <w:tblPr>
        <w:tblLayout w:type="fixed"/>
        <w:tblInd w:w="17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w:t>
            </w:r>
          </w:p>
        </w:tc>
      </w:tr>
      <w:tr>
        <w:trPr>
          <w:trHeight w:val="175"/>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r>
      <w:tr>
        <w:trPr>
          <w:trHeight w:val="176"/>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r>
      <w:tr>
        <w:trPr>
          <w:trHeight w:val="192"/>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6"/>
                <w:szCs w:val="16"/>
                <w:color w:val="auto"/>
              </w:rPr>
            </w:pPr>
          </w:p>
        </w:tc>
      </w:tr>
      <w:tr>
        <w:trPr>
          <w:trHeight w:val="25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(3,360 )</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(1,061 )</w:t>
            </w:r>
          </w:p>
        </w:tc>
        <w:tc>
          <w:tcPr>
            <w:tcW w:w="1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(4,241 )</w:t>
            </w:r>
          </w:p>
        </w:tc>
      </w:tr>
      <w:tr>
        <w:trPr>
          <w:trHeight w:val="20"/>
        </w:trPr>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(7,601 )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43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 License and Option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Co-Development and Collaboration Agreement with BeiGene</w:t>
      </w:r>
    </w:p>
    <w:p>
      <w:pPr>
        <w:spacing w:after="0" w:line="131" w:lineRule="exact"/>
        <w:rPr>
          <w:sz w:val="20"/>
          <w:szCs w:val="20"/>
          <w:color w:val="auto"/>
        </w:rPr>
      </w:pPr>
    </w:p>
    <w:p>
      <w:pPr>
        <w:ind w:right="100" w:firstLine="441"/>
        <w:spacing w:after="0" w:line="296" w:lineRule="auto"/>
        <w:rPr>
          <w:sz w:val="20"/>
          <w:szCs w:val="20"/>
          <w:color w:val="auto"/>
        </w:rPr>
      </w:pPr>
      <w:r>
        <w:rPr>
          <w:rFonts w:ascii="Arial" w:cs="Arial" w:eastAsia="Arial" w:hAnsi="Arial"/>
          <w:sz w:val="17"/>
          <w:szCs w:val="17"/>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w:t>
      </w:r>
    </w:p>
    <w:p>
      <w:pPr>
        <w:spacing w:after="0" w:line="170"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Under the BeiGene Collaboration the Company would co-develop the CAB-CTLA-4 antibody to reach defined early clinical objectives (“POC Milestone”), whereby the Company would perform the development activities (“Development Services”) and BeiGene would reimburse the Company for a portion of the costs incurred by the Company for these Development Services subsequent to the filing of an Investigational New Drug Application (“IND”). Following the POC Milestone, BeiGene would then lead the parties’ joint efforts to develop the product candidate and be responsible for global regulatory filings and commercialization. Subject to the terms of the agreement, BeiGene will hold a co-exclusive license with the Company to develop and manufacture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4" w:name="page15"/>
    <w:bookmarkEnd w:id="14"/>
    <w:p>
      <w:pPr>
        <w:ind w:right="60"/>
        <w:spacing w:after="0" w:line="275" w:lineRule="auto"/>
        <w:rPr>
          <w:sz w:val="20"/>
          <w:szCs w:val="20"/>
          <w:color w:val="auto"/>
        </w:rPr>
      </w:pPr>
      <w:r>
        <w:rPr>
          <w:rFonts w:ascii="Arial" w:cs="Arial" w:eastAsia="Arial" w:hAnsi="Arial"/>
          <w:sz w:val="18"/>
          <w:szCs w:val="18"/>
          <w:color w:val="auto"/>
        </w:rPr>
        <w:t>product candidate globally and an exclusive license to commercialize the product candidate globally. BeiGene will be responsible for all costs of development, manufacturing and commercialization in China, parts of the Middle East and Asia (excluding Japan), Australia and New Zealand (the “BeiGene Territory”), and the parties would share development and manufacturing costs and commercial profits and losses upon specified terms in the rest of the world that are not part of the BeiGene Territory (the “ROW”).</w:t>
      </w:r>
    </w:p>
    <w:p>
      <w:pPr>
        <w:spacing w:after="0" w:line="185" w:lineRule="exact"/>
        <w:rPr>
          <w:sz w:val="20"/>
          <w:szCs w:val="20"/>
          <w:color w:val="auto"/>
        </w:rPr>
      </w:pPr>
    </w:p>
    <w:p>
      <w:pPr>
        <w:ind w:right="60" w:firstLine="441"/>
        <w:spacing w:after="0" w:line="290" w:lineRule="auto"/>
        <w:rPr>
          <w:sz w:val="20"/>
          <w:szCs w:val="20"/>
          <w:color w:val="auto"/>
        </w:rPr>
      </w:pPr>
      <w:r>
        <w:rPr>
          <w:rFonts w:ascii="Arial" w:cs="Arial" w:eastAsia="Arial" w:hAnsi="Arial"/>
          <w:sz w:val="17"/>
          <w:szCs w:val="17"/>
          <w:color w:val="auto"/>
        </w:rPr>
        <w:t>Subject to earlier termination, the BeiGene Collaboration shall remain in effect, on a country-by-country basis until the earlier of ten years following commercial sale or upon such time that the parties cease pursuing commercialization. Unless terminated early, at the expiration date BeiGene retains all licensing rights in the applicable territories. BeiGene may terminate the BeiGene Collaboration at any time after the one-year anniversary of the agreement subject to 90 days written notice, or any time subject to 45 days’ notice if it is determined that the proof of concept ("POC") milestone or technological or scientific feasibility will not be achieved. The BeiGene Collaboration also contains customary provisions for termination by either party, including the event of breach of the BeiGene Collaboration, subject to cure.</w:t>
      </w:r>
    </w:p>
    <w:p>
      <w:pPr>
        <w:spacing w:after="0" w:line="176" w:lineRule="exact"/>
        <w:rPr>
          <w:sz w:val="20"/>
          <w:szCs w:val="20"/>
          <w:color w:val="auto"/>
        </w:rPr>
      </w:pPr>
    </w:p>
    <w:p>
      <w:pPr>
        <w:ind w:right="80" w:firstLine="441"/>
        <w:spacing w:after="0" w:line="275" w:lineRule="auto"/>
        <w:rPr>
          <w:sz w:val="20"/>
          <w:szCs w:val="20"/>
          <w:color w:val="auto"/>
        </w:rPr>
      </w:pPr>
      <w:r>
        <w:rPr>
          <w:rFonts w:ascii="Arial" w:cs="Arial" w:eastAsia="Arial" w:hAnsi="Arial"/>
          <w:sz w:val="18"/>
          <w:szCs w:val="18"/>
          <w:color w:val="auto"/>
        </w:rPr>
        <w:t>In 2019, BeiGene paid the Company an upfront non-refundable payment of $20.0 million and paid the Company $5.0 million for the reimbursement of manufacturing costs. Under the BeiGene Collaboration, the Company was eligible to receive variable consideration for subsequent development and regulatory milestones globally and commercial milestones in the BeiGene Territory and tiered royalties ranging from the mid-single digits to the mid-double digits based on net sales in the BeiGene Territory.</w:t>
      </w:r>
    </w:p>
    <w:p>
      <w:pPr>
        <w:spacing w:after="0" w:line="185" w:lineRule="exact"/>
        <w:rPr>
          <w:sz w:val="20"/>
          <w:szCs w:val="20"/>
          <w:color w:val="auto"/>
        </w:rPr>
      </w:pPr>
    </w:p>
    <w:p>
      <w:pPr>
        <w:ind w:right="20" w:firstLine="441"/>
        <w:spacing w:after="0" w:line="279" w:lineRule="auto"/>
        <w:rPr>
          <w:sz w:val="20"/>
          <w:szCs w:val="20"/>
          <w:color w:val="auto"/>
        </w:rPr>
      </w:pPr>
      <w:r>
        <w:rPr>
          <w:rFonts w:ascii="Arial" w:cs="Arial" w:eastAsia="Arial" w:hAnsi="Arial"/>
          <w:sz w:val="18"/>
          <w:szCs w:val="18"/>
          <w:color w:val="auto"/>
        </w:rPr>
        <w:t>The Company concluded that the BeiGene Collaboration is a contract with a customer and applied relevant guidance from Topic 606 through reaching the POC milestone as the licenses to intellectual property granted to BeiGene and the obligation to perform research and development services are outputs of the Company’s ongoing activities.</w:t>
      </w:r>
    </w:p>
    <w:p>
      <w:pPr>
        <w:spacing w:after="0" w:line="183" w:lineRule="exact"/>
        <w:rPr>
          <w:sz w:val="20"/>
          <w:szCs w:val="20"/>
          <w:color w:val="auto"/>
        </w:rPr>
      </w:pPr>
    </w:p>
    <w:p>
      <w:pPr>
        <w:ind w:right="100" w:firstLine="441"/>
        <w:spacing w:after="0" w:line="359" w:lineRule="auto"/>
        <w:rPr>
          <w:sz w:val="20"/>
          <w:szCs w:val="20"/>
          <w:color w:val="auto"/>
        </w:rPr>
      </w:pPr>
      <w:r>
        <w:rPr>
          <w:rFonts w:ascii="Arial" w:cs="Arial" w:eastAsia="Arial" w:hAnsi="Arial"/>
          <w:sz w:val="16"/>
          <w:szCs w:val="16"/>
          <w:color w:val="auto"/>
        </w:rPr>
        <w:t>The Company identified material promises in the BeiGene Collaboration through POC milestone, consisting of the licenses described above and the Development Services. It was determined that the licenses are not distinct from the development services resulting in a single performance obligation.</w:t>
      </w:r>
    </w:p>
    <w:p>
      <w:pPr>
        <w:spacing w:after="0" w:line="125"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In accordance with Topic 606, the Company determined the transaction price of the agreement is limited to the $25.0 million received, and excluded the variable consideration of expense reimbursements, milestone payments and royalties as they are fully constrained. The expense reimbursements were included in the transaction price in the reporting period the Company concluded it was probable that inclusion of such amounts in the transaction price would not result in a significant reversal in revenue recognized.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w:t>
      </w:r>
    </w:p>
    <w:p>
      <w:pPr>
        <w:spacing w:after="0" w:line="163" w:lineRule="exact"/>
        <w:rPr>
          <w:sz w:val="20"/>
          <w:szCs w:val="20"/>
          <w:color w:val="auto"/>
        </w:rPr>
      </w:pPr>
    </w:p>
    <w:p>
      <w:pPr>
        <w:ind w:right="40" w:firstLine="441"/>
        <w:spacing w:after="0" w:line="309" w:lineRule="auto"/>
        <w:rPr>
          <w:sz w:val="20"/>
          <w:szCs w:val="20"/>
          <w:color w:val="auto"/>
        </w:rPr>
      </w:pPr>
      <w:r>
        <w:rPr>
          <w:rFonts w:ascii="Arial" w:cs="Arial" w:eastAsia="Arial" w:hAnsi="Arial"/>
          <w:sz w:val="16"/>
          <w:szCs w:val="16"/>
          <w:color w:val="auto"/>
        </w:rPr>
        <w:t>Under the terms of the Amended BeiGene Collaboration, BeiGene is generally responsible for developing BA3071 and is responsible for global regulatory filings and commercialization. Subject to the terms of the Amended BeiGene Collaboration, BeiGene holds an exclusive license with the Company to develop and manufacture the BA3071 candidate globally, and BeiGene is responsible for all costs of development, manufacturing and commercialization globally. The Amended BeiGene Collaboration provides that the Company is eligible to receive tiered royalties, ranging from the high-single digits to the low twenties, on sales worldwide, up to $225.5 million in subsequent development and regulatory milestone payments globally and commercial milestones in the BeiGene territory (reduced from $249 million under the BeiGene Collaboration), and a $5.0 million milestone payment upon the completion of the Company’s amended performance obligations, including the transfer of the master cell bank for BA3071 and other know-how.</w:t>
      </w:r>
    </w:p>
    <w:p>
      <w:pPr>
        <w:spacing w:after="0" w:line="164" w:lineRule="exact"/>
        <w:rPr>
          <w:sz w:val="20"/>
          <w:szCs w:val="20"/>
          <w:color w:val="auto"/>
        </w:rPr>
      </w:pPr>
    </w:p>
    <w:p>
      <w:pPr>
        <w:ind w:right="120" w:firstLine="441"/>
        <w:spacing w:after="0" w:line="319" w:lineRule="auto"/>
        <w:rPr>
          <w:sz w:val="20"/>
          <w:szCs w:val="20"/>
          <w:color w:val="auto"/>
        </w:rPr>
      </w:pPr>
      <w:r>
        <w:rPr>
          <w:rFonts w:ascii="Arial" w:cs="Arial" w:eastAsia="Arial" w:hAnsi="Arial"/>
          <w:sz w:val="16"/>
          <w:szCs w:val="16"/>
          <w:color w:val="auto"/>
        </w:rPr>
        <w:t>Under the Amended BeiGene Collaboration, the Company’s amended performance obligation is satisfied at a point in time determined to be when BeiGene has received the know-how and master cell bank for BA3071. Until then BeiGene cannot benefit from the ability to further develop and manufacture the BA3071 candidate. Under the original collaboration agreement, the Company recognized revenue over time using an input method based on actual costs incurred compared to estimated total costs expected to be incurred to fulfill its performance obligation to perform development services.</w:t>
      </w:r>
    </w:p>
    <w:p>
      <w:pPr>
        <w:spacing w:after="0" w:line="156" w:lineRule="exact"/>
        <w:rPr>
          <w:sz w:val="20"/>
          <w:szCs w:val="20"/>
          <w:color w:val="auto"/>
        </w:rPr>
      </w:pPr>
    </w:p>
    <w:p>
      <w:pPr>
        <w:ind w:right="60" w:firstLine="441"/>
        <w:spacing w:after="0" w:line="303" w:lineRule="auto"/>
        <w:rPr>
          <w:sz w:val="20"/>
          <w:szCs w:val="20"/>
          <w:color w:val="auto"/>
        </w:rPr>
      </w:pPr>
      <w:r>
        <w:rPr>
          <w:rFonts w:ascii="Arial" w:cs="Arial" w:eastAsia="Arial" w:hAnsi="Arial"/>
          <w:sz w:val="17"/>
          <w:szCs w:val="17"/>
          <w:color w:val="auto"/>
        </w:rPr>
        <w:t>For the three and six months ended June 30, 2021, the Company did not recognize any revenue related to the collaboration agreement with BeiGene. As of June 30, 2021 and December 31, 2020, the Company had $19.8 million of related deferred revenue which was classified as current. The deferred revenue is expected to be earned upon transfer of the know-how and master cell bank within the next twelve months.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31" w:lineRule="exact"/>
        <w:rPr>
          <w:sz w:val="20"/>
          <w:szCs w:val="20"/>
          <w:color w:val="auto"/>
        </w:rPr>
      </w:pPr>
    </w:p>
    <w:p>
      <w:pPr>
        <w:ind w:right="360" w:firstLine="441"/>
        <w:spacing w:after="0" w:line="266" w:lineRule="auto"/>
        <w:rPr>
          <w:sz w:val="20"/>
          <w:szCs w:val="20"/>
          <w:color w:val="auto"/>
        </w:rPr>
      </w:pPr>
      <w:r>
        <w:rPr>
          <w:rFonts w:ascii="Arial" w:cs="Arial" w:eastAsia="Arial" w:hAnsi="Arial"/>
          <w:sz w:val="18"/>
          <w:szCs w:val="18"/>
          <w:color w:val="auto"/>
        </w:rPr>
        <w:t>Prior to developing its own programs, the Company entered into various fixed price research services contracts. In connection with these service contracts, the Company may receive future milestone payments if certain clinical, regulatory and commercialization milestones are achieved. The Company is also eligible to receive royalties based on certain product sales. The Company recognized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300"/>
        <w:spacing w:after="0" w:line="293" w:lineRule="auto"/>
        <w:rPr>
          <w:sz w:val="20"/>
          <w:szCs w:val="20"/>
          <w:color w:val="auto"/>
        </w:rPr>
      </w:pPr>
      <w:r>
        <w:rPr>
          <w:rFonts w:ascii="Arial" w:cs="Arial" w:eastAsia="Arial" w:hAnsi="Arial"/>
          <w:sz w:val="18"/>
          <w:szCs w:val="18"/>
          <w:color w:val="auto"/>
        </w:rPr>
        <w:t>revenue of $0.3 million, included in Collaboration and Other Revenue, for the three and six months ended June 30, 2021 related to the achievement of a clinical milestone on a fixed price service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LLC</w:t>
      </w:r>
    </w:p>
    <w:p>
      <w:pPr>
        <w:spacing w:after="0" w:line="131" w:lineRule="exact"/>
        <w:rPr>
          <w:sz w:val="20"/>
          <w:szCs w:val="20"/>
          <w:color w:val="auto"/>
        </w:rPr>
      </w:pPr>
    </w:p>
    <w:p>
      <w:pPr>
        <w:ind w:right="40" w:firstLine="441"/>
        <w:spacing w:after="0" w:line="279" w:lineRule="auto"/>
        <w:rPr>
          <w:sz w:val="20"/>
          <w:szCs w:val="20"/>
          <w:color w:val="auto"/>
        </w:rPr>
      </w:pPr>
      <w:r>
        <w:rPr>
          <w:rFonts w:ascii="Arial" w:cs="Arial" w:eastAsia="Arial" w:hAnsi="Arial"/>
          <w:sz w:val="18"/>
          <w:szCs w:val="18"/>
          <w:color w:val="auto"/>
        </w:rPr>
        <w:t>Prior to the Corporate Reorganization, Biotech Investment Group, LLC (“BIG”), was a principal owner, related party of the Company and affiliated with Biotech Investment Group II LLC (“BIG II”). Subsequent to the Corporate Reorganization, BIG is no longer a principal owner and, as a result, neither BIG nor its affiliates are related parties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 Investment Group II LLC</w:t>
      </w:r>
    </w:p>
    <w:p>
      <w:pPr>
        <w:spacing w:after="0" w:line="13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8"/>
          <w:szCs w:val="18"/>
          <w:color w:val="auto"/>
        </w:rPr>
        <w:t>For the three and six months ended June 30, 2020, the Company recognized interest expense (including amortization of debt discounts) of $20,000 and $40,000, respectively, related to an outstanding convertible promissory note payable to BIG II. The convertible promissory note payable to BIG II was settled in connection with the Corporate Reorganization in July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Jay Short and Carolyn Anderson Short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131" w:lineRule="exact"/>
        <w:rPr>
          <w:sz w:val="20"/>
          <w:szCs w:val="20"/>
          <w:color w:val="auto"/>
        </w:rPr>
      </w:pPr>
    </w:p>
    <w:p>
      <w:pPr>
        <w:ind w:right="220" w:firstLine="441"/>
        <w:spacing w:after="0" w:line="329" w:lineRule="auto"/>
        <w:rPr>
          <w:sz w:val="20"/>
          <w:szCs w:val="20"/>
          <w:color w:val="auto"/>
        </w:rPr>
      </w:pPr>
      <w:r>
        <w:rPr>
          <w:rFonts w:ascii="Arial" w:cs="Arial" w:eastAsia="Arial" w:hAnsi="Arial"/>
          <w:sz w:val="16"/>
          <w:szCs w:val="16"/>
          <w:color w:val="auto"/>
        </w:rPr>
        <w:t>For the three and six months ended June 30, 2020, the Company recognized interest expense (including amortization of debt discounts) of $59,000 and $98,000 respectively, related to outstanding convertible promissory notes payable to Dr. Jay Short and Carolyn Anderson Short. The convertible promissory notes payable to Dr. Jay Short and Carolyn Anderson Short were settled in connection with the Corporate Reorganization in July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w:t>
      </w:r>
    </w:p>
    <w:p>
      <w:pPr>
        <w:spacing w:after="0" w:line="131" w:lineRule="exact"/>
        <w:rPr>
          <w:sz w:val="20"/>
          <w:szCs w:val="20"/>
          <w:color w:val="auto"/>
        </w:rPr>
      </w:pPr>
    </w:p>
    <w:p>
      <w:pPr>
        <w:ind w:firstLine="441"/>
        <w:spacing w:after="0" w:line="287" w:lineRule="auto"/>
        <w:rPr>
          <w:sz w:val="20"/>
          <w:szCs w:val="20"/>
          <w:color w:val="auto"/>
        </w:rPr>
      </w:pPr>
      <w:r>
        <w:rPr>
          <w:rFonts w:ascii="Arial" w:cs="Arial" w:eastAsia="Arial" w:hAnsi="Arial"/>
          <w:sz w:val="17"/>
          <w:szCs w:val="17"/>
          <w:color w:val="auto"/>
        </w:rPr>
        <w:t>On March 18, 2021, the Company and Carolyn Anderson Short, its co-founder and former Chief of Intellectual Property &amp; Strategy, mutually agreed that Ms. Short would depart the Company on May 31, 2021 following an agreed upon transition period. 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equity awards including 7,747 stock options and 138,461 restricted stock units. The modification of these equity awards resulted in an incremental fair value of $7.0 million which was recognized on a straight-line basis over the transition service period. For the three and six months ended June 30, 2021, the Company recognized $0.8 million and $1.0 million, respectively, related to the lump sum salary payment and target bonus. The Company also recognized non-cash stock-based compensation charges of $8.4 million and $9.4 million related to the modified equity awards for the three and six months ended June 30, 2021, respectively. No unrecognized stock-based compensation remained as of June 30,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Plan</w:t>
      </w:r>
    </w:p>
    <w:p>
      <w:pPr>
        <w:spacing w:after="0" w:line="135" w:lineRule="exact"/>
        <w:rPr>
          <w:sz w:val="20"/>
          <w:szCs w:val="20"/>
          <w:color w:val="auto"/>
        </w:rPr>
      </w:pPr>
    </w:p>
    <w:p>
      <w:pPr>
        <w:ind w:right="280" w:firstLine="441"/>
        <w:spacing w:after="0" w:line="299" w:lineRule="auto"/>
        <w:rPr>
          <w:sz w:val="20"/>
          <w:szCs w:val="20"/>
          <w:color w:val="auto"/>
        </w:rPr>
      </w:pPr>
      <w:r>
        <w:rPr>
          <w:rFonts w:ascii="Arial" w:cs="Arial" w:eastAsia="Arial" w:hAnsi="Arial"/>
          <w:sz w:val="16"/>
          <w:szCs w:val="16"/>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June 30, 2021 and December 31, 2020, the Company had not made any matching contributions.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financial statements and notes thereto included in “Item 1. Financial Statements” of this Quarterly Report on Form 10-Q and the audited financial statements and notes thereto as of and for the year ended December 31, 2020 included in the Annual Report on Form 10-K, filed with the Securities and Exchange Commission, or the SEC, on March 24, 2021.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We are a phase 2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18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are a United States-based company with research facilities in San Diego, California and, through our contractual relationship with BioDuro,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spacing w:after="0" w:line="17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8"/>
          <w:szCs w:val="18"/>
          <w:color w:val="auto"/>
        </w:rPr>
        <w:t>In July 2020, BioAtla, LLC completed a series of transactions, or the Corporate Reorganization, in connection with which it converted from a limited liability company into a Delaware corporation, spun-off Himalaya Therapeutics SEZC, and completed a Series D convertible preferred stock financing. Following the Corporate Reorganization, BioAtla, Inc. continued to hold all operations, employees, property and assets of BioAtla, LLC (excluding Himalaya Therapeutics SEZC) and assumed all of the obligations of BioAtla, LLC (exclusive of the profits interest liability related to awards granted under BioAtla, LLC’s profits interest plan). In addition, following the Corporate Reorganization, BioAtla, Inc. is a single legal entity with no consolidated variable interest entities, or VIEs, or subsidiaries. The condensed consolidated financial statements discussed in this section and included in Item 1 of this Quarterly Report on Form 10-Q are those of BioAtla, LLC and its consolidated subsidiaries prior to the Corporate Reorganization and those of BioAtla, Inc. subsequent to the Corporate Reorganization.</w:t>
      </w:r>
    </w:p>
    <w:p>
      <w:pPr>
        <w:spacing w:after="0" w:line="196"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$30.4 million and $49.1 million for the three and six months ended June 30, 2021, respectively. As of June 30, 2021, we had an accumulated deficit of $140.0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BA3011;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BA3021;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 the clinical development of BA3071;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7" w:name="page18"/>
    <w:bookmarkEnd w:id="17"/>
    <w:p>
      <w:pPr>
        <w:ind w:left="960"/>
        <w:spacing w:after="0"/>
        <w:rPr>
          <w:sz w:val="20"/>
          <w:szCs w:val="20"/>
          <w:color w:val="auto"/>
        </w:rPr>
      </w:pPr>
      <w:r>
        <w:rPr>
          <w:rFonts w:ascii="Arial" w:cs="Arial" w:eastAsia="Arial" w:hAnsi="Arial"/>
          <w:sz w:val="18"/>
          <w:szCs w:val="18"/>
          <w:color w:val="auto"/>
        </w:rPr>
        <w:t>expand our pipeline of bispecific and other CAB antibody-based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invest in our CAB technology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marketing approvals for any product candidates that successfully complete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expand our operational, financial and management information systems;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39" w:lineRule="exact"/>
        <w:rPr>
          <w:sz w:val="20"/>
          <w:szCs w:val="20"/>
          <w:color w:val="auto"/>
        </w:rPr>
      </w:pPr>
    </w:p>
    <w:p>
      <w:pPr>
        <w:ind w:right="160" w:firstLine="509"/>
        <w:spacing w:after="0" w:line="324" w:lineRule="auto"/>
        <w:rPr>
          <w:sz w:val="20"/>
          <w:szCs w:val="20"/>
          <w:color w:val="auto"/>
        </w:rPr>
      </w:pPr>
      <w:r>
        <w:rPr>
          <w:rFonts w:ascii="Arial" w:cs="Arial" w:eastAsia="Arial" w:hAnsi="Arial"/>
          <w:sz w:val="17"/>
          <w:szCs w:val="17"/>
          <w:color w:val="auto"/>
        </w:rPr>
        <w:t>Furthermore, we expect to incur additional costs associated with operating as a public company, including significant legal, accounting, insurance, investor relations and other administrative and professional services expenses that we did not incur as a private company.</w:t>
      </w:r>
    </w:p>
    <w:p>
      <w:pPr>
        <w:spacing w:after="0" w:line="147"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9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the date of our initial public offering, or IPO, in December 2020, we had funded our operations primarily through the receipt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$71.0 million from our collaboration agreements, $27.6 million from the issuance of convertible debt and $138.3 million from the issuance of equity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securities. In December 2020, we completed our IPO in which we sold 12,075,000 shares of our common stock at the IPO price to the public of $18.00 per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 which included the exercise in full of the underwriters’ option to purchase additional shares, for aggregate cash proceeds of $217.4 million. We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incurred $19.0 million of issuance costs in connection with our IPO. Upon the closing of our IPO, all outstanding shares of our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converted into 13,876,510 shares of our common stock and 1,492,059 shares of our Class B common stock. As of June 30, 2021, our cash and cash</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equivalents totaled approximately $207.6 million. Based on our current operating plan, our current cash and cash equivalents are expected to be sufficient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fund our ongoing operations at least through the end of 2022. However, we have based this estimate on assumptions that may prove to be wrong, and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could utilize our available capital resources sooner than we currently expect.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35"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On March 11, 2020, the World Health Organization declared the outbreak of COVID-19 caused by a novel strain of coronavirus as a pandemic, which continues to spread throughout the United States and around the world. 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only experienced non-material business disruptions, including with respect to any of the clinical trials we are conducting, or impairments of any of our assets as a result of the pandemic. 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from March 2020 to July 2020. We are complying with all applicable guidelines for our clinical trials, including remote clinical monitoring. In April 2020, we borrowed $0.7 million under the Paycheck Protection Program under the CARES Act and we submitted an application for loan forgiveness in June 2021. We were subsequently notified on July 2, 2021 that the U.S. Small Business Association approved our application for loan forgiveness for the full amount of the PPP Loan outstanding. The</w:t>
      </w:r>
    </w:p>
    <w:p>
      <w:pPr>
        <w:spacing w:after="0" w:line="4" w:lineRule="exact"/>
        <w:rPr>
          <w:sz w:val="20"/>
          <w:szCs w:val="20"/>
          <w:color w:val="auto"/>
        </w:rPr>
      </w:pPr>
    </w:p>
    <w:p>
      <w:pPr>
        <w:jc w:val="right"/>
        <w:ind w:left="5540" w:right="5480" w:hanging="5532"/>
        <w:spacing w:after="0" w:line="358" w:lineRule="auto"/>
        <w:tabs>
          <w:tab w:leader="none" w:pos="359"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 is discussed further under “—Liquidity and capital resources.” We are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8" w:name="page19"/>
    <w:bookmarkEnd w:id="18"/>
    <w:p>
      <w:pPr>
        <w:ind w:right="180"/>
        <w:spacing w:after="0" w:line="293" w:lineRule="auto"/>
        <w:rPr>
          <w:sz w:val="20"/>
          <w:szCs w:val="20"/>
          <w:color w:val="auto"/>
        </w:rPr>
      </w:pPr>
      <w:r>
        <w:rPr>
          <w:rFonts w:ascii="Arial" w:cs="Arial" w:eastAsia="Arial" w:hAnsi="Arial"/>
          <w:sz w:val="18"/>
          <w:szCs w:val="18"/>
          <w:color w:val="auto"/>
        </w:rPr>
        <w:t>continuing to monitor the potential impact of the pandemic, but we cannot be certain what the overall impact will be on our business, financial condition, results of operations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50"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In April 2019, we entered into a Global Co-Development and Collaboration Agreement with BeiGene, Ltd. which, as amended in December 2019 and October 2020, provides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At the time of execution of the BeiGene collaboration, we received a $20.0 million upfront payment and in December 2019, we received an additional $5.0 million for the reimbursement of manufacturing costs. We are eligible to receive up to $225.5 million in subsequent development and regulatory milestones globally and commercial milestones in the BeiGene territory, together with tiered royalties, ranging from the high-single digits to the low twenties, on sales worldwide. Pursuant to the terms of the October 2020 amendment, we agreed to transfer certain know-how and materials to BeiGene related to the manufacture of BA3071. We are currently in preliminary discussions with BeiGene regarding the allocation of roles and responsibilities under our Global Co-Development and Collaboration Agreement with BeiGene, including with respect to the initiation of the Phase I trial for BA3071. In addition, we may in the future seek third-party collaborators or joint venture partners for development and commercialization of additional CAB product candidates.</w:t>
      </w:r>
    </w:p>
    <w:p>
      <w:pPr>
        <w:spacing w:after="0" w:line="185" w:lineRule="exact"/>
        <w:rPr>
          <w:sz w:val="20"/>
          <w:szCs w:val="20"/>
          <w:color w:val="auto"/>
        </w:rPr>
      </w:pPr>
    </w:p>
    <w:p>
      <w:pPr>
        <w:ind w:right="320" w:firstLine="509"/>
        <w:spacing w:after="0" w:line="293" w:lineRule="auto"/>
        <w:rPr>
          <w:sz w:val="20"/>
          <w:szCs w:val="20"/>
          <w:color w:val="auto"/>
        </w:rPr>
      </w:pPr>
      <w:r>
        <w:rPr>
          <w:rFonts w:ascii="Arial" w:cs="Arial" w:eastAsia="Arial" w:hAnsi="Arial"/>
          <w:sz w:val="18"/>
          <w:szCs w:val="18"/>
          <w:color w:val="auto"/>
        </w:rPr>
        <w:t>Prior to developing our own programs, the Company received revenue from services performed under fixed price service contracts that, in some cases, provided for potential milestone and royalty payments to us.</w:t>
      </w:r>
    </w:p>
    <w:p>
      <w:pPr>
        <w:spacing w:after="0" w:line="170" w:lineRule="exact"/>
        <w:rPr>
          <w:sz w:val="20"/>
          <w:szCs w:val="20"/>
          <w:color w:val="auto"/>
        </w:rPr>
      </w:pPr>
    </w:p>
    <w:p>
      <w:pPr>
        <w:ind w:right="220" w:firstLine="509"/>
        <w:spacing w:after="0" w:line="359" w:lineRule="auto"/>
        <w:rPr>
          <w:sz w:val="20"/>
          <w:szCs w:val="20"/>
          <w:color w:val="auto"/>
        </w:rPr>
      </w:pPr>
      <w:r>
        <w:rPr>
          <w:rFonts w:ascii="Arial" w:cs="Arial" w:eastAsia="Arial" w:hAnsi="Arial"/>
          <w:sz w:val="16"/>
          <w:szCs w:val="16"/>
          <w:color w:val="auto"/>
        </w:rPr>
        <w:t>We recognized $0.3 million in collaboration revenues for the three and six months ended June 30, 2021 from our legacy service contracts. For the three and six months ended June 30, 2020 we recognized $0.2 million and $0.3 million of revenue from our collaboration with BeiGene,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External expenses consist of:</w:t>
      </w:r>
    </w:p>
    <w:p>
      <w:pPr>
        <w:spacing w:after="0" w:line="131" w:lineRule="exact"/>
        <w:rPr>
          <w:sz w:val="20"/>
          <w:szCs w:val="20"/>
          <w:color w:val="auto"/>
        </w:rPr>
      </w:pPr>
    </w:p>
    <w:p>
      <w:pPr>
        <w:ind w:left="1340" w:right="100"/>
        <w:spacing w:after="0" w:line="293" w:lineRule="auto"/>
        <w:rPr>
          <w:sz w:val="20"/>
          <w:szCs w:val="20"/>
          <w:color w:val="auto"/>
        </w:rPr>
      </w:pPr>
      <w:r>
        <w:rPr>
          <w:rFonts w:ascii="Arial" w:cs="Arial" w:eastAsia="Arial" w:hAnsi="Arial"/>
          <w:sz w:val="18"/>
          <w:szCs w:val="18"/>
          <w:color w:val="auto"/>
        </w:rPr>
        <w:t>Fees paid to third parties such as contractors, clinical research organizations (CROs) and consultants, including through our relationship with BioDuro, and other costs related to preclinical and clinical trials;</w:t>
      </w:r>
    </w:p>
    <w:p>
      <w:pPr>
        <w:spacing w:after="0" w:line="62" w:lineRule="exact"/>
        <w:rPr>
          <w:sz w:val="20"/>
          <w:szCs w:val="20"/>
          <w:color w:val="auto"/>
        </w:rPr>
      </w:pPr>
    </w:p>
    <w:p>
      <w:pPr>
        <w:ind w:left="1340" w:right="540"/>
        <w:spacing w:after="0" w:line="293" w:lineRule="auto"/>
        <w:rPr>
          <w:sz w:val="20"/>
          <w:szCs w:val="20"/>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Expenses related to laboratory supplies and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Unallocated expenses consist of:</w:t>
      </w:r>
    </w:p>
    <w:p>
      <w:pPr>
        <w:spacing w:after="0" w:line="131" w:lineRule="exact"/>
        <w:rPr>
          <w:sz w:val="20"/>
          <w:szCs w:val="20"/>
          <w:color w:val="auto"/>
        </w:rPr>
      </w:pPr>
    </w:p>
    <w:p>
      <w:pPr>
        <w:ind w:left="1340" w:right="460"/>
        <w:spacing w:after="0" w:line="293" w:lineRule="auto"/>
        <w:rPr>
          <w:sz w:val="20"/>
          <w:szCs w:val="20"/>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Related equipment and facilities depreciation expenses.</w:t>
      </w:r>
    </w:p>
    <w:p>
      <w:pPr>
        <w:spacing w:after="0" w:line="239"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3"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Product candidates in later stages of clinical development generally have higher development costs than those in earlier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ind w:right="100"/>
        <w:spacing w:after="0" w:line="288" w:lineRule="auto"/>
        <w:rPr>
          <w:sz w:val="20"/>
          <w:szCs w:val="20"/>
          <w:color w:val="auto"/>
        </w:rPr>
      </w:pPr>
      <w:r>
        <w:rPr>
          <w:rFonts w:ascii="Arial" w:cs="Arial" w:eastAsia="Arial" w:hAnsi="Arial"/>
          <w:sz w:val="17"/>
          <w:szCs w:val="17"/>
          <w:color w:val="auto"/>
        </w:rPr>
        <w:t>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We expect our general and administrative expenses to increase as a result of operating as a public company, including additional costs</w:t>
      </w:r>
    </w:p>
    <w:p>
      <w:pPr>
        <w:spacing w:after="0" w:line="2" w:lineRule="exact"/>
        <w:rPr>
          <w:sz w:val="20"/>
          <w:szCs w:val="20"/>
          <w:color w:val="auto"/>
        </w:rPr>
      </w:pPr>
    </w:p>
    <w:p>
      <w:pPr>
        <w:ind w:right="120" w:firstLine="8"/>
        <w:spacing w:after="0" w:line="279"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comply with the rules and regulations of the SEC and those of The Nasdaq Global Market, (ii) for legal and auditing services, (iii) for additional insurance, (iv) for investor relations activities and (v) for other administrative and professional services. We also expect our intellectual property expenses to increase as we expand our intellectual property portfolio.</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color w:val="auto"/>
        </w:rPr>
        <w:t>Interest income consists primarily of interest earned on our cash and cash equivalent balances. Our interest income has not been significant to date and we do not expect any material changes.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Interest expense consists primarily of interest incurred on our outstanding convertible debt, including coupon interest and the amortization of debt discounts, including those related to beneficial conversion features and embedded derivatives. Our interest expense declined subsequent to the settlement of our outstanding convertible debt in July 2020 and the forgiveness of our PPP loan in July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The convertible promissory notes we issued during 2019 and 2020 contained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 The embedded derivative liability was recorded at fair value utilizing an income approach that identified the cash flows using a “with-and without” valuation methodology. The inputs used to determine the estimated fair value of the derivative instrument were based primarily on the probability of an underlying event triggering the embedded derivative occurring and the timing of such event. We will no longer record changes in the fair value of the derivative liability subsequent to the settlement of the derivative liability in connection with the conversion of our outstanding convertible debt in July 2020.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197"/>
        </w:trPr>
        <w:tc>
          <w:tcPr>
            <w:tcW w:w="5320" w:type="dxa"/>
            <w:vAlign w:val="bottom"/>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11,927</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80" w:type="dxa"/>
            <w:vAlign w:val="bottom"/>
          </w:tcPr>
          <w:p>
            <w:pPr>
              <w:spacing w:after="0"/>
              <w:rPr>
                <w:sz w:val="21"/>
                <w:szCs w:val="21"/>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(30,460 )</w:t>
            </w: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(4,520 )</w:t>
            </w: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(25,940 )</w:t>
            </w:r>
          </w:p>
        </w:tc>
      </w:tr>
      <w:tr>
        <w:trPr>
          <w:trHeight w:val="26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r>
      <w:tr>
        <w:trPr>
          <w:trHeight w:val="263"/>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(754 )</w:t>
            </w: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2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(775 )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1"/>
                <w:szCs w:val="21"/>
                <w:color w:val="auto"/>
              </w:rPr>
            </w:pPr>
          </w:p>
        </w:tc>
      </w:tr>
      <w:tr>
        <w:trPr>
          <w:trHeight w:val="256"/>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Extinguishment of convertible debt</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(174 )</w:t>
            </w: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22"/>
                <w:szCs w:val="22"/>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(1,702 )</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 and comprehensive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(30,381 )</w:t>
            </w:r>
          </w:p>
        </w:tc>
        <w:tc>
          <w:tcPr>
            <w:tcW w:w="24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(6,222 )</w:t>
            </w:r>
          </w:p>
        </w:tc>
        <w:tc>
          <w:tcPr>
            <w:tcW w:w="180" w:type="dxa"/>
            <w:vAlign w:val="bottom"/>
            <w:shd w:val="clear" w:color="auto" w:fill="CFF0FC"/>
          </w:tcPr>
          <w:p>
            <w:pPr>
              <w:spacing w:after="0"/>
              <w:rPr>
                <w:sz w:val="23"/>
                <w:szCs w:val="23"/>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(24,159 )</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-1350645</wp:posOffset>
            </wp:positionV>
            <wp:extent cx="14541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-1350645</wp:posOffset>
            </wp:positionV>
            <wp:extent cx="12890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-1350645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-365125</wp:posOffset>
            </wp:positionV>
            <wp:extent cx="14541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-365125</wp:posOffset>
            </wp:positionV>
            <wp:extent cx="12890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-365125</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1454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1454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128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128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Collaboration revenue for the three months ended June 30, 2021 was $0.3 million and consisted of revenue recognized under our legacy service contracts. There was no revenue recognized under our collaboration with BeiGene during the three months ended June 30, 2021. Collaboration revenue for the three months ended June 30, 2020 was $0.2 million and consisted of revenue recognized under our collaboration agreement with BeiGene. Under the collaboration agreement with BeiGene, the remaining $19.8 million of deferred revenue is expected to be earned upon transfer of the know-how and materials to BeiGene related to the manufacture of BA3071.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r>
      <w:tr>
        <w:trPr>
          <w:trHeight w:val="197"/>
        </w:trPr>
        <w:tc>
          <w:tcPr>
            <w:tcW w:w="53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BA3011 (AXL-ADC)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5,231</w:t>
            </w:r>
          </w:p>
        </w:tc>
        <w:tc>
          <w:tcPr>
            <w:tcW w:w="9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21"/>
                <w:szCs w:val="21"/>
                <w:color w:val="auto"/>
              </w:rPr>
            </w:pPr>
          </w:p>
        </w:tc>
      </w:tr>
      <w:tr>
        <w:trPr>
          <w:trHeight w:val="263"/>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BA3021 (ROR2-ADC)</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3,531</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Other CAB Programs</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21"/>
                <w:szCs w:val="21"/>
                <w:color w:val="auto"/>
              </w:rPr>
            </w:pPr>
          </w:p>
        </w:tc>
      </w:tr>
      <w:tr>
        <w:trPr>
          <w:trHeight w:val="25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external expenses</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1,806</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9,548</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Personnel and related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1,366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1"/>
                <w:szCs w:val="21"/>
                <w:color w:val="auto"/>
              </w:rPr>
            </w:pPr>
          </w:p>
        </w:tc>
      </w:tr>
      <w:tr>
        <w:trPr>
          <w:trHeight w:val="263"/>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(837 )</w:t>
            </w: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80" w:type="dxa"/>
            <w:vAlign w:val="bottom"/>
            <w:shd w:val="clear" w:color="auto" w:fill="CFF0FC"/>
          </w:tcPr>
          <w:p>
            <w:pPr>
              <w:spacing w:after="0"/>
              <w:rPr>
                <w:sz w:val="22"/>
                <w:szCs w:val="22"/>
                <w:color w:val="auto"/>
              </w:rPr>
            </w:pPr>
          </w:p>
        </w:tc>
      </w:tr>
      <w:tr>
        <w:trPr>
          <w:trHeight w:val="250"/>
        </w:trPr>
        <w:tc>
          <w:tcPr>
            <w:tcW w:w="5320" w:type="dxa"/>
            <w:vAlign w:val="bottom"/>
          </w:tcPr>
          <w:p>
            <w:pPr>
              <w:ind w:left="260"/>
              <w:spacing w:after="0"/>
              <w:rPr>
                <w:sz w:val="20"/>
                <w:szCs w:val="20"/>
                <w:color w:val="auto"/>
              </w:rPr>
            </w:pPr>
            <w:r>
              <w:rPr>
                <w:rFonts w:ascii="Arial" w:cs="Arial" w:eastAsia="Arial" w:hAnsi="Arial"/>
                <w:sz w:val="18"/>
                <w:szCs w:val="18"/>
                <w:color w:val="auto"/>
              </w:rPr>
              <w:t>Facilities and other</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r>
      <w:tr>
        <w:trPr>
          <w:trHeight w:val="29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2,923</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460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1282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1282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Research and development expenses were $14.9 million and $2.9 million for the three months ended June 30, 2021 and 2020, respectively. The increase of $12.0 million was primarily driven by a $8.1 million increase in external costs due to manufacturing for our clinical candidates and ongoing clinical development for BA3011 and BA3021, a $1.5 million increase in pre-clinical development for other CAB programs, a $1.1 million increase in stock-based compensation under our post-IPO equity incentive plans, a $0.9 million increase in equity-based compensation related to a decrease in the fair value of awards under our profits interest plan during the three months ended June 30, 2020, a $0.3 million increase in personnel related costs, and a $0.1 million increase and facility and other related expense.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1" w:lineRule="exact"/>
        <w:rPr>
          <w:sz w:val="20"/>
          <w:szCs w:val="20"/>
          <w:color w:val="auto"/>
        </w:rPr>
      </w:pPr>
    </w:p>
    <w:p>
      <w:pPr>
        <w:ind w:right="340" w:firstLine="509"/>
        <w:spacing w:after="0" w:line="266" w:lineRule="auto"/>
        <w:rPr>
          <w:sz w:val="20"/>
          <w:szCs w:val="20"/>
          <w:color w:val="auto"/>
        </w:rPr>
      </w:pPr>
      <w:r>
        <w:rPr>
          <w:rFonts w:ascii="Arial" w:cs="Arial" w:eastAsia="Arial" w:hAnsi="Arial"/>
          <w:sz w:val="18"/>
          <w:szCs w:val="18"/>
          <w:color w:val="auto"/>
        </w:rPr>
        <w:t>General and administrative expenses were $15.9 million and $1.8 million for the three months ended June 30, 2021 and 2020, respectively. The increase of $14.1 million was primarily driven by a $11.1 million increase in stock-based compensation under our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8"/>
          <w:szCs w:val="18"/>
          <w:color w:val="auto"/>
        </w:rPr>
        <w:t>post-IPO equity incentive plans, a $1.1 million increase in equity-based compensation related to a decrease in the fair value of awards under our profits interest plan during the three months ended June 30, 2020, a $0.9 million increase in personnel related expenses as we expanded our administrative functions in support of our development activities and incurred severance benefits related to the departure of one of our co-founders, a $0.8 million increase in insurance expense, a $0.1 million increase in professional fees related to accounting, audit and legal services, and a $0.1 million increase in depreciation expense.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Interest income was $0.1 million and $1,000 for the three months ended June 30, 2021 and 2020, respectively. The increase of $0.1 million was due to higher average cash and cash equivalent balances after our December 2020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Interest expense was $1,000 and $0.8 million for the three months ended June 30, 2021 and 2020, respectively. The decrease of $0.8 million was due to reduced interest expense as a result of the settlement of all of our convertible debt in July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Change in fair value of derivative liability was $0 and $0.8 million for the three months ended June 30, 2021 and 2020, respectively. The decrease of $0.8 million was primarily due to changes in the fair value of embedded derivatives issued in connection with our outstanding convertible promissory notes which all settled in July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Convertible Debt</w:t>
      </w:r>
    </w:p>
    <w:p>
      <w:pPr>
        <w:spacing w:after="0" w:line="13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Extinguishment of convertible debt was $0 and $0.2 million for the three months ended June 30, 2021 and 2020, respectively. The $0.2 million in recognized losses on extinguishment during the three months ended June 30, 2020 were related to the amendment of the terms of certain outstanding convertible promissory notes that we concluded were extinguishments.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r>
      <w:tr>
        <w:trPr>
          <w:trHeight w:val="196"/>
        </w:trPr>
        <w:tc>
          <w:tcPr>
            <w:tcW w:w="528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(29 )</w:t>
            </w: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20,689</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22,910</w:t>
            </w:r>
          </w:p>
        </w:tc>
        <w:tc>
          <w:tcPr>
            <w:tcW w:w="80" w:type="dxa"/>
            <w:vAlign w:val="bottom"/>
          </w:tcPr>
          <w:p>
            <w:pPr>
              <w:spacing w:after="0"/>
              <w:rPr>
                <w:sz w:val="21"/>
                <w:szCs w:val="2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43,599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(49,257 )</w:t>
            </w: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(5,629 )</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(43,628 )</w:t>
            </w:r>
          </w:p>
        </w:tc>
      </w:tr>
      <w:tr>
        <w:trPr>
          <w:trHeight w:val="26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r>
      <w:tr>
        <w:trPr>
          <w:trHeight w:val="26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(1,301 )</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(728 )</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1"/>
                <w:szCs w:val="21"/>
                <w:color w:val="auto"/>
              </w:rPr>
            </w:pPr>
          </w:p>
        </w:tc>
      </w:tr>
      <w:tr>
        <w:trPr>
          <w:trHeight w:val="257"/>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Extinguishment of convertible debt</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(174 )</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22"/>
                <w:szCs w:val="22"/>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(2,197 )</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(49,082 )</w:t>
            </w:r>
          </w:p>
        </w:tc>
        <w:tc>
          <w:tcPr>
            <w:tcW w:w="26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(7,826 )</w:t>
            </w:r>
          </w:p>
        </w:tc>
        <w:tc>
          <w:tcPr>
            <w:tcW w:w="200" w:type="dxa"/>
            <w:vAlign w:val="bottom"/>
            <w:shd w:val="clear" w:color="auto" w:fill="CFF0FC"/>
          </w:tcPr>
          <w:p>
            <w:pPr>
              <w:spacing w:after="0"/>
              <w:rPr>
                <w:sz w:val="23"/>
                <w:szCs w:val="23"/>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(41,256 )</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-1350645</wp:posOffset>
            </wp:positionV>
            <wp:extent cx="14605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-1350645</wp:posOffset>
            </wp:positionV>
            <wp:extent cx="1282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-1350645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-365125</wp:posOffset>
            </wp:positionV>
            <wp:extent cx="1460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-365125</wp:posOffset>
            </wp:positionV>
            <wp:extent cx="1282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-365125</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146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146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128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1282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ind w:right="300" w:firstLine="509"/>
        <w:spacing w:after="0" w:line="281" w:lineRule="auto"/>
        <w:rPr>
          <w:sz w:val="20"/>
          <w:szCs w:val="20"/>
          <w:color w:val="auto"/>
        </w:rPr>
      </w:pPr>
      <w:r>
        <w:rPr>
          <w:rFonts w:ascii="Arial" w:cs="Arial" w:eastAsia="Arial" w:hAnsi="Arial"/>
          <w:sz w:val="17"/>
          <w:szCs w:val="17"/>
          <w:color w:val="auto"/>
        </w:rPr>
        <w:t>Collaboration revenue for the six months ended June 30, 2021 was $0.3 million, which consisted solely of revenue recognized under our legacy service contracts. There was no revenue recognized under our collaboration with BeiGene during the six months ended June 30, 2021. Collaboration revenue for six months ended June 30, 2020 was $0.3 million, which consisted of revenue recognized under our collaboration agreement with BeiGene. Under the collaboration agreement with BeiGene, the remaining $19.8 million of deferred revenue is expected to be earned upon transfer of the know-how and materials to BeiGene related to the manufacture of BA3071.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r>
      <w:tr>
        <w:trPr>
          <w:trHeight w:val="197"/>
        </w:trPr>
        <w:tc>
          <w:tcPr>
            <w:tcW w:w="528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2"/>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BA3011 (AXL-ADC)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9,777</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8,219</w:t>
            </w:r>
          </w:p>
        </w:tc>
        <w:tc>
          <w:tcPr>
            <w:tcW w:w="80" w:type="dxa"/>
            <w:vAlign w:val="bottom"/>
          </w:tcPr>
          <w:p>
            <w:pPr>
              <w:spacing w:after="0"/>
              <w:rPr>
                <w:sz w:val="21"/>
                <w:szCs w:val="21"/>
                <w:color w:val="auto"/>
              </w:rPr>
            </w:pPr>
          </w:p>
        </w:tc>
      </w:tr>
      <w:tr>
        <w:trPr>
          <w:trHeight w:val="26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BA3021 (ROR2-ADC)</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Other CAB Programs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21"/>
                <w:szCs w:val="21"/>
                <w:color w:val="auto"/>
              </w:rPr>
            </w:pPr>
          </w:p>
        </w:tc>
      </w:tr>
      <w:tr>
        <w:trPr>
          <w:trHeight w:val="25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expenses</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14,733</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Personnel and related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21"/>
                <w:szCs w:val="21"/>
                <w:color w:val="auto"/>
              </w:rPr>
            </w:pPr>
          </w:p>
        </w:tc>
      </w:tr>
      <w:tr>
        <w:trPr>
          <w:trHeight w:val="26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Equity-based compensation</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(3,360 )</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80" w:type="dxa"/>
            <w:vAlign w:val="bottom"/>
            <w:shd w:val="clear" w:color="auto" w:fill="CFF0FC"/>
          </w:tcPr>
          <w:p>
            <w:pPr>
              <w:spacing w:after="0"/>
              <w:rPr>
                <w:sz w:val="22"/>
                <w:szCs w:val="22"/>
                <w:color w:val="auto"/>
              </w:rPr>
            </w:pPr>
          </w:p>
        </w:tc>
      </w:tr>
      <w:tr>
        <w:trPr>
          <w:trHeight w:val="250"/>
        </w:trPr>
        <w:tc>
          <w:tcPr>
            <w:tcW w:w="5280" w:type="dxa"/>
            <w:vAlign w:val="bottom"/>
          </w:tcPr>
          <w:p>
            <w:pPr>
              <w:ind w:left="260"/>
              <w:spacing w:after="0"/>
              <w:rPr>
                <w:sz w:val="20"/>
                <w:szCs w:val="20"/>
                <w:color w:val="auto"/>
              </w:rPr>
            </w:pPr>
            <w:r>
              <w:rPr>
                <w:rFonts w:ascii="Arial" w:cs="Arial" w:eastAsia="Arial" w:hAnsi="Arial"/>
                <w:sz w:val="18"/>
                <w:szCs w:val="18"/>
                <w:color w:val="auto"/>
              </w:rPr>
              <w:t>Facilities and other</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1"/>
                <w:szCs w:val="21"/>
                <w:color w:val="auto"/>
              </w:rPr>
            </w:pPr>
          </w:p>
        </w:tc>
      </w:tr>
      <w:tr>
        <w:trPr>
          <w:trHeight w:val="29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25,273</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1460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128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1282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Research and development expenses were $25.3 million and $4.6 million for the six months ended June 30, 2021 and 2020, respectively. The increase of $20.7 million was primarily driven by a $12.1 million increase in external costs due to manufacturing and ongoing clinical development for our clinical programs BA3011 and BA3021, a $3.4 million increase in equity-based compensation related to a decrease in the fair value of awards under our profits interest plan during the six months ended June 30, 2020, a $2.6 million increase in pre-clinical development for our other CAB programs, a $2.1 million increase in stock-based compensation under our post-IPO equity incentive plans, a $0.4 million increase in personnel related costs, and $0.1 million increase in facility related costs.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1" w:lineRule="exact"/>
        <w:rPr>
          <w:sz w:val="20"/>
          <w:szCs w:val="20"/>
          <w:color w:val="auto"/>
        </w:rPr>
      </w:pPr>
    </w:p>
    <w:p>
      <w:pPr>
        <w:ind w:right="80" w:firstLine="509"/>
        <w:spacing w:after="0" w:line="288" w:lineRule="auto"/>
        <w:rPr>
          <w:sz w:val="20"/>
          <w:szCs w:val="20"/>
          <w:color w:val="auto"/>
        </w:rPr>
      </w:pPr>
      <w:r>
        <w:rPr>
          <w:rFonts w:ascii="Arial" w:cs="Arial" w:eastAsia="Arial" w:hAnsi="Arial"/>
          <w:sz w:val="17"/>
          <w:szCs w:val="17"/>
          <w:color w:val="auto"/>
        </w:rPr>
        <w:t>General and administrative expenses were $24.2 million and $1.3 million for the six months ended June 30, 2021 and 2020, respectively. The increase of $22.9 million was primarily driven by a $14.8 million increase in stock-based compensation under our post-IPO equity incentive plans and the modification of awards issued to one of our co-founders, a $4.2 million increase in equity-based compensation related to a decrease in the fair value of awards under our profits interest plan during the six months ended June 30, 2020, a $1.5 million increase in insurance expense, a $1.3 million increase in personnel related expenses as we expanded our administrative functions in support of our development activities and incurred severance benefits related to the departure of one of our co-founders, a $0.8 million increase in professional fees related to accounting, audit and legal services, a $0.3 million increase in other expenses including corporate franchise taxes and a $0.2 million increase in depreciation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Interest income was $0.2 million and $6,000 for the six months ended June 30, 2021 and 2020, respectively. The increase of $0.2 million was due to higher average cash and cash equivalent balances after our December 2020 IPO.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31" w:lineRule="exact"/>
        <w:rPr>
          <w:sz w:val="20"/>
          <w:szCs w:val="20"/>
          <w:color w:val="auto"/>
        </w:rPr>
      </w:pPr>
    </w:p>
    <w:p>
      <w:pPr>
        <w:ind w:right="140" w:firstLine="509"/>
        <w:spacing w:after="0" w:line="266" w:lineRule="auto"/>
        <w:rPr>
          <w:sz w:val="20"/>
          <w:szCs w:val="20"/>
          <w:color w:val="auto"/>
        </w:rPr>
      </w:pPr>
      <w:r>
        <w:rPr>
          <w:rFonts w:ascii="Arial" w:cs="Arial" w:eastAsia="Arial" w:hAnsi="Arial"/>
          <w:sz w:val="18"/>
          <w:szCs w:val="18"/>
          <w:color w:val="auto"/>
        </w:rPr>
        <w:t>Interest expense was $3,000 and $1.3 million for the six months ended June 30, 2021 and 2020, respectively. The decrease of $1.3 million was due to reduced interest expense as a result of the settlement of all of our convertible debt in July 2020.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3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Change in fair value of derivative liability was $0 and $0.7 million for the six months ended June 30, 2021 and 2020, respectively. The decrease of $0.7 million was primarily due to changes in the fair value during 2020 of embedded derivatives issued in connection with our outstanding convertible promissory notes which all settled in July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Convertible Debt</w:t>
      </w:r>
    </w:p>
    <w:p>
      <w:pPr>
        <w:spacing w:after="0" w:line="131" w:lineRule="exact"/>
        <w:rPr>
          <w:sz w:val="20"/>
          <w:szCs w:val="20"/>
          <w:color w:val="auto"/>
        </w:rPr>
      </w:pPr>
    </w:p>
    <w:p>
      <w:pPr>
        <w:ind w:right="380" w:firstLine="509"/>
        <w:spacing w:after="0" w:line="279" w:lineRule="auto"/>
        <w:rPr>
          <w:sz w:val="20"/>
          <w:szCs w:val="20"/>
          <w:color w:val="auto"/>
        </w:rPr>
      </w:pPr>
      <w:r>
        <w:rPr>
          <w:rFonts w:ascii="Arial" w:cs="Arial" w:eastAsia="Arial" w:hAnsi="Arial"/>
          <w:sz w:val="18"/>
          <w:szCs w:val="18"/>
          <w:color w:val="auto"/>
        </w:rPr>
        <w:t>Extinguishment of convertible debt was $0 and $0.2 million for the six months ended June 30, 2021 and 2020, respectively. The $0.2 million in recognized losses on extinguishment during the six months ended June 30, 2020 were related to the amendment of the terms of certain outstanding convertible promissory notes that we concluded were extinguishments.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June 30, 2021, we had cash and cash equivalents of $207.6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2019, we had outstanding convertible notes with an aggregate principal balance of $19.0 million and issued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 million of convertible notes between March and April of 2020. All principal and accrued interest under the convertible notes was converted into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D convertible preferred stock in July 2020.</w:t>
      </w:r>
    </w:p>
    <w:p>
      <w:pPr>
        <w:spacing w:after="0" w:line="238" w:lineRule="exact"/>
        <w:rPr>
          <w:sz w:val="20"/>
          <w:szCs w:val="20"/>
          <w:color w:val="auto"/>
        </w:rPr>
      </w:pPr>
    </w:p>
    <w:p>
      <w:pPr>
        <w:ind w:right="220" w:firstLine="509"/>
        <w:spacing w:after="0" w:line="299" w:lineRule="auto"/>
        <w:rPr>
          <w:sz w:val="20"/>
          <w:szCs w:val="20"/>
          <w:color w:val="auto"/>
        </w:rPr>
      </w:pPr>
      <w:r>
        <w:rPr>
          <w:rFonts w:ascii="Arial" w:cs="Arial" w:eastAsia="Arial" w:hAnsi="Arial"/>
          <w:sz w:val="16"/>
          <w:szCs w:val="16"/>
          <w:color w:val="auto"/>
        </w:rPr>
        <w:t>On April 22, 2020, we received proceeds from a loan, or PPP Loan, in the amount of $0.7 million from City National Bank, as lender, pursuant to the Paycheck Protection Program, or PPP, of the CARES Act. The PPP Loan was evidenced by a promissory note, or Note, which contains customary events of default relating to, among other things, payment defaults and breaches of representations, warranties or terms of the PPP Loan documents. The</w:t>
      </w:r>
    </w:p>
    <w:p>
      <w:pPr>
        <w:spacing w:after="0" w:line="2" w:lineRule="exact"/>
        <w:rPr>
          <w:sz w:val="20"/>
          <w:szCs w:val="20"/>
          <w:color w:val="auto"/>
        </w:rPr>
      </w:pPr>
    </w:p>
    <w:p>
      <w:pPr>
        <w:ind w:right="160" w:firstLine="8"/>
        <w:spacing w:after="0" w:line="358" w:lineRule="auto"/>
        <w:tabs>
          <w:tab w:leader="none" w:pos="345"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 was scheduled to mature on April 22, 2022 with monthly payments of principal and interest scheduled to begin in August 2021. Prepayment of the PPP Loan was permitted at any time prior to maturity with no prepayment penalties.</w:t>
      </w:r>
    </w:p>
    <w:p>
      <w:pPr>
        <w:spacing w:after="0" w:line="12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We applied for debt forgiveness on our PPP loan in June 2021. On July 2, 2021, we were notified by our lender, City National Bank, that our PPP Loan had been fully forgiven by the SBA and that there was no remaining balance on the PPP Loan. We expect to record the forgiveness as other income in July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31" w:lineRule="exact"/>
        <w:rPr>
          <w:sz w:val="20"/>
          <w:szCs w:val="20"/>
          <w:color w:val="auto"/>
        </w:rPr>
      </w:pPr>
    </w:p>
    <w:p>
      <w:pPr>
        <w:ind w:right="20" w:firstLine="509"/>
        <w:spacing w:after="0" w:line="324"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9" w:lineRule="exact"/>
        <w:rPr>
          <w:sz w:val="20"/>
          <w:szCs w:val="20"/>
          <w:color w:val="auto"/>
        </w:rPr>
      </w:pPr>
    </w:p>
    <w:p>
      <w:pPr>
        <w:ind w:left="960" w:right="440"/>
        <w:spacing w:after="0" w:line="293" w:lineRule="auto"/>
        <w:rPr>
          <w:sz w:val="20"/>
          <w:szCs w:val="20"/>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sz w:val="20"/>
          <w:szCs w:val="20"/>
          <w:color w:val="auto"/>
        </w:rPr>
      </w:pPr>
    </w:p>
    <w:p>
      <w:pPr>
        <w:ind w:left="960" w:right="3600"/>
        <w:spacing w:after="0" w:line="414" w:lineRule="auto"/>
        <w:rPr>
          <w:sz w:val="20"/>
          <w:szCs w:val="20"/>
          <w:color w:val="auto"/>
        </w:rPr>
      </w:pPr>
      <w:r>
        <w:rPr>
          <w:rFonts w:ascii="Arial" w:cs="Arial" w:eastAsia="Arial" w:hAnsi="Arial"/>
          <w:sz w:val="17"/>
          <w:szCs w:val="17"/>
          <w:color w:val="auto"/>
        </w:rPr>
        <w:t>the timing and costs of capital expenditures to support our research and development efforts; the number and characteristics of other product candidates that we pursue;</w:t>
      </w:r>
    </w:p>
    <w:p>
      <w:pPr>
        <w:spacing w:after="0" w:line="1" w:lineRule="exact"/>
        <w:rPr>
          <w:sz w:val="20"/>
          <w:szCs w:val="20"/>
          <w:color w:val="auto"/>
        </w:rPr>
      </w:pPr>
    </w:p>
    <w:p>
      <w:pPr>
        <w:ind w:left="960" w:right="160"/>
        <w:spacing w:after="0" w:line="279"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receipt and amount of sales from our potential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and ability to hire additional management, scientific and medical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competing products that may limit market penetration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31" w:lineRule="exact"/>
        <w:rPr>
          <w:sz w:val="20"/>
          <w:szCs w:val="20"/>
          <w:color w:val="auto"/>
        </w:rPr>
      </w:pPr>
    </w:p>
    <w:p>
      <w:pPr>
        <w:ind w:left="960"/>
        <w:spacing w:after="0" w:line="266" w:lineRule="auto"/>
        <w:rPr>
          <w:sz w:val="20"/>
          <w:szCs w:val="20"/>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4" w:name="page25"/>
    <w:bookmarkEnd w:id="24"/>
    <w:p>
      <w:pPr>
        <w:ind w:left="960"/>
        <w:spacing w:after="0"/>
        <w:rPr>
          <w:sz w:val="20"/>
          <w:szCs w:val="20"/>
          <w:color w:val="auto"/>
        </w:rPr>
      </w:pPr>
      <w:r>
        <w:rPr>
          <w:rFonts w:ascii="Arial" w:cs="Arial" w:eastAsia="Arial" w:hAnsi="Arial"/>
          <w:sz w:val="18"/>
          <w:szCs w:val="18"/>
          <w:color w:val="auto"/>
        </w:rPr>
        <w:t>the compliance and administrative costs associated with being a public company; and</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jc w:val="both"/>
        <w:ind w:right="440" w:firstLine="509"/>
        <w:spacing w:after="0" w:line="279" w:lineRule="auto"/>
        <w:rPr>
          <w:sz w:val="20"/>
          <w:szCs w:val="20"/>
          <w:color w:val="auto"/>
        </w:rPr>
      </w:pPr>
      <w:r>
        <w:rPr>
          <w:rFonts w:ascii="Arial" w:cs="Arial" w:eastAsia="Arial" w:hAnsi="Arial"/>
          <w:sz w:val="18"/>
          <w:szCs w:val="18"/>
          <w:color w:val="auto"/>
        </w:rPr>
        <w:t>Based on our current operating plan, our current cash and cash equivalents are expected to be sufficient to fund our ongoing operations at least through the end of 2022. However, we have based this estimate on assumptions that may prove to be wrong, and we could utilize our available capital resources sooner than we currently expect.</w:t>
      </w:r>
    </w:p>
    <w:p>
      <w:pPr>
        <w:spacing w:after="0" w:line="183"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5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7"/>
                <w:szCs w:val="17"/>
                <w:color w:val="auto"/>
              </w:rPr>
            </w:pPr>
          </w:p>
        </w:tc>
      </w:t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89"/>
              </w:rPr>
              <w:t>(in thousands)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54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(28,539 )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(6,866 )</w:t>
            </w:r>
          </w:p>
        </w:tc>
      </w:tr>
      <w:tr>
        <w:trPr>
          <w:trHeight w:val="263"/>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(736 )</w:t>
            </w:r>
          </w:p>
        </w:tc>
        <w:tc>
          <w:tcPr>
            <w:tcW w:w="40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(86 )</w:t>
            </w:r>
          </w:p>
        </w:tc>
      </w:tr>
      <w:tr>
        <w:trPr>
          <w:trHeight w:val="250"/>
        </w:trPr>
        <w:tc>
          <w:tcPr>
            <w:tcW w:w="544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(1,721 )</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(30,996 )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(3,520 )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128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1289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31"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Net cash used in operating activities totaled $28.5 million for the six months ended June 30, 2021, which consisted of a consolidated net loss of $49.1 million, a net change of $3.1 million in our operating assets and liabilities and $17.5 million of non-cash transactions. The net change in our operating assets and liabilities was primarily due to an increase in accounts payable and accrued expenses of $5.7 million, offset by an increase in prepaid expenses and other assets of $2.6 million. The non-cash transactions primarily consisted of $16.9 million of stock-based compensation and non-cash charges of $0.6 million related to depreciation and amortization, offset by $0.1 million of deferred rent.</w:t>
      </w:r>
    </w:p>
    <w:p>
      <w:pPr>
        <w:spacing w:after="0" w:line="174"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Net cash used in operating activities for the six months ended June 30, 2020 was $6.9 million, which consisted of a consolidated net loss of $7.8 million and a net change of $6.0 million in our net operating assets and liabilities, partially offset by a decrease of $5.0 million in non-cash transactions. The net change in our operating assets and liabilities was primarily due to a decrease in prepaid expenses and other assets of $0.4 million, and an increase in accounts payable and accrued expenses of $5.9 million. The $5.0 million change in non-cash transactions primarily consisted of a decrease in the profits interest liability of $7.6 million primarily due to a decrease in the fair value of the underlying awards, partially offset by accrued interest of $0.8 million on our outstanding convertible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ind w:right="300"/>
        <w:spacing w:after="0" w:line="293" w:lineRule="auto"/>
        <w:rPr>
          <w:sz w:val="20"/>
          <w:szCs w:val="20"/>
          <w:color w:val="auto"/>
        </w:rPr>
      </w:pPr>
      <w:r>
        <w:rPr>
          <w:rFonts w:ascii="Arial" w:cs="Arial" w:eastAsia="Arial" w:hAnsi="Arial"/>
          <w:sz w:val="18"/>
          <w:szCs w:val="18"/>
          <w:color w:val="auto"/>
        </w:rPr>
        <w:t>debt, $0.7 million related to the change in fair value of our derivative liability, $0.5 million of non-cash interest, $0.4 million related to depreciation and amortization and $0.2 million related to the loss on the extinguishment of our convertible debt.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31" w:lineRule="exact"/>
        <w:rPr>
          <w:sz w:val="20"/>
          <w:szCs w:val="20"/>
          <w:color w:val="auto"/>
        </w:rPr>
      </w:pPr>
    </w:p>
    <w:p>
      <w:pPr>
        <w:ind w:right="360" w:firstLine="509"/>
        <w:spacing w:after="0" w:line="293" w:lineRule="auto"/>
        <w:rPr>
          <w:sz w:val="20"/>
          <w:szCs w:val="20"/>
          <w:color w:val="auto"/>
        </w:rPr>
      </w:pPr>
      <w:r>
        <w:rPr>
          <w:rFonts w:ascii="Arial" w:cs="Arial" w:eastAsia="Arial" w:hAnsi="Arial"/>
          <w:sz w:val="18"/>
          <w:szCs w:val="18"/>
          <w:color w:val="auto"/>
        </w:rPr>
        <w:t>Cash used in investing activities was $0.7 million and $0.1 million for the six months ended June 30, 2021 and 2020, respectively,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3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Net cash used in financing activities was $1.7 million for the six months ended June 30, 2021, which consisted primarily of our payment of initial public offering costs of $1.9 million, partially offset by the proceeds from the issuance of common stock under our Employee Stock Purchase Plan of $0.2 million.</w:t>
      </w:r>
    </w:p>
    <w:p>
      <w:pPr>
        <w:spacing w:after="0" w:line="183"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Net cash provided by financing activities was $3.4 million for the six months ended June 30, 2020, which consisted primarily of proceeds from the issuance of $2.8 million of convertible notes and a $0.7 million PPP loan.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2020. There have not been any material changes to the critical accounting policies discussed therein during the six months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June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right="20"/>
        <w:spacing w:after="0" w:line="293" w:lineRule="auto"/>
        <w:rPr>
          <w:sz w:val="20"/>
          <w:szCs w:val="20"/>
          <w:color w:val="auto"/>
        </w:rPr>
      </w:pPr>
      <w:r>
        <w:rPr>
          <w:rFonts w:ascii="Arial" w:cs="Arial" w:eastAsia="Arial" w:hAnsi="Arial"/>
          <w:sz w:val="18"/>
          <w:szCs w:val="18"/>
          <w:color w:val="auto"/>
        </w:rPr>
        <w:t>evaluation of our disclosure controls and procedures as of June 30, 2021, our Chief Executive Officer and our Chief Financial Officer concluded that, as of such date,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320" w:firstLine="509"/>
        <w:spacing w:after="0" w:line="293"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2021 that have materially affected, or are reasonably likely to materially affect, our internal control over financial reporting.</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Investing in our common stock involves a high degree of risk. You should carefully consider all information in this Annual Report on Form 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K, including our consolidated financial statements and related notes appearing elsewhere in this prospectus and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before purchasing our common stock. These risks are discussed more fully in the section titled “Risk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Factors.” These risks and uncertainties include, but are not limited to, the following:</w:t>
      </w:r>
    </w:p>
    <w:p>
      <w:pPr>
        <w:spacing w:after="0" w:line="130" w:lineRule="exact"/>
        <w:rPr>
          <w:sz w:val="20"/>
          <w:szCs w:val="20"/>
          <w:color w:val="auto"/>
        </w:rPr>
      </w:pPr>
    </w:p>
    <w:p>
      <w:pPr>
        <w:ind w:left="960" w:right="220"/>
        <w:spacing w:after="0" w:line="293" w:lineRule="auto"/>
        <w:rPr>
          <w:sz w:val="20"/>
          <w:szCs w:val="20"/>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62" w:lineRule="exact"/>
        <w:rPr>
          <w:sz w:val="20"/>
          <w:szCs w:val="20"/>
          <w:color w:val="auto"/>
        </w:rPr>
      </w:pPr>
    </w:p>
    <w:p>
      <w:pPr>
        <w:ind w:left="960" w:right="400"/>
        <w:spacing w:after="0" w:line="279" w:lineRule="auto"/>
        <w:rPr>
          <w:sz w:val="20"/>
          <w:szCs w:val="20"/>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13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left="960" w:right="580"/>
        <w:spacing w:after="0" w:line="293" w:lineRule="auto"/>
        <w:rPr>
          <w:sz w:val="20"/>
          <w:szCs w:val="20"/>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left="960" w:right="140"/>
        <w:spacing w:after="0" w:line="324" w:lineRule="auto"/>
        <w:rPr>
          <w:sz w:val="20"/>
          <w:szCs w:val="20"/>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left="960" w:right="1000"/>
        <w:spacing w:after="0" w:line="293" w:lineRule="auto"/>
        <w:rPr>
          <w:sz w:val="20"/>
          <w:szCs w:val="20"/>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42"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7" w:name="page28"/>
    <w:bookmarkEnd w:id="27"/>
    <w:p>
      <w:pPr>
        <w:ind w:left="960" w:right="80"/>
        <w:spacing w:after="0" w:line="293" w:lineRule="auto"/>
        <w:rPr>
          <w:sz w:val="20"/>
          <w:szCs w:val="20"/>
          <w:color w:val="auto"/>
        </w:rPr>
      </w:pPr>
      <w:r>
        <w:rPr>
          <w:rFonts w:ascii="Arial" w:cs="Arial" w:eastAsia="Arial" w:hAnsi="Arial"/>
          <w:sz w:val="18"/>
          <w:szCs w:val="18"/>
          <w:color w:val="auto"/>
        </w:rPr>
        <w:t>preclinical studies or clinical trials beyond those that we contemplate, which could increase the expense of obtaining, and delay the receipt of, necessary marketing approvals.</w:t>
      </w:r>
    </w:p>
    <w:p>
      <w:pPr>
        <w:spacing w:after="0" w:line="62"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62"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sz w:val="20"/>
          <w:szCs w:val="20"/>
          <w:color w:val="auto"/>
        </w:rPr>
      </w:pPr>
    </w:p>
    <w:p>
      <w:pPr>
        <w:ind w:left="960" w:right="220"/>
        <w:spacing w:after="0" w:line="359" w:lineRule="auto"/>
        <w:rPr>
          <w:sz w:val="20"/>
          <w:szCs w:val="20"/>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7"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or political unrest in China could materially adversely affect our business, financial condition and results of operations.</w:t>
      </w:r>
    </w:p>
    <w:p>
      <w:pPr>
        <w:spacing w:after="0" w:line="75" w:lineRule="exact"/>
        <w:rPr>
          <w:sz w:val="20"/>
          <w:szCs w:val="20"/>
          <w:color w:val="auto"/>
        </w:rPr>
      </w:pPr>
    </w:p>
    <w:p>
      <w:pPr>
        <w:ind w:left="960" w:right="100"/>
        <w:spacing w:after="0" w:line="324" w:lineRule="auto"/>
        <w:rPr>
          <w:sz w:val="20"/>
          <w:szCs w:val="20"/>
          <w:color w:val="auto"/>
        </w:rPr>
      </w:pPr>
      <w:r>
        <w:rPr>
          <w:rFonts w:ascii="Arial" w:cs="Arial" w:eastAsia="Arial" w:hAnsi="Arial"/>
          <w:sz w:val="17"/>
          <w:szCs w:val="17"/>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39" w:lineRule="exact"/>
        <w:rPr>
          <w:sz w:val="20"/>
          <w:szCs w:val="20"/>
          <w:color w:val="auto"/>
        </w:rPr>
      </w:pPr>
    </w:p>
    <w:p>
      <w:pPr>
        <w:jc w:val="both"/>
        <w:ind w:left="960" w:right="180"/>
        <w:spacing w:after="0" w:line="279" w:lineRule="auto"/>
        <w:rPr>
          <w:sz w:val="20"/>
          <w:szCs w:val="20"/>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5"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sz w:val="20"/>
          <w:szCs w:val="20"/>
          <w:color w:val="auto"/>
        </w:rPr>
      </w:pPr>
    </w:p>
    <w:p>
      <w:pPr>
        <w:jc w:val="both"/>
        <w:ind w:left="960" w:right="100"/>
        <w:spacing w:after="0" w:line="279" w:lineRule="auto"/>
        <w:rPr>
          <w:sz w:val="20"/>
          <w:szCs w:val="20"/>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131" w:lineRule="exact"/>
        <w:rPr>
          <w:sz w:val="20"/>
          <w:szCs w:val="20"/>
          <w:color w:val="auto"/>
        </w:rPr>
      </w:pPr>
    </w:p>
    <w:p>
      <w:pPr>
        <w:ind w:left="960"/>
        <w:spacing w:after="0" w:line="324" w:lineRule="auto"/>
        <w:rPr>
          <w:sz w:val="20"/>
          <w:szCs w:val="20"/>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35" w:lineRule="exact"/>
        <w:rPr>
          <w:sz w:val="20"/>
          <w:szCs w:val="20"/>
          <w:color w:val="auto"/>
        </w:rPr>
      </w:pPr>
    </w:p>
    <w:p>
      <w:pPr>
        <w:jc w:val="both"/>
        <w:ind w:right="160"/>
        <w:spacing w:after="0" w:line="279"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5"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BA3011 and BA3021,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78" w:lineRule="exact"/>
        <w:rPr>
          <w:sz w:val="20"/>
          <w:szCs w:val="20"/>
          <w:color w:val="auto"/>
        </w:rPr>
      </w:pPr>
    </w:p>
    <w:p>
      <w:pPr>
        <w:jc w:val="both"/>
        <w:ind w:right="160" w:firstLine="509"/>
        <w:spacing w:after="0" w:line="299" w:lineRule="auto"/>
        <w:rPr>
          <w:sz w:val="20"/>
          <w:szCs w:val="20"/>
          <w:color w:val="auto"/>
        </w:rPr>
      </w:pPr>
      <w:r>
        <w:rPr>
          <w:rFonts w:ascii="Arial" w:cs="Arial" w:eastAsia="Arial" w:hAnsi="Arial"/>
          <w:sz w:val="16"/>
          <w:szCs w:val="16"/>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$35.9 million and</w:t>
      </w:r>
    </w:p>
    <w:p>
      <w:pPr>
        <w:spacing w:after="0" w:line="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$29.8 million for the years ended December 31, 2020 and 2019, respectively. For the three and six months ended June 30, 2021, our net losses were $30.4 million and $49.1 million, respectively. As of June 30, 2021, we had an accumulated deficit of $140.0 million. These losses have resulted primarily from costs incurred in connection with research and</w:t>
      </w: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60"/>
        <w:spacing w:after="0" w:line="272" w:lineRule="auto"/>
        <w:rPr>
          <w:sz w:val="20"/>
          <w:szCs w:val="20"/>
          <w:color w:val="auto"/>
        </w:rPr>
      </w:pPr>
      <w:r>
        <w:rPr>
          <w:rFonts w:ascii="Arial" w:cs="Arial" w:eastAsia="Arial" w:hAnsi="Arial"/>
          <w:sz w:val="18"/>
          <w:szCs w:val="18"/>
          <w:color w:val="auto"/>
        </w:rPr>
        <w:t>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9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4" w:lineRule="exact"/>
        <w:rPr>
          <w:sz w:val="20"/>
          <w:szCs w:val="20"/>
          <w:color w:val="auto"/>
        </w:rPr>
      </w:pPr>
    </w:p>
    <w:p>
      <w:pPr>
        <w:ind w:right="100"/>
        <w:spacing w:after="0" w:line="394"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right="40" w:firstLine="509"/>
        <w:spacing w:after="0" w:line="269" w:lineRule="auto"/>
        <w:rPr>
          <w:sz w:val="20"/>
          <w:szCs w:val="20"/>
          <w:color w:val="auto"/>
        </w:rPr>
      </w:pPr>
      <w:r>
        <w:rPr>
          <w:rFonts w:ascii="Arial" w:cs="Arial" w:eastAsia="Arial" w:hAnsi="Arial"/>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BA3011 and BA3021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91"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As of June 30, 2021, we had approximately $207.6 million in cash and cash equivalents. Based on our current operating plan, our current cash and cash equivalents are expected to be sufficient to fund our ongoing operations at least through the end of 2022.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6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progress of our ongoing clinical trials for BA3011 and BA3021;</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progress of the development efforts for BA3071;</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the progress of our current and future collaborators with whom we have entered or may in the future enter into collaborations and research and development agreements;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amount of target specific indication and milestone payments we may receive under our collaboration agreements;</w:t>
      </w:r>
    </w:p>
    <w:p>
      <w:pPr>
        <w:spacing w:after="0" w:line="131" w:lineRule="exact"/>
        <w:rPr>
          <w:sz w:val="20"/>
          <w:szCs w:val="20"/>
          <w:color w:val="auto"/>
        </w:rPr>
      </w:pPr>
    </w:p>
    <w:p>
      <w:pPr>
        <w:ind w:left="960" w:right="380"/>
        <w:spacing w:after="0" w:line="293" w:lineRule="auto"/>
        <w:rPr>
          <w:sz w:val="20"/>
          <w:szCs w:val="20"/>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sz w:val="20"/>
          <w:szCs w:val="20"/>
          <w:color w:val="auto"/>
        </w:rPr>
      </w:pPr>
    </w:p>
    <w:p>
      <w:pPr>
        <w:ind w:left="5540" w:right="3600" w:hanging="4577"/>
        <w:spacing w:after="0" w:line="293" w:lineRule="auto"/>
        <w:rPr>
          <w:sz w:val="20"/>
          <w:szCs w:val="20"/>
          <w:color w:val="auto"/>
        </w:rPr>
      </w:pPr>
      <w:r>
        <w:rPr>
          <w:rFonts w:ascii="Arial" w:cs="Arial" w:eastAsia="Arial" w:hAnsi="Arial"/>
          <w:sz w:val="18"/>
          <w:szCs w:val="18"/>
          <w:color w:val="auto"/>
        </w:rPr>
        <w:t>the costs involved in prosecuting and enforcing patent and other intellectual property claims;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left="960"/>
        <w:spacing w:after="0"/>
        <w:rPr>
          <w:sz w:val="20"/>
          <w:szCs w:val="20"/>
          <w:color w:val="auto"/>
        </w:rPr>
      </w:pPr>
      <w:r>
        <w:rPr>
          <w:rFonts w:ascii="Arial" w:cs="Arial" w:eastAsia="Arial" w:hAnsi="Arial"/>
          <w:sz w:val="18"/>
          <w:szCs w:val="18"/>
          <w:color w:val="auto"/>
        </w:rPr>
        <w:t>the cost and timing of regulatory approvals; and</w:t>
      </w:r>
    </w:p>
    <w:p>
      <w:pPr>
        <w:spacing w:after="0" w:line="131" w:lineRule="exact"/>
        <w:rPr>
          <w:sz w:val="20"/>
          <w:szCs w:val="20"/>
          <w:color w:val="auto"/>
        </w:rPr>
      </w:pPr>
    </w:p>
    <w:p>
      <w:pPr>
        <w:ind w:left="960" w:right="780"/>
        <w:spacing w:after="0" w:line="293" w:lineRule="auto"/>
        <w:rPr>
          <w:sz w:val="20"/>
          <w:szCs w:val="20"/>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35" w:lineRule="exact"/>
        <w:rPr>
          <w:sz w:val="20"/>
          <w:szCs w:val="20"/>
          <w:color w:val="auto"/>
        </w:rPr>
      </w:pPr>
    </w:p>
    <w:p>
      <w:pPr>
        <w:ind w:right="100"/>
        <w:spacing w:after="0" w:line="329"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0" w:lineRule="exact"/>
        <w:rPr>
          <w:sz w:val="20"/>
          <w:szCs w:val="20"/>
          <w:color w:val="auto"/>
        </w:rPr>
      </w:pPr>
    </w:p>
    <w:p>
      <w:pPr>
        <w:ind w:right="80" w:firstLine="509"/>
        <w:spacing w:after="0" w:line="285" w:lineRule="auto"/>
        <w:rPr>
          <w:sz w:val="20"/>
          <w:szCs w:val="20"/>
          <w:color w:val="auto"/>
        </w:rPr>
      </w:pPr>
      <w:r>
        <w:rPr>
          <w:rFonts w:ascii="Arial" w:cs="Arial" w:eastAsia="Arial" w:hAnsi="Arial"/>
          <w:sz w:val="17"/>
          <w:szCs w:val="17"/>
          <w:color w:val="auto"/>
        </w:rPr>
        <w:t>We have no products on the market and our product candidates are in various stages of development. We are currently conducting Phase 2 clinical trials of BA3011 and BA3021, and we expect Phase 1 trials of BA3071 to initiate in 2021 with various other product candidates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BA3011 in treatment-refractory sarcoma patients and PD-1 refractory NSCLC patients.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7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our clinical trials resulting from factors including those related to the COVID-19 pandemic;</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sz w:val="20"/>
          <w:szCs w:val="20"/>
          <w:color w:val="auto"/>
        </w:rPr>
      </w:pPr>
    </w:p>
    <w:p>
      <w:pPr>
        <w:ind w:left="960" w:right="400"/>
        <w:spacing w:after="0" w:line="359" w:lineRule="auto"/>
        <w:rPr>
          <w:sz w:val="20"/>
          <w:szCs w:val="20"/>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7" w:lineRule="exact"/>
        <w:rPr>
          <w:sz w:val="20"/>
          <w:szCs w:val="20"/>
          <w:color w:val="auto"/>
        </w:rPr>
      </w:pPr>
    </w:p>
    <w:p>
      <w:pPr>
        <w:ind w:left="960" w:right="620"/>
        <w:spacing w:after="0" w:line="329" w:lineRule="auto"/>
        <w:rPr>
          <w:sz w:val="20"/>
          <w:szCs w:val="20"/>
          <w:color w:val="auto"/>
        </w:rPr>
      </w:pPr>
      <w:r>
        <w:rPr>
          <w:rFonts w:ascii="Arial" w:cs="Arial" w:eastAsia="Arial" w:hAnsi="Arial"/>
          <w:sz w:val="18"/>
          <w:szCs w:val="18"/>
          <w:color w:val="auto"/>
        </w:rPr>
        <w:t>conditions imposed by the FDA or comparable foreign authorities, including the EMA, regarding the scope or design of clinical trials; delays in enrolling patients in clinical trials;</w:t>
      </w: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left="960"/>
        <w:spacing w:after="0"/>
        <w:rPr>
          <w:sz w:val="20"/>
          <w:szCs w:val="20"/>
          <w:color w:val="auto"/>
        </w:rPr>
      </w:pPr>
      <w:r>
        <w:rPr>
          <w:rFonts w:ascii="Arial" w:cs="Arial" w:eastAsia="Arial" w:hAnsi="Arial"/>
          <w:sz w:val="18"/>
          <w:szCs w:val="18"/>
          <w:color w:val="auto"/>
        </w:rPr>
        <w:t>high drop-out rates of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inadequate drug materials or other supplies necessary for the conduct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greater than anticipated clinical trial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poor effectiveness of our product candidates during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unfavorable FDA or other regulatory agency inspection and review of a clinical trial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deficiencies in our third-party manufacturers’ manufacturing processes or facilities;</w:t>
      </w:r>
    </w:p>
    <w:p>
      <w:pPr>
        <w:spacing w:after="0" w:line="131" w:lineRule="exact"/>
        <w:rPr>
          <w:sz w:val="20"/>
          <w:szCs w:val="20"/>
          <w:color w:val="auto"/>
        </w:rPr>
      </w:pPr>
    </w:p>
    <w:p>
      <w:pPr>
        <w:ind w:left="960" w:right="340"/>
        <w:spacing w:after="0" w:line="359" w:lineRule="auto"/>
        <w:rPr>
          <w:sz w:val="20"/>
          <w:szCs w:val="20"/>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7"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varying interpretations of data by the FDA and similar foreign regulatory agencies, including the EMA.</w:t>
      </w:r>
    </w:p>
    <w:p>
      <w:pPr>
        <w:spacing w:after="0" w:line="239" w:lineRule="exact"/>
        <w:rPr>
          <w:sz w:val="20"/>
          <w:szCs w:val="20"/>
          <w:color w:val="auto"/>
        </w:rPr>
      </w:pPr>
    </w:p>
    <w:p>
      <w:pPr>
        <w:ind w:right="820" w:firstLine="509"/>
        <w:spacing w:after="0" w:line="293"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84"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BA3011 and BA3021,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160"/>
        <w:spacing w:after="0" w:line="293" w:lineRule="auto"/>
        <w:rPr>
          <w:sz w:val="20"/>
          <w:szCs w:val="20"/>
          <w:color w:val="auto"/>
        </w:rPr>
      </w:pPr>
      <w:r>
        <w:rPr>
          <w:rFonts w:ascii="Arial" w:cs="Arial" w:eastAsia="Arial" w:hAnsi="Arial"/>
          <w:sz w:val="18"/>
          <w:szCs w:val="18"/>
          <w:color w:val="auto"/>
        </w:rPr>
        <w:t>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78"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0"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our receipt of any marketing and commercialization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terms of any approvals and the countries in which approvals are obtained;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safety and efficacy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prevalence and severity of any adverse side effects associated with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obtain biopsies to determine the TmPS score for treatment eligibility;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relative convenience and ease of administration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willingness of patients to accept any new methods of administration;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any physician education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adequate government and third-party payor reimbursement;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of our products, particularly as compared to alternative treatments; and</w:t>
      </w:r>
    </w:p>
    <w:p>
      <w:pPr>
        <w:spacing w:after="0" w:line="131" w:lineRule="exact"/>
        <w:rPr>
          <w:sz w:val="20"/>
          <w:szCs w:val="20"/>
          <w:color w:val="auto"/>
        </w:rPr>
      </w:pPr>
    </w:p>
    <w:p>
      <w:pPr>
        <w:ind w:left="960" w:right="340"/>
        <w:spacing w:after="0" w:line="293" w:lineRule="auto"/>
        <w:rPr>
          <w:sz w:val="20"/>
          <w:szCs w:val="20"/>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spacing w:after="0" w:line="292" w:lineRule="auto"/>
        <w:rPr>
          <w:sz w:val="20"/>
          <w:szCs w:val="20"/>
          <w:color w:val="auto"/>
        </w:rPr>
      </w:pPr>
      <w:r>
        <w:rPr>
          <w:rFonts w:ascii="Arial" w:cs="Arial" w:eastAsia="Arial" w:hAnsi="Arial"/>
          <w:sz w:val="17"/>
          <w:szCs w:val="17"/>
          <w:color w:val="auto"/>
        </w:rPr>
        <w:t>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BA3011 for the treatment of soft tissue and bone sarcoma and PD-1 refractory NSCLC, our Phase 2 clinical trial of BA3021 for the treatment of PD-1 refractory melanoma and NSCLC and any subsequent or post-marketing confirmatory clinical trials.</w:t>
      </w:r>
    </w:p>
    <w:p>
      <w:pPr>
        <w:spacing w:after="0" w:line="174"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BA3011 in treatment-refractory sarcoma patients and PD-1 refractory NSCLC. The FDA has reviewed the trial designs, but has not opined on whether the Phase 2 clinical trials will in fact be sufficient to support regulatory approval. However, the FDA is expected to consider this further at the interim data review point.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293"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interim data from our ongoing Phase 2 clinical trials of BA3011 and BA3021. These interim updates are based on a preliminary analysis of then-available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w:t>
      </w:r>
    </w:p>
    <w:p>
      <w:pPr>
        <w:spacing w:after="0" w:line="2"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90"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jc w:val="both"/>
        <w:ind w:right="180" w:firstLine="509"/>
        <w:spacing w:after="0" w:line="303"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negative preclinical data;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left="960" w:right="100"/>
        <w:spacing w:after="0" w:line="293" w:lineRule="auto"/>
        <w:rPr>
          <w:sz w:val="20"/>
          <w:szCs w:val="20"/>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reaching, or a failure to reach, a consensus with regulatory authorities on study design;</w:t>
      </w:r>
    </w:p>
    <w:p>
      <w:pPr>
        <w:spacing w:after="0" w:line="131" w:lineRule="exact"/>
        <w:rPr>
          <w:sz w:val="20"/>
          <w:szCs w:val="20"/>
          <w:color w:val="auto"/>
        </w:rPr>
      </w:pPr>
    </w:p>
    <w:p>
      <w:pPr>
        <w:ind w:left="960" w:right="20"/>
        <w:spacing w:after="0" w:line="293" w:lineRule="auto"/>
        <w:rPr>
          <w:sz w:val="20"/>
          <w:szCs w:val="20"/>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obtaining IRB approval at each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challenges in recruiting suitable patients to participate in a trial;</w:t>
      </w:r>
    </w:p>
    <w:p>
      <w:pPr>
        <w:spacing w:after="0" w:line="131"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having patients complete a trial or return for post-treatment follow-up;</w:t>
      </w:r>
    </w:p>
    <w:p>
      <w:pPr>
        <w:spacing w:after="0" w:line="131"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adding new clinical trial sites;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ambiguous or negative interim results;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lack of adequate funding to continue the clinical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difficulties in manufacturing sufficient quantities of acceptable product candidate for use in clinical trials in a timely manner, or at all; or</w:t>
      </w:r>
    </w:p>
    <w:p>
      <w:pPr>
        <w:spacing w:after="0" w:line="14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the COVID-19 pandemic, which may result in clinical site closures, delays to patient enrollment, patients discontinuing their treatment or follow up visits or changes to trial protocols.</w:t>
      </w:r>
    </w:p>
    <w:p>
      <w:pPr>
        <w:spacing w:after="0" w:line="170"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1"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BA3011 and BA3021 due to the limited number of suitable patients meeting the required AXL or ROR2 tumor membrane expression levels.</w:t>
      </w:r>
    </w:p>
    <w:p>
      <w:pPr>
        <w:spacing w:after="0" w:line="191" w:lineRule="exact"/>
        <w:rPr>
          <w:sz w:val="20"/>
          <w:szCs w:val="20"/>
          <w:color w:val="auto"/>
        </w:rPr>
      </w:pPr>
    </w:p>
    <w:p>
      <w:pPr>
        <w:ind w:right="160" w:firstLine="509"/>
        <w:spacing w:after="0" w:line="266" w:lineRule="auto"/>
        <w:rPr>
          <w:sz w:val="20"/>
          <w:szCs w:val="20"/>
          <w:color w:val="auto"/>
        </w:rPr>
      </w:pPr>
      <w:r>
        <w:rPr>
          <w:rFonts w:ascii="Arial" w:cs="Arial" w:eastAsia="Arial" w:hAnsi="Arial"/>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8"/>
          <w:szCs w:val="18"/>
          <w:color w:val="auto"/>
        </w:rPr>
        <w:t>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94"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3" w:lineRule="exact"/>
        <w:rPr>
          <w:sz w:val="20"/>
          <w:szCs w:val="20"/>
          <w:color w:val="auto"/>
        </w:rPr>
      </w:pPr>
    </w:p>
    <w:p>
      <w:pPr>
        <w:ind w:right="480"/>
        <w:spacing w:after="0" w:line="394"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1" w:lineRule="exact"/>
        <w:rPr>
          <w:sz w:val="20"/>
          <w:szCs w:val="20"/>
          <w:color w:val="auto"/>
        </w:rPr>
      </w:pPr>
    </w:p>
    <w:p>
      <w:pPr>
        <w:ind w:right="600" w:firstLine="509"/>
        <w:spacing w:after="0" w:line="293" w:lineRule="auto"/>
        <w:rPr>
          <w:sz w:val="20"/>
          <w:szCs w:val="20"/>
          <w:color w:val="auto"/>
        </w:rPr>
      </w:pPr>
      <w:r>
        <w:rPr>
          <w:rFonts w:ascii="Arial" w:cs="Arial" w:eastAsia="Arial" w:hAnsi="Arial"/>
          <w:sz w:val="18"/>
          <w:szCs w:val="18"/>
          <w:color w:val="auto"/>
        </w:rPr>
        <w:t>In our clinical trials for BA3011 and BA3021,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9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BA3011 and BA3021 have demonstrated manageable tolerability profiles thus far, we cannot assure you that these and our other product candidates will not cause more severe side effects in a greater proportion of patients.</w:t>
      </w:r>
    </w:p>
    <w:p>
      <w:pPr>
        <w:spacing w:after="0" w:line="191" w:lineRule="exact"/>
        <w:rPr>
          <w:sz w:val="20"/>
          <w:szCs w:val="20"/>
          <w:color w:val="auto"/>
        </w:rPr>
      </w:pPr>
    </w:p>
    <w:p>
      <w:pPr>
        <w:ind w:right="180" w:firstLine="509"/>
        <w:spacing w:after="0" w:line="329" w:lineRule="auto"/>
        <w:rPr>
          <w:sz w:val="20"/>
          <w:szCs w:val="20"/>
          <w:color w:val="auto"/>
        </w:rPr>
      </w:pPr>
      <w:r>
        <w:rPr>
          <w:rFonts w:ascii="Arial" w:cs="Arial" w:eastAsia="Arial" w:hAnsi="Arial"/>
          <w:sz w:val="16"/>
          <w:szCs w:val="16"/>
          <w:color w:val="auto"/>
        </w:rPr>
        <w:t>In addition, BA3011 and BA3021 are being studied in combination with other therapies, which may exacerbate adverse events associated with the therapy. Patients treated with BA3011, BA3021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48"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BA3011 and BA3021 clinical trials may die or experience major clinical events either during the course of our clinical trials or after participating in such trials due mainly to the gravity of their illness, which has occurred in the past.</w:t>
      </w:r>
    </w:p>
    <w:p>
      <w:pPr>
        <w:spacing w:after="0" w:line="185"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any of the following negative consequences could occur, including:</w:t>
      </w:r>
    </w:p>
    <w:p>
      <w:pPr>
        <w:spacing w:after="0" w:line="62" w:lineRule="exact"/>
        <w:rPr>
          <w:sz w:val="20"/>
          <w:szCs w:val="20"/>
          <w:color w:val="auto"/>
        </w:rPr>
      </w:pPr>
    </w:p>
    <w:p>
      <w:pPr>
        <w:ind w:left="960" w:right="680"/>
        <w:spacing w:after="0" w:line="293" w:lineRule="auto"/>
        <w:rPr>
          <w:sz w:val="20"/>
          <w:szCs w:val="20"/>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required to conduct additional clinical trials or post-approval studies;</w:t>
      </w:r>
    </w:p>
    <w:p>
      <w:pPr>
        <w:spacing w:after="0" w:line="131" w:lineRule="exact"/>
        <w:rPr>
          <w:sz w:val="20"/>
          <w:szCs w:val="20"/>
          <w:color w:val="auto"/>
        </w:rPr>
      </w:pPr>
    </w:p>
    <w:p>
      <w:pPr>
        <w:ind w:left="5540" w:right="3180" w:hanging="4577"/>
        <w:spacing w:after="0" w:line="293" w:lineRule="auto"/>
        <w:rPr>
          <w:sz w:val="20"/>
          <w:szCs w:val="20"/>
          <w:color w:val="auto"/>
        </w:rPr>
      </w:pPr>
      <w:r>
        <w:rPr>
          <w:rFonts w:ascii="Arial" w:cs="Arial" w:eastAsia="Arial" w:hAnsi="Arial"/>
          <w:sz w:val="18"/>
          <w:szCs w:val="18"/>
          <w:color w:val="auto"/>
        </w:rPr>
        <w:t>we may be required to recall a product or change the way such product is administered to patients;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5" w:name="page36"/>
    <w:bookmarkEnd w:id="35"/>
    <w:p>
      <w:pPr>
        <w:ind w:left="960" w:right="520"/>
        <w:spacing w:after="0" w:line="293" w:lineRule="auto"/>
        <w:rPr>
          <w:sz w:val="20"/>
          <w:szCs w:val="20"/>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sz w:val="20"/>
          <w:szCs w:val="20"/>
          <w:color w:val="auto"/>
        </w:rPr>
      </w:pPr>
    </w:p>
    <w:p>
      <w:pPr>
        <w:ind w:left="960" w:right="180"/>
        <w:spacing w:after="0" w:line="359" w:lineRule="auto"/>
        <w:rPr>
          <w:sz w:val="20"/>
          <w:szCs w:val="20"/>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7" w:lineRule="exact"/>
        <w:rPr>
          <w:sz w:val="20"/>
          <w:szCs w:val="20"/>
          <w:color w:val="auto"/>
        </w:rPr>
      </w:pPr>
    </w:p>
    <w:p>
      <w:pPr>
        <w:ind w:left="960" w:right="160"/>
        <w:spacing w:after="0" w:line="359" w:lineRule="auto"/>
        <w:rPr>
          <w:sz w:val="20"/>
          <w:szCs w:val="20"/>
          <w:color w:val="auto"/>
        </w:rPr>
      </w:pPr>
      <w:r>
        <w:rPr>
          <w:rFonts w:ascii="Arial" w:cs="Arial" w:eastAsia="Arial" w:hAnsi="Arial"/>
          <w:sz w:val="16"/>
          <w:szCs w:val="16"/>
          <w:color w:val="auto"/>
        </w:rPr>
        <w:t>we may be required to implement a Risk Evaluation and Mitigation Strategy, or REMS, and/or create a Medication Guide outlining the risks of such side effects for distribution to patients, a communication plan for healthcare providers and/or other elements to assure safe use;</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subject to fines, injunctions or the imposition of civil or criminal penalties;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product may become less competitive;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Currently, we are evaluating the use of each of BA3011 and BA3021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96"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2"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b w:val="1"/>
          <w:bCs w:val="1"/>
          <w:i w:val="1"/>
          <w:iCs w:val="1"/>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37"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We are exploring predictive biomarkers to determine patient selection for our clinical trials. Specifically, to help inform which patients may be most suitable for treatment with BA3011 and BA3021, we have developed a Clinical Laboratory Improvement Amendments, or CLIA, validated quantitative biomarker assay, the TmPS, which measures AXL and ROR2 expression levels on the tumor membrane and cytoplasm. We are using both AXL and ROR2 TmPS scores in our ongoing clinical trials and they may be used for patient selection in future clinical trials. If the AXL and ROR2 TmPS scores prove to be a useful method for patient selection, we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6" w:name="page37"/>
    <w:bookmarkEnd w:id="36"/>
    <w:p>
      <w:pPr>
        <w:ind w:right="220"/>
        <w:spacing w:after="0" w:line="293" w:lineRule="auto"/>
        <w:rPr>
          <w:sz w:val="20"/>
          <w:szCs w:val="20"/>
          <w:color w:val="auto"/>
        </w:rPr>
      </w:pPr>
      <w:r>
        <w:rPr>
          <w:rFonts w:ascii="Arial" w:cs="Arial" w:eastAsia="Arial" w:hAnsi="Arial"/>
          <w:sz w:val="18"/>
          <w:szCs w:val="18"/>
          <w:color w:val="auto"/>
        </w:rPr>
        <w:t>will incorporate the specific diagnostic test into our registrational studies and partner with the appropriate diagnostic provider to codevelop a companion diagnostic.</w:t>
      </w:r>
    </w:p>
    <w:p>
      <w:pPr>
        <w:spacing w:after="0" w:line="170"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If safe and effective use of any of our product candidates, such as BA3011 and BA3021, depends on a companion diagnostic test then the FDA generally will require approval or clearance of that companion diagnostic, at the same time that the FDA approves our product candidates, if at all. The process of obtaining or creating such diagnostic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spacing w:after="0" w:line="166"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BA3011 and BA3021.</w:t>
      </w:r>
    </w:p>
    <w:p>
      <w:pPr>
        <w:spacing w:after="0" w:line="300"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0"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3"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BA3011 and BA3021.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91" w:lineRule="exact"/>
        <w:rPr>
          <w:sz w:val="20"/>
          <w:szCs w:val="20"/>
          <w:color w:val="auto"/>
        </w:rPr>
      </w:pPr>
    </w:p>
    <w:p>
      <w:pPr>
        <w:ind w:right="80" w:firstLine="509"/>
        <w:spacing w:after="0" w:line="266" w:lineRule="auto"/>
        <w:rPr>
          <w:sz w:val="20"/>
          <w:szCs w:val="20"/>
          <w:color w:val="auto"/>
        </w:rPr>
      </w:pPr>
      <w:r>
        <w:rPr>
          <w:rFonts w:ascii="Arial" w:cs="Arial" w:eastAsia="Arial" w:hAnsi="Arial"/>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7" w:name="page38"/>
    <w:bookmarkEnd w:id="37"/>
    <w:p>
      <w:pPr>
        <w:ind w:right="20"/>
        <w:spacing w:after="0" w:line="269" w:lineRule="auto"/>
        <w:rPr>
          <w:sz w:val="20"/>
          <w:szCs w:val="20"/>
          <w:color w:val="auto"/>
        </w:rPr>
      </w:pPr>
      <w:r>
        <w:rPr>
          <w:rFonts w:ascii="Arial" w:cs="Arial" w:eastAsia="Arial" w:hAnsi="Arial"/>
          <w:sz w:val="18"/>
          <w:szCs w:val="18"/>
          <w:color w:val="auto"/>
        </w:rPr>
        <w:t>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6"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3" w:lineRule="exact"/>
        <w:rPr>
          <w:sz w:val="20"/>
          <w:szCs w:val="20"/>
          <w:color w:val="auto"/>
        </w:rPr>
      </w:pPr>
    </w:p>
    <w:p>
      <w:pPr>
        <w:ind w:right="200" w:firstLine="509"/>
        <w:spacing w:after="0" w:line="319"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sooner than anticipated.</w:t>
      </w:r>
    </w:p>
    <w:p>
      <w:pPr>
        <w:spacing w:after="0" w:line="131"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Other aspects of the BPCIA, some of which may impact the BPCIA exclusivity provisions, have also been the subject of recent litigation, including litigation challenging the constitutionality of the ACA.</w:t>
      </w:r>
    </w:p>
    <w:p>
      <w:pPr>
        <w:spacing w:after="0" w:line="191"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For example, on December 14, 2018, a Texas U.S. District Court Judge ruled that the ACA is unconstitutional in its entirety because the “individual mandate” was repealed by Congress as part of the Tax Cuts and Jobs Act, or the TCJA.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continue to evaluate the effect that the ACA</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120"/>
        <w:spacing w:after="0" w:line="293" w:lineRule="auto"/>
        <w:rPr>
          <w:sz w:val="20"/>
          <w:szCs w:val="20"/>
          <w:color w:val="auto"/>
        </w:rPr>
      </w:pPr>
      <w:r>
        <w:rPr>
          <w:rFonts w:ascii="Arial" w:cs="Arial" w:eastAsia="Arial" w:hAnsi="Arial"/>
          <w:sz w:val="18"/>
          <w:szCs w:val="18"/>
          <w:color w:val="auto"/>
        </w:rPr>
        <w:t>and its possible reform, repeal and replacement has on our business and exclusivity under the BPCIA. It is uncertain the extent to which any such changes may impact our business or financial condition.</w:t>
      </w:r>
    </w:p>
    <w:p>
      <w:pPr>
        <w:spacing w:after="0" w:line="278"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8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1" w:lineRule="exact"/>
        <w:rPr>
          <w:sz w:val="20"/>
          <w:szCs w:val="20"/>
          <w:color w:val="auto"/>
        </w:rPr>
      </w:pPr>
    </w:p>
    <w:p>
      <w:pPr>
        <w:ind w:left="5540" w:right="2540" w:hanging="4577"/>
        <w:spacing w:after="0" w:line="293" w:lineRule="auto"/>
        <w:rPr>
          <w:sz w:val="20"/>
          <w:szCs w:val="20"/>
          <w:color w:val="auto"/>
        </w:rPr>
      </w:pPr>
      <w:r>
        <w:rPr>
          <w:rFonts w:ascii="Arial" w:cs="Arial" w:eastAsia="Arial" w:hAnsi="Arial"/>
          <w:sz w:val="18"/>
          <w:szCs w:val="18"/>
          <w:color w:val="auto"/>
        </w:rPr>
        <w:t>we may be unable to demonstrate a sufficient response rate or duration of response for a product candidate;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left="960" w:right="6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sz w:val="20"/>
          <w:szCs w:val="20"/>
          <w:color w:val="auto"/>
        </w:rPr>
      </w:pPr>
    </w:p>
    <w:p>
      <w:pPr>
        <w:ind w:left="960" w:right="300"/>
        <w:spacing w:after="0" w:line="324" w:lineRule="auto"/>
        <w:rPr>
          <w:sz w:val="20"/>
          <w:szCs w:val="20"/>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9" w:lineRule="exact"/>
        <w:rPr>
          <w:sz w:val="20"/>
          <w:szCs w:val="20"/>
          <w:color w:val="auto"/>
        </w:rPr>
      </w:pPr>
    </w:p>
    <w:p>
      <w:pPr>
        <w:ind w:left="960" w:right="460"/>
        <w:spacing w:after="0" w:line="279" w:lineRule="auto"/>
        <w:rPr>
          <w:sz w:val="20"/>
          <w:szCs w:val="20"/>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3"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9"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6"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We intend to seek an accelerated approval for BA3011 and BA3021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However, full approval of another product for the same indication as any of our product candidates for which we are seeking accelerated approval may make accelerated approval of our product candidates more difficult. If granted, accelerated approval is contingent on the sponsor’s agreement to conduct, in a diligent manner, additional post-approval confirmatory studies to verify and describe the drug’s clinical benefit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69" w:lineRule="exact"/>
        <w:rPr>
          <w:sz w:val="20"/>
          <w:szCs w:val="20"/>
          <w:color w:val="auto"/>
        </w:rPr>
      </w:pPr>
    </w:p>
    <w:p>
      <w:pPr>
        <w:ind w:right="140" w:firstLine="509"/>
        <w:spacing w:after="0" w:line="299" w:lineRule="auto"/>
        <w:rPr>
          <w:sz w:val="20"/>
          <w:szCs w:val="20"/>
          <w:color w:val="auto"/>
        </w:rPr>
      </w:pPr>
      <w:r>
        <w:rPr>
          <w:rFonts w:ascii="Arial" w:cs="Arial" w:eastAsia="Arial" w:hAnsi="Arial"/>
          <w:sz w:val="16"/>
          <w:szCs w:val="16"/>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0" w:name="page41"/>
    <w:bookmarkEnd w:id="40"/>
    <w:p>
      <w:pPr>
        <w:ind w:right="60"/>
        <w:spacing w:after="0" w:line="293" w:lineRule="auto"/>
        <w:rPr>
          <w:sz w:val="20"/>
          <w:szCs w:val="20"/>
          <w:color w:val="auto"/>
        </w:rPr>
      </w:pPr>
      <w:r>
        <w:rPr>
          <w:rFonts w:ascii="Arial" w:cs="Arial" w:eastAsia="Arial" w:hAnsi="Arial"/>
          <w:sz w:val="18"/>
          <w:szCs w:val="18"/>
          <w:color w:val="auto"/>
        </w:rPr>
        <w:t>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7" w:lineRule="exact"/>
        <w:rPr>
          <w:sz w:val="20"/>
          <w:szCs w:val="20"/>
          <w:color w:val="auto"/>
        </w:rPr>
      </w:pPr>
    </w:p>
    <w:p>
      <w:pPr>
        <w:ind w:right="120" w:firstLine="509"/>
        <w:spacing w:after="0" w:line="287"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2" w:lineRule="exact"/>
        <w:rPr>
          <w:sz w:val="20"/>
          <w:szCs w:val="20"/>
          <w:color w:val="auto"/>
        </w:rPr>
      </w:pPr>
    </w:p>
    <w:p>
      <w:pPr>
        <w:ind w:right="80" w:firstLine="509"/>
        <w:spacing w:after="0" w:line="287" w:lineRule="auto"/>
        <w:rPr>
          <w:sz w:val="20"/>
          <w:szCs w:val="20"/>
          <w:color w:val="auto"/>
        </w:rPr>
      </w:pPr>
      <w:r>
        <w:rPr>
          <w:rFonts w:ascii="Arial" w:cs="Arial" w:eastAsia="Arial" w:hAnsi="Arial"/>
          <w:sz w:val="17"/>
          <w:szCs w:val="17"/>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restrictions on the marketing or manufacturing of the product;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the product from the market or voluntary or mandatory product recalls;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or untitled letters or holds on clinical trials;</w:t>
      </w:r>
    </w:p>
    <w:p>
      <w:pPr>
        <w:spacing w:after="0" w:line="131" w:lineRule="exact"/>
        <w:rPr>
          <w:sz w:val="20"/>
          <w:szCs w:val="20"/>
          <w:color w:val="auto"/>
        </w:rPr>
      </w:pPr>
    </w:p>
    <w:p>
      <w:pPr>
        <w:ind w:left="960" w:right="640"/>
        <w:spacing w:after="0" w:line="293" w:lineRule="auto"/>
        <w:rPr>
          <w:sz w:val="20"/>
          <w:szCs w:val="20"/>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suspension or revocation of product license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seizure or detention or refusal to permit the import or export of products;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9"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71"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firstLine="509"/>
        <w:spacing w:after="0" w:line="281"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ind w:right="80" w:firstLine="509"/>
        <w:spacing w:after="0" w:line="308"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3"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2"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ind w:right="40" w:firstLine="509"/>
        <w:spacing w:after="0" w:line="287"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78" w:lineRule="exact"/>
        <w:rPr>
          <w:sz w:val="20"/>
          <w:szCs w:val="20"/>
          <w:color w:val="auto"/>
        </w:rPr>
      </w:pPr>
    </w:p>
    <w:p>
      <w:pPr>
        <w:ind w:right="160" w:firstLine="509"/>
        <w:spacing w:after="0" w:line="281" w:lineRule="auto"/>
        <w:rPr>
          <w:sz w:val="20"/>
          <w:szCs w:val="20"/>
          <w:color w:val="auto"/>
        </w:rPr>
      </w:pPr>
      <w:r>
        <w:rPr>
          <w:rFonts w:ascii="Arial" w:cs="Arial" w:eastAsia="Arial" w:hAnsi="Arial"/>
          <w:sz w:val="17"/>
          <w:szCs w:val="17"/>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right="240"/>
        <w:spacing w:after="0" w:line="279" w:lineRule="auto"/>
        <w:rPr>
          <w:sz w:val="20"/>
          <w:szCs w:val="20"/>
          <w:color w:val="auto"/>
        </w:rPr>
      </w:pPr>
      <w:r>
        <w:rPr>
          <w:rFonts w:ascii="Arial" w:cs="Arial" w:eastAsia="Arial" w:hAnsi="Arial"/>
          <w:sz w:val="18"/>
          <w:szCs w:val="18"/>
          <w:color w:val="auto"/>
        </w:rPr>
        <w:t>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BA3011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91" w:lineRule="exact"/>
        <w:rPr>
          <w:sz w:val="20"/>
          <w:szCs w:val="20"/>
          <w:color w:val="auto"/>
        </w:rPr>
      </w:pPr>
    </w:p>
    <w:p>
      <w:pPr>
        <w:ind w:right="100" w:firstLine="509"/>
        <w:spacing w:after="0" w:line="304"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w:t>
      </w:r>
    </w:p>
    <w:p>
      <w:pPr>
        <w:spacing w:after="0" w:line="2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880"/>
        <w:spacing w:after="0" w:line="293"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86" w:lineRule="exact"/>
        <w:rPr>
          <w:sz w:val="20"/>
          <w:szCs w:val="20"/>
          <w:color w:val="auto"/>
        </w:rPr>
      </w:pPr>
    </w:p>
    <w:p>
      <w:pPr>
        <w:ind w:right="640"/>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3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1"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For example, in March 2010, the ACA was enacted, which substantially changed the way healthcare is financed by both the government and private insurers, and significantly impacted the U.S. pharmaceutical industry. Some of the provisions of the ACA have yet to be implemented, and there have been judicial and Congressional challenges to certain aspects of the ACA, as well as efforts by the Trump administration to repeal or replace certain aspects of the ACA. Since January 2017, President Trump signed several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two bills affecting the implementation of certain taxes under the ACA have passed. On December 22, 2017, President Trump signed into law federal tax legislation commonly referred to as the TCJA,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The Bipartisan Budget Act of 2018 among other things, amended the ACA, effective January 1, 2019, to close the coverage gap in most Medicare Part D drug plans. In December 2018, CMS published a new final rule permitting further collections and payments to and from</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4" w:name="page45"/>
    <w:bookmarkEnd w:id="44"/>
    <w:p>
      <w:pPr>
        <w:spacing w:after="0" w:line="304" w:lineRule="auto"/>
        <w:rPr>
          <w:sz w:val="20"/>
          <w:szCs w:val="20"/>
          <w:color w:val="auto"/>
        </w:rPr>
      </w:pPr>
      <w:r>
        <w:rPr>
          <w:rFonts w:ascii="Arial" w:cs="Arial" w:eastAsia="Arial" w:hAnsi="Arial"/>
          <w:sz w:val="16"/>
          <w:szCs w:val="16"/>
          <w:color w:val="auto"/>
        </w:rPr>
        <w:t>certain ACA-qualified health plans and health insurance issuers under the ACA risk adjustment program in response to the outcome of federal district court litigation regarding the method CMS uses to determine this risk adjustment.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and oral arguments were held on November 10, 2020, although it is unclear when a decision will be made or how the Supreme Court will rule. Although the Supreme Court has yet to rule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 We are continuing to monitor any changes to the ACA that, in turn, may potentially impact our business in the future.</w:t>
      </w:r>
    </w:p>
    <w:p>
      <w:pPr>
        <w:spacing w:after="0" w:line="170"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unless additional congressional action is taken. In addition, the CARES Act suspended the 2% Medicare sequester from May 1, 2020 through December 31, 2020.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2020 contained further drug price control measures that could be enacted during the budget process or in future legislation, including, for example, measures to permit</w:t>
      </w:r>
    </w:p>
    <w:p>
      <w:pPr>
        <w:spacing w:after="0" w:line="178"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Medicare Part D plans to negotiate the price of certain drugs under Medicare Part B, to allow some states to negotiate prices under Medicaid, and to eliminate cost sharing for generic drugs for low-income patients. Although a number of these and other measures may require additional authorization to become effective, Congress or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74" w:lineRule="exact"/>
        <w:rPr>
          <w:sz w:val="20"/>
          <w:szCs w:val="20"/>
          <w:color w:val="auto"/>
        </w:rPr>
      </w:pPr>
    </w:p>
    <w:p>
      <w:pPr>
        <w:ind w:right="120" w:firstLine="509"/>
        <w:spacing w:after="0" w:line="299"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right="80" w:firstLine="509"/>
        <w:spacing w:after="0" w:line="271"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1" w:lineRule="exact"/>
        <w:rPr>
          <w:sz w:val="20"/>
          <w:szCs w:val="20"/>
          <w:color w:val="auto"/>
        </w:rPr>
      </w:pPr>
    </w:p>
    <w:p>
      <w:pPr>
        <w:ind w:right="160" w:firstLine="509"/>
        <w:spacing w:after="0" w:line="299"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w:t>
      </w:r>
    </w:p>
    <w:p>
      <w:pPr>
        <w:spacing w:after="0" w:line="2" w:lineRule="exact"/>
        <w:rPr>
          <w:sz w:val="20"/>
          <w:szCs w:val="20"/>
          <w:color w:val="auto"/>
        </w:rPr>
      </w:pPr>
    </w:p>
    <w:p>
      <w:pPr>
        <w:ind w:right="520"/>
        <w:spacing w:after="0" w:line="279" w:lineRule="auto"/>
        <w:rPr>
          <w:sz w:val="20"/>
          <w:szCs w:val="20"/>
          <w:color w:val="auto"/>
        </w:rPr>
      </w:pPr>
      <w:r>
        <w:rPr>
          <w:rFonts w:ascii="Arial" w:cs="Arial" w:eastAsia="Arial" w:hAnsi="Arial"/>
          <w:sz w:val="18"/>
          <w:szCs w:val="18"/>
          <w:color w:val="auto"/>
        </w:rPr>
        <w:t>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82"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3"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6" w:lineRule="exact"/>
        <w:rPr>
          <w:sz w:val="20"/>
          <w:szCs w:val="20"/>
          <w:color w:val="auto"/>
        </w:rPr>
      </w:pPr>
    </w:p>
    <w:p>
      <w:pPr>
        <w:ind w:left="960" w:right="160"/>
        <w:spacing w:after="0" w:line="272" w:lineRule="auto"/>
        <w:rPr>
          <w:sz w:val="20"/>
          <w:szCs w:val="20"/>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3" w:lineRule="exact"/>
        <w:rPr>
          <w:sz w:val="20"/>
          <w:szCs w:val="20"/>
          <w:color w:val="auto"/>
        </w:rPr>
      </w:pPr>
    </w:p>
    <w:p>
      <w:pPr>
        <w:ind w:left="960" w:right="60"/>
        <w:spacing w:after="0" w:line="314" w:lineRule="auto"/>
        <w:rPr>
          <w:sz w:val="20"/>
          <w:szCs w:val="20"/>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52" w:lineRule="exact"/>
        <w:rPr>
          <w:sz w:val="20"/>
          <w:szCs w:val="20"/>
          <w:color w:val="auto"/>
        </w:rPr>
      </w:pPr>
    </w:p>
    <w:p>
      <w:pPr>
        <w:ind w:left="960"/>
        <w:spacing w:after="0" w:line="281" w:lineRule="auto"/>
        <w:rPr>
          <w:sz w:val="20"/>
          <w:szCs w:val="20"/>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left="960" w:right="60"/>
        <w:spacing w:after="0" w:line="271"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3"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sz w:val="20"/>
          <w:szCs w:val="20"/>
          <w:color w:val="auto"/>
        </w:rPr>
      </w:pPr>
    </w:p>
    <w:p>
      <w:pPr>
        <w:ind w:left="960" w:right="40"/>
        <w:spacing w:after="0" w:line="270" w:lineRule="auto"/>
        <w:rPr>
          <w:sz w:val="20"/>
          <w:szCs w:val="20"/>
          <w:color w:val="auto"/>
        </w:rPr>
      </w:pPr>
      <w:r>
        <w:rPr>
          <w:rFonts w:ascii="Arial" w:cs="Arial" w:eastAsia="Arial" w:hAnsi="Arial"/>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and teaching hospitals, as well as ownership and investment interests held by the physicians described above and their immediate family members. Effective January 1, 2022, the U.S. federal physician transparency reporting requirements will extend to include transfers of value made during the previous year to certain non-physician providers such as physician assistants and nurse practitioners; and</w:t>
      </w:r>
    </w:p>
    <w:p>
      <w:pPr>
        <w:spacing w:after="0" w:line="84" w:lineRule="exact"/>
        <w:rPr>
          <w:sz w:val="20"/>
          <w:szCs w:val="20"/>
          <w:color w:val="auto"/>
        </w:rPr>
      </w:pPr>
    </w:p>
    <w:p>
      <w:pPr>
        <w:ind w:left="960" w:right="80"/>
        <w:spacing w:after="0" w:line="288" w:lineRule="auto"/>
        <w:rPr>
          <w:sz w:val="20"/>
          <w:szCs w:val="20"/>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40" w:firstLine="509"/>
        <w:spacing w:after="0" w:line="284" w:lineRule="auto"/>
        <w:rPr>
          <w:sz w:val="20"/>
          <w:szCs w:val="20"/>
          <w:color w:val="auto"/>
        </w:rPr>
      </w:pPr>
      <w:r>
        <w:rPr>
          <w:rFonts w:ascii="Arial" w:cs="Arial" w:eastAsia="Arial" w:hAnsi="Arial"/>
          <w:sz w:val="17"/>
          <w:szCs w:val="17"/>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ensuring compliance with the GDPR. Moreover, the United Kingdom leaving the European Union could also lead to further legislative and regulatory changes. Further, from January 1, 2021, we will have to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w:t>
      </w:r>
    </w:p>
    <w:p>
      <w:pPr>
        <w:spacing w:after="0" w:line="18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100"/>
        <w:spacing w:after="0" w:line="293"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31" w:lineRule="exact"/>
        <w:rPr>
          <w:sz w:val="20"/>
          <w:szCs w:val="20"/>
          <w:color w:val="auto"/>
        </w:rPr>
      </w:pPr>
    </w:p>
    <w:p>
      <w:pPr>
        <w:jc w:val="both"/>
        <w:ind w:right="120" w:firstLine="509"/>
        <w:spacing w:after="0" w:line="319"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4"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5"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3"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60" w:firstLine="509"/>
        <w:spacing w:after="0" w:line="299"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right="100" w:firstLine="509"/>
        <w:spacing w:after="0" w:line="27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5"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54" w:lineRule="exact"/>
        <w:rPr>
          <w:sz w:val="20"/>
          <w:szCs w:val="20"/>
          <w:color w:val="auto"/>
        </w:rPr>
      </w:pPr>
    </w:p>
    <w:p>
      <w:pPr>
        <w:ind w:right="220" w:firstLine="509"/>
        <w:spacing w:after="0" w:line="272"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91" w:lineRule="exact"/>
        <w:rPr>
          <w:sz w:val="20"/>
          <w:szCs w:val="20"/>
          <w:color w:val="auto"/>
        </w:rPr>
      </w:pPr>
    </w:p>
    <w:p>
      <w:pPr>
        <w:ind w:right="180" w:firstLine="509"/>
        <w:spacing w:after="0" w:line="292"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2"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5" w:lineRule="exact"/>
        <w:rPr>
          <w:sz w:val="20"/>
          <w:szCs w:val="20"/>
          <w:color w:val="auto"/>
        </w:rPr>
      </w:pPr>
    </w:p>
    <w:p>
      <w:pPr>
        <w:ind w:right="40" w:firstLine="509"/>
        <w:spacing w:after="0" w:line="285"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0"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spacing w:after="0" w:line="75" w:lineRule="exact"/>
        <w:rPr>
          <w:sz w:val="20"/>
          <w:szCs w:val="20"/>
          <w:color w:val="auto"/>
        </w:rPr>
      </w:pPr>
    </w:p>
    <w:p>
      <w:pPr>
        <w:ind w:left="5540" w:right="4120" w:hanging="4577"/>
        <w:spacing w:after="0" w:line="293" w:lineRule="auto"/>
        <w:rPr>
          <w:sz w:val="20"/>
          <w:szCs w:val="20"/>
          <w:color w:val="auto"/>
        </w:rPr>
      </w:pPr>
      <w:r>
        <w:rPr>
          <w:rFonts w:ascii="Arial" w:cs="Arial" w:eastAsia="Arial" w:hAnsi="Arial"/>
          <w:sz w:val="18"/>
          <w:szCs w:val="18"/>
          <w:color w:val="auto"/>
        </w:rPr>
        <w:t>identifying, recruiting, integrating, maintaining and motivating additional employees;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left="960" w:right="120"/>
        <w:spacing w:after="0" w:line="324" w:lineRule="auto"/>
        <w:rPr>
          <w:sz w:val="20"/>
          <w:szCs w:val="20"/>
          <w:color w:val="auto"/>
        </w:rPr>
      </w:pPr>
      <w:r>
        <w:rPr>
          <w:rFonts w:ascii="Arial" w:cs="Arial" w:eastAsia="Arial" w:hAnsi="Arial"/>
          <w:sz w:val="17"/>
          <w:szCs w:val="17"/>
          <w:color w:val="auto"/>
        </w:rPr>
        <w:t>managing our internal development efforts effectively, including the clinical and regulatory review process for BA3011 and BA3021 and any other product candidates, while complying with our contractual obligations to contractors and other third parties; and</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improving our operational, financial and management controls, reporting systems and procedures.</w:t>
      </w:r>
    </w:p>
    <w:p>
      <w:pPr>
        <w:spacing w:after="0" w:line="239" w:lineRule="exact"/>
        <w:rPr>
          <w:sz w:val="20"/>
          <w:szCs w:val="20"/>
          <w:color w:val="auto"/>
        </w:rPr>
      </w:pPr>
    </w:p>
    <w:p>
      <w:pPr>
        <w:ind w:right="120" w:firstLine="509"/>
        <w:spacing w:after="0" w:line="329"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BA3011, BA3021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8"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To date, we have used the services of outside vendors to perform tasks, including preclinical and clinical trial management, manufacturing, statistics and analysis and research and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BA3011, BA3021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BA3011, BA3021 and any future product candidates and, accordingly, may not achieve our research, development and commercialization goals.</w:t>
      </w:r>
    </w:p>
    <w:p>
      <w:pPr>
        <w:spacing w:after="0" w:line="28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77"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w:t>
      </w:r>
    </w:p>
    <w:p>
      <w:pPr>
        <w:spacing w:after="0" w:line="2"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91"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right="100"/>
        <w:spacing w:after="0" w:line="279"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or political unrest in China could materially adversely affect our business, financial condition and results of operations.</w:t>
      </w:r>
    </w:p>
    <w:p>
      <w:pPr>
        <w:spacing w:after="0" w:line="75"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conduct preclinical research and development activities in China through BioDuro, which is U.S. owned, but governed by Chinese laws, rules and regulations and have a collaboration with BeiGene, a company headquartered in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6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71" w:lineRule="exact"/>
        <w:rPr>
          <w:sz w:val="20"/>
          <w:szCs w:val="20"/>
          <w:color w:val="auto"/>
        </w:rPr>
      </w:pPr>
    </w:p>
    <w:p>
      <w:pPr>
        <w:ind w:right="380"/>
        <w:spacing w:after="0" w:line="394"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A portion of our current operations are located in our facilities in San Diego, California, and we conduct a portion of our research and development activities in China through our arrangement with BioDuro.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31" w:lineRule="exact"/>
        <w:rPr>
          <w:sz w:val="20"/>
          <w:szCs w:val="20"/>
          <w:color w:val="auto"/>
        </w:rPr>
      </w:pPr>
    </w:p>
    <w:p>
      <w:pPr>
        <w:ind w:right="80" w:firstLine="509"/>
        <w:spacing w:after="0" w:line="296" w:lineRule="auto"/>
        <w:rPr>
          <w:sz w:val="20"/>
          <w:szCs w:val="20"/>
          <w:color w:val="auto"/>
        </w:rPr>
      </w:pPr>
      <w:r>
        <w:rPr>
          <w:rFonts w:ascii="Arial" w:cs="Arial" w:eastAsia="Arial" w:hAnsi="Arial"/>
          <w:sz w:val="17"/>
          <w:szCs w:val="17"/>
          <w:color w:val="auto"/>
        </w:rPr>
        <w:t>We, our collaborators or licensees may seek regulatory approval of our product candidates outside of the United States including China, the European Union, Australia, New Zealand, and Japan. We conduct preclinical research and development activities in China through BioDuro, which is U.S. owned, but governed by Chinese laws, and have a collaboration with BeiGene, a company headquartered in China.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5540" w:right="4340" w:hanging="4577"/>
        <w:spacing w:after="0" w:line="293" w:lineRule="auto"/>
        <w:rPr>
          <w:sz w:val="20"/>
          <w:szCs w:val="20"/>
          <w:color w:val="auto"/>
        </w:rPr>
      </w:pPr>
      <w:r>
        <w:rPr>
          <w:rFonts w:ascii="Arial" w:cs="Arial" w:eastAsia="Arial" w:hAnsi="Arial"/>
          <w:sz w:val="18"/>
          <w:szCs w:val="18"/>
          <w:color w:val="auto"/>
        </w:rPr>
        <w:t>differing regulatory requirements and reimbursement regimes in foreign countries;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ind w:left="960" w:right="2460"/>
        <w:spacing w:after="0" w:line="391" w:lineRule="auto"/>
        <w:rPr>
          <w:sz w:val="20"/>
          <w:szCs w:val="20"/>
          <w:color w:val="auto"/>
        </w:rPr>
      </w:pPr>
      <w:r>
        <w:rPr>
          <w:rFonts w:ascii="Arial" w:cs="Arial" w:eastAsia="Arial" w:hAnsi="Arial"/>
          <w:sz w:val="18"/>
          <w:szCs w:val="18"/>
          <w:color w:val="auto"/>
        </w:rPr>
        <w:t>unexpected changes in tariffs, trade barriers, price and exchange controls and other regulatory requirements; economic weakness, including inflation, or political instability in particular foreign economies and markets; compliance with tax, employment, immigration and labor laws for employees living or traveling abroad; foreign taxes, including withholding of payroll taxes;</w:t>
      </w:r>
    </w:p>
    <w:p>
      <w:pPr>
        <w:spacing w:after="0" w:line="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staffing and managing foreign operations;</w:t>
      </w:r>
    </w:p>
    <w:p>
      <w:pPr>
        <w:spacing w:after="0" w:line="131" w:lineRule="exact"/>
        <w:rPr>
          <w:sz w:val="20"/>
          <w:szCs w:val="20"/>
          <w:color w:val="auto"/>
        </w:rPr>
      </w:pPr>
    </w:p>
    <w:p>
      <w:pPr>
        <w:ind w:left="960" w:right="3260"/>
        <w:spacing w:after="0" w:line="391" w:lineRule="auto"/>
        <w:rPr>
          <w:sz w:val="20"/>
          <w:szCs w:val="20"/>
          <w:color w:val="auto"/>
        </w:rPr>
      </w:pPr>
      <w:r>
        <w:rPr>
          <w:rFonts w:ascii="Arial" w:cs="Arial" w:eastAsia="Arial" w:hAnsi="Arial"/>
          <w:sz w:val="18"/>
          <w:szCs w:val="18"/>
          <w:color w:val="auto"/>
        </w:rPr>
        <w:t>workforce uncertainty in countries where labor unrest is more common than in the United States; potential liability under the FCPA or comparable foreign regulations;</w:t>
      </w:r>
    </w:p>
    <w:p>
      <w:pPr>
        <w:spacing w:after="0" w:line="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sz w:val="20"/>
          <w:szCs w:val="20"/>
          <w:color w:val="auto"/>
        </w:rPr>
      </w:pPr>
    </w:p>
    <w:p>
      <w:pPr>
        <w:ind w:left="960" w:right="1660"/>
        <w:spacing w:after="0" w:line="418"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62"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278"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b w:val="1"/>
          <w:bCs w:val="1"/>
          <w:i w:val="1"/>
          <w:iCs w:val="1"/>
          <w:color w:val="auto"/>
        </w:rPr>
        <w:t>We face risks related to health epidemics and outbreaks, including the COVID-19 pandemic, which could significantly disrupt our preclinical studies and clinical trials, and therefore our receipt of necessary regulatory approvals could be delayed or prevented.</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face risks related to health epidemics or outbreaks of communicable diseases. For example, in December 2019, a novel strain</w:t>
      </w:r>
    </w:p>
    <w:p>
      <w:pPr>
        <w:spacing w:after="0" w:line="23"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w:t>
      </w:r>
    </w:p>
    <w:p>
      <w:pPr>
        <w:spacing w:after="0" w:line="1" w:lineRule="exact"/>
        <w:rPr>
          <w:sz w:val="20"/>
          <w:szCs w:val="20"/>
          <w:color w:val="auto"/>
        </w:rPr>
      </w:pPr>
    </w:p>
    <w:p>
      <w:pPr>
        <w:ind w:right="520"/>
        <w:spacing w:after="0" w:line="299" w:lineRule="auto"/>
        <w:rPr>
          <w:sz w:val="20"/>
          <w:szCs w:val="20"/>
          <w:color w:val="auto"/>
        </w:rPr>
      </w:pPr>
      <w:r>
        <w:rPr>
          <w:rFonts w:ascii="Arial" w:cs="Arial" w:eastAsia="Arial" w:hAnsi="Arial"/>
          <w:sz w:val="16"/>
          <w:szCs w:val="16"/>
          <w:color w:val="auto"/>
        </w:rPr>
        <w:t>particularly quarantines, shelter-in-place or total lock-down orders and business limitations and shutdowns. For example, our primary operations are located in San Diego, California, and San Diego County and the State of California had issued shelter-in-place orders in response to the COVID-</w:t>
      </w:r>
    </w:p>
    <w:p>
      <w:pPr>
        <w:spacing w:after="0" w:line="1"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19 pandemic. Although some restrictions aimed at minimizing the spread of COVID-19 have been and may from time to time be eased or lifted in the U.S. and other countries, in response to local surges and new waves of infection, including those caused by the spread of the Delta variant, some countries, states, and local governments have maintained or reinstituted these restrictions, or may reinstitute these restrictions from time to time, in response to rising rates of infection.</w:t>
      </w:r>
    </w:p>
    <w:p>
      <w:pPr>
        <w:spacing w:after="0" w:line="188"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In March 2020, we implemented a remote working policy for many of our employees, began restricting non-essential travel.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6" w:lineRule="exact"/>
        <w:rPr>
          <w:sz w:val="20"/>
          <w:szCs w:val="20"/>
          <w:color w:val="auto"/>
        </w:rPr>
      </w:pPr>
    </w:p>
    <w:p>
      <w:pPr>
        <w:ind w:right="60" w:firstLine="509"/>
        <w:spacing w:after="0" w:line="299"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variant), the effectiveness of actions to contain</w:t>
      </w:r>
    </w:p>
    <w:p>
      <w:pPr>
        <w:spacing w:after="0" w:line="2"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and treat COVID-19 and the rate of vaccination and efficacy of approved vaccines against COVID-19 and its variant strains. To date, we have not experienced material business disruptions, including with respect to any of the clinical trials we are conducting, or impairments of any of our assets as a result of the pandemic, the continued spread of COVID-19 globally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2" w:name="page53"/>
    <w:bookmarkEnd w:id="52"/>
    <w:p>
      <w:pPr>
        <w:ind w:right="320"/>
        <w:spacing w:after="0" w:line="292" w:lineRule="auto"/>
        <w:rPr>
          <w:sz w:val="20"/>
          <w:szCs w:val="20"/>
          <w:color w:val="auto"/>
        </w:rPr>
      </w:pPr>
      <w:r>
        <w:rPr>
          <w:rFonts w:ascii="Arial" w:cs="Arial" w:eastAsia="Arial" w:hAnsi="Arial"/>
          <w:sz w:val="17"/>
          <w:szCs w:val="17"/>
          <w:color w:val="auto"/>
        </w:rPr>
        <w:t>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35"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6"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We have entered, and may in the future seek to enter, into collaborations with third parties for the development and commercialization of certain of our product candidates. For example, we have entered into a Global Co-Development and Collaboration Agreement with BeiGene for the development, manufacturing and commercialization of BA3071. Under the terms of our BeiGene collaboration, BeiGene is generally responsible for developing BA3071 and is responsible for global regulatory filings and commercialization. Subject to the terms of the agreement, BeiGene holds an exclusive license with us to develop and manufacture the product candidate globally. BeiGene is responsible for all costs of development, manufacturing and commercialization globally. We are currently in preliminary discussions with BeiGene regarding the allocation of roles and responsibilities under our Global Co-Development and Collaboration Agreement with BeiGene, including with respect to the initiation of the Phase I trial for BA3071.</w:t>
      </w:r>
    </w:p>
    <w:p>
      <w:pPr>
        <w:spacing w:after="0" w:line="56"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1" w:lineRule="exact"/>
        <w:rPr>
          <w:sz w:val="20"/>
          <w:szCs w:val="20"/>
          <w:color w:val="auto"/>
        </w:rPr>
      </w:pPr>
    </w:p>
    <w:p>
      <w:pPr>
        <w:ind w:left="960" w:right="200"/>
        <w:spacing w:after="0" w:line="275" w:lineRule="auto"/>
        <w:rPr>
          <w:sz w:val="20"/>
          <w:szCs w:val="20"/>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7" w:lineRule="exact"/>
        <w:rPr>
          <w:sz w:val="20"/>
          <w:szCs w:val="20"/>
          <w:color w:val="auto"/>
        </w:rPr>
      </w:pPr>
    </w:p>
    <w:p>
      <w:pPr>
        <w:ind w:left="960" w:right="540"/>
        <w:spacing w:after="0" w:line="324" w:lineRule="auto"/>
        <w:rPr>
          <w:sz w:val="20"/>
          <w:szCs w:val="20"/>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sz w:val="20"/>
          <w:szCs w:val="20"/>
          <w:color w:val="auto"/>
        </w:rPr>
      </w:pPr>
    </w:p>
    <w:p>
      <w:pPr>
        <w:ind w:left="960"/>
        <w:spacing w:after="0" w:line="279" w:lineRule="auto"/>
        <w:rPr>
          <w:sz w:val="20"/>
          <w:szCs w:val="20"/>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960" w:right="620"/>
        <w:spacing w:after="0" w:line="293" w:lineRule="auto"/>
        <w:rPr>
          <w:sz w:val="20"/>
          <w:szCs w:val="20"/>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1"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sz w:val="20"/>
          <w:szCs w:val="20"/>
          <w:color w:val="auto"/>
        </w:rPr>
      </w:pPr>
    </w:p>
    <w:p>
      <w:pPr>
        <w:jc w:val="center"/>
        <w:ind w:left="380" w:right="900"/>
        <w:spacing w:after="0" w:line="293" w:lineRule="auto"/>
        <w:rPr>
          <w:sz w:val="20"/>
          <w:szCs w:val="20"/>
          <w:color w:val="auto"/>
        </w:rPr>
      </w:pPr>
      <w:r>
        <w:rPr>
          <w:rFonts w:ascii="Arial" w:cs="Arial" w:eastAsia="Arial" w:hAnsi="Arial"/>
          <w:sz w:val="18"/>
          <w:szCs w:val="18"/>
          <w:color w:val="auto"/>
        </w:rPr>
        <w:t>collaborators may infringe the intellectual property rights of third parties, which may expose us to litigation and potential liability;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left="960" w:right="120"/>
        <w:spacing w:after="0" w:line="359" w:lineRule="auto"/>
        <w:rPr>
          <w:sz w:val="20"/>
          <w:szCs w:val="20"/>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31" w:lineRule="exact"/>
        <w:rPr>
          <w:sz w:val="20"/>
          <w:szCs w:val="20"/>
          <w:color w:val="auto"/>
        </w:rPr>
      </w:pPr>
    </w:p>
    <w:p>
      <w:pPr>
        <w:jc w:val="both"/>
        <w:ind w:left="960" w:right="420"/>
        <w:spacing w:after="0" w:line="303" w:lineRule="auto"/>
        <w:rPr>
          <w:sz w:val="20"/>
          <w:szCs w:val="20"/>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6" w:lineRule="exact"/>
        <w:rPr>
          <w:sz w:val="20"/>
          <w:szCs w:val="20"/>
          <w:color w:val="auto"/>
        </w:rPr>
      </w:pPr>
    </w:p>
    <w:p>
      <w:pPr>
        <w:ind w:left="960" w:right="740"/>
        <w:spacing w:after="0" w:line="293" w:lineRule="auto"/>
        <w:rPr>
          <w:sz w:val="20"/>
          <w:szCs w:val="20"/>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1"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9"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91" w:lineRule="exact"/>
        <w:rPr>
          <w:sz w:val="20"/>
          <w:szCs w:val="20"/>
          <w:color w:val="auto"/>
        </w:rPr>
      </w:pPr>
    </w:p>
    <w:p>
      <w:pPr>
        <w:ind w:right="300" w:firstLine="509"/>
        <w:spacing w:after="0" w:line="319"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5" w:lineRule="exact"/>
        <w:rPr>
          <w:sz w:val="20"/>
          <w:szCs w:val="20"/>
          <w:color w:val="auto"/>
        </w:rPr>
      </w:pPr>
    </w:p>
    <w:p>
      <w:pPr>
        <w:ind w:right="420" w:firstLine="509"/>
        <w:spacing w:after="0" w:line="266" w:lineRule="auto"/>
        <w:rPr>
          <w:sz w:val="20"/>
          <w:szCs w:val="20"/>
          <w:color w:val="auto"/>
        </w:rPr>
      </w:pPr>
      <w:r>
        <w:rPr>
          <w:rFonts w:ascii="Arial" w:cs="Arial" w:eastAsia="Arial" w:hAnsi="Arial"/>
          <w:sz w:val="18"/>
          <w:szCs w:val="18"/>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BA3011 and BA3021. Because we rely on these third parties and do not have the ability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8"/>
          <w:szCs w:val="18"/>
          <w:color w:val="auto"/>
        </w:rPr>
        <w:t>conduct preclinical studies or clinical trials independently, we will have less control over the timing, quality and other aspects of preclinical studies and clinical trials than we would have had we conducted them on our own. These investigators, CROs and consultants will not be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or clinical trials being delayed or unsuccessful.</w:t>
      </w:r>
    </w:p>
    <w:p>
      <w:pPr>
        <w:spacing w:after="0" w:line="191" w:lineRule="exact"/>
        <w:rPr>
          <w:sz w:val="20"/>
          <w:szCs w:val="20"/>
          <w:color w:val="auto"/>
        </w:rPr>
      </w:pPr>
    </w:p>
    <w:p>
      <w:pPr>
        <w:ind w:right="80" w:firstLine="509"/>
        <w:spacing w:after="0" w:line="306"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will be responsible for ensuring that each of our preclinical studies and clinical trials are conducted in accordance with the general investigational plan, protocols for the trial and regulatory requirements. The FDA requires preclinical studies to be conducted in accordance with Good Laboratory Practices, or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7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7" w:lineRule="exact"/>
        <w:rPr>
          <w:sz w:val="20"/>
          <w:szCs w:val="20"/>
          <w:color w:val="auto"/>
        </w:rPr>
      </w:pPr>
    </w:p>
    <w:p>
      <w:pPr>
        <w:ind w:right="40" w:firstLine="509"/>
        <w:spacing w:after="0" w:line="299"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w:t>
      </w:r>
    </w:p>
    <w:p>
      <w:pPr>
        <w:spacing w:after="0" w:line="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6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1"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7" w:lineRule="exact"/>
        <w:rPr>
          <w:sz w:val="20"/>
          <w:szCs w:val="20"/>
          <w:color w:val="auto"/>
        </w:rPr>
      </w:pPr>
    </w:p>
    <w:p>
      <w:pPr>
        <w:ind w:left="960" w:right="80"/>
        <w:spacing w:after="0" w:line="279" w:lineRule="auto"/>
        <w:rPr>
          <w:sz w:val="20"/>
          <w:szCs w:val="20"/>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31" w:lineRule="exact"/>
        <w:rPr>
          <w:sz w:val="20"/>
          <w:szCs w:val="20"/>
          <w:color w:val="auto"/>
        </w:rPr>
      </w:pPr>
    </w:p>
    <w:p>
      <w:pPr>
        <w:ind w:left="5540" w:right="380" w:hanging="4577"/>
        <w:spacing w:after="0" w:line="293" w:lineRule="auto"/>
        <w:rPr>
          <w:sz w:val="20"/>
          <w:szCs w:val="20"/>
          <w:color w:val="auto"/>
        </w:rPr>
      </w:pPr>
      <w:r>
        <w:rPr>
          <w:rFonts w:ascii="Arial" w:cs="Arial" w:eastAsia="Arial" w:hAnsi="Arial"/>
          <w:sz w:val="18"/>
          <w:szCs w:val="18"/>
          <w:color w:val="auto"/>
        </w:rPr>
        <w:t>the termination or nonrenewal of arrangements or agreements by our third-party contractors at a time that is costly or inconvenient for us;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ind w:left="960"/>
        <w:spacing w:after="0"/>
        <w:rPr>
          <w:sz w:val="20"/>
          <w:szCs w:val="20"/>
          <w:color w:val="auto"/>
        </w:rPr>
      </w:pPr>
      <w:r>
        <w:rPr>
          <w:rFonts w:ascii="Arial" w:cs="Arial" w:eastAsia="Arial" w:hAnsi="Arial"/>
          <w:sz w:val="18"/>
          <w:szCs w:val="18"/>
          <w:color w:val="auto"/>
        </w:rPr>
        <w:t>the breach by the third-party contractors of our agreements with them;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third-party contractors to comply with applicable regulatory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the third party to manufacture our product candidates according to our specifications;</w:t>
      </w:r>
    </w:p>
    <w:p>
      <w:pPr>
        <w:spacing w:after="0" w:line="131" w:lineRule="exact"/>
        <w:rPr>
          <w:sz w:val="20"/>
          <w:szCs w:val="20"/>
          <w:color w:val="auto"/>
        </w:rPr>
      </w:pPr>
    </w:p>
    <w:p>
      <w:pPr>
        <w:ind w:left="960" w:right="720"/>
        <w:spacing w:after="0" w:line="293"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239"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0"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and the development or commercialization of our product candidates could be delayed or stopped.</w:t>
      </w:r>
    </w:p>
    <w:p>
      <w:pPr>
        <w:spacing w:after="0" w:line="62"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70" w:lineRule="exact"/>
        <w:rPr>
          <w:sz w:val="20"/>
          <w:szCs w:val="20"/>
          <w:color w:val="auto"/>
        </w:rPr>
      </w:pPr>
    </w:p>
    <w:p>
      <w:pPr>
        <w:ind w:right="100" w:firstLine="509"/>
        <w:spacing w:after="0" w:line="296" w:lineRule="auto"/>
        <w:rPr>
          <w:sz w:val="20"/>
          <w:szCs w:val="20"/>
          <w:color w:val="auto"/>
        </w:rPr>
      </w:pPr>
      <w:r>
        <w:rPr>
          <w:rFonts w:ascii="Arial" w:cs="Arial" w:eastAsia="Arial" w:hAnsi="Arial"/>
          <w:sz w:val="17"/>
          <w:szCs w:val="17"/>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0"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our product candidates or products and could have an adverse effect on our business, financial condition, results of operations and prospects.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success depends in part on our ability to obtain and maintain patents and other forms of intellectual property rights, including in-</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December 31, 2020, we own or have rights to 266 issued or allowed patents and 226 pending patent applications worldwide.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1"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 xml:space="preserve">Once granted, patents may remain open to opposition, interference,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August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31" w:lineRule="exact"/>
        <w:rPr>
          <w:sz w:val="20"/>
          <w:szCs w:val="20"/>
          <w:color w:val="auto"/>
        </w:rPr>
      </w:pPr>
    </w:p>
    <w:p>
      <w:pPr>
        <w:ind w:left="960" w:right="320"/>
        <w:spacing w:after="0" w:line="293" w:lineRule="auto"/>
        <w:rPr>
          <w:sz w:val="20"/>
          <w:szCs w:val="20"/>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54" w:lineRule="exact"/>
        <w:rPr>
          <w:sz w:val="20"/>
          <w:szCs w:val="20"/>
          <w:color w:val="auto"/>
        </w:rPr>
      </w:pPr>
    </w:p>
    <w:p>
      <w:pPr>
        <w:ind w:left="960" w:right="740"/>
        <w:spacing w:after="0" w:line="293" w:lineRule="auto"/>
        <w:rPr>
          <w:sz w:val="20"/>
          <w:szCs w:val="20"/>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develop or in-license additional proprietary technologies that are patentable.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Pending patent applications that we own or may license will lead to issued patents.</w:t>
      </w:r>
    </w:p>
    <w:p>
      <w:pPr>
        <w:spacing w:after="0" w:line="131" w:lineRule="exact"/>
        <w:rPr>
          <w:sz w:val="20"/>
          <w:szCs w:val="20"/>
          <w:color w:val="auto"/>
        </w:rPr>
      </w:pPr>
    </w:p>
    <w:p>
      <w:pPr>
        <w:jc w:val="center"/>
        <w:ind w:left="720" w:right="560"/>
        <w:spacing w:after="0" w:line="293" w:lineRule="auto"/>
        <w:rPr>
          <w:sz w:val="20"/>
          <w:szCs w:val="20"/>
          <w:color w:val="auto"/>
        </w:rPr>
      </w:pPr>
      <w:r>
        <w:rPr>
          <w:rFonts w:ascii="Arial" w:cs="Arial" w:eastAsia="Arial" w:hAnsi="Arial"/>
          <w:sz w:val="18"/>
          <w:szCs w:val="18"/>
          <w:color w:val="auto"/>
        </w:rPr>
        <w:t>The patents of others will not have a material or adverse effect on our business, financial condition, results of operations and prospects.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left="960" w:right="100"/>
        <w:spacing w:after="0" w:line="324" w:lineRule="auto"/>
        <w:rPr>
          <w:sz w:val="20"/>
          <w:szCs w:val="20"/>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ind w:right="760" w:firstLine="509"/>
        <w:spacing w:after="0" w:line="299"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w:t>
      </w:r>
    </w:p>
    <w:p>
      <w:pPr>
        <w:spacing w:after="0" w:line="1"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w:t>
      </w:r>
    </w:p>
    <w:p>
      <w:pPr>
        <w:spacing w:after="0" w:line="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69" w:lineRule="exact"/>
        <w:rPr>
          <w:sz w:val="20"/>
          <w:szCs w:val="20"/>
          <w:color w:val="auto"/>
        </w:rPr>
      </w:pPr>
    </w:p>
    <w:p>
      <w:pPr>
        <w:ind w:right="20" w:firstLine="509"/>
        <w:spacing w:after="0" w:line="285"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31" w:lineRule="exact"/>
        <w:rPr>
          <w:sz w:val="20"/>
          <w:szCs w:val="20"/>
          <w:color w:val="auto"/>
        </w:rPr>
      </w:pPr>
    </w:p>
    <w:p>
      <w:pPr>
        <w:ind w:right="220" w:firstLine="509"/>
        <w:spacing w:after="0" w:line="26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8"/>
          <w:szCs w:val="18"/>
          <w:color w:val="auto"/>
        </w:rPr>
        <w:t>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2041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31" w:lineRule="exact"/>
        <w:rPr>
          <w:sz w:val="20"/>
          <w:szCs w:val="20"/>
          <w:color w:val="auto"/>
        </w:rPr>
      </w:pPr>
    </w:p>
    <w:p>
      <w:pPr>
        <w:ind w:firstLine="509"/>
        <w:spacing w:after="0" w:line="285"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0"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8" w:lineRule="exact"/>
        <w:rPr>
          <w:sz w:val="20"/>
          <w:szCs w:val="20"/>
          <w:color w:val="auto"/>
        </w:rPr>
      </w:pPr>
    </w:p>
    <w:p>
      <w:pPr>
        <w:ind w:right="160" w:firstLine="509"/>
        <w:spacing w:after="0" w:line="272"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1"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84"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1"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9" w:lineRule="exact"/>
        <w:rPr>
          <w:sz w:val="20"/>
          <w:szCs w:val="20"/>
          <w:color w:val="auto"/>
        </w:rPr>
      </w:pPr>
    </w:p>
    <w:p>
      <w:pPr>
        <w:jc w:val="both"/>
        <w:ind w:right="100"/>
        <w:spacing w:after="0" w:line="329"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0"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ind w:right="20"/>
        <w:spacing w:after="0" w:line="284" w:lineRule="auto"/>
        <w:rPr>
          <w:sz w:val="20"/>
          <w:szCs w:val="20"/>
          <w:color w:val="auto"/>
        </w:rPr>
      </w:pPr>
      <w:r>
        <w:rPr>
          <w:rFonts w:ascii="Arial" w:cs="Arial" w:eastAsia="Arial" w:hAnsi="Arial"/>
          <w:sz w:val="17"/>
          <w:szCs w:val="17"/>
          <w:color w:val="auto"/>
        </w:rPr>
        <w:t>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89" w:lineRule="exact"/>
        <w:rPr>
          <w:sz w:val="20"/>
          <w:szCs w:val="20"/>
          <w:color w:val="auto"/>
        </w:rPr>
      </w:pPr>
    </w:p>
    <w:p>
      <w:pPr>
        <w:ind w:right="40" w:firstLine="509"/>
        <w:spacing w:after="0" w:line="281" w:lineRule="auto"/>
        <w:rPr>
          <w:sz w:val="20"/>
          <w:szCs w:val="20"/>
          <w:color w:val="auto"/>
        </w:rPr>
      </w:pPr>
      <w:r>
        <w:rPr>
          <w:rFonts w:ascii="Arial" w:cs="Arial" w:eastAsia="Arial" w:hAnsi="Arial"/>
          <w:sz w:val="17"/>
          <w:szCs w:val="17"/>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w:t>
      </w:r>
    </w:p>
    <w:p>
      <w:pPr>
        <w:spacing w:after="0" w:line="7" w:lineRule="exact"/>
        <w:rPr>
          <w:sz w:val="20"/>
          <w:szCs w:val="20"/>
          <w:color w:val="auto"/>
        </w:rPr>
      </w:pPr>
    </w:p>
    <w:p>
      <w:pPr>
        <w:jc w:val="both"/>
        <w:ind w:right="180"/>
        <w:spacing w:after="0" w:line="295" w:lineRule="auto"/>
        <w:rPr>
          <w:sz w:val="20"/>
          <w:szCs w:val="20"/>
          <w:color w:val="auto"/>
        </w:rPr>
      </w:pPr>
      <w:r>
        <w:rPr>
          <w:rFonts w:ascii="Arial" w:cs="Arial" w:eastAsia="Arial" w:hAnsi="Arial"/>
          <w:sz w:val="17"/>
          <w:szCs w:val="17"/>
          <w:color w:val="auto"/>
        </w:rPr>
        <w:t>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0"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9"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ind w:right="160"/>
        <w:spacing w:after="0" w:line="279" w:lineRule="auto"/>
        <w:rPr>
          <w:sz w:val="20"/>
          <w:szCs w:val="20"/>
          <w:color w:val="auto"/>
        </w:rPr>
      </w:pPr>
      <w:r>
        <w:rPr>
          <w:rFonts w:ascii="Arial" w:cs="Arial" w:eastAsia="Arial" w:hAnsi="Arial"/>
          <w:sz w:val="18"/>
          <w:szCs w:val="18"/>
          <w:color w:val="auto"/>
        </w:rPr>
        <w:t>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31"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1"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and abroad.</w:t>
      </w:r>
    </w:p>
    <w:p>
      <w:pPr>
        <w:spacing w:after="0" w:line="7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0" w:lineRule="exact"/>
        <w:rPr>
          <w:sz w:val="20"/>
          <w:szCs w:val="20"/>
          <w:color w:val="auto"/>
        </w:rPr>
      </w:pPr>
    </w:p>
    <w:p>
      <w:pPr>
        <w:ind w:right="180" w:firstLine="509"/>
        <w:spacing w:after="0" w:line="314"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6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31" w:lineRule="exact"/>
        <w:rPr>
          <w:sz w:val="20"/>
          <w:szCs w:val="20"/>
          <w:color w:val="auto"/>
        </w:rPr>
      </w:pPr>
    </w:p>
    <w:p>
      <w:pPr>
        <w:ind w:right="80" w:firstLine="509"/>
        <w:spacing w:after="0" w:line="281"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right="180"/>
        <w:spacing w:after="0" w:line="275" w:lineRule="auto"/>
        <w:rPr>
          <w:sz w:val="20"/>
          <w:szCs w:val="20"/>
          <w:color w:val="auto"/>
        </w:rPr>
      </w:pPr>
      <w:r>
        <w:rPr>
          <w:rFonts w:ascii="Arial" w:cs="Arial" w:eastAsia="Arial" w:hAnsi="Arial"/>
          <w:sz w:val="18"/>
          <w:szCs w:val="18"/>
          <w:color w:val="auto"/>
        </w:rPr>
        <w:t>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85" w:lineRule="exact"/>
        <w:rPr>
          <w:sz w:val="20"/>
          <w:szCs w:val="20"/>
          <w:color w:val="auto"/>
        </w:rPr>
      </w:pPr>
    </w:p>
    <w:p>
      <w:pPr>
        <w:ind w:right="60" w:firstLine="509"/>
        <w:spacing w:after="0" w:line="285"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8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42"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4"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2" w:lineRule="exact"/>
        <w:rPr>
          <w:sz w:val="20"/>
          <w:szCs w:val="20"/>
          <w:color w:val="auto"/>
        </w:rPr>
      </w:pPr>
    </w:p>
    <w:p>
      <w:pPr>
        <w:ind w:right="60"/>
        <w:spacing w:after="0" w:line="394"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ind w:right="60"/>
        <w:spacing w:after="0" w:line="311" w:lineRule="auto"/>
        <w:rPr>
          <w:sz w:val="20"/>
          <w:szCs w:val="20"/>
          <w:color w:val="auto"/>
        </w:rPr>
      </w:pPr>
      <w:r>
        <w:rPr>
          <w:rFonts w:ascii="Arial" w:cs="Arial" w:eastAsia="Arial" w:hAnsi="Arial"/>
          <w:sz w:val="16"/>
          <w:szCs w:val="16"/>
          <w:color w:val="auto"/>
        </w:rPr>
        <w:t>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42"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77"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74" w:lineRule="exact"/>
        <w:rPr>
          <w:sz w:val="20"/>
          <w:szCs w:val="20"/>
          <w:color w:val="auto"/>
        </w:rPr>
      </w:pPr>
    </w:p>
    <w:p>
      <w:pPr>
        <w:ind w:right="340"/>
        <w:spacing w:after="0" w:line="303"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6"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4" w:name="page65"/>
    <w:bookmarkEnd w:id="64"/>
    <w:p>
      <w:pPr>
        <w:ind w:right="100"/>
        <w:spacing w:after="0" w:line="29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5"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firstLine="509"/>
        <w:spacing w:after="0" w:line="293"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variations in the level of expense related to the ongoing development of our product candidates or future development programs;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preclinical studies and clinical trials, or the addition or termination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and departures of key personnel;</w:t>
      </w:r>
    </w:p>
    <w:p>
      <w:pPr>
        <w:spacing w:after="0" w:line="131"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sz w:val="20"/>
          <w:szCs w:val="20"/>
          <w:color w:val="auto"/>
        </w:rPr>
      </w:pPr>
    </w:p>
    <w:p>
      <w:pPr>
        <w:ind w:left="960" w:right="3760"/>
        <w:spacing w:after="0" w:line="418" w:lineRule="auto"/>
        <w:rPr>
          <w:sz w:val="20"/>
          <w:szCs w:val="20"/>
          <w:color w:val="auto"/>
        </w:rPr>
      </w:pPr>
      <w:r>
        <w:rPr>
          <w:rFonts w:ascii="Arial" w:cs="Arial" w:eastAsia="Arial" w:hAnsi="Arial"/>
          <w:sz w:val="18"/>
          <w:szCs w:val="18"/>
          <w:color w:val="auto"/>
        </w:rPr>
        <w:t>regulatory developments affecting our product candidates or those of our competitors; and changes in general market and economic conditions.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31"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results of our clinical trials or those of our competitors;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regulatory or legal developments in the United States and other countries, especially changes in laws or regulations applicable to our products;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competitive products or technologies;</w:t>
      </w:r>
    </w:p>
    <w:p>
      <w:pPr>
        <w:spacing w:after="0" w:line="131"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introductions and announcements of new products by us, our current collaborator, our future collaborators or our competitors, and the timing of these introductions or announcements;</w:t>
      </w:r>
    </w:p>
    <w:p>
      <w:pPr>
        <w:spacing w:after="0" w:line="62"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31" w:lineRule="exact"/>
        <w:rPr>
          <w:sz w:val="20"/>
          <w:szCs w:val="20"/>
          <w:color w:val="auto"/>
        </w:rPr>
      </w:pPr>
    </w:p>
    <w:p>
      <w:pPr>
        <w:ind w:left="5540" w:right="2700" w:hanging="4577"/>
        <w:spacing w:after="0" w:line="293" w:lineRule="auto"/>
        <w:rPr>
          <w:sz w:val="20"/>
          <w:szCs w:val="20"/>
          <w:color w:val="auto"/>
        </w:rPr>
      </w:pPr>
      <w:r>
        <w:rPr>
          <w:rFonts w:ascii="Arial" w:cs="Arial" w:eastAsia="Arial" w:hAnsi="Arial"/>
          <w:sz w:val="18"/>
          <w:szCs w:val="18"/>
          <w:color w:val="auto"/>
        </w:rPr>
        <w:t>the success of our efforts to acquire or in-license additional technologies, products or product candidates;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5" w:name="page66"/>
    <w:bookmarkEnd w:id="65"/>
    <w:p>
      <w:pPr>
        <w:ind w:left="960"/>
        <w:spacing w:after="0"/>
        <w:rPr>
          <w:sz w:val="20"/>
          <w:szCs w:val="20"/>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42"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or inability to raise additional capital and the terms on which we raise it;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960" w:right="180"/>
        <w:spacing w:after="0" w:line="293" w:lineRule="auto"/>
        <w:rPr>
          <w:sz w:val="20"/>
          <w:szCs w:val="20"/>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and expectation of additional financing efforts;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speculation in the press or investment community;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expiration of market stand-off or lock-up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concentrated ownership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accounting principles;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terrorist acts, acts of war or periods of widespread civil unrest;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any natural disasters or public health emergencies, such as the COVID-19 pandemic;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w:t>
      </w:r>
    </w:p>
    <w:p>
      <w:pPr>
        <w:spacing w:after="0" w:line="239" w:lineRule="exact"/>
        <w:rPr>
          <w:sz w:val="20"/>
          <w:szCs w:val="20"/>
          <w:color w:val="auto"/>
        </w:rPr>
      </w:pPr>
    </w:p>
    <w:p>
      <w:pPr>
        <w:jc w:val="both"/>
        <w:ind w:right="500" w:firstLine="509"/>
        <w:spacing w:after="0" w:line="279"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31" w:lineRule="exact"/>
        <w:rPr>
          <w:sz w:val="20"/>
          <w:szCs w:val="20"/>
          <w:color w:val="auto"/>
        </w:rPr>
      </w:pPr>
    </w:p>
    <w:p>
      <w:pPr>
        <w:ind w:right="100" w:firstLine="509"/>
        <w:spacing w:after="0" w:line="309"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6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6" w:name="page67"/>
    <w:bookmarkEnd w:id="66"/>
    <w:p>
      <w:pPr>
        <w:ind w:right="80"/>
        <w:spacing w:after="0" w:line="292" w:lineRule="auto"/>
        <w:rPr>
          <w:sz w:val="20"/>
          <w:szCs w:val="20"/>
          <w:color w:val="auto"/>
        </w:rPr>
      </w:pPr>
      <w:r>
        <w:rPr>
          <w:rFonts w:ascii="Arial" w:cs="Arial" w:eastAsia="Arial" w:hAnsi="Arial"/>
          <w:sz w:val="17"/>
          <w:szCs w:val="17"/>
          <w:color w:val="auto"/>
        </w:rPr>
        <w:t>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82"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9" w:lineRule="exact"/>
        <w:rPr>
          <w:sz w:val="20"/>
          <w:szCs w:val="20"/>
          <w:color w:val="auto"/>
        </w:rPr>
      </w:pPr>
    </w:p>
    <w:p>
      <w:pPr>
        <w:ind w:right="40"/>
        <w:spacing w:after="0" w:line="32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As of June 30, 2021, executive officers and directors, together with holders of 5% or more of our outstanding common stock and their respective affiliates, beneficially own approximately 42.9% of our outstanding common stock. More specifically, Jay M. Short, Ph.D, our Chairman and Chief Executive Officer, together with his spouse, Carolyn Anderson Short, our former Chief of Intellectual Property and Strategy and Assistant Secretary, owns 7.3%, of our outstanding common stock, as of June 30, 2021.</w:t>
      </w:r>
    </w:p>
    <w:p>
      <w:pPr>
        <w:spacing w:after="0" w:line="185" w:lineRule="exact"/>
        <w:rPr>
          <w:sz w:val="20"/>
          <w:szCs w:val="20"/>
          <w:color w:val="auto"/>
        </w:rPr>
      </w:pPr>
    </w:p>
    <w:p>
      <w:pPr>
        <w:ind w:firstLine="509"/>
        <w:spacing w:after="0" w:line="288" w:lineRule="auto"/>
        <w:rPr>
          <w:sz w:val="20"/>
          <w:szCs w:val="20"/>
          <w:color w:val="auto"/>
        </w:rPr>
      </w:pPr>
      <w:r>
        <w:rPr>
          <w:rFonts w:ascii="Arial" w:cs="Arial" w:eastAsia="Arial" w:hAnsi="Arial"/>
          <w:sz w:val="17"/>
          <w:szCs w:val="17"/>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managers of Inversagen, LLC and BioAtla Holdings, LLC and directors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3" w:lineRule="exact"/>
        <w:rPr>
          <w:sz w:val="20"/>
          <w:szCs w:val="20"/>
          <w:color w:val="auto"/>
        </w:rPr>
      </w:pPr>
    </w:p>
    <w:p>
      <w:pPr>
        <w:ind w:right="140" w:firstLine="509"/>
        <w:spacing w:after="0" w:line="275"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5" w:lineRule="exact"/>
        <w:rPr>
          <w:sz w:val="20"/>
          <w:szCs w:val="20"/>
          <w:color w:val="auto"/>
        </w:rPr>
      </w:pPr>
    </w:p>
    <w:p>
      <w:pPr>
        <w:ind w:right="140" w:firstLine="509"/>
        <w:spacing w:after="0" w:line="266"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7" w:name="page68"/>
    <w:bookmarkEnd w:id="67"/>
    <w:p>
      <w:pPr>
        <w:ind w:right="18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(i)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exceeded $700.0 million as of the prior June 30th and (ii) the date on which we have issued more than $1.0 billion in non-convertible debt during the prior three-year period. We will cease to be an emerging growth company as of December 31, 2021.</w:t>
      </w:r>
    </w:p>
    <w:p>
      <w:pPr>
        <w:spacing w:after="0" w:line="174"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An emerging growth company may take advantage of specified reduced reporting requirements and other burdens that are otherwise applicable generally to public companies. These provisions include:</w:t>
      </w:r>
    </w:p>
    <w:p>
      <w:pPr>
        <w:spacing w:after="0" w:line="62" w:lineRule="exact"/>
        <w:rPr>
          <w:sz w:val="20"/>
          <w:szCs w:val="20"/>
          <w:color w:val="auto"/>
        </w:rPr>
      </w:pPr>
    </w:p>
    <w:p>
      <w:pPr>
        <w:ind w:left="960" w:right="60"/>
        <w:spacing w:after="0" w:line="293" w:lineRule="auto"/>
        <w:rPr>
          <w:sz w:val="20"/>
          <w:szCs w:val="20"/>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an exemption from compliance with any new requirements adopted by the Public Company Accounting Oversight Board regarding mandatory audit firm rotations;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4"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exemptions from the requirement to hold a nonbinding advisory vote on executive compensation and to obtain stockholder approval of any golden parachute payments not previously approved.</w:t>
      </w:r>
    </w:p>
    <w:p>
      <w:pPr>
        <w:spacing w:after="0" w:line="17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 The JOBS Act provides that an emerging growth company can take advantage of an extended transition period for complying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emerging growth company. As a result of this election, our financial statements may not be comparable to companies that comply with public company effective dates. We may choose to early adopt any new or revised accounting standards whenever such early adoption is permitted for private companies.</w:t>
      </w:r>
    </w:p>
    <w:p>
      <w:pPr>
        <w:spacing w:after="0" w:line="182" w:lineRule="exact"/>
        <w:rPr>
          <w:sz w:val="20"/>
          <w:szCs w:val="20"/>
          <w:color w:val="auto"/>
        </w:rPr>
      </w:pPr>
    </w:p>
    <w:p>
      <w:pPr>
        <w:ind w:right="320" w:firstLine="509"/>
        <w:spacing w:after="0" w:line="299"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120" w:firstLine="8"/>
        <w:spacing w:after="0" w:line="287"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 We will cease to be a smaller reporting company as of December 31, 2021.</w:t>
      </w:r>
    </w:p>
    <w:p>
      <w:pPr>
        <w:spacing w:after="0" w:line="289" w:lineRule="exact"/>
        <w:rPr>
          <w:sz w:val="20"/>
          <w:szCs w:val="20"/>
          <w:color w:val="auto"/>
        </w:rPr>
      </w:pPr>
    </w:p>
    <w:p>
      <w:pPr>
        <w:ind w:right="820"/>
        <w:spacing w:after="0" w:line="359"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 w:lineRule="exact"/>
        <w:rPr>
          <w:sz w:val="20"/>
          <w:szCs w:val="20"/>
          <w:color w:val="auto"/>
        </w:rPr>
      </w:pPr>
    </w:p>
    <w:p>
      <w:pPr>
        <w:ind w:right="120" w:firstLine="509"/>
        <w:spacing w:after="0" w:line="272"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our stockholders by written consent;</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8" w:name="page69"/>
    <w:bookmarkEnd w:id="68"/>
    <w:p>
      <w:pPr>
        <w:ind w:left="960" w:right="20"/>
        <w:spacing w:after="0" w:line="293" w:lineRule="auto"/>
        <w:rPr>
          <w:sz w:val="20"/>
          <w:szCs w:val="20"/>
          <w:color w:val="auto"/>
        </w:rPr>
      </w:pPr>
      <w:r>
        <w:rPr>
          <w:rFonts w:ascii="Arial" w:cs="Arial" w:eastAsia="Arial" w:hAnsi="Arial"/>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division of our board of directors into three classes, serving staggered terms of three years each;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39"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9" w:lineRule="exact"/>
        <w:rPr>
          <w:sz w:val="20"/>
          <w:szCs w:val="20"/>
          <w:color w:val="auto"/>
        </w:rPr>
      </w:pPr>
    </w:p>
    <w:p>
      <w:pPr>
        <w:jc w:val="both"/>
        <w:ind w:right="440"/>
        <w:spacing w:after="0" w:line="279"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40" w:firstLine="509"/>
        <w:spacing w:after="0" w:line="304" w:lineRule="auto"/>
        <w:rPr>
          <w:sz w:val="20"/>
          <w:szCs w:val="20"/>
          <w:color w:val="auto"/>
        </w:rPr>
      </w:pPr>
      <w:r>
        <w:rPr>
          <w:rFonts w:ascii="Arial" w:cs="Arial" w:eastAsia="Arial" w:hAnsi="Arial"/>
          <w:sz w:val="16"/>
          <w:szCs w:val="16"/>
          <w:color w:val="auto"/>
        </w:rPr>
        <w:t>As a public company, and particularly after we are no longer an emerging growth company or a smaller reporting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or a smaller reporting company with less than $100 million in annual revenue,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w:t>
      </w:r>
    </w:p>
    <w:p>
      <w:pPr>
        <w:spacing w:after="0" w:line="185" w:lineRule="exact"/>
        <w:rPr>
          <w:sz w:val="20"/>
          <w:szCs w:val="20"/>
          <w:color w:val="auto"/>
        </w:rPr>
      </w:pPr>
    </w:p>
    <w:p>
      <w:pPr>
        <w:ind w:right="220" w:firstLine="509"/>
        <w:spacing w:after="0" w:line="266"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ind w:right="920"/>
        <w:spacing w:after="0" w:line="293" w:lineRule="auto"/>
        <w:rPr>
          <w:sz w:val="20"/>
          <w:szCs w:val="20"/>
          <w:color w:val="auto"/>
        </w:rPr>
      </w:pPr>
      <w:r>
        <w:rPr>
          <w:rFonts w:ascii="Arial" w:cs="Arial" w:eastAsia="Arial" w:hAnsi="Arial"/>
          <w:sz w:val="18"/>
          <w:szCs w:val="18"/>
          <w:color w:val="auto"/>
        </w:rPr>
        <w:t>exchange on which our common stock is listed, the SEC or other regulatory authorities. In addition, if we are not able to continue to meet these requirements, we may not be able to remain listed on The Nasdaq Global Market.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3"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31" w:lineRule="exact"/>
        <w:rPr>
          <w:sz w:val="20"/>
          <w:szCs w:val="20"/>
          <w:color w:val="auto"/>
        </w:rPr>
      </w:pPr>
    </w:p>
    <w:p>
      <w:pPr>
        <w:jc w:val="both"/>
        <w:ind w:right="260" w:firstLine="509"/>
        <w:spacing w:after="0" w:line="303"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91"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As of June 30, 2021, we have not used any of the proceeds from our IPO and there has been no material change in the planned use of such proceeds from that described in the final prospectus filed by us with the SEC on December 17,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6. 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File/Furnished</w:t>
            </w: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980" w:type="dxa"/>
            <w:vAlign w:val="bottom"/>
            <w:tcBorders>
              <w:bottom w:val="single" w:sz="8" w:color="auto"/>
            </w:tcBorders>
            <w:gridSpan w:val="6"/>
          </w:tcPr>
          <w:p>
            <w:pPr>
              <w:ind w:left="152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Form</w:t>
            </w: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 No.</w:t>
            </w:r>
          </w:p>
        </w:tc>
        <w:tc>
          <w:tcPr>
            <w:tcW w:w="10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Exhibit</w:t>
            </w: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Exhibit Filing 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45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3980" w:type="dxa"/>
            <w:vAlign w:val="bottom"/>
            <w:gridSpan w:val="6"/>
          </w:tcPr>
          <w:p>
            <w:pPr>
              <w:spacing w:after="0"/>
              <w:rPr>
                <w:rFonts w:ascii="Arial" w:cs="Arial" w:eastAsia="Arial" w:hAnsi="Arial"/>
                <w:sz w:val="18"/>
                <w:szCs w:val="18"/>
                <w:color w:val="0000FF"/>
                <w:w w:val="98"/>
              </w:rPr>
            </w:pPr>
            <w:hyperlink w:anchor="page74">
              <w:r>
                <w:rPr>
                  <w:rFonts w:ascii="Arial" w:cs="Arial" w:eastAsia="Arial" w:hAnsi="Arial"/>
                  <w:sz w:val="18"/>
                  <w:szCs w:val="18"/>
                  <w:color w:val="0000FF"/>
                  <w:w w:val="98"/>
                </w:rPr>
                <w:t>Certification of Chief Executive Officer Pursuant to</w:t>
              </w:r>
            </w:hyperlink>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w w:val="94"/>
              </w:rPr>
            </w:pPr>
            <w:hyperlink w:anchor="page74">
              <w:r>
                <w:rPr>
                  <w:rFonts w:ascii="Arial" w:cs="Arial" w:eastAsia="Arial" w:hAnsi="Arial"/>
                  <w:sz w:val="18"/>
                  <w:szCs w:val="18"/>
                  <w:color w:val="0000FF"/>
                  <w:w w:val="94"/>
                </w:rPr>
                <w:t>Rules 13a-14(a) and 15d-14(a) as Adopted Pursuant</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w w:val="98"/>
              </w:rPr>
            </w:pPr>
            <w:hyperlink w:anchor="page74">
              <w:r>
                <w:rPr>
                  <w:rFonts w:ascii="Arial" w:cs="Arial" w:eastAsia="Arial" w:hAnsi="Arial"/>
                  <w:sz w:val="18"/>
                  <w:szCs w:val="18"/>
                  <w:color w:val="0000FF"/>
                  <w:w w:val="98"/>
                </w:rPr>
                <w:t>to Section 302 of the Sarbanes-Oxley Act of 2002.</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p>
        </w:tc>
        <w:tc>
          <w:tcPr>
            <w:tcW w:w="3980" w:type="dxa"/>
            <w:vAlign w:val="bottom"/>
            <w:gridSpan w:val="6"/>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Chief Financial Officer Pursuant to</w:t>
              </w:r>
            </w:hyperlink>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Rules 13a-14(a) and 15d-14(a) as Adopted Pursuant</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to Section 302 of the Sarbanes-Oxley Act of 2002.</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3980" w:type="dxa"/>
            <w:vAlign w:val="bottom"/>
            <w:gridSpan w:val="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Chief Executive Officer and Chief</w:t>
              </w:r>
            </w:hyperlink>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Financial Officer Pursuant to 18 U.S.C. Section</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1350, as Adopted Pursuant to Section 906 of the</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80" w:type="dxa"/>
            <w:vAlign w:val="bottom"/>
            <w:gridSpan w:val="6"/>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Sarbanes-Oxley Act of 2002.</w:t>
              </w:r>
            </w:hyperlink>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6"/>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Inline XBRL Instance Document – the instance</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document does not appear in the Interactive Data</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File because XBRL tags are embedded within the</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Inline XBRL document.</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2"/>
                <w:szCs w:val="22"/>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The following materials from BioAtla’s Quarterly</w:t>
            </w:r>
          </w:p>
        </w:tc>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w w:val="94"/>
              </w:rPr>
              <w:t>Report on Form 10-Q for the quarter ended June 30,</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2021, formatted in iXBRL (inline eXtensible</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w w:val="98"/>
              </w:rPr>
              <w:t>Business Reporting Language): (i) the Condensed</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Consolidated Balance Sheets, (ii) the Condensed</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Consolidated Statements of Operations and</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Comprehensive Loss, (iii) the Condensed</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Consolidated Statements of Stockholders’ Equity</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(iv) the Condensed Consolidated Statements of</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Cash Flows, and (v) Notes to Condensed</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Consolidated Financial Statements, tagged as</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blocks of text and including detailed tags</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2"/>
                <w:szCs w:val="22"/>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w:t>
            </w:r>
          </w:p>
        </w:tc>
        <w:tc>
          <w:tcPr>
            <w:tcW w:w="1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80" w:type="dxa"/>
            <w:vAlign w:val="bottom"/>
            <w:gridSpan w:val="6"/>
          </w:tcPr>
          <w:p>
            <w:pPr>
              <w:spacing w:after="0"/>
              <w:rPr>
                <w:sz w:val="20"/>
                <w:szCs w:val="20"/>
                <w:color w:val="auto"/>
              </w:rPr>
            </w:pPr>
            <w:r>
              <w:rPr>
                <w:rFonts w:ascii="Arial" w:cs="Arial" w:eastAsia="Arial" w:hAnsi="Arial"/>
                <w:sz w:val="18"/>
                <w:szCs w:val="18"/>
                <w:color w:val="auto"/>
              </w:rPr>
              <w:t>Inline XBRL document and contained in exhibit</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16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3320" w:type="dxa"/>
            <w:vAlign w:val="bottom"/>
            <w:gridSpan w:val="2"/>
          </w:tcPr>
          <w:p>
            <w:pPr>
              <w:ind w:left="2000"/>
              <w:spacing w:after="0"/>
              <w:rPr>
                <w:sz w:val="20"/>
                <w:szCs w:val="20"/>
                <w:color w:val="auto"/>
              </w:rPr>
            </w:pPr>
            <w:r>
              <w:rPr>
                <w:rFonts w:ascii="Arial" w:cs="Arial" w:eastAsia="Arial" w:hAnsi="Arial"/>
                <w:sz w:val="18"/>
                <w:szCs w:val="18"/>
                <w:color w:val="auto"/>
                <w:w w:val="99"/>
              </w:rPr>
              <w:t>Company Name</w:t>
            </w:r>
          </w:p>
        </w:tc>
        <w:tc>
          <w:tcPr>
            <w:tcW w:w="4320" w:type="dxa"/>
            <w:vAlign w:val="bottom"/>
          </w:tcPr>
          <w:p>
            <w:pPr>
              <w:spacing w:after="0"/>
              <w:rPr>
                <w:sz w:val="20"/>
                <w:szCs w:val="20"/>
                <w:color w:val="auto"/>
              </w:rPr>
            </w:pPr>
          </w:p>
        </w:tc>
      </w:tr>
      <w:tr>
        <w:trPr>
          <w:trHeight w:val="418"/>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13, 2021</w:t>
            </w:r>
          </w:p>
        </w:tc>
        <w:tc>
          <w:tcPr>
            <w:tcW w:w="3320" w:type="dxa"/>
            <w:vAlign w:val="bottom"/>
            <w:gridSpan w:val="2"/>
          </w:tcPr>
          <w:p>
            <w:pPr>
              <w:ind w:left="2000"/>
              <w:spacing w:after="0"/>
              <w:rPr>
                <w:sz w:val="20"/>
                <w:szCs w:val="20"/>
                <w:color w:val="auto"/>
              </w:rPr>
            </w:pPr>
            <w:r>
              <w:rPr>
                <w:rFonts w:ascii="Arial" w:cs="Arial" w:eastAsia="Arial" w:hAnsi="Arial"/>
                <w:sz w:val="18"/>
                <w:szCs w:val="18"/>
                <w:color w:val="auto"/>
              </w:rPr>
              <w:t>By:</w:t>
            </w:r>
          </w:p>
        </w:tc>
        <w:tc>
          <w:tcPr>
            <w:tcW w:w="4320" w:type="dxa"/>
            <w:vAlign w:val="bottom"/>
          </w:tcPr>
          <w:p>
            <w:pPr>
              <w:ind w:left="900"/>
              <w:spacing w:after="0"/>
              <w:rPr>
                <w:sz w:val="20"/>
                <w:szCs w:val="20"/>
                <w:color w:val="auto"/>
              </w:rPr>
            </w:pPr>
            <w:r>
              <w:rPr>
                <w:rFonts w:ascii="Arial" w:cs="Arial" w:eastAsia="Arial" w:hAnsi="Arial"/>
                <w:sz w:val="18"/>
                <w:szCs w:val="18"/>
                <w:color w:val="auto"/>
              </w:rPr>
              <w:t>/s/ Jay M. Short, Ph.D.</w:t>
            </w:r>
          </w:p>
        </w:tc>
      </w:tr>
      <w:tr>
        <w:trPr>
          <w:trHeight w:val="224"/>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Jay M. Short, Ph.D.</w:t>
            </w:r>
          </w:p>
        </w:tc>
      </w:tr>
      <w:tr>
        <w:trPr>
          <w:trHeight w:val="241"/>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880"/>
              <w:spacing w:after="0"/>
              <w:rPr>
                <w:sz w:val="20"/>
                <w:szCs w:val="20"/>
                <w:color w:val="auto"/>
              </w:rPr>
            </w:pPr>
            <w:r>
              <w:rPr>
                <w:rFonts w:ascii="Arial" w:cs="Arial" w:eastAsia="Arial" w:hAnsi="Arial"/>
                <w:sz w:val="18"/>
                <w:szCs w:val="18"/>
                <w:color w:val="auto"/>
              </w:rPr>
              <w:t>Chief Executive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600" w:type="dxa"/>
            <w:vAlign w:val="bottom"/>
          </w:tcPr>
          <w:p>
            <w:pPr>
              <w:ind w:left="20"/>
              <w:spacing w:after="0"/>
              <w:rPr>
                <w:sz w:val="20"/>
                <w:szCs w:val="20"/>
                <w:color w:val="auto"/>
              </w:rPr>
            </w:pPr>
            <w:r>
              <w:rPr>
                <w:rFonts w:ascii="Arial" w:cs="Arial" w:eastAsia="Arial" w:hAnsi="Arial"/>
                <w:sz w:val="18"/>
                <w:szCs w:val="18"/>
                <w:color w:val="auto"/>
              </w:rPr>
              <w:t>Date: August 13, 2021</w:t>
            </w:r>
          </w:p>
        </w:tc>
        <w:tc>
          <w:tcPr>
            <w:tcW w:w="3320" w:type="dxa"/>
            <w:vAlign w:val="bottom"/>
            <w:gridSpan w:val="2"/>
          </w:tcPr>
          <w:p>
            <w:pPr>
              <w:ind w:left="2000"/>
              <w:spacing w:after="0"/>
              <w:rPr>
                <w:sz w:val="20"/>
                <w:szCs w:val="20"/>
                <w:color w:val="auto"/>
              </w:rPr>
            </w:pPr>
            <w:r>
              <w:rPr>
                <w:rFonts w:ascii="Arial" w:cs="Arial" w:eastAsia="Arial" w:hAnsi="Arial"/>
                <w:sz w:val="18"/>
                <w:szCs w:val="18"/>
                <w:color w:val="auto"/>
              </w:rPr>
              <w:t>By:</w:t>
            </w:r>
          </w:p>
        </w:tc>
        <w:tc>
          <w:tcPr>
            <w:tcW w:w="4320" w:type="dxa"/>
            <w:vAlign w:val="bottom"/>
          </w:tcPr>
          <w:p>
            <w:pPr>
              <w:ind w:left="880"/>
              <w:spacing w:after="0"/>
              <w:rPr>
                <w:sz w:val="20"/>
                <w:szCs w:val="20"/>
                <w:color w:val="auto"/>
              </w:rPr>
            </w:pPr>
            <w:r>
              <w:rPr>
                <w:rFonts w:ascii="Arial" w:cs="Arial" w:eastAsia="Arial" w:hAnsi="Arial"/>
                <w:sz w:val="18"/>
                <w:szCs w:val="18"/>
                <w:color w:val="auto"/>
              </w:rPr>
              <w:t>/s/ Richard A. Waldron</w:t>
            </w:r>
          </w:p>
        </w:tc>
      </w:tr>
      <w:tr>
        <w:trPr>
          <w:trHeight w:val="224"/>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Richard A. Waldron</w:t>
            </w:r>
          </w:p>
        </w:tc>
      </w:tr>
      <w:tr>
        <w:trPr>
          <w:trHeight w:val="241"/>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900"/>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473"/>
        </w:trPr>
        <w:tc>
          <w:tcPr>
            <w:tcW w:w="360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71</w:t>
            </w: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39"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9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80" w:hanging="239"/>
        <w:spacing w:after="0"/>
        <w:tabs>
          <w:tab w:leader="none" w:pos="78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August 13,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24"/>
        </w:trPr>
        <w:tc>
          <w:tcPr>
            <w:tcW w:w="3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42"/>
        </w:trPr>
        <w:tc>
          <w:tcPr>
            <w:tcW w:w="3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574"/>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39"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480" w:hanging="479"/>
        <w:spacing w:after="0" w:line="359" w:lineRule="auto"/>
        <w:tabs>
          <w:tab w:leader="none" w:pos="7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80" w:hanging="239"/>
        <w:spacing w:after="0"/>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46" w:lineRule="exact"/>
        <w:rPr>
          <w:rFonts w:ascii="Arial" w:cs="Arial" w:eastAsia="Arial" w:hAnsi="Arial"/>
          <w:sz w:val="16"/>
          <w:szCs w:val="16"/>
          <w:color w:val="auto"/>
        </w:rPr>
      </w:pPr>
    </w:p>
    <w:p>
      <w:pPr>
        <w:ind w:left="1020" w:right="500"/>
        <w:spacing w:after="0" w:line="292" w:lineRule="auto"/>
        <w:rPr>
          <w:rFonts w:ascii="Arial" w:cs="Arial" w:eastAsia="Arial" w:hAnsi="Arial"/>
          <w:sz w:val="16"/>
          <w:szCs w:val="16"/>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rFonts w:ascii="Arial" w:cs="Arial" w:eastAsia="Arial" w:hAnsi="Arial"/>
          <w:sz w:val="16"/>
          <w:szCs w:val="16"/>
          <w:color w:val="auto"/>
        </w:rPr>
      </w:pPr>
    </w:p>
    <w:p>
      <w:pPr>
        <w:ind w:left="440" w:right="40" w:hanging="432"/>
        <w:spacing w:after="0" w:line="324"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20" w:hanging="479"/>
        <w:spacing w:after="0" w:line="293" w:lineRule="auto"/>
        <w:tabs>
          <w:tab w:leader="none" w:pos="7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August 13,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24"/>
        </w:trPr>
        <w:tc>
          <w:tcPr>
            <w:tcW w:w="36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41"/>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80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500" w:firstLine="509"/>
        <w:spacing w:after="0" w:line="279"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800" w:hanging="25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800" w:hanging="259"/>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13,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Jay M. Short, Ph.D.</w:t>
            </w:r>
          </w:p>
        </w:tc>
      </w:tr>
      <w:tr>
        <w:trPr>
          <w:trHeight w:val="224"/>
        </w:trPr>
        <w:tc>
          <w:tcPr>
            <w:tcW w:w="3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Jay M. Short, Ph.D.</w:t>
            </w:r>
          </w:p>
        </w:tc>
      </w:tr>
      <w:tr>
        <w:trPr>
          <w:trHeight w:val="241"/>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ind w:left="1780"/>
              <w:spacing w:after="0"/>
              <w:rPr>
                <w:sz w:val="20"/>
                <w:szCs w:val="20"/>
                <w:color w:val="auto"/>
              </w:rPr>
            </w:pPr>
            <w:r>
              <w:rPr>
                <w:rFonts w:ascii="Arial" w:cs="Arial" w:eastAsia="Arial" w:hAnsi="Arial"/>
                <w:sz w:val="18"/>
                <w:szCs w:val="18"/>
                <w:color w:val="auto"/>
              </w:rPr>
              <w:t>Chief Executive Officer</w:t>
            </w:r>
          </w:p>
        </w:tc>
      </w:tr>
      <w:tr>
        <w:trPr>
          <w:trHeight w:val="230"/>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72"/>
        </w:trPr>
        <w:tc>
          <w:tcPr>
            <w:tcW w:w="3660" w:type="dxa"/>
            <w:vAlign w:val="bottom"/>
          </w:tcPr>
          <w:p>
            <w:pPr>
              <w:spacing w:after="0"/>
              <w:rPr>
                <w:sz w:val="20"/>
                <w:szCs w:val="20"/>
                <w:color w:val="auto"/>
              </w:rPr>
            </w:pPr>
            <w:r>
              <w:rPr>
                <w:rFonts w:ascii="Arial" w:cs="Arial" w:eastAsia="Arial" w:hAnsi="Arial"/>
                <w:sz w:val="18"/>
                <w:szCs w:val="18"/>
                <w:color w:val="auto"/>
              </w:rPr>
              <w:t>Date: August 13,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Waldron</w:t>
            </w:r>
          </w:p>
        </w:tc>
      </w:tr>
      <w:tr>
        <w:trPr>
          <w:trHeight w:val="224"/>
        </w:trPr>
        <w:tc>
          <w:tcPr>
            <w:tcW w:w="3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Richard A. Waldron</w:t>
            </w:r>
          </w:p>
        </w:tc>
      </w:tr>
      <w:tr>
        <w:trPr>
          <w:trHeight w:val="241"/>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Roman"/>
      <w:start w:val="4"/>
    </w:lvl>
  </w:abstractNum>
  <w:abstractNum w:abstractNumId="4">
    <w:nsid w:val="7545E146"/>
    <w:multiLevelType w:val="hybridMultilevel"/>
    <w:lvl w:ilvl="0">
      <w:lvlJc w:val="left"/>
      <w:lvlText w:val="%1"/>
      <w:numFmt w:val="upperLetter"/>
      <w:start w:val="68"/>
    </w:lvl>
  </w:abstractNum>
  <w:abstractNum w:abstractNumId="5">
    <w:nsid w:val="515F007C"/>
    <w:multiLevelType w:val="hybridMultilevel"/>
    <w:lvl w:ilvl="0">
      <w:lvlJc w:val="left"/>
      <w:lvlText w:val="(%1)"/>
      <w:numFmt w:val="lowerRoman"/>
      <w:start w:val="1"/>
    </w:lvl>
  </w:abstractNum>
  <w:abstractNum w:abstractNumId="6">
    <w:nsid w:val="5BD062C2"/>
    <w:multiLevelType w:val="hybridMultilevel"/>
    <w:lvl w:ilvl="0">
      <w:lvlJc w:val="left"/>
      <w:lvlText w:val="%1"/>
      <w:numFmt w:val="upperLetter"/>
      <w:start w:val="68"/>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2021-08-13T15:51:02Z</dcterms:created>
  <dcterms:modified xsi:type="dcterms:W3CDTF">2021-08-13T15:51:02Z</dcterms:modified>
</cp:coreProperties>
</file>