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420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42061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SHORT JAY M PHD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BIOATLA, INC. 11085 TORREYANA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BioAtla,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BCAB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720" w:space="200"/>
            <w:col w:w="3095" w:space="720"/>
            <w:col w:w="3265"/>
          </w:cols>
          <w:pgMar w:left="460" w:top="219" w:right="43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740" w:type="dxa"/>
            <w:vAlign w:val="bottom"/>
            <w:shd w:val="clear" w:color="auto" w:fill="9A9A9A"/>
          </w:tcPr>
          <w:p>
            <w:pPr>
              <w:spacing w:after="0"/>
              <w:rPr>
                <w:sz w:val="2"/>
                <w:szCs w:val="2"/>
                <w:color w:val="auto"/>
              </w:rPr>
            </w:pPr>
          </w:p>
        </w:tc>
        <w:tc>
          <w:tcPr>
            <w:tcW w:w="1760" w:type="dxa"/>
            <w:vAlign w:val="bottom"/>
            <w:shd w:val="clear" w:color="auto" w:fill="9A9A9A"/>
          </w:tcPr>
          <w:p>
            <w:pPr>
              <w:spacing w:after="0"/>
              <w:rPr>
                <w:sz w:val="2"/>
                <w:szCs w:val="2"/>
                <w:color w:val="auto"/>
              </w:rPr>
            </w:pPr>
          </w:p>
        </w:tc>
        <w:tc>
          <w:tcPr>
            <w:tcW w:w="358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gridSpan w:val="6"/>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80" w:type="dxa"/>
            <w:vAlign w:val="bottom"/>
            <w:gridSpan w:val="5"/>
            <w:vMerge w:val="continue"/>
          </w:tcPr>
          <w:p>
            <w:pPr>
              <w:spacing w:after="0"/>
              <w:rPr>
                <w:sz w:val="10"/>
                <w:szCs w:val="10"/>
                <w:color w:val="auto"/>
              </w:rPr>
            </w:pPr>
          </w:p>
        </w:tc>
        <w:tc>
          <w:tcPr>
            <w:tcW w:w="36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tcPr>
          <w:p>
            <w:pPr>
              <w:ind w:left="560"/>
              <w:spacing w:after="0"/>
              <w:rPr>
                <w:sz w:val="20"/>
                <w:szCs w:val="20"/>
                <w:color w:val="auto"/>
              </w:rPr>
            </w:pPr>
            <w:r>
              <w:rPr>
                <w:rFonts w:ascii="Times New Roman" w:cs="Times New Roman" w:eastAsia="Times New Roman" w:hAnsi="Times New Roman"/>
                <w:sz w:val="17"/>
                <w:szCs w:val="17"/>
                <w:color w:val="0000FF"/>
              </w:rPr>
              <w:t>92121</w:t>
            </w: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40" w:type="dxa"/>
            <w:vAlign w:val="bottom"/>
            <w:gridSpan w:val="4"/>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tcBorders>
              <w:top w:val="single" w:sz="8" w:color="EEEEEE"/>
            </w:tcBorders>
            <w:vMerge w:val="restart"/>
          </w:tcPr>
          <w:p>
            <w:pPr>
              <w:ind w:left="8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380" w:type="dxa"/>
            <w:vAlign w:val="bottom"/>
            <w:vMerge w:val="restart"/>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ind w:left="2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6"/>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40" w:type="dxa"/>
            <w:vAlign w:val="bottom"/>
            <w:gridSpan w:val="2"/>
          </w:tcPr>
          <w:p>
            <w:pPr>
              <w:ind w:left="10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4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40" w:type="dxa"/>
            <w:vAlign w:val="bottom"/>
            <w:gridSpan w:val="2"/>
          </w:tcPr>
          <w:p>
            <w:pPr>
              <w:ind w:left="10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60" w:type="dxa"/>
            <w:vAlign w:val="bottom"/>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03/12/2026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639</w:t>
            </w:r>
          </w:p>
        </w:tc>
        <w:tc>
          <w:tcPr>
            <w:tcW w:w="60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0.168</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52,553</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1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05/31/2026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259</w:t>
            </w:r>
          </w:p>
        </w:tc>
        <w:tc>
          <w:tcPr>
            <w:tcW w:w="60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Borders>
              <w:bottom w:val="single" w:sz="8" w:color="2C2C2C"/>
            </w:tcBorders>
          </w:tcPr>
          <w:p>
            <w:pPr>
              <w:jc w:val="center"/>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3.93</w:t>
            </w: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52,294</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15,870</w:t>
            </w:r>
            <w:r>
              <w:rPr>
                <w:rFonts w:ascii="Times New Roman" w:cs="Times New Roman" w:eastAsia="Times New Roman" w:hAnsi="Times New Roman"/>
                <w:sz w:val="22"/>
                <w:szCs w:val="22"/>
                <w:color w:val="008000"/>
                <w:w w:val="93"/>
                <w:vertAlign w:val="superscript"/>
              </w:rPr>
              <w:t>(2)</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 Spouse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Carolyn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5,174</w:t>
            </w:r>
            <w:r>
              <w:rPr>
                <w:rFonts w:ascii="Times New Roman" w:cs="Times New Roman" w:eastAsia="Times New Roman" w:hAnsi="Times New Roman"/>
                <w:sz w:val="22"/>
                <w:szCs w:val="22"/>
                <w:color w:val="008000"/>
                <w:w w:val="93"/>
                <w:vertAlign w:val="superscript"/>
              </w:rPr>
              <w:t>(2)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Short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Gift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Jay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5,174</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Short 2020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2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Gift 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6,046</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 Capia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IP, LLC</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vMerge w:val="restart"/>
          </w:tcPr>
          <w:p>
            <w:pPr>
              <w:jc w:val="center"/>
              <w:spacing w:after="0" w:line="387" w:lineRule="exact"/>
              <w:rPr>
                <w:sz w:val="20"/>
                <w:szCs w:val="20"/>
                <w:color w:val="auto"/>
              </w:rPr>
            </w:pPr>
            <w:r>
              <w:rPr>
                <w:rFonts w:ascii="Times New Roman" w:cs="Times New Roman" w:eastAsia="Times New Roman" w:hAnsi="Times New Roman"/>
                <w:sz w:val="34"/>
                <w:szCs w:val="34"/>
                <w:color w:val="0000FF"/>
                <w:w w:val="82"/>
                <w:vertAlign w:val="subscript"/>
              </w:rPr>
              <w:t>1</w:t>
            </w:r>
            <w:r>
              <w:rPr>
                <w:rFonts w:ascii="Times New Roman" w:cs="Times New Roman" w:eastAsia="Times New Roman" w:hAnsi="Times New Roman"/>
                <w:sz w:val="11"/>
                <w:szCs w:val="11"/>
                <w:color w:val="008000"/>
                <w:w w:val="82"/>
              </w:rPr>
              <w:t>(2)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Himalaya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Parent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100"/>
        <w:spacing w:after="0" w:line="185" w:lineRule="auto"/>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(3)</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Effective on April 6, 2026, the Issuer effected a 50-for-1 share consolidation of its common stock (the "Share Consolidation"). The amount of securities reported on this Form 4 has been adjusted to reflect the Share Consolidation.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and his spouse are the managers of Himalaya Parent LLC and collectively make investment decisions on the behalf of the entity. The Reporting Person and his spouse disclaim beneficial ownership of the reported securities except to the extent of his or her pecuniary interest therein.</w:t>
      </w:r>
    </w:p>
    <w:p>
      <w:pPr>
        <w:sectPr>
          <w:pgSz w:w="11900" w:h="16838" w:orient="portrait"/>
          <w:cols w:equalWidth="0" w:num="1">
            <w:col w:w="11000"/>
          </w:cols>
          <w:pgMar w:left="460" w:top="219" w:right="439" w:bottom="0" w:gutter="0" w:footer="0" w:header="0"/>
          <w:type w:val="continuous"/>
        </w:sectPr>
      </w:pP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Christian Vasquez, as</w:t>
            </w: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0000FF"/>
              </w:rPr>
              <w:t>06/05/2026</w:t>
            </w:r>
          </w:p>
        </w:tc>
      </w:tr>
      <w:tr>
        <w:trPr>
          <w:trHeight w:val="193"/>
        </w:trPr>
        <w:tc>
          <w:tcPr>
            <w:tcW w:w="194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Jay M.</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bl>
    <w:p>
      <w:pPr>
        <w:sectPr>
          <w:pgSz w:w="11900" w:h="16838" w:orient="portrait"/>
          <w:cols w:equalWidth="0" w:num="1">
            <w:col w:w="11000"/>
          </w:cols>
          <w:pgMar w:left="460" w:top="219" w:right="43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Short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2381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38125"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5375" TargetMode="External"/><Relationship Id="rId14" Type="http://schemas.openxmlformats.org/officeDocument/2006/relationships/hyperlink" Target="http://www.sec.gov/cgi-bin/browse-edgar?action=getcompany&amp;CIK=00018268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2026-06-05T15:43:47Z</dcterms:created>
  <dcterms:modified xsi:type="dcterms:W3CDTF">2026-06-05T15:43:47Z</dcterms:modified>
</cp:coreProperties>
</file>