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60716.htm"/>
      <w:bookmarkStart w:id="1" w:name="ksbcab20260716"/>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BIOATLA,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11085 Torreyana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558-0708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BCAB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360" w:after="120"/>
        <w:jc w:val="left"/>
        <w:rPr/>
      </w:pPr>
      <w:r>
        <w:rPr/>
        <w:t> </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rFonts w:ascii="Times New Roman" w:hAnsi="Times New Roman"/>
          <w:sz w:val="20"/>
        </w:rPr>
      </w:pPr>
      <w:r>
        <w:rPr>
          <w:rFonts w:ascii="Times New Roman" w:hAnsi="Times New Roman"/>
          <w:color w:val="000000"/>
          <w:sz w:val="20"/>
        </w:rPr>
        <w:t>The Annual Meeting of Stockholders of the Company was held online via live audio webcast on July 16, 2026 (the “</w:t>
      </w:r>
      <w:r>
        <w:rPr>
          <w:rFonts w:ascii="Times New Roman" w:hAnsi="Times New Roman"/>
          <w:b/>
          <w:i/>
          <w:color w:val="000000"/>
          <w:sz w:val="20"/>
        </w:rPr>
        <w:t>Annual Meeting</w:t>
      </w:r>
      <w:r>
        <w:rPr>
          <w:rFonts w:ascii="Times New Roman" w:hAnsi="Times New Roman"/>
          <w:color w:val="000000"/>
          <w:sz w:val="20"/>
        </w:rPr>
        <w:t>”). At the Annual Meeting, there were present, in person virtually or by proxy, holders of 906,983 shares of common stock, or approximately 55% of the total outstanding shares eligible to be voted. The final voting results with respect to each proposal presented at the Annual Meeting are set forth below:</w:t>
      </w:r>
    </w:p>
    <w:p>
      <w:pPr>
        <w:pStyle w:val="TextBody"/>
        <w:bidi w:val="0"/>
        <w:jc w:val="left"/>
        <w:rPr>
          <w:rFonts w:ascii="Times New Roman" w:hAnsi="Times New Roman"/>
          <w:b/>
          <w:i/>
          <w:color w:val="000000"/>
          <w:sz w:val="20"/>
        </w:rPr>
      </w:pPr>
      <w:r>
        <w:rPr>
          <w:rFonts w:ascii="Times New Roman" w:hAnsi="Times New Roman"/>
          <w:b/>
          <w:i/>
          <w:color w:val="000000"/>
          <w:sz w:val="20"/>
        </w:rPr>
        <w:t>Proposal One - Election of Directors</w:t>
      </w:r>
    </w:p>
    <w:p>
      <w:pPr>
        <w:pStyle w:val="TextBody"/>
        <w:bidi w:val="0"/>
        <w:jc w:val="both"/>
        <w:rPr>
          <w:rFonts w:ascii="Times New Roman" w:hAnsi="Times New Roman"/>
          <w:color w:val="000000"/>
          <w:sz w:val="20"/>
        </w:rPr>
      </w:pPr>
      <w:r>
        <w:rPr>
          <w:rFonts w:ascii="Times New Roman" w:hAnsi="Times New Roman"/>
          <w:color w:val="000000"/>
          <w:sz w:val="20"/>
        </w:rPr>
        <w:t>The Company’s stockholders approved the election of two Class III directors to the Company’s Board of Directors for a three-year term or until their respective successors are duly elected and qualified or until their earlier death, resignation, disqualification or removal, by the following votes:</w:t>
      </w:r>
    </w:p>
    <w:tbl>
      <w:tblPr>
        <w:tblW w:w="5674" w:type="dxa"/>
        <w:jc w:val="left"/>
        <w:tblInd w:w="0" w:type="dxa"/>
        <w:tblLayout w:type="fixed"/>
        <w:tblCellMar>
          <w:top w:w="28" w:type="dxa"/>
          <w:left w:w="28" w:type="dxa"/>
          <w:bottom w:w="28" w:type="dxa"/>
          <w:right w:w="28" w:type="dxa"/>
        </w:tblCellMar>
      </w:tblPr>
      <w:tblGrid>
        <w:gridCol w:w="1666"/>
        <w:gridCol w:w="931"/>
        <w:gridCol w:w="1396"/>
        <w:gridCol w:w="1681"/>
      </w:tblGrid>
      <w:tr>
        <w:trPr/>
        <w:tc>
          <w:tcPr>
            <w:tcW w:w="16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Nominee</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M. Short, Ph.D.</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313,903</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132,916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460,164</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Edward Williams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309,949</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136,870</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460,164</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Proposal Two - Ratification of Appointment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The Company’s stockholders ratified the appointment of Ernst &amp; Young LLP as the Company’s independent registered public accounting firm for the fiscal year ending December 31, 2026 by the following votes:</w:t>
      </w:r>
    </w:p>
    <w:tbl>
      <w:tblPr>
        <w:tblW w:w="3333" w:type="dxa"/>
        <w:jc w:val="left"/>
        <w:tblInd w:w="0" w:type="dxa"/>
        <w:tblLayout w:type="fixed"/>
        <w:tblCellMar>
          <w:top w:w="28" w:type="dxa"/>
          <w:left w:w="28" w:type="dxa"/>
          <w:bottom w:w="28" w:type="dxa"/>
          <w:right w:w="28" w:type="dxa"/>
        </w:tblCellMar>
      </w:tblPr>
      <w:tblGrid>
        <w:gridCol w:w="946"/>
        <w:gridCol w:w="1261"/>
        <w:gridCol w:w="1126"/>
      </w:tblGrid>
      <w:tr>
        <w:trPr/>
        <w:tc>
          <w:tcPr>
            <w:tcW w:w="9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869,667</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18,545</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18,771</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Proposal Three - Non-Binding Advisory Vote on the Executive Compensation of Our Named Executive Officers</w:t>
      </w:r>
    </w:p>
    <w:p>
      <w:pPr>
        <w:pStyle w:val="TextBody"/>
        <w:bidi w:val="0"/>
        <w:jc w:val="both"/>
        <w:rPr>
          <w:rFonts w:ascii="Times New Roman" w:hAnsi="Times New Roman"/>
          <w:color w:val="000000"/>
          <w:sz w:val="20"/>
        </w:rPr>
      </w:pPr>
      <w:r>
        <w:rPr>
          <w:rFonts w:ascii="Times New Roman" w:hAnsi="Times New Roman"/>
          <w:color w:val="000000"/>
          <w:sz w:val="20"/>
        </w:rPr>
        <w:t>The Company’s stockholders approved, on a non-binding advisory basis, the executive compensation of our named executive officers by the following votes:</w:t>
      </w:r>
    </w:p>
    <w:tbl>
      <w:tblPr>
        <w:tblW w:w="4969" w:type="dxa"/>
        <w:jc w:val="left"/>
        <w:tblInd w:w="0" w:type="dxa"/>
        <w:tblLayout w:type="fixed"/>
        <w:tblCellMar>
          <w:top w:w="28" w:type="dxa"/>
          <w:left w:w="28" w:type="dxa"/>
          <w:bottom w:w="28" w:type="dxa"/>
          <w:right w:w="28" w:type="dxa"/>
        </w:tblCellMar>
      </w:tblPr>
      <w:tblGrid>
        <w:gridCol w:w="946"/>
        <w:gridCol w:w="1261"/>
        <w:gridCol w:w="1081"/>
        <w:gridCol w:w="1681"/>
      </w:tblGrid>
      <w:tr>
        <w:trPr/>
        <w:tc>
          <w:tcPr>
            <w:tcW w:w="9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Against</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281,294</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96,492</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69,033</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460,164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34" w:type="dxa"/>
        <w:jc w:val="left"/>
        <w:tblInd w:w="0" w:type="dxa"/>
        <w:tblLayout w:type="fixed"/>
        <w:tblCellMar>
          <w:top w:w="28" w:type="dxa"/>
          <w:left w:w="28" w:type="dxa"/>
          <w:bottom w:w="28" w:type="dxa"/>
          <w:right w:w="28" w:type="dxa"/>
        </w:tblCellMar>
      </w:tblPr>
      <w:tblGrid>
        <w:gridCol w:w="556"/>
        <w:gridCol w:w="12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b/>
                <w:color w:val="000000"/>
                <w:sz w:val="20"/>
              </w:rPr>
            </w:pPr>
            <w:r>
              <w:rPr>
                <w:rFonts w:ascii="Times New Roman" w:hAnsi="Times New Roman"/>
                <w:b/>
                <w:color w:val="000000"/>
                <w:sz w:val="20"/>
              </w:rPr>
              <w:t>BioAtla,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Christian Vasquez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3316</Characters>
  <CharactersWithSpaces>3887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